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56"/>
        <w:ind w:firstLine="960"/>
        <w:jc w:val="center"/>
        <w:rPr>
          <w:rFonts w:ascii="黑体" w:eastAsia="黑体"/>
          <w:color w:val="FF0000"/>
          <w:szCs w:val="21"/>
        </w:rPr>
      </w:pPr>
      <w:bookmarkStart w:id="0" w:name="_Toc375206148"/>
      <w:bookmarkStart w:id="1" w:name="_Toc11598"/>
      <w:bookmarkStart w:id="2" w:name="_Toc443924632"/>
      <w:bookmarkStart w:id="3" w:name="_Toc485996374"/>
      <w:bookmarkStart w:id="4" w:name="_Toc32642"/>
    </w:p>
    <w:p>
      <w:pPr>
        <w:snapToGrid w:val="0"/>
        <w:jc w:val="center"/>
        <w:rPr>
          <w:rFonts w:ascii="黑体" w:eastAsia="黑体"/>
          <w:color w:val="FF0000"/>
          <w:sz w:val="48"/>
          <w:szCs w:val="44"/>
        </w:rPr>
      </w:pPr>
    </w:p>
    <w:p>
      <w:pPr>
        <w:jc w:val="center"/>
        <w:rPr>
          <w:rFonts w:hint="eastAsia" w:ascii="华文中宋" w:hAnsi="华文中宋" w:eastAsia="华文中宋" w:cs="华文中宋"/>
          <w:b/>
          <w:spacing w:val="-5"/>
          <w:sz w:val="52"/>
          <w:szCs w:val="52"/>
        </w:rPr>
      </w:pPr>
      <w:r>
        <w:rPr>
          <w:rFonts w:hint="eastAsia" w:ascii="华文中宋" w:hAnsi="华文中宋" w:eastAsia="华文中宋" w:cs="华文中宋"/>
          <w:b/>
          <w:spacing w:val="-5"/>
          <w:sz w:val="52"/>
          <w:szCs w:val="52"/>
          <w:lang w:val="en-US" w:eastAsia="zh-CN"/>
        </w:rPr>
        <w:t>正阳县辉鸿农牧</w:t>
      </w:r>
      <w:r>
        <w:rPr>
          <w:rFonts w:hint="eastAsia" w:ascii="华文中宋" w:hAnsi="华文中宋" w:eastAsia="华文中宋" w:cs="华文中宋"/>
          <w:b/>
          <w:spacing w:val="-5"/>
          <w:sz w:val="52"/>
          <w:szCs w:val="52"/>
        </w:rPr>
        <w:t>有限公司</w:t>
      </w:r>
    </w:p>
    <w:p>
      <w:pPr>
        <w:jc w:val="center"/>
        <w:rPr>
          <w:rFonts w:hint="eastAsia" w:ascii="华文中宋" w:hAnsi="华文中宋" w:eastAsia="华文中宋" w:cs="华文中宋"/>
          <w:b/>
          <w:spacing w:val="-5"/>
          <w:sz w:val="52"/>
          <w:szCs w:val="52"/>
        </w:rPr>
      </w:pPr>
      <w:r>
        <w:rPr>
          <w:rFonts w:hint="eastAsia" w:ascii="华文中宋" w:hAnsi="华文中宋" w:eastAsia="华文中宋" w:cs="华文中宋"/>
          <w:b/>
          <w:spacing w:val="-5"/>
          <w:sz w:val="52"/>
          <w:szCs w:val="52"/>
          <w:lang w:val="en-US" w:eastAsia="zh-CN"/>
        </w:rPr>
        <w:t>新建年出栏生猪一万头生产</w:t>
      </w:r>
      <w:r>
        <w:rPr>
          <w:rFonts w:hint="eastAsia" w:ascii="华文中宋" w:hAnsi="华文中宋" w:eastAsia="华文中宋" w:cs="华文中宋"/>
          <w:b/>
          <w:spacing w:val="-5"/>
          <w:sz w:val="52"/>
          <w:szCs w:val="52"/>
        </w:rPr>
        <w:t>项目</w:t>
      </w:r>
    </w:p>
    <w:p>
      <w:pPr>
        <w:jc w:val="center"/>
        <w:rPr>
          <w:rFonts w:ascii="华文行楷" w:eastAsia="华文行楷"/>
          <w:sz w:val="72"/>
          <w:szCs w:val="72"/>
        </w:rPr>
      </w:pPr>
      <w:r>
        <w:rPr>
          <w:rFonts w:hint="eastAsia" w:ascii="华文中宋" w:hAnsi="华文中宋" w:eastAsia="华文中宋" w:cs="华文中宋"/>
          <w:sz w:val="72"/>
          <w:szCs w:val="72"/>
        </w:rPr>
        <w:t>环境影响报告书</w:t>
      </w:r>
    </w:p>
    <w:p>
      <w:pPr>
        <w:jc w:val="center"/>
        <w:outlineLvl w:val="0"/>
        <w:rPr>
          <w:rFonts w:eastAsia="黑体"/>
          <w:b/>
          <w:bCs/>
          <w:sz w:val="32"/>
          <w:szCs w:val="32"/>
        </w:rPr>
      </w:pPr>
      <w:r>
        <w:rPr>
          <w:rFonts w:eastAsia="黑体"/>
          <w:b/>
          <w:bCs/>
          <w:sz w:val="32"/>
          <w:szCs w:val="32"/>
        </w:rPr>
        <w:t>（</w:t>
      </w:r>
      <w:r>
        <w:rPr>
          <w:rFonts w:hint="eastAsia" w:eastAsia="黑体"/>
          <w:b/>
          <w:bCs/>
          <w:sz w:val="32"/>
          <w:szCs w:val="32"/>
          <w:lang w:val="en-US" w:eastAsia="zh-CN"/>
        </w:rPr>
        <w:t>报批</w:t>
      </w:r>
      <w:r>
        <w:rPr>
          <w:rFonts w:hint="eastAsia" w:eastAsia="黑体"/>
          <w:b/>
          <w:bCs/>
          <w:sz w:val="32"/>
          <w:szCs w:val="32"/>
        </w:rPr>
        <w:t>版</w:t>
      </w:r>
      <w:r>
        <w:rPr>
          <w:rFonts w:eastAsia="黑体"/>
          <w:b/>
          <w:bCs/>
          <w:sz w:val="32"/>
          <w:szCs w:val="32"/>
        </w:rPr>
        <w:t>）</w:t>
      </w:r>
    </w:p>
    <w:p>
      <w:pPr>
        <w:jc w:val="center"/>
        <w:rPr>
          <w:rFonts w:eastAsia="黑体"/>
          <w:sz w:val="32"/>
        </w:rPr>
      </w:pPr>
    </w:p>
    <w:p>
      <w:pPr>
        <w:jc w:val="center"/>
        <w:rPr>
          <w:rFonts w:eastAsia="黑体"/>
          <w:sz w:val="32"/>
        </w:rPr>
      </w:pPr>
    </w:p>
    <w:p>
      <w:pPr>
        <w:jc w:val="center"/>
        <w:rPr>
          <w:rFonts w:eastAsia="黑体"/>
          <w:sz w:val="32"/>
        </w:rPr>
      </w:pPr>
    </w:p>
    <w:p>
      <w:pPr>
        <w:jc w:val="center"/>
        <w:rPr>
          <w:rFonts w:eastAsia="黑体"/>
          <w:sz w:val="32"/>
        </w:rPr>
      </w:pPr>
    </w:p>
    <w:p>
      <w:pPr>
        <w:jc w:val="center"/>
        <w:rPr>
          <w:rFonts w:hint="eastAsia" w:eastAsia="黑体"/>
          <w:szCs w:val="21"/>
        </w:rPr>
      </w:pPr>
    </w:p>
    <w:p>
      <w:pPr>
        <w:jc w:val="center"/>
        <w:rPr>
          <w:rFonts w:hint="eastAsia" w:eastAsia="黑体"/>
          <w:szCs w:val="21"/>
        </w:rPr>
      </w:pPr>
    </w:p>
    <w:p>
      <w:pPr>
        <w:jc w:val="center"/>
        <w:rPr>
          <w:rFonts w:hint="eastAsia" w:eastAsia="黑体"/>
          <w:szCs w:val="21"/>
        </w:rPr>
      </w:pPr>
    </w:p>
    <w:p>
      <w:pPr>
        <w:jc w:val="center"/>
        <w:rPr>
          <w:rFonts w:eastAsia="黑体"/>
          <w:szCs w:val="21"/>
        </w:rPr>
      </w:pPr>
    </w:p>
    <w:p>
      <w:pPr>
        <w:rPr>
          <w:rFonts w:eastAsia="黑体"/>
          <w:szCs w:val="21"/>
        </w:rPr>
      </w:pPr>
    </w:p>
    <w:p>
      <w:pPr>
        <w:spacing w:line="480" w:lineRule="auto"/>
        <w:ind w:firstLine="846" w:firstLineChars="245"/>
        <w:rPr>
          <w:rFonts w:hint="eastAsia" w:hAnsi="宋体"/>
          <w:b/>
          <w:bCs/>
          <w:spacing w:val="12"/>
          <w:sz w:val="32"/>
        </w:rPr>
      </w:pPr>
      <w:r>
        <w:rPr>
          <w:rFonts w:hint="eastAsia" w:hAnsi="宋体"/>
          <w:b/>
          <w:bCs/>
          <w:spacing w:val="12"/>
          <w:sz w:val="32"/>
        </w:rPr>
        <w:t>建设单位：</w:t>
      </w:r>
      <w:r>
        <w:rPr>
          <w:rFonts w:hint="eastAsia" w:hAnsi="宋体"/>
          <w:b/>
          <w:bCs/>
          <w:spacing w:val="12"/>
          <w:sz w:val="32"/>
          <w:lang w:val="en-US" w:eastAsia="zh-CN"/>
        </w:rPr>
        <w:t>正阳县辉鸿农牧</w:t>
      </w:r>
      <w:r>
        <w:rPr>
          <w:rFonts w:hint="eastAsia" w:hAnsi="宋体"/>
          <w:b/>
          <w:bCs/>
          <w:spacing w:val="12"/>
          <w:sz w:val="32"/>
        </w:rPr>
        <w:t>有限公司</w:t>
      </w:r>
    </w:p>
    <w:p>
      <w:pPr>
        <w:spacing w:line="480" w:lineRule="auto"/>
        <w:ind w:firstLine="846" w:firstLineChars="245"/>
        <w:rPr>
          <w:rFonts w:hAnsi="宋体"/>
          <w:b/>
          <w:spacing w:val="20"/>
          <w:sz w:val="32"/>
          <w:szCs w:val="32"/>
        </w:rPr>
      </w:pPr>
      <w:r>
        <w:rPr>
          <w:rFonts w:hint="eastAsia" w:hAnsi="宋体"/>
          <w:b/>
          <w:bCs/>
          <w:spacing w:val="12"/>
          <w:sz w:val="32"/>
        </w:rPr>
        <w:t>编制单位：</w:t>
      </w:r>
      <w:r>
        <w:rPr>
          <w:rFonts w:hint="eastAsia" w:hAnsi="宋体"/>
          <w:b/>
          <w:bCs/>
          <w:spacing w:val="12"/>
          <w:sz w:val="32"/>
          <w:lang w:val="en-US" w:eastAsia="zh-CN"/>
        </w:rPr>
        <w:t>南京晔美环保服务</w:t>
      </w:r>
      <w:r>
        <w:rPr>
          <w:rFonts w:hint="eastAsia" w:hAnsi="宋体"/>
          <w:b/>
          <w:bCs/>
          <w:spacing w:val="12"/>
          <w:sz w:val="32"/>
        </w:rPr>
        <w:t>有限公司</w:t>
      </w:r>
    </w:p>
    <w:p>
      <w:pPr>
        <w:spacing w:after="156" w:line="720" w:lineRule="auto"/>
        <w:jc w:val="center"/>
        <w:rPr>
          <w:rFonts w:hint="eastAsia" w:hAnsi="宋体"/>
          <w:b/>
          <w:bCs/>
          <w:spacing w:val="12"/>
          <w:sz w:val="30"/>
          <w:szCs w:val="30"/>
        </w:rPr>
      </w:pPr>
      <w:r>
        <w:rPr>
          <w:rFonts w:hAnsi="宋体"/>
          <w:b/>
          <w:bCs/>
          <w:spacing w:val="12"/>
          <w:sz w:val="30"/>
          <w:szCs w:val="30"/>
        </w:rPr>
        <w:t>二</w:t>
      </w:r>
      <w:r>
        <w:rPr>
          <w:rFonts w:hint="eastAsia"/>
          <w:b/>
          <w:bCs/>
          <w:spacing w:val="12"/>
          <w:sz w:val="30"/>
          <w:szCs w:val="30"/>
        </w:rPr>
        <w:t>○</w:t>
      </w:r>
      <w:r>
        <w:rPr>
          <w:rFonts w:hAnsi="宋体"/>
          <w:b/>
          <w:bCs/>
          <w:spacing w:val="12"/>
          <w:sz w:val="30"/>
          <w:szCs w:val="30"/>
        </w:rPr>
        <w:t>二</w:t>
      </w:r>
      <w:r>
        <w:rPr>
          <w:rFonts w:hint="eastAsia"/>
          <w:b/>
          <w:bCs/>
          <w:spacing w:val="12"/>
          <w:sz w:val="30"/>
          <w:szCs w:val="30"/>
        </w:rPr>
        <w:t>○</w:t>
      </w:r>
      <w:r>
        <w:rPr>
          <w:rFonts w:hAnsi="宋体"/>
          <w:b/>
          <w:bCs/>
          <w:spacing w:val="12"/>
          <w:sz w:val="30"/>
          <w:szCs w:val="30"/>
        </w:rPr>
        <w:t>年</w:t>
      </w:r>
      <w:r>
        <w:rPr>
          <w:rFonts w:hint="eastAsia" w:hAnsi="宋体"/>
          <w:b/>
          <w:bCs/>
          <w:spacing w:val="12"/>
          <w:sz w:val="30"/>
          <w:szCs w:val="30"/>
          <w:lang w:val="en-US" w:eastAsia="zh-CN"/>
        </w:rPr>
        <w:t>五</w:t>
      </w:r>
      <w:r>
        <w:rPr>
          <w:rFonts w:hint="eastAsia" w:hAnsi="宋体"/>
          <w:b/>
          <w:bCs/>
          <w:spacing w:val="12"/>
          <w:sz w:val="30"/>
          <w:szCs w:val="30"/>
        </w:rPr>
        <w:t>月</w:t>
      </w:r>
    </w:p>
    <w:p>
      <w:pPr>
        <w:spacing w:after="156"/>
        <w:ind w:firstLine="420"/>
        <w:rPr>
          <w:szCs w:val="28"/>
        </w:rPr>
      </w:pPr>
    </w:p>
    <w:p>
      <w:pPr>
        <w:pStyle w:val="31"/>
        <w:jc w:val="center"/>
        <w:rPr>
          <w:rFonts w:ascii="Times New Roman" w:hAnsi="Times New Roman" w:cs="Times New Roman"/>
          <w:color w:val="000000"/>
          <w:sz w:val="48"/>
          <w:szCs w:val="48"/>
        </w:rPr>
        <w:sectPr>
          <w:footerReference r:id="rId3" w:type="default"/>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153150" cy="8658225"/>
            <wp:effectExtent l="0" t="0" r="0" b="952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7"/>
                    <a:stretch>
                      <a:fillRect/>
                    </a:stretch>
                  </pic:blipFill>
                  <pic:spPr>
                    <a:xfrm>
                      <a:off x="0" y="0"/>
                      <a:ext cx="6153150" cy="8658225"/>
                    </a:xfrm>
                    <a:prstGeom prst="rect">
                      <a:avLst/>
                    </a:prstGeom>
                    <a:noFill/>
                    <a:ln w="9525">
                      <a:noFill/>
                    </a:ln>
                  </pic:spPr>
                </pic:pic>
              </a:graphicData>
            </a:graphic>
          </wp:inline>
        </w:drawing>
      </w:r>
    </w:p>
    <w:p>
      <w:p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p>
    <w:p>
      <w:pPr>
        <w:pStyle w:val="31"/>
        <w:jc w:val="center"/>
        <w:rPr>
          <w:rFonts w:ascii="Times New Roman" w:hAnsi="Times New Roman" w:cs="Times New Roman"/>
          <w:color w:val="000000"/>
          <w:sz w:val="48"/>
          <w:szCs w:val="48"/>
        </w:rPr>
      </w:pPr>
      <w:r>
        <w:rPr>
          <w:rFonts w:ascii="Times New Roman" w:hAnsi="Times New Roman" w:cs="Times New Roman"/>
          <w:color w:val="000000"/>
          <w:sz w:val="48"/>
          <w:szCs w:val="48"/>
        </w:rPr>
        <w:t>目录</w:t>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TOC \o "1-2" \h \z \u </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fldChar w:fldCharType="begin"/>
      </w:r>
      <w:r>
        <w:rPr>
          <w:rFonts w:ascii="Times New Roman" w:hAnsi="Times New Roman" w:cs="Times New Roman"/>
          <w:sz w:val="24"/>
          <w:szCs w:val="24"/>
        </w:rPr>
        <w:instrText xml:space="preserve"> HYPERLINK \l _Toc22308 </w:instrText>
      </w:r>
      <w:r>
        <w:rPr>
          <w:rFonts w:ascii="Times New Roman" w:hAnsi="Times New Roman" w:cs="Times New Roman"/>
          <w:sz w:val="24"/>
          <w:szCs w:val="24"/>
        </w:rPr>
        <w:fldChar w:fldCharType="separate"/>
      </w:r>
      <w:r>
        <w:rPr>
          <w:sz w:val="24"/>
          <w:szCs w:val="24"/>
        </w:rPr>
        <w:t>第一章   总则</w:t>
      </w:r>
      <w:r>
        <w:rPr>
          <w:sz w:val="24"/>
          <w:szCs w:val="24"/>
        </w:rPr>
        <w:tab/>
      </w:r>
      <w:r>
        <w:rPr>
          <w:sz w:val="24"/>
          <w:szCs w:val="24"/>
        </w:rPr>
        <w:fldChar w:fldCharType="begin"/>
      </w:r>
      <w:r>
        <w:rPr>
          <w:sz w:val="24"/>
          <w:szCs w:val="24"/>
        </w:rPr>
        <w:instrText xml:space="preserve"> PAGEREF _Toc22308 </w:instrText>
      </w:r>
      <w:r>
        <w:rPr>
          <w:sz w:val="24"/>
          <w:szCs w:val="24"/>
        </w:rPr>
        <w:fldChar w:fldCharType="separate"/>
      </w:r>
      <w:r>
        <w:rPr>
          <w:sz w:val="24"/>
          <w:szCs w:val="24"/>
        </w:rPr>
        <w:t>4</w:t>
      </w:r>
      <w:r>
        <w:rPr>
          <w:sz w:val="24"/>
          <w:szCs w:val="24"/>
        </w:rPr>
        <w:fldChar w:fldCharType="end"/>
      </w:r>
      <w:r>
        <w:rPr>
          <w:rFonts w:ascii="Times New Roman" w:hAnsi="Times New Roman" w:cs="Times New Roman"/>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_Toc20164 </w:instrText>
      </w:r>
      <w:r>
        <w:rPr>
          <w:sz w:val="24"/>
          <w:szCs w:val="24"/>
        </w:rPr>
        <w:fldChar w:fldCharType="separate"/>
      </w:r>
      <w:r>
        <w:rPr>
          <w:rFonts w:hAnsi="Times New Roman"/>
          <w:sz w:val="24"/>
          <w:szCs w:val="24"/>
        </w:rPr>
        <w:t>1.1 项目由来</w:t>
      </w:r>
      <w:r>
        <w:rPr>
          <w:sz w:val="24"/>
          <w:szCs w:val="24"/>
        </w:rPr>
        <w:tab/>
      </w:r>
      <w:r>
        <w:rPr>
          <w:sz w:val="24"/>
          <w:szCs w:val="24"/>
        </w:rPr>
        <w:fldChar w:fldCharType="begin"/>
      </w:r>
      <w:r>
        <w:rPr>
          <w:sz w:val="24"/>
          <w:szCs w:val="24"/>
        </w:rPr>
        <w:instrText xml:space="preserve"> PAGEREF _Toc20164 </w:instrText>
      </w:r>
      <w:r>
        <w:rPr>
          <w:sz w:val="24"/>
          <w:szCs w:val="24"/>
        </w:rPr>
        <w:fldChar w:fldCharType="separate"/>
      </w:r>
      <w:r>
        <w:rPr>
          <w:sz w:val="24"/>
          <w:szCs w:val="24"/>
        </w:rPr>
        <w:t>4</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_Toc18096 </w:instrText>
      </w:r>
      <w:r>
        <w:rPr>
          <w:sz w:val="24"/>
          <w:szCs w:val="24"/>
        </w:rPr>
        <w:fldChar w:fldCharType="separate"/>
      </w:r>
      <w:r>
        <w:rPr>
          <w:rFonts w:hAnsi="Times New Roman"/>
          <w:sz w:val="24"/>
          <w:szCs w:val="24"/>
        </w:rPr>
        <w:t>1.2建设项目特点</w:t>
      </w:r>
      <w:r>
        <w:rPr>
          <w:sz w:val="24"/>
          <w:szCs w:val="24"/>
        </w:rPr>
        <w:tab/>
      </w:r>
      <w:r>
        <w:rPr>
          <w:sz w:val="24"/>
          <w:szCs w:val="24"/>
        </w:rPr>
        <w:fldChar w:fldCharType="begin"/>
      </w:r>
      <w:r>
        <w:rPr>
          <w:sz w:val="24"/>
          <w:szCs w:val="24"/>
        </w:rPr>
        <w:instrText xml:space="preserve"> PAGEREF _Toc18096 </w:instrText>
      </w:r>
      <w:r>
        <w:rPr>
          <w:sz w:val="24"/>
          <w:szCs w:val="24"/>
        </w:rPr>
        <w:fldChar w:fldCharType="separate"/>
      </w:r>
      <w:r>
        <w:rPr>
          <w:sz w:val="24"/>
          <w:szCs w:val="24"/>
        </w:rPr>
        <w:t>6</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_Toc27317 </w:instrText>
      </w:r>
      <w:r>
        <w:rPr>
          <w:sz w:val="24"/>
          <w:szCs w:val="24"/>
        </w:rPr>
        <w:fldChar w:fldCharType="separate"/>
      </w:r>
      <w:r>
        <w:rPr>
          <w:rFonts w:hAnsi="Times New Roman"/>
          <w:sz w:val="24"/>
          <w:szCs w:val="24"/>
        </w:rPr>
        <w:t>1.3 环境影响评价的工作过程</w:t>
      </w:r>
      <w:r>
        <w:rPr>
          <w:sz w:val="24"/>
          <w:szCs w:val="24"/>
        </w:rPr>
        <w:tab/>
      </w:r>
      <w:r>
        <w:rPr>
          <w:sz w:val="24"/>
          <w:szCs w:val="24"/>
        </w:rPr>
        <w:fldChar w:fldCharType="begin"/>
      </w:r>
      <w:r>
        <w:rPr>
          <w:sz w:val="24"/>
          <w:szCs w:val="24"/>
        </w:rPr>
        <w:instrText xml:space="preserve"> PAGEREF _Toc27317 </w:instrText>
      </w:r>
      <w:r>
        <w:rPr>
          <w:sz w:val="24"/>
          <w:szCs w:val="24"/>
        </w:rPr>
        <w:fldChar w:fldCharType="separate"/>
      </w:r>
      <w:r>
        <w:rPr>
          <w:sz w:val="24"/>
          <w:szCs w:val="24"/>
        </w:rPr>
        <w:t>7</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_Toc8886 </w:instrText>
      </w:r>
      <w:r>
        <w:rPr>
          <w:sz w:val="24"/>
          <w:szCs w:val="24"/>
        </w:rPr>
        <w:fldChar w:fldCharType="separate"/>
      </w:r>
      <w:r>
        <w:rPr>
          <w:rFonts w:hAnsi="Times New Roman"/>
          <w:sz w:val="24"/>
          <w:szCs w:val="24"/>
        </w:rPr>
        <w:t>1.4 关注的主要环境问题及环境影响</w:t>
      </w:r>
      <w:r>
        <w:rPr>
          <w:sz w:val="24"/>
          <w:szCs w:val="24"/>
        </w:rPr>
        <w:tab/>
      </w:r>
      <w:r>
        <w:rPr>
          <w:sz w:val="24"/>
          <w:szCs w:val="24"/>
        </w:rPr>
        <w:fldChar w:fldCharType="begin"/>
      </w:r>
      <w:r>
        <w:rPr>
          <w:sz w:val="24"/>
          <w:szCs w:val="24"/>
        </w:rPr>
        <w:instrText xml:space="preserve"> PAGEREF _Toc8886 </w:instrText>
      </w:r>
      <w:r>
        <w:rPr>
          <w:sz w:val="24"/>
          <w:szCs w:val="24"/>
        </w:rPr>
        <w:fldChar w:fldCharType="separate"/>
      </w:r>
      <w:r>
        <w:rPr>
          <w:sz w:val="24"/>
          <w:szCs w:val="24"/>
        </w:rPr>
        <w:t>8</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_Toc30774 </w:instrText>
      </w:r>
      <w:r>
        <w:rPr>
          <w:sz w:val="24"/>
          <w:szCs w:val="24"/>
        </w:rPr>
        <w:fldChar w:fldCharType="separate"/>
      </w:r>
      <w:r>
        <w:rPr>
          <w:rFonts w:hAnsi="Times New Roman"/>
          <w:sz w:val="24"/>
          <w:szCs w:val="24"/>
        </w:rPr>
        <w:t>1.5 环境影响评价的主要结论</w:t>
      </w:r>
      <w:r>
        <w:rPr>
          <w:sz w:val="24"/>
          <w:szCs w:val="24"/>
        </w:rPr>
        <w:tab/>
      </w:r>
      <w:r>
        <w:rPr>
          <w:sz w:val="24"/>
          <w:szCs w:val="24"/>
        </w:rPr>
        <w:fldChar w:fldCharType="begin"/>
      </w:r>
      <w:r>
        <w:rPr>
          <w:sz w:val="24"/>
          <w:szCs w:val="24"/>
        </w:rPr>
        <w:instrText xml:space="preserve"> PAGEREF _Toc30774 </w:instrText>
      </w:r>
      <w:r>
        <w:rPr>
          <w:sz w:val="24"/>
          <w:szCs w:val="24"/>
        </w:rPr>
        <w:fldChar w:fldCharType="separate"/>
      </w:r>
      <w:r>
        <w:rPr>
          <w:sz w:val="24"/>
          <w:szCs w:val="24"/>
        </w:rPr>
        <w:t>8</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_Toc538 </w:instrText>
      </w:r>
      <w:r>
        <w:rPr>
          <w:sz w:val="24"/>
          <w:szCs w:val="24"/>
        </w:rPr>
        <w:fldChar w:fldCharType="separate"/>
      </w:r>
      <w:r>
        <w:rPr>
          <w:rFonts w:hAnsi="Times New Roman"/>
          <w:sz w:val="24"/>
          <w:szCs w:val="24"/>
        </w:rPr>
        <w:t>1.6 编制依据</w:t>
      </w:r>
      <w:r>
        <w:rPr>
          <w:sz w:val="24"/>
          <w:szCs w:val="24"/>
        </w:rPr>
        <w:tab/>
      </w:r>
      <w:r>
        <w:rPr>
          <w:sz w:val="24"/>
          <w:szCs w:val="24"/>
        </w:rPr>
        <w:fldChar w:fldCharType="begin"/>
      </w:r>
      <w:r>
        <w:rPr>
          <w:sz w:val="24"/>
          <w:szCs w:val="24"/>
        </w:rPr>
        <w:instrText xml:space="preserve"> PAGEREF _Toc538 </w:instrText>
      </w:r>
      <w:r>
        <w:rPr>
          <w:sz w:val="24"/>
          <w:szCs w:val="24"/>
        </w:rPr>
        <w:fldChar w:fldCharType="separate"/>
      </w:r>
      <w:r>
        <w:rPr>
          <w:sz w:val="24"/>
          <w:szCs w:val="24"/>
        </w:rPr>
        <w:t>9</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_Toc31860 </w:instrText>
      </w:r>
      <w:r>
        <w:rPr>
          <w:sz w:val="24"/>
          <w:szCs w:val="24"/>
        </w:rPr>
        <w:fldChar w:fldCharType="separate"/>
      </w:r>
      <w:r>
        <w:rPr>
          <w:rFonts w:hAnsi="Times New Roman"/>
          <w:sz w:val="24"/>
          <w:szCs w:val="24"/>
        </w:rPr>
        <w:t>1.7 评价对象、评价目的和评价重点</w:t>
      </w:r>
      <w:r>
        <w:rPr>
          <w:sz w:val="24"/>
          <w:szCs w:val="24"/>
        </w:rPr>
        <w:tab/>
      </w:r>
      <w:r>
        <w:rPr>
          <w:sz w:val="24"/>
          <w:szCs w:val="24"/>
        </w:rPr>
        <w:fldChar w:fldCharType="begin"/>
      </w:r>
      <w:r>
        <w:rPr>
          <w:sz w:val="24"/>
          <w:szCs w:val="24"/>
        </w:rPr>
        <w:instrText xml:space="preserve"> PAGEREF _Toc31860 </w:instrText>
      </w:r>
      <w:r>
        <w:rPr>
          <w:sz w:val="24"/>
          <w:szCs w:val="24"/>
        </w:rPr>
        <w:fldChar w:fldCharType="separate"/>
      </w:r>
      <w:r>
        <w:rPr>
          <w:sz w:val="24"/>
          <w:szCs w:val="24"/>
        </w:rPr>
        <w:t>11</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_Toc24521 </w:instrText>
      </w:r>
      <w:r>
        <w:rPr>
          <w:sz w:val="24"/>
          <w:szCs w:val="24"/>
        </w:rPr>
        <w:fldChar w:fldCharType="separate"/>
      </w:r>
      <w:r>
        <w:rPr>
          <w:rFonts w:hAnsi="Times New Roman"/>
          <w:sz w:val="24"/>
          <w:szCs w:val="24"/>
        </w:rPr>
        <w:t>1.8 影响因素识别及评价因子筛选</w:t>
      </w:r>
      <w:r>
        <w:rPr>
          <w:sz w:val="24"/>
          <w:szCs w:val="24"/>
        </w:rPr>
        <w:tab/>
      </w:r>
      <w:r>
        <w:rPr>
          <w:sz w:val="24"/>
          <w:szCs w:val="24"/>
        </w:rPr>
        <w:fldChar w:fldCharType="begin"/>
      </w:r>
      <w:r>
        <w:rPr>
          <w:sz w:val="24"/>
          <w:szCs w:val="24"/>
        </w:rPr>
        <w:instrText xml:space="preserve"> PAGEREF _Toc24521 </w:instrText>
      </w:r>
      <w:r>
        <w:rPr>
          <w:sz w:val="24"/>
          <w:szCs w:val="24"/>
        </w:rPr>
        <w:fldChar w:fldCharType="separate"/>
      </w:r>
      <w:r>
        <w:rPr>
          <w:sz w:val="24"/>
          <w:szCs w:val="24"/>
        </w:rPr>
        <w:t>12</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_Toc12110 </w:instrText>
      </w:r>
      <w:r>
        <w:rPr>
          <w:sz w:val="24"/>
          <w:szCs w:val="24"/>
        </w:rPr>
        <w:fldChar w:fldCharType="separate"/>
      </w:r>
      <w:r>
        <w:rPr>
          <w:rFonts w:hAnsi="Times New Roman"/>
          <w:sz w:val="24"/>
          <w:szCs w:val="24"/>
        </w:rPr>
        <w:t>1.9 评价标准</w:t>
      </w:r>
      <w:r>
        <w:rPr>
          <w:sz w:val="24"/>
          <w:szCs w:val="24"/>
        </w:rPr>
        <w:tab/>
      </w:r>
      <w:r>
        <w:rPr>
          <w:sz w:val="24"/>
          <w:szCs w:val="24"/>
        </w:rPr>
        <w:fldChar w:fldCharType="begin"/>
      </w:r>
      <w:r>
        <w:rPr>
          <w:sz w:val="24"/>
          <w:szCs w:val="24"/>
        </w:rPr>
        <w:instrText xml:space="preserve"> PAGEREF _Toc12110 </w:instrText>
      </w:r>
      <w:r>
        <w:rPr>
          <w:sz w:val="24"/>
          <w:szCs w:val="24"/>
        </w:rPr>
        <w:fldChar w:fldCharType="separate"/>
      </w:r>
      <w:r>
        <w:rPr>
          <w:sz w:val="24"/>
          <w:szCs w:val="24"/>
        </w:rPr>
        <w:t>13</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_Toc16935 </w:instrText>
      </w:r>
      <w:r>
        <w:rPr>
          <w:sz w:val="24"/>
          <w:szCs w:val="24"/>
        </w:rPr>
        <w:fldChar w:fldCharType="separate"/>
      </w:r>
      <w:r>
        <w:rPr>
          <w:rFonts w:hAnsi="Times New Roman"/>
          <w:sz w:val="24"/>
          <w:szCs w:val="24"/>
        </w:rPr>
        <w:t>1.10 评价等级及评价范围</w:t>
      </w:r>
      <w:r>
        <w:rPr>
          <w:sz w:val="24"/>
          <w:szCs w:val="24"/>
        </w:rPr>
        <w:tab/>
      </w:r>
      <w:r>
        <w:rPr>
          <w:sz w:val="24"/>
          <w:szCs w:val="24"/>
        </w:rPr>
        <w:fldChar w:fldCharType="begin"/>
      </w:r>
      <w:r>
        <w:rPr>
          <w:sz w:val="24"/>
          <w:szCs w:val="24"/>
        </w:rPr>
        <w:instrText xml:space="preserve"> PAGEREF _Toc16935 </w:instrText>
      </w:r>
      <w:r>
        <w:rPr>
          <w:sz w:val="24"/>
          <w:szCs w:val="24"/>
        </w:rPr>
        <w:fldChar w:fldCharType="separate"/>
      </w:r>
      <w:r>
        <w:rPr>
          <w:sz w:val="24"/>
          <w:szCs w:val="24"/>
        </w:rPr>
        <w:t>16</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_Toc31635 </w:instrText>
      </w:r>
      <w:r>
        <w:rPr>
          <w:sz w:val="24"/>
          <w:szCs w:val="24"/>
        </w:rPr>
        <w:fldChar w:fldCharType="separate"/>
      </w:r>
      <w:r>
        <w:rPr>
          <w:rFonts w:hAnsi="Times New Roman"/>
          <w:sz w:val="24"/>
          <w:szCs w:val="24"/>
        </w:rPr>
        <w:t>1.11工程特点和环境保护目标</w:t>
      </w:r>
      <w:r>
        <w:rPr>
          <w:sz w:val="24"/>
          <w:szCs w:val="24"/>
        </w:rPr>
        <w:tab/>
      </w:r>
      <w:r>
        <w:rPr>
          <w:sz w:val="24"/>
          <w:szCs w:val="24"/>
        </w:rPr>
        <w:fldChar w:fldCharType="begin"/>
      </w:r>
      <w:r>
        <w:rPr>
          <w:sz w:val="24"/>
          <w:szCs w:val="24"/>
        </w:rPr>
        <w:instrText xml:space="preserve"> PAGEREF _Toc31635 </w:instrText>
      </w:r>
      <w:r>
        <w:rPr>
          <w:sz w:val="24"/>
          <w:szCs w:val="24"/>
        </w:rPr>
        <w:fldChar w:fldCharType="separate"/>
      </w:r>
      <w:r>
        <w:rPr>
          <w:sz w:val="24"/>
          <w:szCs w:val="24"/>
        </w:rPr>
        <w:t>20</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_Toc22229 </w:instrText>
      </w:r>
      <w:r>
        <w:rPr>
          <w:sz w:val="24"/>
          <w:szCs w:val="24"/>
        </w:rPr>
        <w:fldChar w:fldCharType="separate"/>
      </w:r>
      <w:r>
        <w:rPr>
          <w:rFonts w:hAnsi="Times New Roman"/>
          <w:sz w:val="24"/>
          <w:szCs w:val="24"/>
        </w:rPr>
        <w:t>1.12 评价专题设置</w:t>
      </w:r>
      <w:r>
        <w:rPr>
          <w:sz w:val="24"/>
          <w:szCs w:val="24"/>
        </w:rPr>
        <w:tab/>
      </w:r>
      <w:r>
        <w:rPr>
          <w:sz w:val="24"/>
          <w:szCs w:val="24"/>
        </w:rPr>
        <w:fldChar w:fldCharType="begin"/>
      </w:r>
      <w:r>
        <w:rPr>
          <w:sz w:val="24"/>
          <w:szCs w:val="24"/>
        </w:rPr>
        <w:instrText xml:space="preserve"> PAGEREF _Toc22229 </w:instrText>
      </w:r>
      <w:r>
        <w:rPr>
          <w:sz w:val="24"/>
          <w:szCs w:val="24"/>
        </w:rPr>
        <w:fldChar w:fldCharType="separate"/>
      </w:r>
      <w:r>
        <w:rPr>
          <w:sz w:val="24"/>
          <w:szCs w:val="24"/>
        </w:rPr>
        <w:t>21</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_Toc22060 </w:instrText>
      </w:r>
      <w:r>
        <w:rPr>
          <w:sz w:val="24"/>
          <w:szCs w:val="24"/>
        </w:rPr>
        <w:fldChar w:fldCharType="separate"/>
      </w:r>
      <w:r>
        <w:rPr>
          <w:rFonts w:hAnsi="Times New Roman"/>
          <w:sz w:val="24"/>
          <w:szCs w:val="24"/>
        </w:rPr>
        <w:t>1.13 评</w:t>
      </w:r>
      <w:r>
        <w:rPr>
          <w:rFonts w:hAnsi="Times New Roman"/>
          <w:bCs w:val="0"/>
          <w:sz w:val="24"/>
          <w:szCs w:val="24"/>
        </w:rPr>
        <w:t>价方法及</w:t>
      </w:r>
      <w:r>
        <w:rPr>
          <w:rFonts w:hAnsi="Times New Roman"/>
          <w:sz w:val="24"/>
          <w:szCs w:val="24"/>
        </w:rPr>
        <w:t>工作程序</w:t>
      </w:r>
      <w:r>
        <w:rPr>
          <w:sz w:val="24"/>
          <w:szCs w:val="24"/>
        </w:rPr>
        <w:tab/>
      </w:r>
      <w:r>
        <w:rPr>
          <w:sz w:val="24"/>
          <w:szCs w:val="24"/>
        </w:rPr>
        <w:fldChar w:fldCharType="begin"/>
      </w:r>
      <w:r>
        <w:rPr>
          <w:sz w:val="24"/>
          <w:szCs w:val="24"/>
        </w:rPr>
        <w:instrText xml:space="preserve"> PAGEREF _Toc22060 </w:instrText>
      </w:r>
      <w:r>
        <w:rPr>
          <w:sz w:val="24"/>
          <w:szCs w:val="24"/>
        </w:rPr>
        <w:fldChar w:fldCharType="separate"/>
      </w:r>
      <w:r>
        <w:rPr>
          <w:sz w:val="24"/>
          <w:szCs w:val="24"/>
        </w:rPr>
        <w:t>22</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_Toc28096 </w:instrText>
      </w:r>
      <w:r>
        <w:rPr>
          <w:sz w:val="24"/>
          <w:szCs w:val="24"/>
        </w:rPr>
        <w:fldChar w:fldCharType="separate"/>
      </w:r>
      <w:r>
        <w:rPr>
          <w:sz w:val="24"/>
          <w:szCs w:val="24"/>
        </w:rPr>
        <w:t>第</w:t>
      </w:r>
      <w:r>
        <w:rPr>
          <w:rFonts w:hint="eastAsia"/>
          <w:sz w:val="24"/>
          <w:szCs w:val="24"/>
          <w:lang w:val="en-US" w:eastAsia="zh-CN"/>
        </w:rPr>
        <w:t>二</w:t>
      </w:r>
      <w:r>
        <w:rPr>
          <w:sz w:val="24"/>
          <w:szCs w:val="24"/>
        </w:rPr>
        <w:t>章  工程分析</w:t>
      </w:r>
      <w:r>
        <w:rPr>
          <w:sz w:val="24"/>
          <w:szCs w:val="24"/>
        </w:rPr>
        <w:tab/>
      </w:r>
      <w:r>
        <w:rPr>
          <w:sz w:val="24"/>
          <w:szCs w:val="24"/>
        </w:rPr>
        <w:fldChar w:fldCharType="begin"/>
      </w:r>
      <w:r>
        <w:rPr>
          <w:sz w:val="24"/>
          <w:szCs w:val="24"/>
        </w:rPr>
        <w:instrText xml:space="preserve"> PAGEREF _Toc28096 </w:instrText>
      </w:r>
      <w:r>
        <w:rPr>
          <w:sz w:val="24"/>
          <w:szCs w:val="24"/>
        </w:rPr>
        <w:fldChar w:fldCharType="separate"/>
      </w:r>
      <w:r>
        <w:rPr>
          <w:sz w:val="24"/>
          <w:szCs w:val="24"/>
        </w:rPr>
        <w:t>24</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_Toc19309 </w:instrText>
      </w:r>
      <w:r>
        <w:rPr>
          <w:sz w:val="24"/>
          <w:szCs w:val="24"/>
        </w:rPr>
        <w:fldChar w:fldCharType="separate"/>
      </w:r>
      <w:r>
        <w:rPr>
          <w:rFonts w:hint="eastAsia" w:hAnsi="Times New Roman"/>
          <w:sz w:val="24"/>
          <w:szCs w:val="24"/>
          <w:lang w:val="en-US" w:eastAsia="zh-CN"/>
        </w:rPr>
        <w:t>2</w:t>
      </w:r>
      <w:r>
        <w:rPr>
          <w:rFonts w:hAnsi="Times New Roman"/>
          <w:sz w:val="24"/>
          <w:szCs w:val="24"/>
        </w:rPr>
        <w:t xml:space="preserve">.1 </w:t>
      </w:r>
      <w:r>
        <w:rPr>
          <w:rFonts w:hint="eastAsia" w:hAnsi="Times New Roman"/>
          <w:sz w:val="24"/>
          <w:szCs w:val="24"/>
          <w:lang w:val="en-US" w:eastAsia="zh-CN"/>
        </w:rPr>
        <w:t>建设项目</w:t>
      </w:r>
      <w:r>
        <w:rPr>
          <w:rFonts w:hAnsi="Times New Roman"/>
          <w:sz w:val="24"/>
          <w:szCs w:val="24"/>
        </w:rPr>
        <w:t>概况</w:t>
      </w:r>
      <w:r>
        <w:rPr>
          <w:sz w:val="24"/>
          <w:szCs w:val="24"/>
        </w:rPr>
        <w:tab/>
      </w:r>
      <w:r>
        <w:rPr>
          <w:sz w:val="24"/>
          <w:szCs w:val="24"/>
        </w:rPr>
        <w:fldChar w:fldCharType="begin"/>
      </w:r>
      <w:r>
        <w:rPr>
          <w:sz w:val="24"/>
          <w:szCs w:val="24"/>
        </w:rPr>
        <w:instrText xml:space="preserve"> PAGEREF _Toc19309 </w:instrText>
      </w:r>
      <w:r>
        <w:rPr>
          <w:sz w:val="24"/>
          <w:szCs w:val="24"/>
        </w:rPr>
        <w:fldChar w:fldCharType="separate"/>
      </w:r>
      <w:r>
        <w:rPr>
          <w:sz w:val="24"/>
          <w:szCs w:val="24"/>
        </w:rPr>
        <w:t>24</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_Toc21913 </w:instrText>
      </w:r>
      <w:r>
        <w:rPr>
          <w:sz w:val="24"/>
          <w:szCs w:val="24"/>
        </w:rPr>
        <w:fldChar w:fldCharType="separate"/>
      </w:r>
      <w:r>
        <w:rPr>
          <w:rFonts w:hint="eastAsia" w:hAnsi="Times New Roman"/>
          <w:sz w:val="24"/>
          <w:szCs w:val="24"/>
          <w:lang w:val="en-US" w:eastAsia="zh-CN"/>
        </w:rPr>
        <w:t>2</w:t>
      </w:r>
      <w:r>
        <w:rPr>
          <w:rFonts w:hAnsi="Times New Roman"/>
          <w:sz w:val="24"/>
          <w:szCs w:val="24"/>
        </w:rPr>
        <w:t>.2项目工艺流程</w:t>
      </w:r>
      <w:r>
        <w:rPr>
          <w:sz w:val="24"/>
          <w:szCs w:val="24"/>
        </w:rPr>
        <w:tab/>
      </w:r>
      <w:r>
        <w:rPr>
          <w:sz w:val="24"/>
          <w:szCs w:val="24"/>
        </w:rPr>
        <w:fldChar w:fldCharType="begin"/>
      </w:r>
      <w:r>
        <w:rPr>
          <w:sz w:val="24"/>
          <w:szCs w:val="24"/>
        </w:rPr>
        <w:instrText xml:space="preserve"> PAGEREF _Toc21913 </w:instrText>
      </w:r>
      <w:r>
        <w:rPr>
          <w:sz w:val="24"/>
          <w:szCs w:val="24"/>
        </w:rPr>
        <w:fldChar w:fldCharType="separate"/>
      </w:r>
      <w:r>
        <w:rPr>
          <w:sz w:val="24"/>
          <w:szCs w:val="24"/>
        </w:rPr>
        <w:t>33</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_Toc23595 </w:instrText>
      </w:r>
      <w:r>
        <w:rPr>
          <w:sz w:val="24"/>
          <w:szCs w:val="24"/>
        </w:rPr>
        <w:fldChar w:fldCharType="separate"/>
      </w:r>
      <w:r>
        <w:rPr>
          <w:rFonts w:hint="eastAsia" w:hAnsi="Times New Roman"/>
          <w:sz w:val="24"/>
          <w:szCs w:val="24"/>
          <w:lang w:val="en-US" w:eastAsia="zh-CN"/>
        </w:rPr>
        <w:t>2</w:t>
      </w:r>
      <w:r>
        <w:rPr>
          <w:rFonts w:hAnsi="Times New Roman"/>
          <w:sz w:val="24"/>
          <w:szCs w:val="24"/>
        </w:rPr>
        <w:t>.3主要产污环节分析</w:t>
      </w:r>
      <w:r>
        <w:rPr>
          <w:sz w:val="24"/>
          <w:szCs w:val="24"/>
        </w:rPr>
        <w:tab/>
      </w:r>
      <w:r>
        <w:rPr>
          <w:sz w:val="24"/>
          <w:szCs w:val="24"/>
        </w:rPr>
        <w:fldChar w:fldCharType="begin"/>
      </w:r>
      <w:r>
        <w:rPr>
          <w:sz w:val="24"/>
          <w:szCs w:val="24"/>
        </w:rPr>
        <w:instrText xml:space="preserve"> PAGEREF _Toc23595 </w:instrText>
      </w:r>
      <w:r>
        <w:rPr>
          <w:sz w:val="24"/>
          <w:szCs w:val="24"/>
        </w:rPr>
        <w:fldChar w:fldCharType="separate"/>
      </w:r>
      <w:r>
        <w:rPr>
          <w:sz w:val="24"/>
          <w:szCs w:val="24"/>
        </w:rPr>
        <w:t>52</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_Toc27944 </w:instrText>
      </w:r>
      <w:r>
        <w:rPr>
          <w:sz w:val="24"/>
          <w:szCs w:val="24"/>
        </w:rPr>
        <w:fldChar w:fldCharType="separate"/>
      </w:r>
      <w:r>
        <w:rPr>
          <w:rFonts w:hint="eastAsia" w:hAnsi="Times New Roman"/>
          <w:sz w:val="24"/>
          <w:szCs w:val="24"/>
          <w:lang w:val="en-US" w:eastAsia="zh-CN"/>
        </w:rPr>
        <w:t>2</w:t>
      </w:r>
      <w:r>
        <w:rPr>
          <w:rFonts w:hAnsi="Times New Roman"/>
          <w:sz w:val="24"/>
          <w:szCs w:val="24"/>
        </w:rPr>
        <w:t>.4 项目主要污染物产排情况</w:t>
      </w:r>
      <w:r>
        <w:rPr>
          <w:sz w:val="24"/>
          <w:szCs w:val="24"/>
        </w:rPr>
        <w:tab/>
      </w:r>
      <w:r>
        <w:rPr>
          <w:sz w:val="24"/>
          <w:szCs w:val="24"/>
        </w:rPr>
        <w:fldChar w:fldCharType="begin"/>
      </w:r>
      <w:r>
        <w:rPr>
          <w:sz w:val="24"/>
          <w:szCs w:val="24"/>
        </w:rPr>
        <w:instrText xml:space="preserve"> PAGEREF _Toc27944 </w:instrText>
      </w:r>
      <w:r>
        <w:rPr>
          <w:sz w:val="24"/>
          <w:szCs w:val="24"/>
        </w:rPr>
        <w:fldChar w:fldCharType="separate"/>
      </w:r>
      <w:r>
        <w:rPr>
          <w:sz w:val="24"/>
          <w:szCs w:val="24"/>
        </w:rPr>
        <w:t>67</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_Toc20551 </w:instrText>
      </w:r>
      <w:r>
        <w:rPr>
          <w:sz w:val="24"/>
          <w:szCs w:val="24"/>
        </w:rPr>
        <w:fldChar w:fldCharType="separate"/>
      </w:r>
      <w:r>
        <w:rPr>
          <w:bCs/>
          <w:snapToGrid w:val="0"/>
          <w:kern w:val="0"/>
          <w:sz w:val="24"/>
          <w:szCs w:val="24"/>
        </w:rPr>
        <w:t>第</w:t>
      </w:r>
      <w:r>
        <w:rPr>
          <w:rFonts w:hint="eastAsia"/>
          <w:bCs/>
          <w:snapToGrid w:val="0"/>
          <w:kern w:val="0"/>
          <w:sz w:val="24"/>
          <w:szCs w:val="24"/>
          <w:lang w:val="en-US" w:eastAsia="zh-CN"/>
        </w:rPr>
        <w:t>三</w:t>
      </w:r>
      <w:r>
        <w:rPr>
          <w:bCs/>
          <w:snapToGrid w:val="0"/>
          <w:kern w:val="0"/>
          <w:sz w:val="24"/>
          <w:szCs w:val="24"/>
        </w:rPr>
        <w:t>章  环境现状调查与评价</w:t>
      </w:r>
      <w:r>
        <w:rPr>
          <w:sz w:val="24"/>
          <w:szCs w:val="24"/>
        </w:rPr>
        <w:tab/>
      </w:r>
      <w:r>
        <w:rPr>
          <w:sz w:val="24"/>
          <w:szCs w:val="24"/>
        </w:rPr>
        <w:fldChar w:fldCharType="begin"/>
      </w:r>
      <w:r>
        <w:rPr>
          <w:sz w:val="24"/>
          <w:szCs w:val="24"/>
        </w:rPr>
        <w:instrText xml:space="preserve"> PAGEREF _Toc20551 </w:instrText>
      </w:r>
      <w:r>
        <w:rPr>
          <w:sz w:val="24"/>
          <w:szCs w:val="24"/>
        </w:rPr>
        <w:fldChar w:fldCharType="separate"/>
      </w:r>
      <w:r>
        <w:rPr>
          <w:sz w:val="24"/>
          <w:szCs w:val="24"/>
        </w:rPr>
        <w:t>69</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_Toc6167 </w:instrText>
      </w:r>
      <w:r>
        <w:rPr>
          <w:sz w:val="24"/>
          <w:szCs w:val="24"/>
        </w:rPr>
        <w:fldChar w:fldCharType="separate"/>
      </w:r>
      <w:r>
        <w:rPr>
          <w:rFonts w:hint="eastAsia"/>
          <w:bCs/>
          <w:sz w:val="24"/>
          <w:szCs w:val="24"/>
          <w:lang w:val="en-US" w:eastAsia="zh-CN"/>
        </w:rPr>
        <w:t>3</w:t>
      </w:r>
      <w:r>
        <w:rPr>
          <w:bCs/>
          <w:sz w:val="24"/>
          <w:szCs w:val="24"/>
        </w:rPr>
        <w:t>.1自然现状调查与评价</w:t>
      </w:r>
      <w:r>
        <w:rPr>
          <w:sz w:val="24"/>
          <w:szCs w:val="24"/>
        </w:rPr>
        <w:tab/>
      </w:r>
      <w:r>
        <w:rPr>
          <w:sz w:val="24"/>
          <w:szCs w:val="24"/>
        </w:rPr>
        <w:fldChar w:fldCharType="begin"/>
      </w:r>
      <w:r>
        <w:rPr>
          <w:sz w:val="24"/>
          <w:szCs w:val="24"/>
        </w:rPr>
        <w:instrText xml:space="preserve"> PAGEREF _Toc6167 </w:instrText>
      </w:r>
      <w:r>
        <w:rPr>
          <w:sz w:val="24"/>
          <w:szCs w:val="24"/>
        </w:rPr>
        <w:fldChar w:fldCharType="separate"/>
      </w:r>
      <w:r>
        <w:rPr>
          <w:sz w:val="24"/>
          <w:szCs w:val="24"/>
        </w:rPr>
        <w:t>69</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_Toc4814 </w:instrText>
      </w:r>
      <w:r>
        <w:rPr>
          <w:sz w:val="24"/>
          <w:szCs w:val="24"/>
        </w:rPr>
        <w:fldChar w:fldCharType="separate"/>
      </w:r>
      <w:r>
        <w:rPr>
          <w:rFonts w:hint="eastAsia" w:eastAsia="黑体"/>
          <w:bCs/>
          <w:sz w:val="24"/>
          <w:szCs w:val="24"/>
          <w:lang w:val="en-US" w:eastAsia="zh-CN"/>
        </w:rPr>
        <w:t>3</w:t>
      </w:r>
      <w:r>
        <w:rPr>
          <w:rFonts w:eastAsia="黑体"/>
          <w:bCs/>
          <w:sz w:val="24"/>
          <w:szCs w:val="24"/>
        </w:rPr>
        <w:t>.2环境保护目标调查</w:t>
      </w:r>
      <w:r>
        <w:rPr>
          <w:sz w:val="24"/>
          <w:szCs w:val="24"/>
        </w:rPr>
        <w:tab/>
      </w:r>
      <w:r>
        <w:rPr>
          <w:sz w:val="24"/>
          <w:szCs w:val="24"/>
        </w:rPr>
        <w:fldChar w:fldCharType="begin"/>
      </w:r>
      <w:r>
        <w:rPr>
          <w:sz w:val="24"/>
          <w:szCs w:val="24"/>
        </w:rPr>
        <w:instrText xml:space="preserve"> PAGEREF _Toc4814 </w:instrText>
      </w:r>
      <w:r>
        <w:rPr>
          <w:sz w:val="24"/>
          <w:szCs w:val="24"/>
        </w:rPr>
        <w:fldChar w:fldCharType="separate"/>
      </w:r>
      <w:r>
        <w:rPr>
          <w:sz w:val="24"/>
          <w:szCs w:val="24"/>
        </w:rPr>
        <w:t>71</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_Toc31524 </w:instrText>
      </w:r>
      <w:r>
        <w:rPr>
          <w:sz w:val="24"/>
          <w:szCs w:val="24"/>
        </w:rPr>
        <w:fldChar w:fldCharType="separate"/>
      </w:r>
      <w:r>
        <w:rPr>
          <w:rFonts w:hint="eastAsia" w:eastAsia="黑体"/>
          <w:bCs/>
          <w:sz w:val="24"/>
          <w:szCs w:val="24"/>
          <w:lang w:val="en-US" w:eastAsia="zh-CN"/>
        </w:rPr>
        <w:t>3</w:t>
      </w:r>
      <w:r>
        <w:rPr>
          <w:rFonts w:eastAsia="黑体"/>
          <w:bCs/>
          <w:sz w:val="24"/>
          <w:szCs w:val="24"/>
        </w:rPr>
        <w:t>.3现状监测</w:t>
      </w:r>
      <w:r>
        <w:rPr>
          <w:sz w:val="24"/>
          <w:szCs w:val="24"/>
        </w:rPr>
        <w:tab/>
      </w:r>
      <w:r>
        <w:rPr>
          <w:sz w:val="24"/>
          <w:szCs w:val="24"/>
        </w:rPr>
        <w:fldChar w:fldCharType="begin"/>
      </w:r>
      <w:r>
        <w:rPr>
          <w:sz w:val="24"/>
          <w:szCs w:val="24"/>
        </w:rPr>
        <w:instrText xml:space="preserve"> PAGEREF _Toc31524 </w:instrText>
      </w:r>
      <w:r>
        <w:rPr>
          <w:sz w:val="24"/>
          <w:szCs w:val="24"/>
        </w:rPr>
        <w:fldChar w:fldCharType="separate"/>
      </w:r>
      <w:r>
        <w:rPr>
          <w:sz w:val="24"/>
          <w:szCs w:val="24"/>
        </w:rPr>
        <w:t>72</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_Toc3040 </w:instrText>
      </w:r>
      <w:r>
        <w:rPr>
          <w:sz w:val="24"/>
          <w:szCs w:val="24"/>
        </w:rPr>
        <w:fldChar w:fldCharType="separate"/>
      </w:r>
      <w:r>
        <w:rPr>
          <w:rFonts w:hint="eastAsia" w:eastAsia="黑体"/>
          <w:bCs w:val="0"/>
          <w:sz w:val="24"/>
          <w:szCs w:val="24"/>
          <w:lang w:val="en-US" w:eastAsia="zh-CN"/>
        </w:rPr>
        <w:t>3</w:t>
      </w:r>
      <w:r>
        <w:rPr>
          <w:rFonts w:eastAsia="黑体"/>
          <w:bCs w:val="0"/>
          <w:sz w:val="24"/>
          <w:szCs w:val="24"/>
        </w:rPr>
        <w:t>.4养殖区环境评价</w:t>
      </w:r>
      <w:r>
        <w:rPr>
          <w:sz w:val="24"/>
          <w:szCs w:val="24"/>
        </w:rPr>
        <w:tab/>
      </w:r>
      <w:r>
        <w:rPr>
          <w:sz w:val="24"/>
          <w:szCs w:val="24"/>
        </w:rPr>
        <w:fldChar w:fldCharType="begin"/>
      </w:r>
      <w:r>
        <w:rPr>
          <w:sz w:val="24"/>
          <w:szCs w:val="24"/>
        </w:rPr>
        <w:instrText xml:space="preserve"> PAGEREF _Toc3040 </w:instrText>
      </w:r>
      <w:r>
        <w:rPr>
          <w:sz w:val="24"/>
          <w:szCs w:val="24"/>
        </w:rPr>
        <w:fldChar w:fldCharType="separate"/>
      </w:r>
      <w:r>
        <w:rPr>
          <w:sz w:val="24"/>
          <w:szCs w:val="24"/>
        </w:rPr>
        <w:t>81</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_Toc17120 </w:instrText>
      </w:r>
      <w:r>
        <w:rPr>
          <w:sz w:val="24"/>
          <w:szCs w:val="24"/>
        </w:rPr>
        <w:fldChar w:fldCharType="separate"/>
      </w:r>
      <w:r>
        <w:rPr>
          <w:rFonts w:hint="eastAsia" w:eastAsia="黑体"/>
          <w:bCs/>
          <w:sz w:val="24"/>
          <w:szCs w:val="24"/>
          <w:lang w:val="en-US" w:eastAsia="zh-CN"/>
        </w:rPr>
        <w:t>3</w:t>
      </w:r>
      <w:r>
        <w:rPr>
          <w:rFonts w:eastAsia="黑体"/>
          <w:bCs/>
          <w:sz w:val="24"/>
          <w:szCs w:val="24"/>
        </w:rPr>
        <w:t>.5区域污染源调查</w:t>
      </w:r>
      <w:r>
        <w:rPr>
          <w:sz w:val="24"/>
          <w:szCs w:val="24"/>
        </w:rPr>
        <w:tab/>
      </w:r>
      <w:r>
        <w:rPr>
          <w:sz w:val="24"/>
          <w:szCs w:val="24"/>
        </w:rPr>
        <w:fldChar w:fldCharType="begin"/>
      </w:r>
      <w:r>
        <w:rPr>
          <w:sz w:val="24"/>
          <w:szCs w:val="24"/>
        </w:rPr>
        <w:instrText xml:space="preserve"> PAGEREF _Toc17120 </w:instrText>
      </w:r>
      <w:r>
        <w:rPr>
          <w:sz w:val="24"/>
          <w:szCs w:val="24"/>
        </w:rPr>
        <w:fldChar w:fldCharType="separate"/>
      </w:r>
      <w:r>
        <w:rPr>
          <w:sz w:val="24"/>
          <w:szCs w:val="24"/>
        </w:rPr>
        <w:t>82</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_Toc20215 </w:instrText>
      </w:r>
      <w:r>
        <w:rPr>
          <w:sz w:val="24"/>
          <w:szCs w:val="24"/>
        </w:rPr>
        <w:fldChar w:fldCharType="separate"/>
      </w:r>
      <w:r>
        <w:rPr>
          <w:sz w:val="24"/>
          <w:szCs w:val="24"/>
        </w:rPr>
        <w:t>第</w:t>
      </w:r>
      <w:r>
        <w:rPr>
          <w:rFonts w:hint="eastAsia"/>
          <w:sz w:val="24"/>
          <w:szCs w:val="24"/>
          <w:lang w:val="en-US" w:eastAsia="zh-CN"/>
        </w:rPr>
        <w:t>四</w:t>
      </w:r>
      <w:r>
        <w:rPr>
          <w:sz w:val="24"/>
          <w:szCs w:val="24"/>
        </w:rPr>
        <w:t>章   环境影响预测与评价</w:t>
      </w:r>
      <w:r>
        <w:rPr>
          <w:sz w:val="24"/>
          <w:szCs w:val="24"/>
        </w:rPr>
        <w:tab/>
      </w:r>
      <w:r>
        <w:rPr>
          <w:sz w:val="24"/>
          <w:szCs w:val="24"/>
        </w:rPr>
        <w:fldChar w:fldCharType="begin"/>
      </w:r>
      <w:r>
        <w:rPr>
          <w:sz w:val="24"/>
          <w:szCs w:val="24"/>
        </w:rPr>
        <w:instrText xml:space="preserve"> PAGEREF _Toc20215 </w:instrText>
      </w:r>
      <w:r>
        <w:rPr>
          <w:sz w:val="24"/>
          <w:szCs w:val="24"/>
        </w:rPr>
        <w:fldChar w:fldCharType="separate"/>
      </w:r>
      <w:r>
        <w:rPr>
          <w:sz w:val="24"/>
          <w:szCs w:val="24"/>
        </w:rPr>
        <w:t>83</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_Toc4448 </w:instrText>
      </w:r>
      <w:r>
        <w:rPr>
          <w:sz w:val="24"/>
          <w:szCs w:val="24"/>
        </w:rPr>
        <w:fldChar w:fldCharType="separate"/>
      </w:r>
      <w:r>
        <w:rPr>
          <w:rFonts w:hint="eastAsia" w:hAnsi="Times New Roman"/>
          <w:sz w:val="24"/>
          <w:szCs w:val="24"/>
          <w:lang w:val="en-US" w:eastAsia="zh-CN"/>
        </w:rPr>
        <w:t>4</w:t>
      </w:r>
      <w:r>
        <w:rPr>
          <w:rFonts w:hAnsi="Times New Roman"/>
          <w:sz w:val="24"/>
          <w:szCs w:val="24"/>
        </w:rPr>
        <w:t>.1 施工期环境影响分析</w:t>
      </w:r>
      <w:r>
        <w:rPr>
          <w:sz w:val="24"/>
          <w:szCs w:val="24"/>
        </w:rPr>
        <w:tab/>
      </w:r>
      <w:r>
        <w:rPr>
          <w:sz w:val="24"/>
          <w:szCs w:val="24"/>
        </w:rPr>
        <w:fldChar w:fldCharType="begin"/>
      </w:r>
      <w:r>
        <w:rPr>
          <w:sz w:val="24"/>
          <w:szCs w:val="24"/>
        </w:rPr>
        <w:instrText xml:space="preserve"> PAGEREF _Toc4448 </w:instrText>
      </w:r>
      <w:r>
        <w:rPr>
          <w:sz w:val="24"/>
          <w:szCs w:val="24"/>
        </w:rPr>
        <w:fldChar w:fldCharType="separate"/>
      </w:r>
      <w:r>
        <w:rPr>
          <w:sz w:val="24"/>
          <w:szCs w:val="24"/>
        </w:rPr>
        <w:t>83</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_Toc26697 </w:instrText>
      </w:r>
      <w:r>
        <w:rPr>
          <w:sz w:val="24"/>
          <w:szCs w:val="24"/>
        </w:rPr>
        <w:fldChar w:fldCharType="separate"/>
      </w:r>
      <w:r>
        <w:rPr>
          <w:rFonts w:hint="eastAsia" w:hAnsi="Times New Roman"/>
          <w:sz w:val="24"/>
          <w:szCs w:val="24"/>
          <w:lang w:val="en-US" w:eastAsia="zh-CN"/>
        </w:rPr>
        <w:t>4</w:t>
      </w:r>
      <w:r>
        <w:rPr>
          <w:rFonts w:hAnsi="Times New Roman"/>
          <w:sz w:val="24"/>
          <w:szCs w:val="24"/>
        </w:rPr>
        <w:t>.2营运期环境影响预测与评价</w:t>
      </w:r>
      <w:r>
        <w:rPr>
          <w:sz w:val="24"/>
          <w:szCs w:val="24"/>
        </w:rPr>
        <w:tab/>
      </w:r>
      <w:r>
        <w:rPr>
          <w:sz w:val="24"/>
          <w:szCs w:val="24"/>
        </w:rPr>
        <w:fldChar w:fldCharType="begin"/>
      </w:r>
      <w:r>
        <w:rPr>
          <w:sz w:val="24"/>
          <w:szCs w:val="24"/>
        </w:rPr>
        <w:instrText xml:space="preserve"> PAGEREF _Toc26697 </w:instrText>
      </w:r>
      <w:r>
        <w:rPr>
          <w:sz w:val="24"/>
          <w:szCs w:val="24"/>
        </w:rPr>
        <w:fldChar w:fldCharType="separate"/>
      </w:r>
      <w:r>
        <w:rPr>
          <w:sz w:val="24"/>
          <w:szCs w:val="24"/>
        </w:rPr>
        <w:t>89</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_Toc21137 </w:instrText>
      </w:r>
      <w:r>
        <w:rPr>
          <w:sz w:val="24"/>
          <w:szCs w:val="24"/>
        </w:rPr>
        <w:fldChar w:fldCharType="separate"/>
      </w:r>
      <w:r>
        <w:rPr>
          <w:sz w:val="24"/>
          <w:szCs w:val="24"/>
        </w:rPr>
        <w:t>第</w:t>
      </w:r>
      <w:r>
        <w:rPr>
          <w:rFonts w:hint="eastAsia"/>
          <w:sz w:val="24"/>
          <w:szCs w:val="24"/>
          <w:lang w:val="en-US" w:eastAsia="zh-CN"/>
        </w:rPr>
        <w:t>五</w:t>
      </w:r>
      <w:r>
        <w:rPr>
          <w:sz w:val="24"/>
          <w:szCs w:val="24"/>
        </w:rPr>
        <w:t>章  环境保护措施及其可行性论证</w:t>
      </w:r>
      <w:r>
        <w:rPr>
          <w:sz w:val="24"/>
          <w:szCs w:val="24"/>
        </w:rPr>
        <w:tab/>
      </w:r>
      <w:r>
        <w:rPr>
          <w:sz w:val="24"/>
          <w:szCs w:val="24"/>
        </w:rPr>
        <w:fldChar w:fldCharType="begin"/>
      </w:r>
      <w:r>
        <w:rPr>
          <w:sz w:val="24"/>
          <w:szCs w:val="24"/>
        </w:rPr>
        <w:instrText xml:space="preserve"> PAGEREF _Toc21137 </w:instrText>
      </w:r>
      <w:r>
        <w:rPr>
          <w:sz w:val="24"/>
          <w:szCs w:val="24"/>
        </w:rPr>
        <w:fldChar w:fldCharType="separate"/>
      </w:r>
      <w:r>
        <w:rPr>
          <w:sz w:val="24"/>
          <w:szCs w:val="24"/>
        </w:rPr>
        <w:t>120</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_Toc10842 </w:instrText>
      </w:r>
      <w:r>
        <w:rPr>
          <w:sz w:val="24"/>
          <w:szCs w:val="24"/>
        </w:rPr>
        <w:fldChar w:fldCharType="separate"/>
      </w:r>
      <w:r>
        <w:rPr>
          <w:rFonts w:hint="eastAsia" w:hAnsi="Times New Roman"/>
          <w:sz w:val="24"/>
          <w:szCs w:val="24"/>
          <w:lang w:val="en-US" w:eastAsia="zh-CN"/>
        </w:rPr>
        <w:t>5</w:t>
      </w:r>
      <w:r>
        <w:rPr>
          <w:rFonts w:hAnsi="Times New Roman"/>
          <w:sz w:val="24"/>
          <w:szCs w:val="24"/>
        </w:rPr>
        <w:t>.1施工期污染防治措施</w:t>
      </w:r>
      <w:r>
        <w:rPr>
          <w:sz w:val="24"/>
          <w:szCs w:val="24"/>
        </w:rPr>
        <w:tab/>
      </w:r>
      <w:r>
        <w:rPr>
          <w:sz w:val="24"/>
          <w:szCs w:val="24"/>
        </w:rPr>
        <w:fldChar w:fldCharType="begin"/>
      </w:r>
      <w:r>
        <w:rPr>
          <w:sz w:val="24"/>
          <w:szCs w:val="24"/>
        </w:rPr>
        <w:instrText xml:space="preserve"> PAGEREF _Toc10842 </w:instrText>
      </w:r>
      <w:r>
        <w:rPr>
          <w:sz w:val="24"/>
          <w:szCs w:val="24"/>
        </w:rPr>
        <w:fldChar w:fldCharType="separate"/>
      </w:r>
      <w:r>
        <w:rPr>
          <w:sz w:val="24"/>
          <w:szCs w:val="24"/>
        </w:rPr>
        <w:t>120</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_Toc29710 </w:instrText>
      </w:r>
      <w:r>
        <w:rPr>
          <w:sz w:val="24"/>
          <w:szCs w:val="24"/>
        </w:rPr>
        <w:fldChar w:fldCharType="separate"/>
      </w:r>
      <w:r>
        <w:rPr>
          <w:rFonts w:hint="eastAsia" w:hAnsi="Times New Roman"/>
          <w:sz w:val="24"/>
          <w:szCs w:val="24"/>
          <w:lang w:val="en-US" w:eastAsia="zh-CN"/>
        </w:rPr>
        <w:t>5</w:t>
      </w:r>
      <w:r>
        <w:rPr>
          <w:rFonts w:hAnsi="Times New Roman"/>
          <w:sz w:val="24"/>
          <w:szCs w:val="24"/>
        </w:rPr>
        <w:t>.2营运期污染防治措施</w:t>
      </w:r>
      <w:r>
        <w:rPr>
          <w:sz w:val="24"/>
          <w:szCs w:val="24"/>
        </w:rPr>
        <w:tab/>
      </w:r>
      <w:r>
        <w:rPr>
          <w:sz w:val="24"/>
          <w:szCs w:val="24"/>
        </w:rPr>
        <w:fldChar w:fldCharType="begin"/>
      </w:r>
      <w:r>
        <w:rPr>
          <w:sz w:val="24"/>
          <w:szCs w:val="24"/>
        </w:rPr>
        <w:instrText xml:space="preserve"> PAGEREF _Toc29710 </w:instrText>
      </w:r>
      <w:r>
        <w:rPr>
          <w:sz w:val="24"/>
          <w:szCs w:val="24"/>
        </w:rPr>
        <w:fldChar w:fldCharType="separate"/>
      </w:r>
      <w:r>
        <w:rPr>
          <w:sz w:val="24"/>
          <w:szCs w:val="24"/>
        </w:rPr>
        <w:t>122</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_Toc9463 </w:instrText>
      </w:r>
      <w:r>
        <w:rPr>
          <w:sz w:val="24"/>
          <w:szCs w:val="24"/>
        </w:rPr>
        <w:fldChar w:fldCharType="separate"/>
      </w:r>
      <w:r>
        <w:rPr>
          <w:rFonts w:hint="eastAsia" w:hAnsi="Times New Roman"/>
          <w:sz w:val="24"/>
          <w:szCs w:val="24"/>
          <w:lang w:val="en-US" w:eastAsia="zh-CN"/>
        </w:rPr>
        <w:t>5</w:t>
      </w:r>
      <w:r>
        <w:rPr>
          <w:rFonts w:hAnsi="Times New Roman"/>
          <w:sz w:val="24"/>
          <w:szCs w:val="24"/>
        </w:rPr>
        <w:t>.3 污染防治环保投资估算</w:t>
      </w:r>
      <w:r>
        <w:rPr>
          <w:sz w:val="24"/>
          <w:szCs w:val="24"/>
        </w:rPr>
        <w:tab/>
      </w:r>
      <w:r>
        <w:rPr>
          <w:sz w:val="24"/>
          <w:szCs w:val="24"/>
        </w:rPr>
        <w:fldChar w:fldCharType="begin"/>
      </w:r>
      <w:r>
        <w:rPr>
          <w:sz w:val="24"/>
          <w:szCs w:val="24"/>
        </w:rPr>
        <w:instrText xml:space="preserve"> PAGEREF _Toc9463 </w:instrText>
      </w:r>
      <w:r>
        <w:rPr>
          <w:sz w:val="24"/>
          <w:szCs w:val="24"/>
        </w:rPr>
        <w:fldChar w:fldCharType="separate"/>
      </w:r>
      <w:r>
        <w:rPr>
          <w:sz w:val="24"/>
          <w:szCs w:val="24"/>
        </w:rPr>
        <w:t>145</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_Toc9374 </w:instrText>
      </w:r>
      <w:r>
        <w:rPr>
          <w:sz w:val="24"/>
          <w:szCs w:val="24"/>
        </w:rPr>
        <w:fldChar w:fldCharType="separate"/>
      </w:r>
      <w:r>
        <w:rPr>
          <w:rFonts w:hint="eastAsia" w:hAnsi="Times New Roman"/>
          <w:sz w:val="24"/>
          <w:szCs w:val="24"/>
          <w:lang w:val="en-US" w:eastAsia="zh-CN"/>
        </w:rPr>
        <w:t>5</w:t>
      </w:r>
      <w:r>
        <w:rPr>
          <w:rFonts w:hAnsi="Times New Roman"/>
          <w:sz w:val="24"/>
          <w:szCs w:val="24"/>
        </w:rPr>
        <w:t>.4环保投资竣工验收内容</w:t>
      </w:r>
      <w:r>
        <w:rPr>
          <w:sz w:val="24"/>
          <w:szCs w:val="24"/>
        </w:rPr>
        <w:tab/>
      </w:r>
      <w:r>
        <w:rPr>
          <w:sz w:val="24"/>
          <w:szCs w:val="24"/>
        </w:rPr>
        <w:fldChar w:fldCharType="begin"/>
      </w:r>
      <w:r>
        <w:rPr>
          <w:sz w:val="24"/>
          <w:szCs w:val="24"/>
        </w:rPr>
        <w:instrText xml:space="preserve"> PAGEREF _Toc9374 </w:instrText>
      </w:r>
      <w:r>
        <w:rPr>
          <w:sz w:val="24"/>
          <w:szCs w:val="24"/>
        </w:rPr>
        <w:fldChar w:fldCharType="separate"/>
      </w:r>
      <w:r>
        <w:rPr>
          <w:sz w:val="24"/>
          <w:szCs w:val="24"/>
        </w:rPr>
        <w:t>147</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_Toc31026 </w:instrText>
      </w:r>
      <w:r>
        <w:rPr>
          <w:sz w:val="24"/>
          <w:szCs w:val="24"/>
        </w:rPr>
        <w:fldChar w:fldCharType="separate"/>
      </w:r>
      <w:r>
        <w:rPr>
          <w:sz w:val="24"/>
          <w:szCs w:val="24"/>
        </w:rPr>
        <w:t>第</w:t>
      </w:r>
      <w:r>
        <w:rPr>
          <w:rFonts w:hint="eastAsia"/>
          <w:sz w:val="24"/>
          <w:szCs w:val="24"/>
          <w:lang w:val="en-US" w:eastAsia="zh-CN"/>
        </w:rPr>
        <w:t>六</w:t>
      </w:r>
      <w:r>
        <w:rPr>
          <w:sz w:val="24"/>
          <w:szCs w:val="24"/>
        </w:rPr>
        <w:t>章   环境管理与环境监测计划</w:t>
      </w:r>
      <w:r>
        <w:rPr>
          <w:sz w:val="24"/>
          <w:szCs w:val="24"/>
        </w:rPr>
        <w:tab/>
      </w:r>
      <w:r>
        <w:rPr>
          <w:sz w:val="24"/>
          <w:szCs w:val="24"/>
        </w:rPr>
        <w:fldChar w:fldCharType="begin"/>
      </w:r>
      <w:r>
        <w:rPr>
          <w:sz w:val="24"/>
          <w:szCs w:val="24"/>
        </w:rPr>
        <w:instrText xml:space="preserve"> PAGEREF _Toc31026 </w:instrText>
      </w:r>
      <w:r>
        <w:rPr>
          <w:sz w:val="24"/>
          <w:szCs w:val="24"/>
        </w:rPr>
        <w:fldChar w:fldCharType="separate"/>
      </w:r>
      <w:r>
        <w:rPr>
          <w:sz w:val="24"/>
          <w:szCs w:val="24"/>
        </w:rPr>
        <w:t>151</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_Toc8400 </w:instrText>
      </w:r>
      <w:r>
        <w:rPr>
          <w:sz w:val="24"/>
          <w:szCs w:val="24"/>
        </w:rPr>
        <w:fldChar w:fldCharType="separate"/>
      </w:r>
      <w:r>
        <w:rPr>
          <w:rFonts w:hint="eastAsia" w:hAnsi="Times New Roman"/>
          <w:sz w:val="24"/>
          <w:szCs w:val="24"/>
          <w:lang w:val="en-US" w:eastAsia="zh-CN"/>
        </w:rPr>
        <w:t>6</w:t>
      </w:r>
      <w:r>
        <w:rPr>
          <w:rFonts w:hAnsi="Times New Roman"/>
          <w:sz w:val="24"/>
          <w:szCs w:val="24"/>
        </w:rPr>
        <w:t>.1 环境管理计划</w:t>
      </w:r>
      <w:r>
        <w:rPr>
          <w:sz w:val="24"/>
          <w:szCs w:val="24"/>
        </w:rPr>
        <w:tab/>
      </w:r>
      <w:r>
        <w:rPr>
          <w:sz w:val="24"/>
          <w:szCs w:val="24"/>
        </w:rPr>
        <w:fldChar w:fldCharType="begin"/>
      </w:r>
      <w:r>
        <w:rPr>
          <w:sz w:val="24"/>
          <w:szCs w:val="24"/>
        </w:rPr>
        <w:instrText xml:space="preserve"> PAGEREF _Toc8400 </w:instrText>
      </w:r>
      <w:r>
        <w:rPr>
          <w:sz w:val="24"/>
          <w:szCs w:val="24"/>
        </w:rPr>
        <w:fldChar w:fldCharType="separate"/>
      </w:r>
      <w:r>
        <w:rPr>
          <w:sz w:val="24"/>
          <w:szCs w:val="24"/>
        </w:rPr>
        <w:t>151</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_Toc6679 </w:instrText>
      </w:r>
      <w:r>
        <w:rPr>
          <w:sz w:val="24"/>
          <w:szCs w:val="24"/>
        </w:rPr>
        <w:fldChar w:fldCharType="separate"/>
      </w:r>
      <w:r>
        <w:rPr>
          <w:rFonts w:hint="eastAsia" w:hAnsi="Times New Roman"/>
          <w:sz w:val="24"/>
          <w:szCs w:val="24"/>
          <w:lang w:val="en-US" w:eastAsia="zh-CN"/>
        </w:rPr>
        <w:t>6</w:t>
      </w:r>
      <w:r>
        <w:rPr>
          <w:rFonts w:hAnsi="Times New Roman"/>
          <w:sz w:val="24"/>
          <w:szCs w:val="24"/>
        </w:rPr>
        <w:t>.2 环境监测制度建议</w:t>
      </w:r>
      <w:r>
        <w:rPr>
          <w:sz w:val="24"/>
          <w:szCs w:val="24"/>
        </w:rPr>
        <w:tab/>
      </w:r>
      <w:r>
        <w:rPr>
          <w:sz w:val="24"/>
          <w:szCs w:val="24"/>
        </w:rPr>
        <w:fldChar w:fldCharType="begin"/>
      </w:r>
      <w:r>
        <w:rPr>
          <w:sz w:val="24"/>
          <w:szCs w:val="24"/>
        </w:rPr>
        <w:instrText xml:space="preserve"> PAGEREF _Toc6679 </w:instrText>
      </w:r>
      <w:r>
        <w:rPr>
          <w:sz w:val="24"/>
          <w:szCs w:val="24"/>
        </w:rPr>
        <w:fldChar w:fldCharType="separate"/>
      </w:r>
      <w:r>
        <w:rPr>
          <w:sz w:val="24"/>
          <w:szCs w:val="24"/>
        </w:rPr>
        <w:t>153</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_Toc32078 </w:instrText>
      </w:r>
      <w:r>
        <w:rPr>
          <w:sz w:val="24"/>
          <w:szCs w:val="24"/>
        </w:rPr>
        <w:fldChar w:fldCharType="separate"/>
      </w:r>
      <w:r>
        <w:rPr>
          <w:sz w:val="24"/>
          <w:szCs w:val="24"/>
        </w:rPr>
        <w:t>第</w:t>
      </w:r>
      <w:r>
        <w:rPr>
          <w:rFonts w:hint="eastAsia"/>
          <w:sz w:val="24"/>
          <w:szCs w:val="24"/>
          <w:lang w:val="en-US" w:eastAsia="zh-CN"/>
        </w:rPr>
        <w:t>七</w:t>
      </w:r>
      <w:r>
        <w:rPr>
          <w:sz w:val="24"/>
          <w:szCs w:val="24"/>
        </w:rPr>
        <w:t>章   环境经济损益分析</w:t>
      </w:r>
      <w:r>
        <w:rPr>
          <w:sz w:val="24"/>
          <w:szCs w:val="24"/>
        </w:rPr>
        <w:tab/>
      </w:r>
      <w:r>
        <w:rPr>
          <w:sz w:val="24"/>
          <w:szCs w:val="24"/>
        </w:rPr>
        <w:fldChar w:fldCharType="begin"/>
      </w:r>
      <w:r>
        <w:rPr>
          <w:sz w:val="24"/>
          <w:szCs w:val="24"/>
        </w:rPr>
        <w:instrText xml:space="preserve"> PAGEREF _Toc32078 </w:instrText>
      </w:r>
      <w:r>
        <w:rPr>
          <w:sz w:val="24"/>
          <w:szCs w:val="24"/>
        </w:rPr>
        <w:fldChar w:fldCharType="separate"/>
      </w:r>
      <w:r>
        <w:rPr>
          <w:sz w:val="24"/>
          <w:szCs w:val="24"/>
        </w:rPr>
        <w:t>155</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_Toc18482 </w:instrText>
      </w:r>
      <w:r>
        <w:rPr>
          <w:sz w:val="24"/>
          <w:szCs w:val="24"/>
        </w:rPr>
        <w:fldChar w:fldCharType="separate"/>
      </w:r>
      <w:r>
        <w:rPr>
          <w:rFonts w:hint="eastAsia" w:hAnsi="Times New Roman"/>
          <w:sz w:val="24"/>
          <w:szCs w:val="24"/>
          <w:lang w:val="en-US" w:eastAsia="zh-CN"/>
        </w:rPr>
        <w:t>7</w:t>
      </w:r>
      <w:r>
        <w:rPr>
          <w:rFonts w:hAnsi="Times New Roman"/>
          <w:sz w:val="24"/>
          <w:szCs w:val="24"/>
        </w:rPr>
        <w:t>.1 环保投资估算</w:t>
      </w:r>
      <w:r>
        <w:rPr>
          <w:sz w:val="24"/>
          <w:szCs w:val="24"/>
        </w:rPr>
        <w:tab/>
      </w:r>
      <w:r>
        <w:rPr>
          <w:sz w:val="24"/>
          <w:szCs w:val="24"/>
        </w:rPr>
        <w:fldChar w:fldCharType="begin"/>
      </w:r>
      <w:r>
        <w:rPr>
          <w:sz w:val="24"/>
          <w:szCs w:val="24"/>
        </w:rPr>
        <w:instrText xml:space="preserve"> PAGEREF _Toc18482 </w:instrText>
      </w:r>
      <w:r>
        <w:rPr>
          <w:sz w:val="24"/>
          <w:szCs w:val="24"/>
        </w:rPr>
        <w:fldChar w:fldCharType="separate"/>
      </w:r>
      <w:r>
        <w:rPr>
          <w:sz w:val="24"/>
          <w:szCs w:val="24"/>
        </w:rPr>
        <w:t>155</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_Toc9432 </w:instrText>
      </w:r>
      <w:r>
        <w:rPr>
          <w:sz w:val="24"/>
          <w:szCs w:val="24"/>
        </w:rPr>
        <w:fldChar w:fldCharType="separate"/>
      </w:r>
      <w:r>
        <w:rPr>
          <w:rFonts w:hint="eastAsia" w:hAnsi="Times New Roman"/>
          <w:sz w:val="24"/>
          <w:szCs w:val="24"/>
          <w:lang w:val="en-US" w:eastAsia="zh-CN"/>
        </w:rPr>
        <w:t>7</w:t>
      </w:r>
      <w:r>
        <w:rPr>
          <w:rFonts w:hAnsi="Times New Roman"/>
          <w:sz w:val="24"/>
          <w:szCs w:val="24"/>
        </w:rPr>
        <w:t>.2 环境影响经济损失分析</w:t>
      </w:r>
      <w:r>
        <w:rPr>
          <w:sz w:val="24"/>
          <w:szCs w:val="24"/>
        </w:rPr>
        <w:tab/>
      </w:r>
      <w:r>
        <w:rPr>
          <w:sz w:val="24"/>
          <w:szCs w:val="24"/>
        </w:rPr>
        <w:fldChar w:fldCharType="begin"/>
      </w:r>
      <w:r>
        <w:rPr>
          <w:sz w:val="24"/>
          <w:szCs w:val="24"/>
        </w:rPr>
        <w:instrText xml:space="preserve"> PAGEREF _Toc9432 </w:instrText>
      </w:r>
      <w:r>
        <w:rPr>
          <w:sz w:val="24"/>
          <w:szCs w:val="24"/>
        </w:rPr>
        <w:fldChar w:fldCharType="separate"/>
      </w:r>
      <w:r>
        <w:rPr>
          <w:sz w:val="24"/>
          <w:szCs w:val="24"/>
        </w:rPr>
        <w:t>155</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_Toc17953 </w:instrText>
      </w:r>
      <w:r>
        <w:rPr>
          <w:sz w:val="24"/>
          <w:szCs w:val="24"/>
        </w:rPr>
        <w:fldChar w:fldCharType="separate"/>
      </w:r>
      <w:r>
        <w:rPr>
          <w:rFonts w:hint="eastAsia" w:hAnsi="Times New Roman"/>
          <w:sz w:val="24"/>
          <w:szCs w:val="24"/>
          <w:lang w:val="en-US" w:eastAsia="zh-CN"/>
        </w:rPr>
        <w:t>7</w:t>
      </w:r>
      <w:r>
        <w:rPr>
          <w:rFonts w:hAnsi="Times New Roman"/>
          <w:sz w:val="24"/>
          <w:szCs w:val="24"/>
        </w:rPr>
        <w:t>.3 经济效益分析</w:t>
      </w:r>
      <w:r>
        <w:rPr>
          <w:sz w:val="24"/>
          <w:szCs w:val="24"/>
        </w:rPr>
        <w:tab/>
      </w:r>
      <w:r>
        <w:rPr>
          <w:sz w:val="24"/>
          <w:szCs w:val="24"/>
        </w:rPr>
        <w:fldChar w:fldCharType="begin"/>
      </w:r>
      <w:r>
        <w:rPr>
          <w:sz w:val="24"/>
          <w:szCs w:val="24"/>
        </w:rPr>
        <w:instrText xml:space="preserve"> PAGEREF _Toc17953 </w:instrText>
      </w:r>
      <w:r>
        <w:rPr>
          <w:sz w:val="24"/>
          <w:szCs w:val="24"/>
        </w:rPr>
        <w:fldChar w:fldCharType="separate"/>
      </w:r>
      <w:r>
        <w:rPr>
          <w:sz w:val="24"/>
          <w:szCs w:val="24"/>
        </w:rPr>
        <w:t>157</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_Toc12039 </w:instrText>
      </w:r>
      <w:r>
        <w:rPr>
          <w:sz w:val="24"/>
          <w:szCs w:val="24"/>
        </w:rPr>
        <w:fldChar w:fldCharType="separate"/>
      </w:r>
      <w:r>
        <w:rPr>
          <w:rFonts w:hint="eastAsia" w:hAnsi="Times New Roman"/>
          <w:sz w:val="24"/>
          <w:szCs w:val="24"/>
          <w:lang w:val="en-US" w:eastAsia="zh-CN"/>
        </w:rPr>
        <w:t>7</w:t>
      </w:r>
      <w:r>
        <w:rPr>
          <w:rFonts w:hAnsi="Times New Roman"/>
          <w:sz w:val="24"/>
          <w:szCs w:val="24"/>
        </w:rPr>
        <w:t>.4 环境效益分析</w:t>
      </w:r>
      <w:r>
        <w:rPr>
          <w:sz w:val="24"/>
          <w:szCs w:val="24"/>
        </w:rPr>
        <w:tab/>
      </w:r>
      <w:r>
        <w:rPr>
          <w:sz w:val="24"/>
          <w:szCs w:val="24"/>
        </w:rPr>
        <w:fldChar w:fldCharType="begin"/>
      </w:r>
      <w:r>
        <w:rPr>
          <w:sz w:val="24"/>
          <w:szCs w:val="24"/>
        </w:rPr>
        <w:instrText xml:space="preserve"> PAGEREF _Toc12039 </w:instrText>
      </w:r>
      <w:r>
        <w:rPr>
          <w:sz w:val="24"/>
          <w:szCs w:val="24"/>
        </w:rPr>
        <w:fldChar w:fldCharType="separate"/>
      </w:r>
      <w:r>
        <w:rPr>
          <w:sz w:val="24"/>
          <w:szCs w:val="24"/>
        </w:rPr>
        <w:t>157</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_Toc30399 </w:instrText>
      </w:r>
      <w:r>
        <w:rPr>
          <w:sz w:val="24"/>
          <w:szCs w:val="24"/>
        </w:rPr>
        <w:fldChar w:fldCharType="separate"/>
      </w:r>
      <w:r>
        <w:rPr>
          <w:rFonts w:hint="eastAsia" w:hAnsi="Times New Roman"/>
          <w:sz w:val="24"/>
          <w:szCs w:val="24"/>
          <w:lang w:val="en-US" w:eastAsia="zh-CN"/>
        </w:rPr>
        <w:t>7</w:t>
      </w:r>
      <w:r>
        <w:rPr>
          <w:rFonts w:hAnsi="Times New Roman"/>
          <w:sz w:val="24"/>
          <w:szCs w:val="24"/>
        </w:rPr>
        <w:t>.5 社会效益分析</w:t>
      </w:r>
      <w:r>
        <w:rPr>
          <w:sz w:val="24"/>
          <w:szCs w:val="24"/>
        </w:rPr>
        <w:tab/>
      </w:r>
      <w:r>
        <w:rPr>
          <w:sz w:val="24"/>
          <w:szCs w:val="24"/>
        </w:rPr>
        <w:fldChar w:fldCharType="begin"/>
      </w:r>
      <w:r>
        <w:rPr>
          <w:sz w:val="24"/>
          <w:szCs w:val="24"/>
        </w:rPr>
        <w:instrText xml:space="preserve"> PAGEREF _Toc30399 </w:instrText>
      </w:r>
      <w:r>
        <w:rPr>
          <w:sz w:val="24"/>
          <w:szCs w:val="24"/>
        </w:rPr>
        <w:fldChar w:fldCharType="separate"/>
      </w:r>
      <w:r>
        <w:rPr>
          <w:sz w:val="24"/>
          <w:szCs w:val="24"/>
        </w:rPr>
        <w:t>158</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_Toc7757 </w:instrText>
      </w:r>
      <w:r>
        <w:rPr>
          <w:sz w:val="24"/>
          <w:szCs w:val="24"/>
        </w:rPr>
        <w:fldChar w:fldCharType="separate"/>
      </w:r>
      <w:r>
        <w:rPr>
          <w:rFonts w:hint="eastAsia" w:hAnsi="Times New Roman"/>
          <w:sz w:val="24"/>
          <w:szCs w:val="24"/>
          <w:lang w:val="en-US" w:eastAsia="zh-CN"/>
        </w:rPr>
        <w:t>7</w:t>
      </w:r>
      <w:r>
        <w:rPr>
          <w:rFonts w:hAnsi="Times New Roman"/>
          <w:sz w:val="24"/>
          <w:szCs w:val="24"/>
        </w:rPr>
        <w:t>.6 生态效益</w:t>
      </w:r>
      <w:r>
        <w:rPr>
          <w:sz w:val="24"/>
          <w:szCs w:val="24"/>
        </w:rPr>
        <w:tab/>
      </w:r>
      <w:r>
        <w:rPr>
          <w:sz w:val="24"/>
          <w:szCs w:val="24"/>
        </w:rPr>
        <w:fldChar w:fldCharType="begin"/>
      </w:r>
      <w:r>
        <w:rPr>
          <w:sz w:val="24"/>
          <w:szCs w:val="24"/>
        </w:rPr>
        <w:instrText xml:space="preserve"> PAGEREF _Toc7757 </w:instrText>
      </w:r>
      <w:r>
        <w:rPr>
          <w:sz w:val="24"/>
          <w:szCs w:val="24"/>
        </w:rPr>
        <w:fldChar w:fldCharType="separate"/>
      </w:r>
      <w:r>
        <w:rPr>
          <w:sz w:val="24"/>
          <w:szCs w:val="24"/>
        </w:rPr>
        <w:t>159</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_Toc22960 </w:instrText>
      </w:r>
      <w:r>
        <w:rPr>
          <w:sz w:val="24"/>
          <w:szCs w:val="24"/>
        </w:rPr>
        <w:fldChar w:fldCharType="separate"/>
      </w:r>
      <w:r>
        <w:rPr>
          <w:rFonts w:hint="eastAsia" w:hAnsi="Times New Roman"/>
          <w:sz w:val="24"/>
          <w:szCs w:val="24"/>
          <w:lang w:val="en-US" w:eastAsia="zh-CN"/>
        </w:rPr>
        <w:t>7</w:t>
      </w:r>
      <w:r>
        <w:rPr>
          <w:rFonts w:hAnsi="Times New Roman"/>
          <w:sz w:val="24"/>
          <w:szCs w:val="24"/>
        </w:rPr>
        <w:t>.7 分析结论</w:t>
      </w:r>
      <w:r>
        <w:rPr>
          <w:sz w:val="24"/>
          <w:szCs w:val="24"/>
        </w:rPr>
        <w:tab/>
      </w:r>
      <w:r>
        <w:rPr>
          <w:sz w:val="24"/>
          <w:szCs w:val="24"/>
        </w:rPr>
        <w:fldChar w:fldCharType="begin"/>
      </w:r>
      <w:r>
        <w:rPr>
          <w:sz w:val="24"/>
          <w:szCs w:val="24"/>
        </w:rPr>
        <w:instrText xml:space="preserve"> PAGEREF _Toc22960 </w:instrText>
      </w:r>
      <w:r>
        <w:rPr>
          <w:sz w:val="24"/>
          <w:szCs w:val="24"/>
        </w:rPr>
        <w:fldChar w:fldCharType="separate"/>
      </w:r>
      <w:r>
        <w:rPr>
          <w:sz w:val="24"/>
          <w:szCs w:val="24"/>
        </w:rPr>
        <w:t>159</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_Toc18124 </w:instrText>
      </w:r>
      <w:r>
        <w:rPr>
          <w:sz w:val="24"/>
          <w:szCs w:val="24"/>
        </w:rPr>
        <w:fldChar w:fldCharType="separate"/>
      </w:r>
      <w:r>
        <w:rPr>
          <w:sz w:val="24"/>
          <w:szCs w:val="24"/>
        </w:rPr>
        <w:t>第</w:t>
      </w:r>
      <w:r>
        <w:rPr>
          <w:rFonts w:hint="eastAsia"/>
          <w:sz w:val="24"/>
          <w:szCs w:val="24"/>
          <w:lang w:val="en-US" w:eastAsia="zh-CN"/>
        </w:rPr>
        <w:t>八</w:t>
      </w:r>
      <w:r>
        <w:rPr>
          <w:sz w:val="24"/>
          <w:szCs w:val="24"/>
        </w:rPr>
        <w:t>章 场址选择及场区平面布置合理性分析</w:t>
      </w:r>
      <w:r>
        <w:rPr>
          <w:sz w:val="24"/>
          <w:szCs w:val="24"/>
        </w:rPr>
        <w:tab/>
      </w:r>
      <w:r>
        <w:rPr>
          <w:sz w:val="24"/>
          <w:szCs w:val="24"/>
        </w:rPr>
        <w:fldChar w:fldCharType="begin"/>
      </w:r>
      <w:r>
        <w:rPr>
          <w:sz w:val="24"/>
          <w:szCs w:val="24"/>
        </w:rPr>
        <w:instrText xml:space="preserve"> PAGEREF _Toc18124 </w:instrText>
      </w:r>
      <w:r>
        <w:rPr>
          <w:sz w:val="24"/>
          <w:szCs w:val="24"/>
        </w:rPr>
        <w:fldChar w:fldCharType="separate"/>
      </w:r>
      <w:r>
        <w:rPr>
          <w:sz w:val="24"/>
          <w:szCs w:val="24"/>
        </w:rPr>
        <w:t>160</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_Toc16732 </w:instrText>
      </w:r>
      <w:r>
        <w:rPr>
          <w:sz w:val="24"/>
          <w:szCs w:val="24"/>
        </w:rPr>
        <w:fldChar w:fldCharType="separate"/>
      </w:r>
      <w:r>
        <w:rPr>
          <w:rFonts w:hint="eastAsia" w:hAnsi="Times New Roman"/>
          <w:sz w:val="24"/>
          <w:szCs w:val="24"/>
          <w:lang w:val="en-US" w:eastAsia="zh-CN"/>
        </w:rPr>
        <w:t>8</w:t>
      </w:r>
      <w:r>
        <w:rPr>
          <w:rFonts w:hAnsi="Times New Roman"/>
          <w:sz w:val="24"/>
          <w:szCs w:val="24"/>
        </w:rPr>
        <w:t>.1 场址可行性分析</w:t>
      </w:r>
      <w:r>
        <w:rPr>
          <w:sz w:val="24"/>
          <w:szCs w:val="24"/>
        </w:rPr>
        <w:tab/>
      </w:r>
      <w:r>
        <w:rPr>
          <w:sz w:val="24"/>
          <w:szCs w:val="24"/>
        </w:rPr>
        <w:fldChar w:fldCharType="begin"/>
      </w:r>
      <w:r>
        <w:rPr>
          <w:sz w:val="24"/>
          <w:szCs w:val="24"/>
        </w:rPr>
        <w:instrText xml:space="preserve"> PAGEREF _Toc16732 </w:instrText>
      </w:r>
      <w:r>
        <w:rPr>
          <w:sz w:val="24"/>
          <w:szCs w:val="24"/>
        </w:rPr>
        <w:fldChar w:fldCharType="separate"/>
      </w:r>
      <w:r>
        <w:rPr>
          <w:sz w:val="24"/>
          <w:szCs w:val="24"/>
        </w:rPr>
        <w:t>160</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_Toc27889 </w:instrText>
      </w:r>
      <w:r>
        <w:rPr>
          <w:sz w:val="24"/>
          <w:szCs w:val="24"/>
        </w:rPr>
        <w:fldChar w:fldCharType="separate"/>
      </w:r>
      <w:r>
        <w:rPr>
          <w:rFonts w:hint="eastAsia" w:hAnsi="Times New Roman"/>
          <w:sz w:val="24"/>
          <w:szCs w:val="24"/>
          <w:lang w:val="en-US" w:eastAsia="zh-CN"/>
        </w:rPr>
        <w:t>8</w:t>
      </w:r>
      <w:r>
        <w:rPr>
          <w:rFonts w:hAnsi="Times New Roman"/>
          <w:sz w:val="24"/>
          <w:szCs w:val="24"/>
        </w:rPr>
        <w:t>.2 场区平面布置合理性分析</w:t>
      </w:r>
      <w:r>
        <w:rPr>
          <w:sz w:val="24"/>
          <w:szCs w:val="24"/>
        </w:rPr>
        <w:tab/>
      </w:r>
      <w:r>
        <w:rPr>
          <w:sz w:val="24"/>
          <w:szCs w:val="24"/>
        </w:rPr>
        <w:fldChar w:fldCharType="begin"/>
      </w:r>
      <w:r>
        <w:rPr>
          <w:sz w:val="24"/>
          <w:szCs w:val="24"/>
        </w:rPr>
        <w:instrText xml:space="preserve"> PAGEREF _Toc27889 </w:instrText>
      </w:r>
      <w:r>
        <w:rPr>
          <w:sz w:val="24"/>
          <w:szCs w:val="24"/>
        </w:rPr>
        <w:fldChar w:fldCharType="separate"/>
      </w:r>
      <w:r>
        <w:rPr>
          <w:sz w:val="24"/>
          <w:szCs w:val="24"/>
        </w:rPr>
        <w:t>167</w:t>
      </w:r>
      <w:r>
        <w:rPr>
          <w:sz w:val="24"/>
          <w:szCs w:val="24"/>
        </w:rPr>
        <w:fldChar w:fldCharType="end"/>
      </w:r>
      <w:r>
        <w:rPr>
          <w:color w:val="000000"/>
          <w:sz w:val="24"/>
          <w:szCs w:val="24"/>
        </w:rPr>
        <w:fldChar w:fldCharType="end"/>
      </w:r>
    </w:p>
    <w:p>
      <w:pPr>
        <w:pStyle w:val="31"/>
        <w:keepNext w:val="0"/>
        <w:keepLines w:val="0"/>
        <w:pageBreakBefore w:val="0"/>
        <w:widowControl w:val="0"/>
        <w:tabs>
          <w:tab w:val="right" w:leader="dot" w:pos="8730"/>
          <w:tab w:val="clear" w:pos="872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_Toc13713 </w:instrText>
      </w:r>
      <w:r>
        <w:rPr>
          <w:sz w:val="24"/>
          <w:szCs w:val="24"/>
        </w:rPr>
        <w:fldChar w:fldCharType="separate"/>
      </w:r>
      <w:r>
        <w:rPr>
          <w:sz w:val="24"/>
          <w:szCs w:val="24"/>
        </w:rPr>
        <w:t>第</w:t>
      </w:r>
      <w:r>
        <w:rPr>
          <w:rFonts w:hint="eastAsia"/>
          <w:sz w:val="24"/>
          <w:szCs w:val="24"/>
          <w:lang w:val="en-US" w:eastAsia="zh-CN"/>
        </w:rPr>
        <w:t>九</w:t>
      </w:r>
      <w:r>
        <w:rPr>
          <w:sz w:val="24"/>
          <w:szCs w:val="24"/>
        </w:rPr>
        <w:t>章  评价结论与建议</w:t>
      </w:r>
      <w:r>
        <w:rPr>
          <w:sz w:val="24"/>
          <w:szCs w:val="24"/>
        </w:rPr>
        <w:tab/>
      </w:r>
      <w:r>
        <w:rPr>
          <w:sz w:val="24"/>
          <w:szCs w:val="24"/>
        </w:rPr>
        <w:fldChar w:fldCharType="begin"/>
      </w:r>
      <w:r>
        <w:rPr>
          <w:sz w:val="24"/>
          <w:szCs w:val="24"/>
        </w:rPr>
        <w:instrText xml:space="preserve"> PAGEREF _Toc13713 </w:instrText>
      </w:r>
      <w:r>
        <w:rPr>
          <w:sz w:val="24"/>
          <w:szCs w:val="24"/>
        </w:rPr>
        <w:fldChar w:fldCharType="separate"/>
      </w:r>
      <w:r>
        <w:rPr>
          <w:sz w:val="24"/>
          <w:szCs w:val="24"/>
        </w:rPr>
        <w:t>169</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_Toc25092 </w:instrText>
      </w:r>
      <w:r>
        <w:rPr>
          <w:sz w:val="24"/>
          <w:szCs w:val="24"/>
        </w:rPr>
        <w:fldChar w:fldCharType="separate"/>
      </w:r>
      <w:r>
        <w:rPr>
          <w:rFonts w:hint="eastAsia" w:hAnsi="Times New Roman"/>
          <w:sz w:val="24"/>
          <w:szCs w:val="24"/>
          <w:lang w:val="en-US" w:eastAsia="zh-CN"/>
        </w:rPr>
        <w:t>9</w:t>
      </w:r>
      <w:r>
        <w:rPr>
          <w:rFonts w:hAnsi="Times New Roman"/>
          <w:sz w:val="24"/>
          <w:szCs w:val="24"/>
        </w:rPr>
        <w:t>.1评价结论</w:t>
      </w:r>
      <w:r>
        <w:rPr>
          <w:sz w:val="24"/>
          <w:szCs w:val="24"/>
        </w:rPr>
        <w:tab/>
      </w:r>
      <w:r>
        <w:rPr>
          <w:sz w:val="24"/>
          <w:szCs w:val="24"/>
        </w:rPr>
        <w:fldChar w:fldCharType="begin"/>
      </w:r>
      <w:r>
        <w:rPr>
          <w:sz w:val="24"/>
          <w:szCs w:val="24"/>
        </w:rPr>
        <w:instrText xml:space="preserve"> PAGEREF _Toc25092 </w:instrText>
      </w:r>
      <w:r>
        <w:rPr>
          <w:sz w:val="24"/>
          <w:szCs w:val="24"/>
        </w:rPr>
        <w:fldChar w:fldCharType="separate"/>
      </w:r>
      <w:r>
        <w:rPr>
          <w:sz w:val="24"/>
          <w:szCs w:val="24"/>
        </w:rPr>
        <w:t>169</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_Toc20582 </w:instrText>
      </w:r>
      <w:r>
        <w:rPr>
          <w:sz w:val="24"/>
          <w:szCs w:val="24"/>
        </w:rPr>
        <w:fldChar w:fldCharType="separate"/>
      </w:r>
      <w:r>
        <w:rPr>
          <w:rFonts w:hint="eastAsia" w:hAnsi="Times New Roman"/>
          <w:sz w:val="24"/>
          <w:szCs w:val="24"/>
          <w:lang w:val="en-US" w:eastAsia="zh-CN"/>
        </w:rPr>
        <w:t>9</w:t>
      </w:r>
      <w:r>
        <w:rPr>
          <w:rFonts w:hAnsi="Times New Roman"/>
          <w:sz w:val="24"/>
          <w:szCs w:val="24"/>
        </w:rPr>
        <w:t>.2对策建议</w:t>
      </w:r>
      <w:r>
        <w:rPr>
          <w:sz w:val="24"/>
          <w:szCs w:val="24"/>
        </w:rPr>
        <w:tab/>
      </w:r>
      <w:r>
        <w:rPr>
          <w:sz w:val="24"/>
          <w:szCs w:val="24"/>
        </w:rPr>
        <w:fldChar w:fldCharType="begin"/>
      </w:r>
      <w:r>
        <w:rPr>
          <w:sz w:val="24"/>
          <w:szCs w:val="24"/>
        </w:rPr>
        <w:instrText xml:space="preserve"> PAGEREF _Toc20582 </w:instrText>
      </w:r>
      <w:r>
        <w:rPr>
          <w:sz w:val="24"/>
          <w:szCs w:val="24"/>
        </w:rPr>
        <w:fldChar w:fldCharType="separate"/>
      </w:r>
      <w:r>
        <w:rPr>
          <w:sz w:val="24"/>
          <w:szCs w:val="24"/>
        </w:rPr>
        <w:t>173</w:t>
      </w:r>
      <w:r>
        <w:rPr>
          <w:sz w:val="24"/>
          <w:szCs w:val="24"/>
        </w:rPr>
        <w:fldChar w:fldCharType="end"/>
      </w:r>
      <w:r>
        <w:rPr>
          <w:color w:val="000000"/>
          <w:sz w:val="24"/>
          <w:szCs w:val="24"/>
        </w:rPr>
        <w:fldChar w:fldCharType="end"/>
      </w:r>
    </w:p>
    <w:p>
      <w:pPr>
        <w:pStyle w:val="36"/>
        <w:keepNext w:val="0"/>
        <w:keepLines w:val="0"/>
        <w:pageBreakBefore w:val="0"/>
        <w:widowControl w:val="0"/>
        <w:tabs>
          <w:tab w:val="right" w:leader="dot" w:pos="8730"/>
        </w:tabs>
        <w:kinsoku/>
        <w:wordWrap/>
        <w:overflowPunct/>
        <w:topLinePunct w:val="0"/>
        <w:autoSpaceDE/>
        <w:autoSpaceDN/>
        <w:bidi w:val="0"/>
        <w:adjustRightInd/>
        <w:snapToGrid/>
        <w:spacing w:line="360" w:lineRule="auto"/>
        <w:textAlignment w:val="auto"/>
        <w:rPr>
          <w:sz w:val="24"/>
          <w:szCs w:val="24"/>
        </w:rPr>
      </w:pPr>
      <w:r>
        <w:rPr>
          <w:color w:val="000000"/>
          <w:sz w:val="24"/>
          <w:szCs w:val="24"/>
        </w:rPr>
        <w:fldChar w:fldCharType="begin"/>
      </w:r>
      <w:r>
        <w:rPr>
          <w:sz w:val="24"/>
          <w:szCs w:val="24"/>
        </w:rPr>
        <w:instrText xml:space="preserve"> HYPERLINK \l _Toc22018 </w:instrText>
      </w:r>
      <w:r>
        <w:rPr>
          <w:sz w:val="24"/>
          <w:szCs w:val="24"/>
        </w:rPr>
        <w:fldChar w:fldCharType="separate"/>
      </w:r>
      <w:r>
        <w:rPr>
          <w:rFonts w:hint="eastAsia" w:hAnsi="Times New Roman"/>
          <w:sz w:val="24"/>
          <w:szCs w:val="24"/>
          <w:lang w:val="en-US" w:eastAsia="zh-CN"/>
        </w:rPr>
        <w:t>9</w:t>
      </w:r>
      <w:r>
        <w:rPr>
          <w:rFonts w:hAnsi="Times New Roman"/>
          <w:sz w:val="24"/>
          <w:szCs w:val="24"/>
        </w:rPr>
        <w:t>.3评价总结论</w:t>
      </w:r>
      <w:r>
        <w:rPr>
          <w:sz w:val="24"/>
          <w:szCs w:val="24"/>
        </w:rPr>
        <w:tab/>
      </w:r>
      <w:r>
        <w:rPr>
          <w:sz w:val="24"/>
          <w:szCs w:val="24"/>
        </w:rPr>
        <w:fldChar w:fldCharType="begin"/>
      </w:r>
      <w:r>
        <w:rPr>
          <w:sz w:val="24"/>
          <w:szCs w:val="24"/>
        </w:rPr>
        <w:instrText xml:space="preserve"> PAGEREF _Toc22018 </w:instrText>
      </w:r>
      <w:r>
        <w:rPr>
          <w:sz w:val="24"/>
          <w:szCs w:val="24"/>
        </w:rPr>
        <w:fldChar w:fldCharType="separate"/>
      </w:r>
      <w:r>
        <w:rPr>
          <w:sz w:val="24"/>
          <w:szCs w:val="24"/>
        </w:rPr>
        <w:t>174</w:t>
      </w:r>
      <w:r>
        <w:rPr>
          <w:sz w:val="24"/>
          <w:szCs w:val="24"/>
        </w:rPr>
        <w:fldChar w:fldCharType="end"/>
      </w:r>
      <w:r>
        <w:rPr>
          <w:color w:val="00000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rPr>
      </w:pPr>
      <w:r>
        <w:rPr>
          <w:color w:val="000000"/>
          <w:sz w:val="24"/>
          <w:szCs w:val="24"/>
        </w:rPr>
        <w:fldChar w:fldCharType="end"/>
      </w:r>
    </w:p>
    <w:p>
      <w:pPr>
        <w:pStyle w:val="121"/>
        <w:adjustRightInd/>
        <w:spacing w:line="360" w:lineRule="auto"/>
        <w:ind w:firstLineChars="200"/>
        <w:rPr>
          <w:b/>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p>
    <w:p>
      <w:pPr>
        <w:pStyle w:val="121"/>
        <w:spacing w:line="360" w:lineRule="auto"/>
        <w:ind w:firstLine="482" w:firstLineChars="200"/>
      </w:pPr>
      <w:r>
        <w:rPr>
          <w:rFonts w:hint="eastAsia"/>
          <w:b/>
          <w:bCs/>
        </w:rPr>
        <w:t>附图</w:t>
      </w:r>
      <w:r>
        <w:rPr>
          <w:rFonts w:hint="eastAsia"/>
        </w:rPr>
        <w:t>：</w:t>
      </w:r>
    </w:p>
    <w:p>
      <w:pPr>
        <w:pStyle w:val="121"/>
        <w:spacing w:line="360" w:lineRule="auto"/>
        <w:ind w:firstLine="480" w:firstLineChars="200"/>
      </w:pPr>
      <w:r>
        <w:t>附图1   项目地理</w:t>
      </w:r>
      <w:r>
        <w:rPr>
          <w:rFonts w:hint="eastAsia"/>
        </w:rPr>
        <w:t>位置</w:t>
      </w:r>
      <w:r>
        <w:t>图</w:t>
      </w:r>
    </w:p>
    <w:p>
      <w:pPr>
        <w:pStyle w:val="121"/>
        <w:spacing w:line="360" w:lineRule="auto"/>
        <w:ind w:firstLine="480" w:firstLineChars="200"/>
      </w:pPr>
      <w:r>
        <w:rPr>
          <w:rFonts w:hint="eastAsia"/>
        </w:rPr>
        <w:t>附图</w:t>
      </w:r>
      <w:r>
        <w:t>2   项目周围环境示意图</w:t>
      </w:r>
    </w:p>
    <w:p>
      <w:pPr>
        <w:pStyle w:val="121"/>
        <w:spacing w:line="360" w:lineRule="auto"/>
        <w:ind w:firstLine="480" w:firstLineChars="200"/>
      </w:pPr>
      <w:r>
        <w:t xml:space="preserve">附图3   </w:t>
      </w:r>
      <w:r>
        <w:rPr>
          <w:rFonts w:hint="eastAsia"/>
        </w:rPr>
        <w:t>厂区平面布置图</w:t>
      </w:r>
    </w:p>
    <w:p>
      <w:pPr>
        <w:pStyle w:val="121"/>
        <w:spacing w:line="360" w:lineRule="auto"/>
        <w:ind w:firstLine="480" w:firstLineChars="200"/>
        <w:rPr>
          <w:rFonts w:hint="eastAsia"/>
        </w:rPr>
      </w:pPr>
      <w:r>
        <w:rPr>
          <w:rFonts w:hint="eastAsia"/>
        </w:rPr>
        <w:t>附图4</w:t>
      </w:r>
      <w:r>
        <w:t xml:space="preserve">   </w:t>
      </w:r>
      <w:r>
        <w:rPr>
          <w:rFonts w:hint="eastAsia"/>
          <w:lang w:val="en-US" w:eastAsia="zh-CN"/>
        </w:rPr>
        <w:t>区域水系</w:t>
      </w:r>
      <w:r>
        <w:rPr>
          <w:rFonts w:hint="eastAsia"/>
        </w:rPr>
        <w:t>图</w:t>
      </w:r>
    </w:p>
    <w:p>
      <w:pPr>
        <w:pStyle w:val="121"/>
        <w:spacing w:line="360" w:lineRule="auto"/>
        <w:ind w:firstLine="480" w:firstLineChars="200"/>
        <w:rPr>
          <w:rFonts w:hint="eastAsia"/>
          <w:lang w:val="en-US" w:eastAsia="zh-CN"/>
        </w:rPr>
      </w:pPr>
      <w:r>
        <w:rPr>
          <w:rFonts w:hint="eastAsia"/>
          <w:lang w:val="en-US" w:eastAsia="zh-CN"/>
        </w:rPr>
        <w:t>附图5   卫生防护距离包络图</w:t>
      </w:r>
    </w:p>
    <w:p>
      <w:pPr>
        <w:pStyle w:val="121"/>
        <w:spacing w:line="360" w:lineRule="auto"/>
        <w:ind w:firstLine="480" w:firstLineChars="200"/>
        <w:rPr>
          <w:rFonts w:hint="eastAsia"/>
          <w:lang w:val="en-US" w:eastAsia="zh-CN"/>
        </w:rPr>
      </w:pPr>
      <w:r>
        <w:rPr>
          <w:rFonts w:hint="eastAsia"/>
          <w:lang w:val="en-US" w:eastAsia="zh-CN"/>
        </w:rPr>
        <w:t>附图6   项目沼液消纳管网图</w:t>
      </w:r>
    </w:p>
    <w:p>
      <w:pPr>
        <w:pStyle w:val="121"/>
        <w:spacing w:line="360" w:lineRule="auto"/>
        <w:ind w:firstLine="480" w:firstLineChars="200"/>
        <w:rPr>
          <w:rFonts w:hint="eastAsia"/>
          <w:lang w:val="en-US" w:eastAsia="zh-CN"/>
        </w:rPr>
      </w:pPr>
      <w:r>
        <w:rPr>
          <w:rFonts w:hint="eastAsia"/>
          <w:lang w:val="en-US" w:eastAsia="zh-CN"/>
        </w:rPr>
        <w:t>附图7   项目现状照片</w:t>
      </w:r>
    </w:p>
    <w:p>
      <w:pPr>
        <w:pStyle w:val="121"/>
        <w:spacing w:line="360" w:lineRule="auto"/>
        <w:ind w:firstLine="480" w:firstLineChars="200"/>
        <w:rPr>
          <w:rFonts w:hint="default"/>
          <w:lang w:val="en-US" w:eastAsia="zh-CN"/>
        </w:rPr>
      </w:pPr>
    </w:p>
    <w:p>
      <w:pPr>
        <w:pStyle w:val="121"/>
        <w:spacing w:line="360" w:lineRule="auto"/>
        <w:ind w:firstLine="482" w:firstLineChars="200"/>
      </w:pPr>
      <w:r>
        <w:rPr>
          <w:rFonts w:hint="eastAsia"/>
          <w:b/>
          <w:bCs/>
        </w:rPr>
        <w:t>附件</w:t>
      </w:r>
      <w:r>
        <w:rPr>
          <w:rFonts w:hint="eastAsia"/>
        </w:rPr>
        <w:t>：</w:t>
      </w:r>
    </w:p>
    <w:p>
      <w:pPr>
        <w:pStyle w:val="121"/>
        <w:spacing w:line="360" w:lineRule="auto"/>
        <w:ind w:firstLine="480" w:firstLineChars="200"/>
      </w:pPr>
      <w:r>
        <w:rPr>
          <w:rFonts w:hint="eastAsia"/>
        </w:rPr>
        <w:t>附件</w:t>
      </w:r>
      <w:r>
        <w:t xml:space="preserve">1   </w:t>
      </w:r>
      <w:r>
        <w:rPr>
          <w:rFonts w:hint="eastAsia"/>
        </w:rPr>
        <w:t>委托书</w:t>
      </w:r>
    </w:p>
    <w:p>
      <w:pPr>
        <w:pStyle w:val="121"/>
        <w:spacing w:line="360" w:lineRule="auto"/>
        <w:ind w:firstLine="480" w:firstLineChars="200"/>
      </w:pPr>
      <w:r>
        <w:rPr>
          <w:rFonts w:hint="eastAsia"/>
        </w:rPr>
        <w:t>附件</w:t>
      </w:r>
      <w:r>
        <w:t xml:space="preserve">2   </w:t>
      </w:r>
      <w:r>
        <w:rPr>
          <w:rFonts w:hint="eastAsia"/>
        </w:rPr>
        <w:t>企业投资项目备案证明</w:t>
      </w:r>
    </w:p>
    <w:p>
      <w:pPr>
        <w:pStyle w:val="121"/>
        <w:spacing w:line="360" w:lineRule="auto"/>
        <w:ind w:firstLine="480" w:firstLineChars="200"/>
        <w:rPr>
          <w:rFonts w:hint="default"/>
          <w:lang w:val="en-US" w:eastAsia="zh-CN"/>
        </w:rPr>
      </w:pPr>
      <w:r>
        <w:rPr>
          <w:rFonts w:hint="eastAsia"/>
        </w:rPr>
        <w:t>附件</w:t>
      </w:r>
      <w:r>
        <w:t xml:space="preserve">3   </w:t>
      </w:r>
      <w:r>
        <w:rPr>
          <w:rFonts w:hint="eastAsia"/>
          <w:lang w:val="en-US" w:eastAsia="zh-CN"/>
        </w:rPr>
        <w:t>土地协议</w:t>
      </w:r>
    </w:p>
    <w:p>
      <w:pPr>
        <w:pStyle w:val="121"/>
        <w:spacing w:line="360" w:lineRule="auto"/>
        <w:ind w:firstLine="480" w:firstLineChars="200"/>
        <w:rPr>
          <w:rFonts w:hint="default"/>
          <w:lang w:val="en-US" w:eastAsia="zh-CN"/>
        </w:rPr>
      </w:pPr>
      <w:r>
        <w:rPr>
          <w:rFonts w:hint="eastAsia"/>
        </w:rPr>
        <w:t>附件</w:t>
      </w:r>
      <w:r>
        <w:t xml:space="preserve">4   </w:t>
      </w:r>
      <w:r>
        <w:rPr>
          <w:rFonts w:hint="eastAsia"/>
          <w:lang w:val="en-US" w:eastAsia="zh-CN"/>
        </w:rPr>
        <w:t>租赁协议</w:t>
      </w:r>
    </w:p>
    <w:p>
      <w:pPr>
        <w:pStyle w:val="121"/>
        <w:spacing w:line="360" w:lineRule="auto"/>
        <w:ind w:firstLine="480" w:firstLineChars="200"/>
      </w:pPr>
      <w:r>
        <w:rPr>
          <w:rFonts w:hint="eastAsia"/>
          <w:lang w:val="en-US" w:eastAsia="zh-CN"/>
        </w:rPr>
        <w:t>附件5   营业执照</w:t>
      </w:r>
    </w:p>
    <w:p>
      <w:pPr>
        <w:pStyle w:val="121"/>
        <w:spacing w:line="360" w:lineRule="auto"/>
        <w:ind w:firstLine="480" w:firstLineChars="200"/>
      </w:pPr>
    </w:p>
    <w:p>
      <w:pPr>
        <w:pStyle w:val="121"/>
        <w:spacing w:line="360" w:lineRule="auto"/>
        <w:ind w:firstLine="480" w:firstLineChars="200"/>
      </w:pPr>
      <w:r>
        <w:t>附表</w:t>
      </w:r>
    </w:p>
    <w:p>
      <w:pPr>
        <w:pStyle w:val="121"/>
        <w:spacing w:line="360" w:lineRule="auto"/>
        <w:ind w:firstLine="480" w:firstLineChars="200"/>
      </w:pPr>
      <w:r>
        <w:t>建设项目环评审批基础信息表</w:t>
      </w:r>
    </w:p>
    <w:p>
      <w:pPr>
        <w:spacing w:line="500" w:lineRule="exact"/>
        <w:rPr>
          <w:color w:val="000000"/>
          <w:sz w:val="24"/>
        </w:rPr>
      </w:pPr>
    </w:p>
    <w:p>
      <w:pPr>
        <w:spacing w:line="500" w:lineRule="exact"/>
        <w:rPr>
          <w:color w:val="000000"/>
          <w:sz w:val="24"/>
        </w:rPr>
        <w:sectPr>
          <w:pgSz w:w="11906" w:h="16838"/>
          <w:pgMar w:top="1701" w:right="1588" w:bottom="1985" w:left="1588" w:header="851" w:footer="992" w:gutter="0"/>
          <w:pgBorders>
            <w:top w:val="none" w:sz="0" w:space="0"/>
            <w:left w:val="none" w:sz="0" w:space="0"/>
            <w:bottom w:val="none" w:sz="0" w:space="0"/>
            <w:right w:val="none" w:sz="0" w:space="0"/>
          </w:pgBorders>
          <w:pgNumType w:fmt="upperRoman"/>
          <w:cols w:space="720" w:num="1"/>
          <w:docGrid w:type="lines" w:linePitch="312" w:charSpace="0"/>
        </w:sectPr>
      </w:pPr>
    </w:p>
    <w:p>
      <w:pPr>
        <w:keepNext/>
        <w:keepLines/>
        <w:spacing w:before="100" w:beforeAutospacing="1" w:after="100" w:afterAutospacing="1"/>
        <w:jc w:val="center"/>
        <w:outlineLvl w:val="0"/>
        <w:rPr>
          <w:b/>
          <w:sz w:val="44"/>
          <w:szCs w:val="44"/>
        </w:rPr>
      </w:pPr>
      <w:bookmarkStart w:id="5" w:name="_Toc22308"/>
      <w:r>
        <w:rPr>
          <w:b/>
          <w:sz w:val="44"/>
          <w:szCs w:val="44"/>
        </w:rPr>
        <w:t xml:space="preserve">第一章   </w:t>
      </w:r>
      <w:bookmarkEnd w:id="0"/>
      <w:r>
        <w:rPr>
          <w:b/>
          <w:sz w:val="44"/>
          <w:szCs w:val="44"/>
        </w:rPr>
        <w:t>总则</w:t>
      </w:r>
      <w:bookmarkEnd w:id="5"/>
    </w:p>
    <w:p>
      <w:pPr>
        <w:pStyle w:val="5"/>
        <w:spacing w:before="156" w:after="156"/>
        <w:rPr>
          <w:rFonts w:hAnsi="Times New Roman"/>
          <w:color w:val="000000"/>
        </w:rPr>
      </w:pPr>
      <w:bookmarkStart w:id="6" w:name="_Toc375206149"/>
      <w:bookmarkStart w:id="7" w:name="_Toc20164"/>
      <w:r>
        <w:rPr>
          <w:rFonts w:hAnsi="Times New Roman"/>
          <w:color w:val="000000"/>
        </w:rPr>
        <w:t xml:space="preserve">1.1 </w:t>
      </w:r>
      <w:bookmarkEnd w:id="6"/>
      <w:r>
        <w:rPr>
          <w:rFonts w:hAnsi="Times New Roman"/>
          <w:color w:val="000000"/>
        </w:rPr>
        <w:t>项目由来</w:t>
      </w:r>
      <w:bookmarkEnd w:id="7"/>
    </w:p>
    <w:p>
      <w:pPr>
        <w:spacing w:line="500" w:lineRule="exact"/>
        <w:ind w:firstLine="480"/>
        <w:rPr>
          <w:rFonts w:hint="eastAsia"/>
          <w:bCs/>
          <w:color w:val="000000"/>
          <w:sz w:val="24"/>
        </w:rPr>
      </w:pPr>
      <w:r>
        <w:rPr>
          <w:bCs/>
          <w:color w:val="000000"/>
          <w:sz w:val="24"/>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r>
        <w:rPr>
          <w:rFonts w:hint="eastAsia"/>
          <w:bCs/>
          <w:color w:val="000000"/>
          <w:sz w:val="24"/>
        </w:rPr>
        <w:t>随着人民的生活水平不断的提高，无公害生态优质肉猪的发展迎来了全面发展的黄金时期，由于我国大部分地区在整个肉食品结构中传统上以猪肉为主，国内市场上优质无公害生态瘦肉型猪肉销售将呈现巨大的市场空间，为生猪养殖发展带来无限商机，自2015年起国内市场猪肉价格普遍上涨，且一涨再涨的现象，就是这种商机初现的很好证明；同时也表明，长期困扰我国广大农民养猪低效，猪肉市场长期低迷的不利态势已经过去，而规模化标准化的无公害型生态养殖猪将在未来的市场中立于不败之地。</w:t>
      </w:r>
    </w:p>
    <w:p>
      <w:pPr>
        <w:spacing w:line="500" w:lineRule="exact"/>
        <w:ind w:firstLine="480"/>
        <w:rPr>
          <w:rFonts w:hint="eastAsia"/>
          <w:bCs/>
          <w:color w:val="000000"/>
          <w:sz w:val="24"/>
          <w:lang w:val="en-US" w:eastAsia="zh-CN"/>
        </w:rPr>
      </w:pPr>
      <w:r>
        <w:rPr>
          <w:rFonts w:hint="eastAsia"/>
          <w:bCs/>
          <w:color w:val="000000"/>
          <w:sz w:val="24"/>
        </w:rPr>
        <w:t>根据党的十八大会议精神，大力发展扶持畜牧业向规模化、科学化、标准化、无公害生态型养殖企业。为落实党的十八大会议精神和《国务院办关于促进生猪发展稳定市场供应的意见》，</w:t>
      </w:r>
      <w:r>
        <w:rPr>
          <w:rFonts w:hint="eastAsia"/>
          <w:bCs/>
          <w:color w:val="000000"/>
          <w:sz w:val="24"/>
          <w:lang w:val="en-US" w:eastAsia="zh-CN"/>
        </w:rPr>
        <w:t>正阳县辉鸿农牧</w:t>
      </w:r>
      <w:r>
        <w:rPr>
          <w:rFonts w:hint="eastAsia"/>
          <w:bCs/>
          <w:color w:val="000000"/>
          <w:sz w:val="24"/>
        </w:rPr>
        <w:t>有限公司拟在驻马店市正阳县</w:t>
      </w:r>
      <w:r>
        <w:rPr>
          <w:rFonts w:hint="eastAsia"/>
          <w:bCs/>
          <w:color w:val="000000"/>
          <w:sz w:val="24"/>
          <w:lang w:val="en-US" w:eastAsia="zh-CN"/>
        </w:rPr>
        <w:t>青年农场</w:t>
      </w:r>
      <w:r>
        <w:rPr>
          <w:bCs/>
          <w:color w:val="000000"/>
          <w:sz w:val="24"/>
        </w:rPr>
        <w:t>建设“</w:t>
      </w:r>
      <w:r>
        <w:rPr>
          <w:rFonts w:hint="eastAsia"/>
          <w:bCs/>
          <w:color w:val="000000"/>
          <w:sz w:val="24"/>
          <w:lang w:val="en-US" w:eastAsia="zh-CN"/>
        </w:rPr>
        <w:t>正阳县辉鸿农牧有限公司新建年出栏生猪一万头生产</w:t>
      </w:r>
      <w:r>
        <w:rPr>
          <w:rFonts w:hint="eastAsia"/>
          <w:bCs/>
          <w:color w:val="000000"/>
          <w:sz w:val="24"/>
        </w:rPr>
        <w:t>项目</w:t>
      </w:r>
      <w:r>
        <w:rPr>
          <w:bCs/>
          <w:color w:val="000000"/>
          <w:sz w:val="24"/>
        </w:rPr>
        <w:t>”。本项目建设内容包括</w:t>
      </w:r>
      <w:r>
        <w:rPr>
          <w:rFonts w:hint="eastAsia"/>
          <w:bCs/>
          <w:color w:val="000000"/>
          <w:sz w:val="24"/>
          <w:lang w:val="en-US" w:eastAsia="zh-CN"/>
        </w:rPr>
        <w:t>一体化封闭猪</w:t>
      </w:r>
      <w:r>
        <w:rPr>
          <w:bCs/>
          <w:color w:val="000000"/>
          <w:sz w:val="24"/>
        </w:rPr>
        <w:t>舍</w:t>
      </w:r>
      <w:r>
        <w:rPr>
          <w:rFonts w:hint="eastAsia"/>
          <w:bCs/>
          <w:color w:val="000000"/>
          <w:sz w:val="24"/>
          <w:lang w:val="en-US" w:eastAsia="zh-CN"/>
        </w:rPr>
        <w:t>9000m</w:t>
      </w:r>
      <w:r>
        <w:rPr>
          <w:rFonts w:hint="eastAsia"/>
          <w:bCs/>
          <w:color w:val="000000"/>
          <w:sz w:val="24"/>
          <w:vertAlign w:val="superscript"/>
          <w:lang w:val="en-US" w:eastAsia="zh-CN"/>
        </w:rPr>
        <w:t>2</w:t>
      </w:r>
      <w:r>
        <w:rPr>
          <w:bCs/>
          <w:color w:val="000000"/>
          <w:sz w:val="24"/>
        </w:rPr>
        <w:t>，并配套建设污水处理设施、沼液综合利用等配套工程；清粪方式采用干清粪工艺；该项目占地面积</w:t>
      </w:r>
      <w:r>
        <w:rPr>
          <w:rFonts w:hint="eastAsia"/>
          <w:bCs/>
          <w:color w:val="000000"/>
          <w:sz w:val="24"/>
          <w:lang w:val="en-US" w:eastAsia="zh-CN"/>
        </w:rPr>
        <w:t>约44999.92m</w:t>
      </w:r>
      <w:r>
        <w:rPr>
          <w:rFonts w:hint="eastAsia"/>
          <w:bCs/>
          <w:color w:val="000000"/>
          <w:sz w:val="24"/>
          <w:vertAlign w:val="superscript"/>
          <w:lang w:val="en-US" w:eastAsia="zh-CN"/>
        </w:rPr>
        <w:t>2</w:t>
      </w:r>
      <w:r>
        <w:rPr>
          <w:bCs/>
          <w:color w:val="000000"/>
          <w:sz w:val="24"/>
        </w:rPr>
        <w:t>，总投资</w:t>
      </w:r>
      <w:r>
        <w:rPr>
          <w:rFonts w:hint="eastAsia"/>
          <w:bCs/>
          <w:color w:val="000000"/>
          <w:sz w:val="24"/>
          <w:lang w:val="en-US" w:eastAsia="zh-CN"/>
        </w:rPr>
        <w:t>20</w:t>
      </w:r>
      <w:r>
        <w:rPr>
          <w:bCs/>
          <w:color w:val="000000"/>
          <w:sz w:val="24"/>
        </w:rPr>
        <w:t>00万元，劳动定员</w:t>
      </w:r>
      <w:r>
        <w:rPr>
          <w:rFonts w:hint="eastAsia"/>
          <w:bCs/>
          <w:color w:val="000000"/>
          <w:sz w:val="24"/>
          <w:lang w:val="en-US" w:eastAsia="zh-CN"/>
        </w:rPr>
        <w:t>20</w:t>
      </w:r>
      <w:r>
        <w:rPr>
          <w:bCs/>
          <w:color w:val="000000"/>
          <w:sz w:val="24"/>
        </w:rPr>
        <w:t>人，项目建成后养殖规模可达到年出栏生猪</w:t>
      </w:r>
      <w:r>
        <w:rPr>
          <w:rFonts w:hint="eastAsia"/>
          <w:bCs/>
          <w:color w:val="000000"/>
          <w:sz w:val="24"/>
          <w:lang w:val="en-US" w:eastAsia="zh-CN"/>
        </w:rPr>
        <w:t>一万</w:t>
      </w:r>
      <w:r>
        <w:rPr>
          <w:bCs/>
          <w:color w:val="000000"/>
          <w:sz w:val="24"/>
        </w:rPr>
        <w:t>头。项目中心坐标东经：</w:t>
      </w:r>
      <w:r>
        <w:rPr>
          <w:rFonts w:hint="eastAsia"/>
          <w:bCs/>
          <w:color w:val="000000"/>
          <w:sz w:val="24"/>
        </w:rPr>
        <w:t>114.596007</w:t>
      </w:r>
      <w:r>
        <w:rPr>
          <w:bCs/>
          <w:color w:val="000000"/>
          <w:sz w:val="24"/>
        </w:rPr>
        <w:t>，北纬：</w:t>
      </w:r>
      <w:r>
        <w:rPr>
          <w:rFonts w:hint="eastAsia"/>
          <w:bCs/>
          <w:color w:val="000000"/>
          <w:sz w:val="24"/>
        </w:rPr>
        <w:t>32.614391</w:t>
      </w:r>
      <w:r>
        <w:rPr>
          <w:bCs/>
          <w:color w:val="000000"/>
          <w:sz w:val="24"/>
        </w:rPr>
        <w:t>。</w:t>
      </w:r>
      <w:r>
        <w:rPr>
          <w:rFonts w:hint="eastAsia"/>
          <w:bCs/>
          <w:color w:val="000000"/>
          <w:sz w:val="24"/>
          <w:lang w:val="en-US" w:eastAsia="zh-CN"/>
        </w:rPr>
        <w:t>厂界拐点坐标见下表：</w:t>
      </w:r>
    </w:p>
    <w:p>
      <w:pPr>
        <w:spacing w:line="500" w:lineRule="exact"/>
        <w:ind w:firstLine="422" w:firstLineChars="200"/>
        <w:jc w:val="center"/>
        <w:rPr>
          <w:b/>
          <w:color w:val="000000"/>
          <w:szCs w:val="21"/>
        </w:rPr>
      </w:pPr>
      <w:r>
        <w:rPr>
          <w:b/>
          <w:color w:val="000000"/>
          <w:szCs w:val="21"/>
        </w:rPr>
        <w:t>表1</w:t>
      </w:r>
      <w:r>
        <w:rPr>
          <w:rFonts w:hint="eastAsia"/>
          <w:b/>
          <w:color w:val="000000"/>
          <w:szCs w:val="21"/>
          <w:lang w:val="en-US" w:eastAsia="zh-CN"/>
        </w:rPr>
        <w:t>.1</w:t>
      </w:r>
      <w:r>
        <w:rPr>
          <w:b/>
          <w:color w:val="000000"/>
          <w:szCs w:val="21"/>
        </w:rPr>
        <w:t>-</w:t>
      </w:r>
      <w:r>
        <w:rPr>
          <w:rFonts w:hint="eastAsia"/>
          <w:b/>
          <w:color w:val="000000"/>
          <w:szCs w:val="21"/>
          <w:lang w:val="en-US" w:eastAsia="zh-CN"/>
        </w:rPr>
        <w:t>1</w:t>
      </w:r>
      <w:r>
        <w:rPr>
          <w:b/>
          <w:color w:val="000000"/>
          <w:szCs w:val="21"/>
        </w:rPr>
        <w:t xml:space="preserve">   </w:t>
      </w:r>
      <w:r>
        <w:rPr>
          <w:rFonts w:hint="eastAsia"/>
          <w:b/>
          <w:color w:val="000000"/>
          <w:szCs w:val="21"/>
          <w:lang w:val="en-US" w:eastAsia="zh-CN"/>
        </w:rPr>
        <w:t>项目厂界拐点坐标</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3865"/>
        <w:gridCol w:w="3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05" w:type="pct"/>
            <w:vAlign w:val="center"/>
          </w:tcPr>
          <w:p>
            <w:pPr>
              <w:spacing w:line="320" w:lineRule="exact"/>
              <w:jc w:val="center"/>
              <w:rPr>
                <w:rFonts w:hint="default" w:eastAsia="宋体"/>
                <w:b/>
                <w:color w:val="000000"/>
                <w:szCs w:val="21"/>
                <w:lang w:val="en-US" w:eastAsia="zh-CN"/>
              </w:rPr>
            </w:pPr>
            <w:r>
              <w:rPr>
                <w:rFonts w:hint="eastAsia"/>
                <w:b/>
                <w:color w:val="000000"/>
                <w:szCs w:val="21"/>
                <w:lang w:val="en-US" w:eastAsia="zh-CN"/>
              </w:rPr>
              <w:t>拐点编号</w:t>
            </w:r>
          </w:p>
        </w:tc>
        <w:tc>
          <w:tcPr>
            <w:tcW w:w="2160" w:type="pct"/>
            <w:vAlign w:val="center"/>
          </w:tcPr>
          <w:p>
            <w:pPr>
              <w:spacing w:line="320" w:lineRule="exact"/>
              <w:jc w:val="center"/>
              <w:rPr>
                <w:rFonts w:hint="default" w:eastAsia="宋体"/>
                <w:b/>
                <w:color w:val="000000"/>
                <w:szCs w:val="21"/>
                <w:lang w:val="en-US" w:eastAsia="zh-CN"/>
              </w:rPr>
            </w:pPr>
            <w:r>
              <w:rPr>
                <w:rFonts w:hint="eastAsia"/>
                <w:b/>
                <w:color w:val="000000"/>
                <w:szCs w:val="21"/>
                <w:lang w:val="en-US" w:eastAsia="zh-CN"/>
              </w:rPr>
              <w:t>X</w:t>
            </w:r>
          </w:p>
        </w:tc>
        <w:tc>
          <w:tcPr>
            <w:tcW w:w="2033" w:type="pct"/>
            <w:vAlign w:val="center"/>
          </w:tcPr>
          <w:p>
            <w:pPr>
              <w:spacing w:line="320" w:lineRule="exact"/>
              <w:jc w:val="center"/>
              <w:rPr>
                <w:rFonts w:hint="eastAsia" w:eastAsia="宋体"/>
                <w:b/>
                <w:color w:val="000000"/>
                <w:szCs w:val="21"/>
                <w:lang w:eastAsia="zh-CN"/>
              </w:rPr>
            </w:pPr>
            <w:r>
              <w:rPr>
                <w:rFonts w:hint="eastAsia"/>
                <w:b/>
                <w:color w:val="000000"/>
                <w:szCs w:val="21"/>
                <w:lang w:val="en-US" w:eastAsia="zh-CN"/>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05" w:type="pct"/>
            <w:vAlign w:val="center"/>
          </w:tcPr>
          <w:p>
            <w:pPr>
              <w:jc w:val="center"/>
              <w:rPr>
                <w:rFonts w:hint="eastAsia" w:eastAsia="宋体"/>
                <w:color w:val="000000"/>
                <w:lang w:val="en-US" w:eastAsia="zh-CN"/>
              </w:rPr>
            </w:pPr>
            <w:r>
              <w:rPr>
                <w:rFonts w:hint="eastAsia"/>
                <w:color w:val="000000"/>
                <w:lang w:val="en-US" w:eastAsia="zh-CN"/>
              </w:rPr>
              <w:t>1</w:t>
            </w:r>
          </w:p>
        </w:tc>
        <w:tc>
          <w:tcPr>
            <w:tcW w:w="2160" w:type="pct"/>
            <w:vAlign w:val="center"/>
          </w:tcPr>
          <w:p>
            <w:pPr>
              <w:jc w:val="center"/>
              <w:rPr>
                <w:rFonts w:hint="default" w:eastAsia="宋体"/>
                <w:color w:val="000000"/>
                <w:lang w:val="en-US" w:eastAsia="zh-CN"/>
              </w:rPr>
            </w:pPr>
            <w:r>
              <w:rPr>
                <w:rFonts w:hint="eastAsia"/>
                <w:color w:val="000000"/>
                <w:lang w:val="en-US" w:eastAsia="zh-CN"/>
              </w:rPr>
              <w:t>3610220.438</w:t>
            </w:r>
          </w:p>
        </w:tc>
        <w:tc>
          <w:tcPr>
            <w:tcW w:w="2033" w:type="pct"/>
            <w:vAlign w:val="center"/>
          </w:tcPr>
          <w:p>
            <w:pPr>
              <w:spacing w:line="320" w:lineRule="exact"/>
              <w:jc w:val="center"/>
              <w:rPr>
                <w:rFonts w:hint="default" w:eastAsia="宋体"/>
                <w:color w:val="000000"/>
                <w:szCs w:val="21"/>
                <w:lang w:val="en-US" w:eastAsia="zh-CN"/>
              </w:rPr>
            </w:pPr>
            <w:r>
              <w:rPr>
                <w:rFonts w:hint="eastAsia"/>
                <w:color w:val="000000"/>
                <w:szCs w:val="21"/>
                <w:lang w:val="en-US" w:eastAsia="zh-CN"/>
              </w:rPr>
              <w:t>555334.376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05" w:type="pct"/>
            <w:vAlign w:val="center"/>
          </w:tcPr>
          <w:p>
            <w:pPr>
              <w:jc w:val="center"/>
              <w:rPr>
                <w:rFonts w:hint="eastAsia" w:eastAsia="宋体"/>
                <w:color w:val="000000"/>
                <w:lang w:val="en-US" w:eastAsia="zh-CN"/>
              </w:rPr>
            </w:pPr>
            <w:r>
              <w:rPr>
                <w:rFonts w:hint="eastAsia"/>
                <w:color w:val="000000"/>
                <w:lang w:val="en-US" w:eastAsia="zh-CN"/>
              </w:rPr>
              <w:t>2</w:t>
            </w:r>
          </w:p>
        </w:tc>
        <w:tc>
          <w:tcPr>
            <w:tcW w:w="2160" w:type="pct"/>
            <w:vAlign w:val="center"/>
          </w:tcPr>
          <w:p>
            <w:pPr>
              <w:jc w:val="center"/>
              <w:rPr>
                <w:rFonts w:hint="default" w:eastAsia="宋体"/>
                <w:color w:val="000000"/>
                <w:lang w:val="en-US" w:eastAsia="zh-CN"/>
              </w:rPr>
            </w:pPr>
            <w:r>
              <w:rPr>
                <w:rFonts w:hint="eastAsia"/>
                <w:color w:val="000000"/>
                <w:lang w:val="en-US" w:eastAsia="zh-CN"/>
              </w:rPr>
              <w:t>3610519.030</w:t>
            </w:r>
          </w:p>
        </w:tc>
        <w:tc>
          <w:tcPr>
            <w:tcW w:w="2033" w:type="pct"/>
            <w:vAlign w:val="center"/>
          </w:tcPr>
          <w:p>
            <w:pPr>
              <w:spacing w:line="320" w:lineRule="exact"/>
              <w:jc w:val="center"/>
              <w:rPr>
                <w:rFonts w:hint="default" w:eastAsia="宋体"/>
                <w:color w:val="000000"/>
                <w:szCs w:val="21"/>
                <w:lang w:val="en-US" w:eastAsia="zh-CN"/>
              </w:rPr>
            </w:pPr>
            <w:r>
              <w:rPr>
                <w:rFonts w:hint="eastAsia"/>
                <w:color w:val="000000"/>
                <w:szCs w:val="21"/>
                <w:lang w:val="en-US" w:eastAsia="zh-CN"/>
              </w:rPr>
              <w:t>555305.346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05" w:type="pct"/>
            <w:vAlign w:val="center"/>
          </w:tcPr>
          <w:p>
            <w:pPr>
              <w:jc w:val="center"/>
              <w:rPr>
                <w:rFonts w:hint="eastAsia" w:eastAsia="宋体"/>
                <w:color w:val="000000"/>
                <w:lang w:val="en-US" w:eastAsia="zh-CN"/>
              </w:rPr>
            </w:pPr>
            <w:r>
              <w:rPr>
                <w:rFonts w:hint="eastAsia"/>
                <w:color w:val="000000"/>
                <w:lang w:val="en-US" w:eastAsia="zh-CN"/>
              </w:rPr>
              <w:t>3</w:t>
            </w:r>
          </w:p>
        </w:tc>
        <w:tc>
          <w:tcPr>
            <w:tcW w:w="2160" w:type="pct"/>
            <w:vAlign w:val="center"/>
          </w:tcPr>
          <w:p>
            <w:pPr>
              <w:jc w:val="center"/>
              <w:rPr>
                <w:rFonts w:hint="default" w:eastAsia="宋体"/>
                <w:color w:val="000000"/>
                <w:lang w:val="en-US" w:eastAsia="zh-CN"/>
              </w:rPr>
            </w:pPr>
            <w:r>
              <w:rPr>
                <w:rFonts w:hint="eastAsia"/>
                <w:color w:val="000000"/>
                <w:lang w:val="en-US" w:eastAsia="zh-CN"/>
              </w:rPr>
              <w:t>3610533.827</w:t>
            </w:r>
          </w:p>
        </w:tc>
        <w:tc>
          <w:tcPr>
            <w:tcW w:w="2033" w:type="pct"/>
            <w:vAlign w:val="center"/>
          </w:tcPr>
          <w:p>
            <w:pPr>
              <w:spacing w:line="320" w:lineRule="exact"/>
              <w:jc w:val="center"/>
              <w:rPr>
                <w:rFonts w:hint="default" w:eastAsia="宋体"/>
                <w:color w:val="000000"/>
                <w:lang w:val="en-US" w:eastAsia="zh-CN"/>
              </w:rPr>
            </w:pPr>
            <w:r>
              <w:rPr>
                <w:rFonts w:hint="eastAsia"/>
                <w:color w:val="000000"/>
                <w:lang w:val="en-US" w:eastAsia="zh-CN"/>
              </w:rPr>
              <w:t>555454.615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05" w:type="pct"/>
            <w:vAlign w:val="center"/>
          </w:tcPr>
          <w:p>
            <w:pPr>
              <w:jc w:val="center"/>
              <w:rPr>
                <w:rFonts w:hint="default"/>
                <w:color w:val="000000"/>
                <w:lang w:val="en-US" w:eastAsia="zh-CN"/>
              </w:rPr>
            </w:pPr>
            <w:r>
              <w:rPr>
                <w:rFonts w:hint="eastAsia"/>
                <w:color w:val="000000"/>
                <w:lang w:val="en-US" w:eastAsia="zh-CN"/>
              </w:rPr>
              <w:t>4</w:t>
            </w:r>
          </w:p>
        </w:tc>
        <w:tc>
          <w:tcPr>
            <w:tcW w:w="2160" w:type="pct"/>
            <w:vAlign w:val="center"/>
          </w:tcPr>
          <w:p>
            <w:pPr>
              <w:jc w:val="center"/>
              <w:rPr>
                <w:rFonts w:hint="default"/>
                <w:color w:val="000000"/>
                <w:lang w:val="en-US" w:eastAsia="zh-CN"/>
              </w:rPr>
            </w:pPr>
            <w:r>
              <w:rPr>
                <w:rFonts w:hint="eastAsia"/>
                <w:color w:val="000000"/>
                <w:lang w:val="en-US" w:eastAsia="zh-CN"/>
              </w:rPr>
              <w:t>3610235.235</w:t>
            </w:r>
          </w:p>
        </w:tc>
        <w:tc>
          <w:tcPr>
            <w:tcW w:w="2033" w:type="pct"/>
            <w:vAlign w:val="center"/>
          </w:tcPr>
          <w:p>
            <w:pPr>
              <w:spacing w:line="320" w:lineRule="exact"/>
              <w:jc w:val="center"/>
              <w:rPr>
                <w:rFonts w:hint="default"/>
                <w:color w:val="000000"/>
                <w:lang w:val="en-US" w:eastAsia="zh-CN"/>
              </w:rPr>
            </w:pPr>
            <w:r>
              <w:rPr>
                <w:rFonts w:hint="eastAsia"/>
                <w:color w:val="000000"/>
                <w:lang w:val="en-US" w:eastAsia="zh-CN"/>
              </w:rPr>
              <w:t>555483.644</w:t>
            </w:r>
          </w:p>
        </w:tc>
      </w:tr>
    </w:tbl>
    <w:p>
      <w:pPr>
        <w:pStyle w:val="21"/>
        <w:rPr>
          <w:rFonts w:hint="default"/>
          <w:lang w:val="en-US" w:eastAsia="zh-CN"/>
        </w:rPr>
      </w:pPr>
    </w:p>
    <w:p>
      <w:pPr>
        <w:spacing w:line="500" w:lineRule="exact"/>
        <w:ind w:firstLine="480"/>
        <w:rPr>
          <w:bCs/>
          <w:color w:val="000000"/>
          <w:sz w:val="24"/>
        </w:rPr>
      </w:pPr>
      <w:r>
        <w:rPr>
          <w:bCs/>
          <w:color w:val="000000"/>
          <w:sz w:val="24"/>
        </w:rPr>
        <w:t>畜牧业作为我国农业农村经济的支柱产业，对保障国家食物安全，增加农民收入，保护和改善生态环境，推进农业现代化，促进国民经济现代化，促进国民经济稳定发展，具有十分重要的现实意义。《全国畜牧业发展第十二个五年规划（2011-2015）》及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pPr>
        <w:spacing w:line="500" w:lineRule="exact"/>
        <w:ind w:firstLine="480"/>
        <w:rPr>
          <w:bCs/>
          <w:color w:val="000000"/>
          <w:sz w:val="24"/>
        </w:rPr>
      </w:pPr>
      <w:r>
        <w:rPr>
          <w:bCs/>
          <w:color w:val="000000"/>
          <w:sz w:val="24"/>
        </w:rPr>
        <w:t>根据《循环经济发展战略及近期行动计划》（国发〔2013〕5号）“第四章构建循环型农业体系 第三节畜牧业”明确指出：推进畜禽养殖清洁生产，推进适度规模养殖，鼓励养殖与种植相结合，建设标准化畜禽养殖场，推广畜禽清洁养殖、雨污分流、干湿分离和设施化处理技术； 加强畜禽粪污资源化利用，推广堆肥处理、工厂化生产有机肥、好氧发酵农田直接施用技术，促进养殖粪污资源化利用和无害化处理；构建农牧业循环经济产业链，构建畜禽粪便—沼气—发电，畜禽粪便—沼气—沼渣、沼液—无害化处理—肥料、农药—农林作物，畜禽加工—副产物—生化制品等产业链。根据《河南省人民政府办公厅关于推动全省都市生态农业发展的指导意　见》（豫政办[2014]128号），要加快我省生态农业发展，加强农业生态环境建设，加大农业面源污染防治力度，控制农药化肥使用，发展农牧结合循环经济，推进畜禽粪污资源化利用，推进以沼气池建设为重点的农村生态循环经济发展,规范农业投入品使用，支持推广农业物理和生物防控技术，减少化学农药用量。</w:t>
      </w:r>
    </w:p>
    <w:p>
      <w:pPr>
        <w:spacing w:line="500" w:lineRule="exact"/>
        <w:ind w:firstLine="480"/>
        <w:rPr>
          <w:bCs/>
          <w:color w:val="000000"/>
          <w:sz w:val="24"/>
        </w:rPr>
      </w:pPr>
      <w:r>
        <w:rPr>
          <w:color w:val="000000"/>
          <w:sz w:val="24"/>
        </w:rPr>
        <w:t>公司</w:t>
      </w:r>
      <w:r>
        <w:rPr>
          <w:bCs/>
          <w:color w:val="000000"/>
          <w:sz w:val="24"/>
        </w:rPr>
        <w:t>在生猪养殖过程中遵循循环经济发展战略、秉持着生态环保理念，积极推进畜禽养殖清洁生产和有机生态农业的发展，</w:t>
      </w:r>
      <w:r>
        <w:rPr>
          <w:bCs/>
          <w:color w:val="auto"/>
          <w:sz w:val="24"/>
        </w:rPr>
        <w:t>项目产生的粪污经固液分离后固形物进入固粪处理区制有机肥基肥，经固液分离后的废水进入</w:t>
      </w:r>
      <w:r>
        <w:rPr>
          <w:rFonts w:hint="eastAsia"/>
          <w:bCs/>
          <w:color w:val="auto"/>
          <w:sz w:val="24"/>
          <w:lang w:eastAsia="zh-CN"/>
        </w:rPr>
        <w:t>黑膜</w:t>
      </w:r>
      <w:r>
        <w:rPr>
          <w:bCs/>
          <w:color w:val="auto"/>
          <w:sz w:val="24"/>
        </w:rPr>
        <w:t>沼气池处理。经</w:t>
      </w:r>
      <w:r>
        <w:rPr>
          <w:rFonts w:hint="eastAsia"/>
          <w:bCs/>
          <w:color w:val="auto"/>
          <w:sz w:val="24"/>
          <w:lang w:eastAsia="zh-CN"/>
        </w:rPr>
        <w:t>黑膜</w:t>
      </w:r>
      <w:r>
        <w:rPr>
          <w:bCs/>
          <w:color w:val="auto"/>
          <w:sz w:val="24"/>
        </w:rPr>
        <w:t>沼气池处理后产生沼液的作为农肥施用于周边</w:t>
      </w:r>
      <w:r>
        <w:rPr>
          <w:rFonts w:hint="eastAsia"/>
          <w:bCs/>
          <w:color w:val="auto"/>
          <w:sz w:val="24"/>
          <w:lang w:val="en-US" w:eastAsia="zh-CN"/>
        </w:rPr>
        <w:t>林地施肥</w:t>
      </w:r>
      <w:r>
        <w:rPr>
          <w:bCs/>
          <w:color w:val="auto"/>
          <w:sz w:val="24"/>
        </w:rPr>
        <w:t>不外排，产生的沼渣进入固粪处理区晾晒后制有机肥基肥料；</w:t>
      </w:r>
      <w:r>
        <w:rPr>
          <w:rFonts w:hint="eastAsia"/>
          <w:bCs/>
          <w:color w:val="000000"/>
          <w:sz w:val="24"/>
          <w:lang w:eastAsia="zh-CN"/>
        </w:rPr>
        <w:t>黑膜</w:t>
      </w:r>
      <w:r>
        <w:rPr>
          <w:bCs/>
          <w:color w:val="000000"/>
          <w:sz w:val="24"/>
        </w:rPr>
        <w:t>沼气池厌氧发酵产生的沼气经净化后</w:t>
      </w:r>
      <w:r>
        <w:rPr>
          <w:rFonts w:hint="eastAsia"/>
          <w:bCs/>
          <w:color w:val="000000"/>
          <w:sz w:val="24"/>
          <w:lang w:val="en-US" w:eastAsia="zh-CN"/>
        </w:rPr>
        <w:t>用于伙房灶台，多余部分经火炬燃烧器引燃</w:t>
      </w:r>
      <w:r>
        <w:rPr>
          <w:bCs/>
          <w:color w:val="000000"/>
          <w:sz w:val="24"/>
        </w:rPr>
        <w:t>。这种间接的种养结合发展模式是符合生态发展要求的同时也是满足可持续发展观的。</w:t>
      </w:r>
    </w:p>
    <w:p>
      <w:pPr>
        <w:spacing w:line="500" w:lineRule="exact"/>
        <w:ind w:firstLine="480" w:firstLineChars="200"/>
        <w:rPr>
          <w:color w:val="000000"/>
          <w:sz w:val="24"/>
        </w:rPr>
      </w:pPr>
      <w:r>
        <w:rPr>
          <w:color w:val="000000"/>
          <w:sz w:val="24"/>
        </w:rPr>
        <w:t>根据《产业结构调整指导目录（201</w:t>
      </w:r>
      <w:r>
        <w:rPr>
          <w:rFonts w:hint="eastAsia"/>
          <w:color w:val="000000"/>
          <w:sz w:val="24"/>
          <w:lang w:val="en-US" w:eastAsia="zh-CN"/>
        </w:rPr>
        <w:t>9</w:t>
      </w:r>
      <w:r>
        <w:rPr>
          <w:color w:val="000000"/>
          <w:sz w:val="24"/>
        </w:rPr>
        <w:t>年本），本项目属于鼓励类中的“畜禽标准化</w:t>
      </w:r>
      <w:r>
        <w:rPr>
          <w:rFonts w:hint="eastAsia"/>
          <w:color w:val="000000"/>
          <w:sz w:val="24"/>
          <w:lang w:val="en-US" w:eastAsia="zh-CN"/>
        </w:rPr>
        <w:t>规模</w:t>
      </w:r>
      <w:r>
        <w:rPr>
          <w:color w:val="000000"/>
          <w:sz w:val="24"/>
        </w:rPr>
        <w:t>养殖技术开发与应用”；根据《中华人民共和国环境保护法》和《中华人民共和国环境影响评价法》等法律有关规定，对新建或改扩建项目需进行环境影响评价。对照《建设项目环境影响评价分类管理名录》（环境保护部令第44号, 2018年4月28修改），该项目属第一类 畜牧业\第1项 畜禽养殖场、养殖小区\年出栏生猪5000头以上，环评类别为报告书。受</w:t>
      </w:r>
      <w:r>
        <w:rPr>
          <w:rFonts w:hint="eastAsia"/>
          <w:color w:val="000000"/>
          <w:sz w:val="24"/>
          <w:lang w:val="en-US" w:eastAsia="zh-CN"/>
        </w:rPr>
        <w:t>正阳县辉鸿农牧有限公司</w:t>
      </w:r>
      <w:r>
        <w:rPr>
          <w:color w:val="000000"/>
          <w:sz w:val="24"/>
        </w:rPr>
        <w:t>委托，</w:t>
      </w:r>
      <w:r>
        <w:rPr>
          <w:rFonts w:hint="eastAsia"/>
          <w:color w:val="000000"/>
          <w:sz w:val="24"/>
          <w:lang w:val="en-US" w:eastAsia="zh-CN"/>
        </w:rPr>
        <w:t>我</w:t>
      </w:r>
      <w:r>
        <w:rPr>
          <w:color w:val="000000"/>
          <w:sz w:val="24"/>
        </w:rPr>
        <w:t>公司承担该项目的环境影响报告书编制工作（项目委托书见附件1）。</w:t>
      </w:r>
    </w:p>
    <w:p>
      <w:pPr>
        <w:spacing w:line="500" w:lineRule="exact"/>
        <w:ind w:firstLine="480" w:firstLineChars="200"/>
        <w:rPr>
          <w:color w:val="000000"/>
          <w:sz w:val="24"/>
        </w:rPr>
      </w:pPr>
      <w:r>
        <w:rPr>
          <w:color w:val="000000"/>
          <w:sz w:val="24"/>
        </w:rPr>
        <w:t>评价单位在接受委托后，收集有关的资料，进行现场踏勘调查，了解场址及周边环境概况，并组织对区域各环境要素进行监测，分析工程相关污染因素，经预测和评价，本着科学、规范、客观、公正的原则，编制完成了该项目的环境影响报告书。</w:t>
      </w:r>
    </w:p>
    <w:p>
      <w:pPr>
        <w:pStyle w:val="5"/>
        <w:spacing w:before="156" w:after="156"/>
        <w:rPr>
          <w:rFonts w:hAnsi="Times New Roman"/>
        </w:rPr>
      </w:pPr>
      <w:bookmarkStart w:id="8" w:name="_Toc18096"/>
      <w:r>
        <w:rPr>
          <w:rFonts w:hAnsi="Times New Roman"/>
        </w:rPr>
        <w:t>1.2建设项目特点</w:t>
      </w:r>
      <w:bookmarkEnd w:id="8"/>
    </w:p>
    <w:p>
      <w:pPr>
        <w:spacing w:before="156" w:after="156" w:line="500" w:lineRule="exact"/>
        <w:rPr>
          <w:sz w:val="24"/>
        </w:rPr>
      </w:pPr>
      <w:r>
        <w:rPr>
          <w:b/>
          <w:sz w:val="24"/>
          <w:lang w:val="zh-CN"/>
        </w:rPr>
        <w:t>1.2.1 工程特点</w:t>
      </w:r>
    </w:p>
    <w:p>
      <w:pPr>
        <w:spacing w:line="500" w:lineRule="exact"/>
        <w:ind w:firstLine="480" w:firstLineChars="200"/>
        <w:rPr>
          <w:color w:val="000000"/>
          <w:sz w:val="24"/>
        </w:rPr>
      </w:pPr>
      <w:r>
        <w:rPr>
          <w:color w:val="000000"/>
          <w:sz w:val="24"/>
        </w:rPr>
        <w:t>（1）本项目属于</w:t>
      </w:r>
      <w:r>
        <w:rPr>
          <w:rFonts w:hint="eastAsia"/>
          <w:color w:val="000000"/>
          <w:sz w:val="24"/>
          <w:lang w:val="en-US" w:eastAsia="zh-CN"/>
        </w:rPr>
        <w:t>新</w:t>
      </w:r>
      <w:r>
        <w:rPr>
          <w:color w:val="000000"/>
          <w:sz w:val="24"/>
        </w:rPr>
        <w:t>建性质，年出栏生猪</w:t>
      </w:r>
      <w:r>
        <w:rPr>
          <w:rFonts w:hint="eastAsia"/>
          <w:color w:val="000000"/>
          <w:sz w:val="24"/>
          <w:lang w:val="en-US" w:eastAsia="zh-CN"/>
        </w:rPr>
        <w:t>一万</w:t>
      </w:r>
      <w:r>
        <w:rPr>
          <w:color w:val="000000"/>
          <w:sz w:val="24"/>
        </w:rPr>
        <w:t>头，采用干清粪工艺。</w:t>
      </w:r>
    </w:p>
    <w:p>
      <w:pPr>
        <w:spacing w:line="500" w:lineRule="exact"/>
        <w:ind w:firstLine="480" w:firstLineChars="200"/>
        <w:rPr>
          <w:color w:val="000000"/>
          <w:sz w:val="24"/>
        </w:rPr>
      </w:pPr>
      <w:r>
        <w:rPr>
          <w:color w:val="000000"/>
          <w:sz w:val="24"/>
        </w:rPr>
        <w:t>（2）项目运行过程中产生的污染因素以废水、恶臭气体、固体废物和设备噪声为主。项目以“预防为主、防治结合”的技术方针，采用较为成熟的治理措施，可以将其对外环境的影响降至最低。</w:t>
      </w:r>
    </w:p>
    <w:p>
      <w:pPr>
        <w:spacing w:line="500" w:lineRule="exact"/>
        <w:ind w:firstLine="480" w:firstLineChars="200"/>
        <w:rPr>
          <w:color w:val="000000"/>
          <w:sz w:val="24"/>
        </w:rPr>
      </w:pPr>
      <w:r>
        <w:rPr>
          <w:color w:val="000000"/>
          <w:sz w:val="24"/>
        </w:rPr>
        <w:t>（3）项目为规模化养殖，养殖区采用干清粪工艺，减少养殖过程中冲洗废水产生量、降低废水中污染物的浓度；项目产生的猪粪以及本项目污水处理装置产生的粪渣运至场区粪便处理区，一起进行发酵作为有机肥基肥外售；病死猪</w:t>
      </w:r>
      <w:r>
        <w:rPr>
          <w:rFonts w:hint="eastAsia"/>
          <w:color w:val="000000"/>
          <w:sz w:val="24"/>
          <w:lang w:val="en-US" w:eastAsia="zh-CN"/>
        </w:rPr>
        <w:t>委托正阳县</w:t>
      </w:r>
      <w:r>
        <w:rPr>
          <w:color w:val="000000"/>
          <w:sz w:val="24"/>
        </w:rPr>
        <w:t>无害化处理中心处理。</w:t>
      </w:r>
    </w:p>
    <w:p>
      <w:pPr>
        <w:spacing w:line="500" w:lineRule="exact"/>
        <w:ind w:firstLine="480" w:firstLineChars="200"/>
        <w:rPr>
          <w:color w:val="000000"/>
          <w:sz w:val="24"/>
        </w:rPr>
      </w:pPr>
      <w:r>
        <w:rPr>
          <w:color w:val="000000"/>
          <w:sz w:val="24"/>
        </w:rPr>
        <w:t>（4）项目产生的废水采用“厌氧处理+</w:t>
      </w:r>
      <w:r>
        <w:rPr>
          <w:rFonts w:hint="eastAsia"/>
          <w:color w:val="000000"/>
          <w:sz w:val="24"/>
          <w:lang w:val="en-US" w:eastAsia="zh-CN"/>
        </w:rPr>
        <w:t>林地</w:t>
      </w:r>
      <w:r>
        <w:rPr>
          <w:color w:val="000000"/>
          <w:sz w:val="24"/>
        </w:rPr>
        <w:t>综合利用”的处理方式，实现废水资源化利用。</w:t>
      </w:r>
    </w:p>
    <w:p>
      <w:pPr>
        <w:spacing w:line="500" w:lineRule="exact"/>
        <w:ind w:firstLine="480" w:firstLineChars="200"/>
        <w:rPr>
          <w:color w:val="000000"/>
          <w:sz w:val="24"/>
        </w:rPr>
      </w:pPr>
      <w:r>
        <w:rPr>
          <w:color w:val="000000"/>
          <w:sz w:val="24"/>
        </w:rPr>
        <w:t>（5）项目养殖区产生的恶臭气体通过控制饲养密度、加强舍内通风、采用节水型饮水及时清粪、绿化等措施抑制或减少臭气的产生；粪污处理各工艺单元采用密闭形式，减少恶臭对周围环境的污染。</w:t>
      </w:r>
    </w:p>
    <w:p>
      <w:pPr>
        <w:spacing w:before="156" w:after="156" w:line="500" w:lineRule="exact"/>
        <w:rPr>
          <w:b/>
          <w:sz w:val="24"/>
          <w:lang w:val="zh-CN"/>
        </w:rPr>
      </w:pPr>
      <w:r>
        <w:rPr>
          <w:b/>
          <w:sz w:val="24"/>
          <w:lang w:val="zh-CN"/>
        </w:rPr>
        <w:t>1.2.2 项目环境特点</w:t>
      </w:r>
    </w:p>
    <w:p>
      <w:pPr>
        <w:spacing w:line="560" w:lineRule="exact"/>
        <w:ind w:firstLine="480" w:firstLineChars="200"/>
        <w:rPr>
          <w:b w:val="0"/>
          <w:bCs w:val="0"/>
          <w:color w:val="000000" w:themeColor="text1"/>
          <w:sz w:val="24"/>
          <w:u w:val="none"/>
        </w:rPr>
      </w:pPr>
      <w:r>
        <w:rPr>
          <w:b w:val="0"/>
          <w:bCs w:val="0"/>
          <w:color w:val="000000" w:themeColor="text1"/>
          <w:sz w:val="24"/>
          <w:u w:val="none"/>
        </w:rPr>
        <w:t>（1）区域地表水</w:t>
      </w:r>
    </w:p>
    <w:p>
      <w:pPr>
        <w:spacing w:line="560" w:lineRule="exact"/>
        <w:ind w:firstLine="480" w:firstLineChars="200"/>
        <w:rPr>
          <w:b w:val="0"/>
          <w:bCs w:val="0"/>
          <w:color w:val="000000" w:themeColor="text1"/>
          <w:sz w:val="24"/>
          <w:u w:val="none"/>
        </w:rPr>
      </w:pPr>
      <w:r>
        <w:rPr>
          <w:b w:val="0"/>
          <w:bCs w:val="0"/>
          <w:color w:val="000000" w:themeColor="text1"/>
          <w:sz w:val="24"/>
          <w:u w:val="none"/>
        </w:rPr>
        <w:t>评价区域地表水体主要为项目</w:t>
      </w:r>
      <w:r>
        <w:rPr>
          <w:rFonts w:hint="eastAsia"/>
          <w:b w:val="0"/>
          <w:bCs w:val="0"/>
          <w:color w:val="000000"/>
          <w:sz w:val="24"/>
          <w:u w:val="none"/>
          <w:lang w:val="en-US" w:eastAsia="zh-CN"/>
        </w:rPr>
        <w:t>南</w:t>
      </w:r>
      <w:r>
        <w:rPr>
          <w:b w:val="0"/>
          <w:bCs w:val="0"/>
          <w:color w:val="000000"/>
          <w:sz w:val="24"/>
          <w:u w:val="none"/>
          <w:lang w:val="zh-CN"/>
        </w:rPr>
        <w:t>侧</w:t>
      </w:r>
      <w:r>
        <w:rPr>
          <w:rFonts w:hint="eastAsia"/>
          <w:b w:val="0"/>
          <w:bCs w:val="0"/>
          <w:color w:val="000000"/>
          <w:sz w:val="24"/>
          <w:u w:val="none"/>
          <w:lang w:val="en-US" w:eastAsia="zh-CN"/>
        </w:rPr>
        <w:t>6.2k</w:t>
      </w:r>
      <w:r>
        <w:rPr>
          <w:b w:val="0"/>
          <w:bCs w:val="0"/>
          <w:color w:val="000000"/>
          <w:sz w:val="24"/>
          <w:u w:val="none"/>
          <w:lang w:val="zh-CN"/>
        </w:rPr>
        <w:t>m处的</w:t>
      </w:r>
      <w:r>
        <w:rPr>
          <w:rFonts w:hint="eastAsia"/>
          <w:b w:val="0"/>
          <w:bCs w:val="0"/>
          <w:color w:val="000000"/>
          <w:sz w:val="24"/>
          <w:u w:val="none"/>
          <w:lang w:val="en-US" w:eastAsia="zh-CN"/>
        </w:rPr>
        <w:t>闾河</w:t>
      </w:r>
      <w:r>
        <w:rPr>
          <w:b w:val="0"/>
          <w:bCs w:val="0"/>
          <w:color w:val="000000" w:themeColor="text1"/>
          <w:sz w:val="24"/>
          <w:u w:val="none"/>
          <w:lang w:val="zh-CN"/>
        </w:rPr>
        <w:t>，</w:t>
      </w:r>
      <w:r>
        <w:rPr>
          <w:rFonts w:hint="eastAsia"/>
          <w:b w:val="0"/>
          <w:bCs w:val="0"/>
          <w:color w:val="000000"/>
          <w:sz w:val="24"/>
          <w:u w:val="none"/>
          <w:lang w:val="en-US" w:eastAsia="zh-CN"/>
        </w:rPr>
        <w:t>闾河</w:t>
      </w:r>
      <w:r>
        <w:rPr>
          <w:b w:val="0"/>
          <w:bCs w:val="0"/>
          <w:color w:val="000000" w:themeColor="text1"/>
          <w:sz w:val="24"/>
          <w:u w:val="none"/>
        </w:rPr>
        <w:t>水质功能区划为</w:t>
      </w:r>
      <w:r>
        <w:rPr>
          <w:rFonts w:hint="eastAsia" w:hAnsi="宋体"/>
          <w:b w:val="0"/>
          <w:bCs w:val="0"/>
          <w:sz w:val="24"/>
          <w:szCs w:val="24"/>
          <w:u w:val="none"/>
        </w:rPr>
        <w:t>Ⅲ</w:t>
      </w:r>
      <w:r>
        <w:rPr>
          <w:b w:val="0"/>
          <w:bCs w:val="0"/>
          <w:color w:val="000000" w:themeColor="text1"/>
          <w:sz w:val="24"/>
          <w:u w:val="none"/>
        </w:rPr>
        <w:t>类，</w:t>
      </w:r>
      <w:r>
        <w:rPr>
          <w:b w:val="0"/>
          <w:bCs w:val="0"/>
          <w:color w:val="000000" w:themeColor="text1"/>
          <w:sz w:val="24"/>
          <w:u w:val="none"/>
          <w:lang w:val="zh-CN"/>
        </w:rPr>
        <w:t>用于农田灌溉，防洪排涝</w:t>
      </w:r>
      <w:r>
        <w:rPr>
          <w:b w:val="0"/>
          <w:bCs w:val="0"/>
          <w:color w:val="000000" w:themeColor="text1"/>
          <w:sz w:val="24"/>
          <w:u w:val="none"/>
        </w:rPr>
        <w:t>；项目所在地环境空气为二类功能区；声环境功能区为2类。</w:t>
      </w:r>
    </w:p>
    <w:p>
      <w:pPr>
        <w:spacing w:line="560" w:lineRule="exact"/>
        <w:ind w:firstLine="480" w:firstLineChars="200"/>
        <w:rPr>
          <w:rFonts w:hint="eastAsia" w:eastAsia="宋体"/>
          <w:b w:val="0"/>
          <w:bCs w:val="0"/>
          <w:color w:val="000000" w:themeColor="text1"/>
          <w:sz w:val="24"/>
          <w:u w:val="none"/>
          <w:lang w:val="en-US" w:eastAsia="zh-CN"/>
        </w:rPr>
      </w:pPr>
      <w:r>
        <w:rPr>
          <w:b w:val="0"/>
          <w:bCs w:val="0"/>
          <w:color w:val="000000" w:themeColor="text1"/>
          <w:sz w:val="24"/>
          <w:u w:val="none"/>
        </w:rPr>
        <w:t>（2）周围环境</w:t>
      </w:r>
      <w:r>
        <w:rPr>
          <w:rFonts w:hint="eastAsia"/>
          <w:b w:val="0"/>
          <w:bCs w:val="0"/>
          <w:color w:val="000000" w:themeColor="text1"/>
          <w:sz w:val="24"/>
          <w:u w:val="none"/>
          <w:lang w:val="en-US" w:eastAsia="zh-CN"/>
        </w:rPr>
        <w:t xml:space="preserve"> </w:t>
      </w:r>
    </w:p>
    <w:p>
      <w:pPr>
        <w:spacing w:line="560" w:lineRule="exact"/>
        <w:ind w:firstLine="480" w:firstLineChars="200"/>
        <w:rPr>
          <w:b w:val="0"/>
          <w:bCs w:val="0"/>
          <w:color w:val="000000" w:themeColor="text1"/>
          <w:sz w:val="24"/>
          <w:u w:val="none"/>
          <w:lang w:val="zh-CN"/>
        </w:rPr>
      </w:pPr>
      <w:bookmarkStart w:id="9" w:name="_Toc475261384"/>
      <w:bookmarkStart w:id="10" w:name="_Toc476661350"/>
      <w:bookmarkStart w:id="11" w:name="_Toc479779856"/>
      <w:bookmarkStart w:id="12" w:name="_Toc31337"/>
      <w:r>
        <w:rPr>
          <w:b w:val="0"/>
          <w:bCs w:val="0"/>
          <w:color w:val="000000" w:themeColor="text1"/>
          <w:sz w:val="24"/>
          <w:u w:val="none"/>
          <w:lang w:val="zh-CN"/>
        </w:rPr>
        <w:t>该项目位于</w:t>
      </w:r>
      <w:r>
        <w:rPr>
          <w:rFonts w:hint="eastAsia"/>
          <w:b w:val="0"/>
          <w:bCs w:val="0"/>
          <w:color w:val="000000" w:themeColor="text1"/>
          <w:sz w:val="24"/>
          <w:u w:val="none"/>
          <w:lang w:val="en-US" w:eastAsia="zh-CN"/>
        </w:rPr>
        <w:t>正阳县青年农场</w:t>
      </w:r>
      <w:r>
        <w:rPr>
          <w:b w:val="0"/>
          <w:bCs w:val="0"/>
          <w:color w:val="000000" w:themeColor="text1"/>
          <w:sz w:val="24"/>
          <w:u w:val="none"/>
          <w:lang w:val="zh-CN"/>
        </w:rPr>
        <w:t>，场区四周农田围绕。种植作物有玉米、小麦等；场址周围敏感点有：</w:t>
      </w:r>
      <w:r>
        <w:rPr>
          <w:rFonts w:hint="eastAsia"/>
          <w:b w:val="0"/>
          <w:bCs w:val="0"/>
          <w:color w:val="000000" w:themeColor="text1"/>
          <w:sz w:val="24"/>
          <w:u w:val="none"/>
          <w:lang w:val="en-US" w:eastAsia="zh-CN"/>
        </w:rPr>
        <w:t>东</w:t>
      </w:r>
      <w:r>
        <w:rPr>
          <w:b w:val="0"/>
          <w:bCs w:val="0"/>
          <w:color w:val="000000" w:themeColor="text1"/>
          <w:sz w:val="24"/>
          <w:u w:val="none"/>
          <w:lang w:val="zh-CN"/>
        </w:rPr>
        <w:t>侧5</w:t>
      </w:r>
      <w:r>
        <w:rPr>
          <w:rFonts w:hint="eastAsia"/>
          <w:b w:val="0"/>
          <w:bCs w:val="0"/>
          <w:color w:val="000000" w:themeColor="text1"/>
          <w:sz w:val="24"/>
          <w:u w:val="none"/>
          <w:lang w:val="en-US" w:eastAsia="zh-CN"/>
        </w:rPr>
        <w:t>01</w:t>
      </w:r>
      <w:r>
        <w:rPr>
          <w:b w:val="0"/>
          <w:bCs w:val="0"/>
          <w:color w:val="000000" w:themeColor="text1"/>
          <w:sz w:val="24"/>
          <w:u w:val="none"/>
          <w:lang w:val="zh-CN"/>
        </w:rPr>
        <w:t>m处为</w:t>
      </w:r>
      <w:r>
        <w:rPr>
          <w:rFonts w:hint="eastAsia"/>
          <w:b w:val="0"/>
          <w:bCs w:val="0"/>
          <w:color w:val="000000" w:themeColor="text1"/>
          <w:sz w:val="24"/>
          <w:u w:val="none"/>
          <w:lang w:val="en-US" w:eastAsia="zh-CN"/>
        </w:rPr>
        <w:t>前周庄</w:t>
      </w:r>
      <w:r>
        <w:rPr>
          <w:b w:val="0"/>
          <w:bCs w:val="0"/>
          <w:color w:val="000000" w:themeColor="text1"/>
          <w:sz w:val="24"/>
          <w:u w:val="none"/>
          <w:lang w:val="zh-CN"/>
        </w:rPr>
        <w:t>，</w:t>
      </w:r>
      <w:r>
        <w:rPr>
          <w:rFonts w:hint="eastAsia"/>
          <w:b w:val="0"/>
          <w:bCs w:val="0"/>
          <w:color w:val="000000" w:themeColor="text1"/>
          <w:sz w:val="24"/>
          <w:u w:val="none"/>
          <w:lang w:val="en-US" w:eastAsia="zh-CN"/>
        </w:rPr>
        <w:t>西</w:t>
      </w:r>
      <w:r>
        <w:rPr>
          <w:b w:val="0"/>
          <w:bCs w:val="0"/>
          <w:color w:val="000000" w:themeColor="text1"/>
          <w:sz w:val="24"/>
          <w:u w:val="none"/>
          <w:lang w:val="zh-CN"/>
        </w:rPr>
        <w:t>侧6</w:t>
      </w:r>
      <w:r>
        <w:rPr>
          <w:rFonts w:hint="eastAsia"/>
          <w:b w:val="0"/>
          <w:bCs w:val="0"/>
          <w:color w:val="000000" w:themeColor="text1"/>
          <w:sz w:val="24"/>
          <w:u w:val="none"/>
          <w:lang w:val="en-US" w:eastAsia="zh-CN"/>
        </w:rPr>
        <w:t>20</w:t>
      </w:r>
      <w:r>
        <w:rPr>
          <w:b w:val="0"/>
          <w:bCs w:val="0"/>
          <w:color w:val="000000" w:themeColor="text1"/>
          <w:sz w:val="24"/>
          <w:u w:val="none"/>
          <w:lang w:val="zh-CN"/>
        </w:rPr>
        <w:t>m处为</w:t>
      </w:r>
      <w:r>
        <w:rPr>
          <w:rFonts w:hint="eastAsia"/>
          <w:b w:val="0"/>
          <w:bCs w:val="0"/>
          <w:color w:val="000000" w:themeColor="text1"/>
          <w:sz w:val="24"/>
          <w:u w:val="none"/>
          <w:lang w:val="en-US" w:eastAsia="zh-CN"/>
        </w:rPr>
        <w:t>姜庄</w:t>
      </w:r>
      <w:r>
        <w:rPr>
          <w:b w:val="0"/>
          <w:bCs w:val="0"/>
          <w:color w:val="000000" w:themeColor="text1"/>
          <w:sz w:val="24"/>
          <w:u w:val="none"/>
          <w:lang w:val="zh-CN"/>
        </w:rPr>
        <w:t>，</w:t>
      </w:r>
      <w:r>
        <w:rPr>
          <w:rFonts w:hint="eastAsia"/>
          <w:b w:val="0"/>
          <w:bCs w:val="0"/>
          <w:color w:val="000000" w:themeColor="text1"/>
          <w:sz w:val="24"/>
          <w:u w:val="none"/>
          <w:lang w:val="en-US" w:eastAsia="zh-CN"/>
        </w:rPr>
        <w:t>东</w:t>
      </w:r>
      <w:r>
        <w:rPr>
          <w:b w:val="0"/>
          <w:bCs w:val="0"/>
          <w:color w:val="000000" w:themeColor="text1"/>
          <w:sz w:val="24"/>
          <w:u w:val="none"/>
          <w:lang w:val="zh-CN"/>
        </w:rPr>
        <w:t>侧</w:t>
      </w:r>
      <w:r>
        <w:rPr>
          <w:rFonts w:hint="eastAsia"/>
          <w:b w:val="0"/>
          <w:bCs w:val="0"/>
          <w:color w:val="000000" w:themeColor="text1"/>
          <w:sz w:val="24"/>
          <w:u w:val="none"/>
          <w:lang w:val="en-US" w:eastAsia="zh-CN"/>
        </w:rPr>
        <w:t>1000</w:t>
      </w:r>
      <w:r>
        <w:rPr>
          <w:b w:val="0"/>
          <w:bCs w:val="0"/>
          <w:color w:val="000000" w:themeColor="text1"/>
          <w:sz w:val="24"/>
          <w:u w:val="none"/>
          <w:lang w:val="zh-CN"/>
        </w:rPr>
        <w:t>m处为</w:t>
      </w:r>
      <w:r>
        <w:rPr>
          <w:rFonts w:hint="eastAsia"/>
          <w:b w:val="0"/>
          <w:bCs w:val="0"/>
          <w:color w:val="000000" w:themeColor="text1"/>
          <w:sz w:val="24"/>
          <w:u w:val="none"/>
          <w:lang w:val="en-US" w:eastAsia="zh-CN"/>
        </w:rPr>
        <w:t>西吴楼，西侧1220m处为新张庄，西南侧1252m处为小鲁庄，西南侧1030m处为后余庄，东南侧1397m处为董庄</w:t>
      </w:r>
      <w:r>
        <w:rPr>
          <w:b w:val="0"/>
          <w:bCs w:val="0"/>
          <w:color w:val="000000" w:themeColor="text1"/>
          <w:sz w:val="24"/>
          <w:u w:val="none"/>
          <w:lang w:val="zh-CN"/>
        </w:rPr>
        <w:t>。</w:t>
      </w:r>
    </w:p>
    <w:p>
      <w:pPr>
        <w:pStyle w:val="5"/>
        <w:spacing w:before="156" w:after="156"/>
        <w:rPr>
          <w:rFonts w:hAnsi="Times New Roman"/>
        </w:rPr>
      </w:pPr>
      <w:bookmarkStart w:id="13" w:name="_Toc27317"/>
      <w:r>
        <w:rPr>
          <w:rFonts w:hAnsi="Times New Roman"/>
        </w:rPr>
        <w:t>1.3 环境影响评价的工作过程</w:t>
      </w:r>
      <w:bookmarkEnd w:id="9"/>
      <w:bookmarkEnd w:id="10"/>
      <w:bookmarkEnd w:id="11"/>
      <w:bookmarkEnd w:id="12"/>
      <w:bookmarkEnd w:id="13"/>
    </w:p>
    <w:p>
      <w:pPr>
        <w:spacing w:line="560" w:lineRule="exact"/>
        <w:ind w:firstLine="480" w:firstLineChars="200"/>
        <w:rPr>
          <w:sz w:val="24"/>
        </w:rPr>
      </w:pPr>
      <w:r>
        <w:rPr>
          <w:sz w:val="24"/>
        </w:rPr>
        <w:t>根据《中华人民共和国环境保护法》、《中华人民共和国环境影响评价法》、《建设项目环境保护管理条例》及《建设项目环境影响评价分类管理名录》（环境保护部令第44号, 2018年4月28修改）等有关规定，本项目属第一类 畜牧业\第1项 畜禽养殖场、养殖小区\年出栏生猪5000头以上，应当编制环境影响报告书。</w:t>
      </w:r>
    </w:p>
    <w:p>
      <w:pPr>
        <w:spacing w:line="560" w:lineRule="exact"/>
        <w:ind w:firstLine="480" w:firstLineChars="200"/>
        <w:rPr>
          <w:sz w:val="24"/>
        </w:rPr>
      </w:pPr>
      <w:r>
        <w:rPr>
          <w:sz w:val="24"/>
        </w:rPr>
        <w:t>根据《河南省建设项目环境影响评价文件分级审批目录》，该项目环境影响报告书应由驻马店市</w:t>
      </w:r>
      <w:r>
        <w:rPr>
          <w:rFonts w:hint="eastAsia"/>
          <w:sz w:val="24"/>
          <w:lang w:val="en-US" w:eastAsia="zh-CN"/>
        </w:rPr>
        <w:t>生态环境</w:t>
      </w:r>
      <w:bookmarkStart w:id="331" w:name="_GoBack"/>
      <w:bookmarkEnd w:id="331"/>
      <w:r>
        <w:rPr>
          <w:sz w:val="24"/>
        </w:rPr>
        <w:t>局审批。</w:t>
      </w:r>
    </w:p>
    <w:p>
      <w:pPr>
        <w:widowControl/>
        <w:kinsoku w:val="0"/>
        <w:overflowPunct w:val="0"/>
        <w:snapToGrid w:val="0"/>
        <w:spacing w:line="520" w:lineRule="exact"/>
        <w:ind w:firstLine="480" w:firstLineChars="200"/>
        <w:rPr>
          <w:sz w:val="24"/>
        </w:rPr>
      </w:pPr>
      <w:r>
        <w:rPr>
          <w:sz w:val="24"/>
        </w:rPr>
        <w:t>受</w:t>
      </w:r>
      <w:r>
        <w:rPr>
          <w:rFonts w:hint="eastAsia"/>
          <w:sz w:val="24"/>
          <w:lang w:eastAsia="zh-CN"/>
        </w:rPr>
        <w:t>正阳县辉鸿农牧有限公司</w:t>
      </w:r>
      <w:r>
        <w:rPr>
          <w:kern w:val="28"/>
          <w:sz w:val="24"/>
        </w:rPr>
        <w:t>的</w:t>
      </w:r>
      <w:r>
        <w:rPr>
          <w:sz w:val="24"/>
        </w:rPr>
        <w:t>委托，按照导则、规范要求及评价工作需要，在依程序开展现场调查，资料收集，现状监测等环评工作的基础上，</w:t>
      </w:r>
      <w:r>
        <w:rPr>
          <w:rFonts w:hint="eastAsia"/>
          <w:sz w:val="24"/>
          <w:lang w:val="en-US" w:eastAsia="zh-CN"/>
        </w:rPr>
        <w:t>我</w:t>
      </w:r>
      <w:r>
        <w:rPr>
          <w:sz w:val="24"/>
        </w:rPr>
        <w:t>公司编制了“</w:t>
      </w:r>
      <w:r>
        <w:rPr>
          <w:rFonts w:hint="eastAsia"/>
          <w:bCs/>
          <w:color w:val="000000"/>
          <w:sz w:val="24"/>
          <w:lang w:val="en-US" w:eastAsia="zh-CN"/>
        </w:rPr>
        <w:t>正阳县辉鸿农牧有限公司新建年出栏生猪一万头生产</w:t>
      </w:r>
      <w:r>
        <w:rPr>
          <w:rFonts w:hint="eastAsia"/>
          <w:bCs/>
          <w:color w:val="000000"/>
          <w:sz w:val="24"/>
        </w:rPr>
        <w:t>项目</w:t>
      </w:r>
      <w:r>
        <w:rPr>
          <w:sz w:val="24"/>
        </w:rPr>
        <w:t>”环境影响报告书。</w:t>
      </w:r>
    </w:p>
    <w:p>
      <w:pPr>
        <w:spacing w:line="560" w:lineRule="exact"/>
        <w:ind w:firstLine="480" w:firstLineChars="200"/>
        <w:rPr>
          <w:sz w:val="24"/>
        </w:rPr>
      </w:pPr>
      <w:r>
        <w:rPr>
          <w:sz w:val="24"/>
        </w:rPr>
        <w:t>以下是环评过程回顾：</w:t>
      </w:r>
    </w:p>
    <w:p>
      <w:pPr>
        <w:spacing w:line="560" w:lineRule="exact"/>
        <w:ind w:firstLine="480" w:firstLineChars="200"/>
        <w:rPr>
          <w:sz w:val="24"/>
        </w:rPr>
      </w:pPr>
      <w:r>
        <w:rPr>
          <w:color w:val="000000"/>
          <w:sz w:val="24"/>
        </w:rPr>
        <w:t>20</w:t>
      </w:r>
      <w:r>
        <w:rPr>
          <w:rFonts w:hint="eastAsia"/>
          <w:color w:val="000000"/>
          <w:sz w:val="24"/>
          <w:lang w:val="en-US" w:eastAsia="zh-CN"/>
        </w:rPr>
        <w:t>20</w:t>
      </w:r>
      <w:r>
        <w:rPr>
          <w:color w:val="000000"/>
          <w:sz w:val="24"/>
        </w:rPr>
        <w:t>年</w:t>
      </w:r>
      <w:r>
        <w:rPr>
          <w:rFonts w:hint="eastAsia"/>
          <w:color w:val="000000"/>
          <w:sz w:val="24"/>
          <w:lang w:val="en-US" w:eastAsia="zh-CN"/>
        </w:rPr>
        <w:t>3</w:t>
      </w:r>
      <w:r>
        <w:rPr>
          <w:color w:val="000000"/>
          <w:sz w:val="24"/>
        </w:rPr>
        <w:t>月</w:t>
      </w:r>
      <w:r>
        <w:rPr>
          <w:sz w:val="24"/>
        </w:rPr>
        <w:t>，接受建设单位委托后，项目启动，受建设单位邀请对拟建厂址及周围环境情况进行了踏勘，并收集相关资料。</w:t>
      </w:r>
    </w:p>
    <w:p>
      <w:pPr>
        <w:spacing w:line="560" w:lineRule="exact"/>
        <w:ind w:firstLine="480" w:firstLineChars="200"/>
        <w:rPr>
          <w:sz w:val="24"/>
        </w:rPr>
      </w:pPr>
      <w:r>
        <w:rPr>
          <w:sz w:val="24"/>
        </w:rPr>
        <w:t>20</w:t>
      </w:r>
      <w:r>
        <w:rPr>
          <w:rFonts w:hint="eastAsia"/>
          <w:sz w:val="24"/>
          <w:lang w:val="en-US" w:eastAsia="zh-CN"/>
        </w:rPr>
        <w:t>20</w:t>
      </w:r>
      <w:r>
        <w:rPr>
          <w:sz w:val="24"/>
        </w:rPr>
        <w:t>年</w:t>
      </w:r>
      <w:r>
        <w:rPr>
          <w:rFonts w:hint="eastAsia"/>
          <w:sz w:val="24"/>
          <w:lang w:val="en-US" w:eastAsia="zh-CN"/>
        </w:rPr>
        <w:t>5</w:t>
      </w:r>
      <w:r>
        <w:rPr>
          <w:sz w:val="24"/>
        </w:rPr>
        <w:t>月，</w:t>
      </w:r>
      <w:r>
        <w:rPr>
          <w:rFonts w:hint="eastAsia"/>
          <w:sz w:val="24"/>
          <w:lang w:val="en-US" w:eastAsia="zh-CN"/>
        </w:rPr>
        <w:t>我</w:t>
      </w:r>
      <w:r>
        <w:rPr>
          <w:sz w:val="24"/>
        </w:rPr>
        <w:t>公司编制完成了该项目环境影响报告书（送审版）。</w:t>
      </w:r>
    </w:p>
    <w:p>
      <w:pPr>
        <w:pStyle w:val="5"/>
        <w:spacing w:before="156" w:after="156"/>
        <w:rPr>
          <w:rFonts w:hAnsi="Times New Roman"/>
        </w:rPr>
      </w:pPr>
      <w:bookmarkStart w:id="14" w:name="_Toc479779857"/>
      <w:bookmarkStart w:id="15" w:name="_Toc7451"/>
      <w:bookmarkStart w:id="16" w:name="_Toc476661351"/>
      <w:bookmarkStart w:id="17" w:name="_Toc8886"/>
      <w:bookmarkStart w:id="18" w:name="_Toc475261385"/>
      <w:r>
        <w:rPr>
          <w:rFonts w:hAnsi="Times New Roman"/>
        </w:rPr>
        <w:t>1.4 关注的主要环境问题及环境影响</w:t>
      </w:r>
      <w:bookmarkEnd w:id="14"/>
      <w:bookmarkEnd w:id="15"/>
      <w:bookmarkEnd w:id="16"/>
      <w:bookmarkEnd w:id="17"/>
      <w:bookmarkEnd w:id="18"/>
    </w:p>
    <w:p>
      <w:pPr>
        <w:spacing w:line="560" w:lineRule="exact"/>
        <w:ind w:firstLine="480" w:firstLineChars="200"/>
        <w:rPr>
          <w:sz w:val="24"/>
        </w:rPr>
      </w:pPr>
      <w:r>
        <w:rPr>
          <w:sz w:val="24"/>
        </w:rPr>
        <w:t>环境空气：重点关注项目建设产生的恶臭对区域环境空气质量以及敏感点的影响；</w:t>
      </w:r>
    </w:p>
    <w:p>
      <w:pPr>
        <w:spacing w:line="560" w:lineRule="exact"/>
        <w:ind w:firstLine="480" w:firstLineChars="200"/>
        <w:rPr>
          <w:sz w:val="24"/>
        </w:rPr>
      </w:pPr>
      <w:r>
        <w:rPr>
          <w:sz w:val="24"/>
        </w:rPr>
        <w:t>水环境：重点关注项目项目废水收集、处理措施以及完全综合利用的可行性；</w:t>
      </w:r>
    </w:p>
    <w:p>
      <w:pPr>
        <w:spacing w:line="560" w:lineRule="exact"/>
        <w:ind w:firstLine="480" w:firstLineChars="200"/>
        <w:rPr>
          <w:sz w:val="24"/>
        </w:rPr>
      </w:pPr>
      <w:r>
        <w:rPr>
          <w:sz w:val="24"/>
        </w:rPr>
        <w:t>声环境：重点关注项目实施后高噪声设备对区域声环境的影响；</w:t>
      </w:r>
    </w:p>
    <w:p>
      <w:pPr>
        <w:spacing w:line="560" w:lineRule="exact"/>
        <w:ind w:firstLine="480" w:firstLineChars="200"/>
        <w:rPr>
          <w:sz w:val="24"/>
        </w:rPr>
      </w:pPr>
      <w:r>
        <w:rPr>
          <w:sz w:val="24"/>
        </w:rPr>
        <w:t>固体废物：重点关注病死猪及医疗垃圾的收集、暂存、处置措施的合理性，防止二次污染。</w:t>
      </w:r>
    </w:p>
    <w:p>
      <w:pPr>
        <w:pStyle w:val="5"/>
        <w:spacing w:before="156" w:after="156"/>
        <w:rPr>
          <w:rFonts w:hAnsi="Times New Roman"/>
        </w:rPr>
      </w:pPr>
      <w:bookmarkStart w:id="19" w:name="_Toc479779858"/>
      <w:bookmarkStart w:id="20" w:name="_Toc11240"/>
      <w:bookmarkStart w:id="21" w:name="_Toc476661352"/>
      <w:bookmarkStart w:id="22" w:name="_Toc475261386"/>
      <w:bookmarkStart w:id="23" w:name="_Toc30774"/>
      <w:r>
        <w:rPr>
          <w:rFonts w:hAnsi="Times New Roman"/>
        </w:rPr>
        <w:t>1.5 环境影响评价的主要结论</w:t>
      </w:r>
      <w:bookmarkEnd w:id="19"/>
      <w:bookmarkEnd w:id="20"/>
      <w:bookmarkEnd w:id="21"/>
      <w:bookmarkEnd w:id="22"/>
      <w:bookmarkEnd w:id="23"/>
    </w:p>
    <w:p>
      <w:pPr>
        <w:spacing w:line="560" w:lineRule="exact"/>
        <w:ind w:firstLine="480" w:firstLineChars="200"/>
        <w:rPr>
          <w:sz w:val="24"/>
        </w:rPr>
      </w:pPr>
      <w:r>
        <w:rPr>
          <w:sz w:val="24"/>
        </w:rPr>
        <w:t>本项目符合国家产业政策，选址符合《</w:t>
      </w:r>
      <w:r>
        <w:rPr>
          <w:rFonts w:hint="eastAsia"/>
          <w:sz w:val="24"/>
          <w:lang w:eastAsia="zh-CN"/>
        </w:rPr>
        <w:t>正阳县</w:t>
      </w:r>
      <w:r>
        <w:rPr>
          <w:rFonts w:hint="eastAsia"/>
          <w:sz w:val="24"/>
          <w:lang w:val="en-US" w:eastAsia="zh-CN"/>
        </w:rPr>
        <w:t>城市</w:t>
      </w:r>
      <w:r>
        <w:rPr>
          <w:sz w:val="24"/>
        </w:rPr>
        <w:t>总体规划》，符合</w:t>
      </w:r>
      <w:r>
        <w:rPr>
          <w:rFonts w:hint="eastAsia"/>
          <w:sz w:val="24"/>
          <w:lang w:eastAsia="zh-CN"/>
        </w:rPr>
        <w:t>正阳县</w:t>
      </w:r>
      <w:r>
        <w:rPr>
          <w:sz w:val="24"/>
        </w:rPr>
        <w:t>畜禽养殖禁养区</w:t>
      </w:r>
      <w:r>
        <w:rPr>
          <w:rFonts w:hint="eastAsia"/>
          <w:sz w:val="24"/>
          <w:lang w:val="en-US" w:eastAsia="zh-CN"/>
        </w:rPr>
        <w:t>限养区</w:t>
      </w:r>
      <w:r>
        <w:rPr>
          <w:sz w:val="24"/>
        </w:rPr>
        <w:t>划定方案，不在</w:t>
      </w:r>
      <w:r>
        <w:rPr>
          <w:rFonts w:hint="eastAsia"/>
          <w:sz w:val="24"/>
          <w:lang w:eastAsia="zh-CN"/>
        </w:rPr>
        <w:t>正阳县</w:t>
      </w:r>
      <w:r>
        <w:rPr>
          <w:sz w:val="24"/>
        </w:rPr>
        <w:t>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pPr>
        <w:spacing w:line="500" w:lineRule="exact"/>
        <w:ind w:firstLine="480" w:firstLineChars="200"/>
        <w:rPr>
          <w:color w:val="000000"/>
          <w:sz w:val="24"/>
        </w:rPr>
      </w:pPr>
      <w:r>
        <w:rPr>
          <w:sz w:val="24"/>
        </w:rPr>
        <w:t>综上所述，拟建工程的建设是评价区域整体环境可以承纳的，具备环境可行性，从环保角度，该项目的建设是可行的。</w:t>
      </w:r>
    </w:p>
    <w:p>
      <w:pPr>
        <w:pStyle w:val="5"/>
        <w:spacing w:before="156" w:after="156"/>
        <w:rPr>
          <w:rFonts w:hAnsi="Times New Roman"/>
          <w:color w:val="000000"/>
        </w:rPr>
      </w:pPr>
      <w:bookmarkStart w:id="24" w:name="_Toc375206150"/>
      <w:bookmarkStart w:id="25" w:name="_Toc538"/>
      <w:r>
        <w:rPr>
          <w:rFonts w:hAnsi="Times New Roman"/>
          <w:color w:val="000000"/>
        </w:rPr>
        <w:t>1.6 编制依据</w:t>
      </w:r>
      <w:bookmarkEnd w:id="24"/>
      <w:bookmarkEnd w:id="25"/>
    </w:p>
    <w:p>
      <w:pPr>
        <w:spacing w:line="600" w:lineRule="exact"/>
        <w:outlineLvl w:val="2"/>
        <w:rPr>
          <w:b/>
          <w:color w:val="000000"/>
          <w:sz w:val="24"/>
          <w:lang w:val="zh-CN"/>
        </w:rPr>
      </w:pPr>
      <w:r>
        <w:rPr>
          <w:b/>
          <w:color w:val="000000"/>
          <w:sz w:val="24"/>
          <w:lang w:val="zh-CN"/>
        </w:rPr>
        <w:t>1.6.1 法律法规</w:t>
      </w:r>
    </w:p>
    <w:p>
      <w:pPr>
        <w:tabs>
          <w:tab w:val="left" w:pos="1080"/>
        </w:tabs>
        <w:spacing w:line="500" w:lineRule="exact"/>
        <w:ind w:left="426"/>
        <w:rPr>
          <w:color w:val="000000"/>
          <w:sz w:val="24"/>
          <w:szCs w:val="24"/>
        </w:rPr>
      </w:pPr>
      <w:r>
        <w:rPr>
          <w:color w:val="000000"/>
          <w:sz w:val="24"/>
          <w:szCs w:val="24"/>
        </w:rPr>
        <w:t>（1）《中华人民共和国环境保护法》（2014年4月24日修订，2015年1月1日实施）；</w:t>
      </w:r>
    </w:p>
    <w:p>
      <w:pPr>
        <w:tabs>
          <w:tab w:val="left" w:pos="1080"/>
        </w:tabs>
        <w:spacing w:line="500" w:lineRule="exact"/>
        <w:ind w:left="426"/>
        <w:rPr>
          <w:color w:val="000000"/>
          <w:sz w:val="24"/>
          <w:szCs w:val="24"/>
        </w:rPr>
      </w:pPr>
      <w:r>
        <w:rPr>
          <w:color w:val="000000"/>
          <w:sz w:val="24"/>
          <w:szCs w:val="24"/>
        </w:rPr>
        <w:t>（2）《中华人民共和国环境影响评价法》，</w:t>
      </w:r>
      <w:r>
        <w:rPr>
          <w:sz w:val="24"/>
          <w:szCs w:val="24"/>
        </w:rPr>
        <w:t xml:space="preserve">2018 </w:t>
      </w:r>
      <w:r>
        <w:rPr>
          <w:rFonts w:hint="eastAsia"/>
          <w:sz w:val="24"/>
          <w:szCs w:val="24"/>
        </w:rPr>
        <w:t xml:space="preserve">年 </w:t>
      </w:r>
      <w:r>
        <w:rPr>
          <w:sz w:val="24"/>
          <w:szCs w:val="24"/>
        </w:rPr>
        <w:t xml:space="preserve">12 </w:t>
      </w:r>
      <w:r>
        <w:rPr>
          <w:rFonts w:hint="eastAsia"/>
          <w:sz w:val="24"/>
          <w:szCs w:val="24"/>
        </w:rPr>
        <w:t xml:space="preserve">月 </w:t>
      </w:r>
      <w:r>
        <w:rPr>
          <w:sz w:val="24"/>
          <w:szCs w:val="24"/>
        </w:rPr>
        <w:t xml:space="preserve">29 </w:t>
      </w:r>
      <w:r>
        <w:rPr>
          <w:rFonts w:hint="eastAsia"/>
          <w:sz w:val="24"/>
          <w:szCs w:val="24"/>
        </w:rPr>
        <w:t>日修订</w:t>
      </w:r>
      <w:r>
        <w:rPr>
          <w:color w:val="000000"/>
          <w:sz w:val="24"/>
          <w:szCs w:val="24"/>
        </w:rPr>
        <w:t>；</w:t>
      </w:r>
    </w:p>
    <w:p>
      <w:pPr>
        <w:tabs>
          <w:tab w:val="left" w:pos="1080"/>
        </w:tabs>
        <w:spacing w:line="500" w:lineRule="exact"/>
        <w:ind w:left="426"/>
        <w:rPr>
          <w:color w:val="000000"/>
          <w:sz w:val="24"/>
          <w:szCs w:val="24"/>
        </w:rPr>
      </w:pPr>
      <w:r>
        <w:rPr>
          <w:color w:val="000000"/>
          <w:sz w:val="24"/>
          <w:szCs w:val="24"/>
        </w:rPr>
        <w:t>（3）《建设项目环境保护管理条例》（</w:t>
      </w:r>
      <w:r>
        <w:rPr>
          <w:sz w:val="24"/>
          <w:szCs w:val="24"/>
        </w:rPr>
        <w:t>国务院[2017]第682号令</w:t>
      </w:r>
      <w:r>
        <w:rPr>
          <w:rFonts w:hint="eastAsia"/>
          <w:sz w:val="24"/>
          <w:szCs w:val="24"/>
        </w:rPr>
        <w:t>，</w:t>
      </w:r>
      <w:r>
        <w:rPr>
          <w:sz w:val="24"/>
          <w:szCs w:val="24"/>
        </w:rPr>
        <w:t xml:space="preserve">2017 </w:t>
      </w:r>
      <w:r>
        <w:rPr>
          <w:rFonts w:hint="eastAsia"/>
          <w:sz w:val="24"/>
          <w:szCs w:val="24"/>
        </w:rPr>
        <w:t xml:space="preserve">年 </w:t>
      </w:r>
      <w:r>
        <w:rPr>
          <w:sz w:val="24"/>
          <w:szCs w:val="24"/>
        </w:rPr>
        <w:t xml:space="preserve">10 </w:t>
      </w:r>
      <w:r>
        <w:rPr>
          <w:rFonts w:hint="eastAsia"/>
          <w:sz w:val="24"/>
          <w:szCs w:val="24"/>
        </w:rPr>
        <w:t xml:space="preserve">月 </w:t>
      </w:r>
      <w:r>
        <w:rPr>
          <w:sz w:val="24"/>
          <w:szCs w:val="24"/>
        </w:rPr>
        <w:t xml:space="preserve">1 </w:t>
      </w:r>
      <w:r>
        <w:rPr>
          <w:rFonts w:hint="eastAsia"/>
          <w:sz w:val="24"/>
          <w:szCs w:val="24"/>
        </w:rPr>
        <w:t>日起实施</w:t>
      </w:r>
      <w:r>
        <w:rPr>
          <w:color w:val="000000"/>
          <w:sz w:val="24"/>
          <w:szCs w:val="24"/>
        </w:rPr>
        <w:t>）；</w:t>
      </w:r>
    </w:p>
    <w:p>
      <w:pPr>
        <w:tabs>
          <w:tab w:val="left" w:pos="1080"/>
        </w:tabs>
        <w:spacing w:line="500" w:lineRule="exact"/>
        <w:ind w:left="426"/>
        <w:rPr>
          <w:color w:val="000000"/>
          <w:sz w:val="24"/>
          <w:szCs w:val="24"/>
        </w:rPr>
      </w:pPr>
      <w:r>
        <w:rPr>
          <w:color w:val="000000"/>
          <w:sz w:val="24"/>
          <w:szCs w:val="24"/>
        </w:rPr>
        <w:t>（4）《中华人民共和国水污染防治法》（2018年1月1日）；</w:t>
      </w:r>
    </w:p>
    <w:p>
      <w:pPr>
        <w:tabs>
          <w:tab w:val="left" w:pos="1080"/>
        </w:tabs>
        <w:spacing w:line="500" w:lineRule="exact"/>
        <w:ind w:left="426"/>
        <w:rPr>
          <w:color w:val="000000"/>
          <w:sz w:val="24"/>
          <w:szCs w:val="24"/>
        </w:rPr>
      </w:pPr>
      <w:r>
        <w:rPr>
          <w:color w:val="000000"/>
          <w:sz w:val="24"/>
          <w:szCs w:val="24"/>
        </w:rPr>
        <w:t>（5）《中华人民共和国大气污染防治法》（</w:t>
      </w:r>
      <w:r>
        <w:rPr>
          <w:sz w:val="24"/>
          <w:szCs w:val="24"/>
        </w:rPr>
        <w:t xml:space="preserve">2018 </w:t>
      </w:r>
      <w:r>
        <w:rPr>
          <w:rFonts w:hint="eastAsia"/>
          <w:sz w:val="24"/>
          <w:szCs w:val="24"/>
        </w:rPr>
        <w:t xml:space="preserve">年 </w:t>
      </w:r>
      <w:r>
        <w:rPr>
          <w:sz w:val="24"/>
          <w:szCs w:val="24"/>
        </w:rPr>
        <w:t xml:space="preserve">10 </w:t>
      </w:r>
      <w:r>
        <w:rPr>
          <w:rFonts w:hint="eastAsia"/>
          <w:sz w:val="24"/>
          <w:szCs w:val="24"/>
        </w:rPr>
        <w:t xml:space="preserve">月 </w:t>
      </w:r>
      <w:r>
        <w:rPr>
          <w:sz w:val="24"/>
          <w:szCs w:val="24"/>
        </w:rPr>
        <w:t xml:space="preserve">26 </w:t>
      </w:r>
      <w:r>
        <w:rPr>
          <w:rFonts w:hint="eastAsia"/>
          <w:sz w:val="24"/>
          <w:szCs w:val="24"/>
        </w:rPr>
        <w:t>日修订</w:t>
      </w:r>
      <w:r>
        <w:rPr>
          <w:color w:val="000000"/>
          <w:sz w:val="24"/>
          <w:szCs w:val="24"/>
        </w:rPr>
        <w:t>）；</w:t>
      </w:r>
    </w:p>
    <w:p>
      <w:pPr>
        <w:tabs>
          <w:tab w:val="left" w:pos="1080"/>
        </w:tabs>
        <w:spacing w:line="500" w:lineRule="exact"/>
        <w:ind w:left="426"/>
        <w:rPr>
          <w:color w:val="000000"/>
          <w:sz w:val="24"/>
          <w:szCs w:val="24"/>
        </w:rPr>
      </w:pPr>
      <w:r>
        <w:rPr>
          <w:color w:val="000000"/>
          <w:sz w:val="24"/>
          <w:szCs w:val="24"/>
        </w:rPr>
        <w:t>（6）《中华人民共和国环境噪声污染防治法》（</w:t>
      </w:r>
      <w:r>
        <w:rPr>
          <w:sz w:val="24"/>
          <w:szCs w:val="24"/>
        </w:rPr>
        <w:t xml:space="preserve">2018 </w:t>
      </w:r>
      <w:r>
        <w:rPr>
          <w:rFonts w:hint="eastAsia"/>
          <w:sz w:val="24"/>
          <w:szCs w:val="24"/>
        </w:rPr>
        <w:t xml:space="preserve">年 </w:t>
      </w:r>
      <w:r>
        <w:rPr>
          <w:sz w:val="24"/>
          <w:szCs w:val="24"/>
        </w:rPr>
        <w:t xml:space="preserve">12 </w:t>
      </w:r>
      <w:r>
        <w:rPr>
          <w:rFonts w:hint="eastAsia"/>
          <w:sz w:val="24"/>
          <w:szCs w:val="24"/>
        </w:rPr>
        <w:t xml:space="preserve">月 </w:t>
      </w:r>
      <w:r>
        <w:rPr>
          <w:sz w:val="24"/>
          <w:szCs w:val="24"/>
        </w:rPr>
        <w:t xml:space="preserve">29 </w:t>
      </w:r>
      <w:r>
        <w:rPr>
          <w:rFonts w:hint="eastAsia"/>
          <w:sz w:val="24"/>
          <w:szCs w:val="24"/>
        </w:rPr>
        <w:t>日修订</w:t>
      </w:r>
      <w:r>
        <w:rPr>
          <w:color w:val="000000"/>
          <w:sz w:val="24"/>
          <w:szCs w:val="24"/>
        </w:rPr>
        <w:t>）；</w:t>
      </w:r>
    </w:p>
    <w:p>
      <w:pPr>
        <w:tabs>
          <w:tab w:val="left" w:pos="1080"/>
        </w:tabs>
        <w:spacing w:line="500" w:lineRule="exact"/>
        <w:ind w:left="426"/>
        <w:rPr>
          <w:color w:val="000000"/>
          <w:sz w:val="24"/>
          <w:szCs w:val="24"/>
        </w:rPr>
      </w:pPr>
      <w:r>
        <w:rPr>
          <w:color w:val="000000"/>
          <w:sz w:val="24"/>
          <w:szCs w:val="24"/>
        </w:rPr>
        <w:t>（7）《中华人民共和国固体废物污染环境防治法》（2016年修订实施修订实施）；</w:t>
      </w:r>
    </w:p>
    <w:p>
      <w:pPr>
        <w:tabs>
          <w:tab w:val="left" w:pos="1080"/>
        </w:tabs>
        <w:spacing w:line="500" w:lineRule="exact"/>
        <w:ind w:left="426"/>
        <w:rPr>
          <w:color w:val="000000"/>
          <w:sz w:val="24"/>
          <w:szCs w:val="24"/>
        </w:rPr>
      </w:pPr>
      <w:r>
        <w:rPr>
          <w:color w:val="000000"/>
          <w:sz w:val="24"/>
          <w:szCs w:val="24"/>
        </w:rPr>
        <w:t>（8）《中华人民共和国土地管理法》（2004年8月28日修订）；</w:t>
      </w:r>
    </w:p>
    <w:p>
      <w:pPr>
        <w:tabs>
          <w:tab w:val="left" w:pos="1080"/>
        </w:tabs>
        <w:spacing w:line="500" w:lineRule="exact"/>
        <w:ind w:left="426"/>
        <w:rPr>
          <w:color w:val="000000"/>
          <w:sz w:val="24"/>
          <w:szCs w:val="24"/>
        </w:rPr>
      </w:pPr>
      <w:r>
        <w:rPr>
          <w:color w:val="000000"/>
          <w:sz w:val="24"/>
          <w:szCs w:val="24"/>
        </w:rPr>
        <w:t>（9）《基本农田保护条例》（国务院令第257号，1998年12月27日）；</w:t>
      </w:r>
    </w:p>
    <w:p>
      <w:pPr>
        <w:tabs>
          <w:tab w:val="left" w:pos="1080"/>
        </w:tabs>
        <w:spacing w:line="500" w:lineRule="exact"/>
        <w:ind w:left="426"/>
        <w:rPr>
          <w:color w:val="000000"/>
          <w:sz w:val="24"/>
          <w:szCs w:val="24"/>
        </w:rPr>
      </w:pPr>
      <w:r>
        <w:rPr>
          <w:color w:val="000000"/>
          <w:sz w:val="24"/>
          <w:szCs w:val="24"/>
        </w:rPr>
        <w:t>（10）《国家危险废物名录》（2016年8月1日）；</w:t>
      </w:r>
    </w:p>
    <w:p>
      <w:pPr>
        <w:tabs>
          <w:tab w:val="left" w:pos="1080"/>
        </w:tabs>
        <w:spacing w:line="500" w:lineRule="exact"/>
        <w:ind w:left="426"/>
        <w:rPr>
          <w:color w:val="000000"/>
          <w:sz w:val="24"/>
        </w:rPr>
      </w:pPr>
      <w:r>
        <w:rPr>
          <w:color w:val="000000"/>
          <w:sz w:val="24"/>
        </w:rPr>
        <w:t>（11）《国务院关于印发“十三五”生态环境保护规划的通知》国发〔2016〕65号；</w:t>
      </w:r>
    </w:p>
    <w:p>
      <w:pPr>
        <w:tabs>
          <w:tab w:val="left" w:pos="1080"/>
        </w:tabs>
        <w:spacing w:line="500" w:lineRule="exact"/>
        <w:ind w:left="426"/>
        <w:rPr>
          <w:color w:val="000000"/>
          <w:sz w:val="24"/>
        </w:rPr>
      </w:pPr>
      <w:r>
        <w:rPr>
          <w:color w:val="000000"/>
          <w:sz w:val="24"/>
        </w:rPr>
        <w:t>（12）《国务院关于环境保护若干问题的决定》（1996年8月3日）；</w:t>
      </w:r>
    </w:p>
    <w:p>
      <w:pPr>
        <w:tabs>
          <w:tab w:val="left" w:pos="1080"/>
        </w:tabs>
        <w:spacing w:line="500" w:lineRule="exact"/>
        <w:ind w:left="426"/>
        <w:rPr>
          <w:color w:val="000000"/>
          <w:sz w:val="24"/>
        </w:rPr>
      </w:pPr>
      <w:r>
        <w:rPr>
          <w:bCs/>
          <w:color w:val="000000"/>
          <w:sz w:val="24"/>
        </w:rPr>
        <w:t>（13）《关于落实科学发展观加</w:t>
      </w:r>
      <w:r>
        <w:rPr>
          <w:color w:val="000000"/>
          <w:sz w:val="24"/>
        </w:rPr>
        <w:t>强环境保护的决定》（国发[2005]39号，2005年12月3日）；</w:t>
      </w:r>
    </w:p>
    <w:p>
      <w:pPr>
        <w:tabs>
          <w:tab w:val="left" w:pos="1080"/>
        </w:tabs>
        <w:spacing w:line="500" w:lineRule="exact"/>
        <w:ind w:left="426"/>
        <w:rPr>
          <w:color w:val="000000"/>
          <w:sz w:val="24"/>
        </w:rPr>
      </w:pPr>
      <w:r>
        <w:rPr>
          <w:color w:val="000000"/>
          <w:sz w:val="24"/>
        </w:rPr>
        <w:t>（14）《关于进一步加强环境影响评价管理防范环境风险的通知》（环发[2012]77号）；</w:t>
      </w:r>
    </w:p>
    <w:p>
      <w:pPr>
        <w:tabs>
          <w:tab w:val="left" w:pos="1080"/>
        </w:tabs>
        <w:spacing w:line="500" w:lineRule="exact"/>
        <w:ind w:left="426"/>
        <w:rPr>
          <w:color w:val="000000"/>
          <w:sz w:val="24"/>
        </w:rPr>
      </w:pPr>
      <w:r>
        <w:rPr>
          <w:color w:val="000000"/>
          <w:sz w:val="24"/>
        </w:rPr>
        <w:t>（15）《关于切实加强风险防范严格环境影响评价管理的通知》（环发[2012]98号）；</w:t>
      </w:r>
    </w:p>
    <w:p>
      <w:pPr>
        <w:tabs>
          <w:tab w:val="left" w:pos="1080"/>
        </w:tabs>
        <w:spacing w:line="500" w:lineRule="exact"/>
        <w:ind w:left="426"/>
        <w:rPr>
          <w:color w:val="000000"/>
          <w:sz w:val="24"/>
        </w:rPr>
      </w:pPr>
      <w:r>
        <w:rPr>
          <w:color w:val="000000"/>
          <w:sz w:val="24"/>
        </w:rPr>
        <w:t>（16）《环境影响评价公众参与办法》（</w:t>
      </w:r>
      <w:r>
        <w:rPr>
          <w:rFonts w:hint="eastAsia"/>
          <w:color w:val="000000"/>
          <w:sz w:val="24"/>
          <w:lang w:val="en-US" w:eastAsia="zh-CN"/>
        </w:rPr>
        <w:t>2019年1月1日</w:t>
      </w:r>
      <w:r>
        <w:rPr>
          <w:color w:val="000000"/>
          <w:sz w:val="24"/>
        </w:rPr>
        <w:t>）；</w:t>
      </w:r>
    </w:p>
    <w:p>
      <w:pPr>
        <w:tabs>
          <w:tab w:val="left" w:pos="1080"/>
        </w:tabs>
        <w:spacing w:line="500" w:lineRule="exact"/>
        <w:ind w:left="426"/>
        <w:rPr>
          <w:color w:val="000000"/>
          <w:sz w:val="24"/>
        </w:rPr>
      </w:pPr>
      <w:r>
        <w:rPr>
          <w:color w:val="000000"/>
          <w:sz w:val="24"/>
        </w:rPr>
        <w:t>（17）《农业部关于加快推进畜禽标准化规模养殖的意见》（农牧发[2010]6号）；</w:t>
      </w:r>
    </w:p>
    <w:p>
      <w:pPr>
        <w:tabs>
          <w:tab w:val="left" w:pos="1080"/>
        </w:tabs>
        <w:spacing w:line="500" w:lineRule="exact"/>
        <w:ind w:left="426"/>
        <w:rPr>
          <w:color w:val="000000"/>
          <w:sz w:val="24"/>
        </w:rPr>
      </w:pPr>
      <w:r>
        <w:rPr>
          <w:color w:val="000000"/>
          <w:sz w:val="24"/>
        </w:rPr>
        <w:t>（18）《畜禽养殖业污染防治管理办法》（国家环境保护总局令 第9号）；</w:t>
      </w:r>
    </w:p>
    <w:p>
      <w:pPr>
        <w:tabs>
          <w:tab w:val="left" w:pos="1080"/>
        </w:tabs>
        <w:spacing w:line="500" w:lineRule="exact"/>
        <w:ind w:left="426"/>
        <w:rPr>
          <w:color w:val="000000"/>
          <w:sz w:val="24"/>
        </w:rPr>
      </w:pPr>
      <w:r>
        <w:rPr>
          <w:color w:val="000000"/>
          <w:sz w:val="24"/>
        </w:rPr>
        <w:t>（19）《畜禽养殖业污染防治技术政策》（环发[2010]151号）；</w:t>
      </w:r>
    </w:p>
    <w:p>
      <w:pPr>
        <w:spacing w:line="500" w:lineRule="exact"/>
        <w:ind w:firstLine="480" w:firstLineChars="200"/>
        <w:rPr>
          <w:color w:val="000000"/>
          <w:sz w:val="24"/>
        </w:rPr>
      </w:pPr>
      <w:r>
        <w:rPr>
          <w:color w:val="000000"/>
          <w:sz w:val="24"/>
        </w:rPr>
        <w:t>（20）《</w:t>
      </w:r>
      <w:r>
        <w:rPr>
          <w:bCs/>
          <w:color w:val="000000"/>
          <w:sz w:val="24"/>
        </w:rPr>
        <w:t>畜禽规模养殖污染防治条例</w:t>
      </w:r>
      <w:r>
        <w:rPr>
          <w:color w:val="000000"/>
          <w:sz w:val="24"/>
        </w:rPr>
        <w:t>》（国务院令第643号，2014年1月1日）；</w:t>
      </w:r>
    </w:p>
    <w:p>
      <w:pPr>
        <w:spacing w:line="500" w:lineRule="exact"/>
        <w:ind w:firstLine="480" w:firstLineChars="200"/>
        <w:rPr>
          <w:color w:val="000000"/>
          <w:sz w:val="24"/>
        </w:rPr>
      </w:pPr>
      <w:r>
        <w:rPr>
          <w:color w:val="000000"/>
          <w:sz w:val="24"/>
        </w:rPr>
        <w:t>（21）</w:t>
      </w:r>
      <w:r>
        <w:rPr>
          <w:bCs/>
          <w:color w:val="000000"/>
          <w:sz w:val="24"/>
        </w:rPr>
        <w:t>《河南省减少污染物排放条例》</w:t>
      </w:r>
      <w:r>
        <w:rPr>
          <w:color w:val="000000"/>
          <w:sz w:val="24"/>
        </w:rPr>
        <w:t>（2014.1.1）；</w:t>
      </w:r>
    </w:p>
    <w:p>
      <w:pPr>
        <w:spacing w:line="500" w:lineRule="exact"/>
        <w:ind w:firstLine="480" w:firstLineChars="200"/>
        <w:rPr>
          <w:color w:val="000000"/>
          <w:sz w:val="24"/>
        </w:rPr>
      </w:pPr>
      <w:r>
        <w:rPr>
          <w:color w:val="000000"/>
          <w:sz w:val="24"/>
        </w:rPr>
        <w:t>（22）《河南省水污染防治条例》（河南省人民政府，2010.3.1）；</w:t>
      </w:r>
    </w:p>
    <w:p>
      <w:pPr>
        <w:spacing w:line="500" w:lineRule="exact"/>
        <w:ind w:firstLine="480" w:firstLineChars="200"/>
        <w:rPr>
          <w:color w:val="000000"/>
          <w:sz w:val="24"/>
        </w:rPr>
      </w:pPr>
      <w:r>
        <w:rPr>
          <w:color w:val="000000"/>
          <w:sz w:val="24"/>
        </w:rPr>
        <w:t>（23）《河南省环境保护“十三五”规划》（河南省人民政府，豫政[2017]77号）；</w:t>
      </w:r>
    </w:p>
    <w:p>
      <w:pPr>
        <w:spacing w:line="500" w:lineRule="exact"/>
        <w:ind w:firstLine="480" w:firstLineChars="200"/>
        <w:rPr>
          <w:color w:val="000000"/>
          <w:sz w:val="24"/>
        </w:rPr>
      </w:pPr>
      <w:r>
        <w:rPr>
          <w:color w:val="000000"/>
          <w:sz w:val="24"/>
        </w:rPr>
        <w:t>（24）《河南省现代畜牧产业发展规划》（豫政[2010]20号）；</w:t>
      </w:r>
    </w:p>
    <w:p>
      <w:pPr>
        <w:spacing w:line="500" w:lineRule="exact"/>
        <w:ind w:firstLine="480" w:firstLineChars="200"/>
        <w:rPr>
          <w:color w:val="000000"/>
          <w:sz w:val="24"/>
        </w:rPr>
      </w:pPr>
      <w:r>
        <w:rPr>
          <w:color w:val="000000"/>
          <w:sz w:val="24"/>
        </w:rPr>
        <w:t>（25）《河南省畜牧业“十三五”发展规划》（豫牧[2017]22号）；</w:t>
      </w:r>
    </w:p>
    <w:p>
      <w:pPr>
        <w:spacing w:line="500" w:lineRule="exact"/>
        <w:ind w:firstLine="480" w:firstLineChars="200"/>
        <w:rPr>
          <w:color w:val="000000"/>
          <w:sz w:val="24"/>
        </w:rPr>
      </w:pPr>
      <w:r>
        <w:rPr>
          <w:color w:val="000000"/>
          <w:sz w:val="24"/>
        </w:rPr>
        <w:t>（26）《关于加强环评管理防范环境风险的通知》（豫环文[2012]159号）；</w:t>
      </w:r>
    </w:p>
    <w:p>
      <w:pPr>
        <w:spacing w:line="500" w:lineRule="exact"/>
        <w:ind w:firstLine="480" w:firstLineChars="200"/>
        <w:rPr>
          <w:color w:val="000000"/>
          <w:sz w:val="24"/>
        </w:rPr>
      </w:pPr>
      <w:r>
        <w:rPr>
          <w:color w:val="000000"/>
          <w:sz w:val="24"/>
        </w:rPr>
        <w:t>（27）《河南省人民政府办公厅关于印发河南省城市集中式饮用水源保护区划的通知》（豫政办〔2007〕125号）；</w:t>
      </w:r>
    </w:p>
    <w:p>
      <w:pPr>
        <w:spacing w:line="500" w:lineRule="exact"/>
        <w:ind w:firstLine="480" w:firstLineChars="200"/>
        <w:rPr>
          <w:rFonts w:hint="eastAsia" w:eastAsia="宋体"/>
          <w:color w:val="000000"/>
          <w:sz w:val="24"/>
          <w:lang w:eastAsia="zh-CN"/>
        </w:rPr>
      </w:pPr>
      <w:r>
        <w:rPr>
          <w:rFonts w:hint="eastAsia"/>
          <w:color w:val="000000"/>
          <w:sz w:val="24"/>
          <w:lang w:eastAsia="zh-CN"/>
        </w:rPr>
        <w:t>（</w:t>
      </w:r>
      <w:r>
        <w:rPr>
          <w:rFonts w:hint="eastAsia"/>
          <w:color w:val="000000"/>
          <w:sz w:val="24"/>
          <w:lang w:val="en-US" w:eastAsia="zh-CN"/>
        </w:rPr>
        <w:t>28</w:t>
      </w:r>
      <w:r>
        <w:rPr>
          <w:rFonts w:hint="eastAsia"/>
          <w:color w:val="000000"/>
          <w:sz w:val="24"/>
          <w:lang w:eastAsia="zh-CN"/>
        </w:rPr>
        <w:t>）</w:t>
      </w:r>
      <w:r>
        <w:rPr>
          <w:color w:val="000000"/>
          <w:sz w:val="24"/>
        </w:rPr>
        <w:t>《河南省人民政府办公厅关于印发河南省乡镇集中式饮用水水源保护区划的通知》（豫政办〔2016〕23号）</w:t>
      </w:r>
      <w:r>
        <w:rPr>
          <w:rFonts w:hint="eastAsia"/>
          <w:color w:val="000000"/>
          <w:sz w:val="24"/>
          <w:lang w:eastAsia="zh-CN"/>
        </w:rPr>
        <w:t>。</w:t>
      </w:r>
    </w:p>
    <w:p>
      <w:pPr>
        <w:spacing w:line="600" w:lineRule="exact"/>
        <w:outlineLvl w:val="2"/>
        <w:rPr>
          <w:b/>
          <w:color w:val="000000"/>
          <w:sz w:val="24"/>
          <w:lang w:val="zh-CN"/>
        </w:rPr>
      </w:pPr>
      <w:r>
        <w:rPr>
          <w:b/>
          <w:color w:val="000000"/>
          <w:sz w:val="24"/>
          <w:lang w:val="zh-CN"/>
        </w:rPr>
        <w:t xml:space="preserve">1.6.2 </w:t>
      </w:r>
      <w:r>
        <w:rPr>
          <w:b/>
          <w:color w:val="000000"/>
          <w:sz w:val="24"/>
        </w:rPr>
        <w:t>行业标准与技术规范</w:t>
      </w:r>
    </w:p>
    <w:p>
      <w:pPr>
        <w:spacing w:line="500" w:lineRule="exact"/>
        <w:ind w:firstLine="480" w:firstLineChars="200"/>
        <w:rPr>
          <w:color w:val="000000"/>
          <w:sz w:val="24"/>
        </w:rPr>
      </w:pPr>
      <w:r>
        <w:rPr>
          <w:color w:val="000000"/>
          <w:sz w:val="24"/>
        </w:rPr>
        <w:t>（1）《环境影响评价技术导则—总纲》（HJ2.1-2016）；</w:t>
      </w:r>
    </w:p>
    <w:p>
      <w:pPr>
        <w:spacing w:line="500" w:lineRule="exact"/>
        <w:ind w:firstLine="480" w:firstLineChars="200"/>
        <w:rPr>
          <w:color w:val="000000"/>
          <w:sz w:val="24"/>
        </w:rPr>
      </w:pPr>
      <w:r>
        <w:rPr>
          <w:color w:val="000000"/>
          <w:sz w:val="24"/>
        </w:rPr>
        <w:t>（2）《环境影响评价技术导则—大气环境》（HJ2.2-2018）；</w:t>
      </w:r>
    </w:p>
    <w:p>
      <w:pPr>
        <w:spacing w:line="500" w:lineRule="exact"/>
        <w:ind w:firstLine="480" w:firstLineChars="200"/>
        <w:rPr>
          <w:color w:val="000000"/>
          <w:sz w:val="24"/>
        </w:rPr>
      </w:pPr>
      <w:r>
        <w:rPr>
          <w:color w:val="000000"/>
          <w:sz w:val="24"/>
        </w:rPr>
        <w:t>（3）《环境影响评价技术导则—地表水环境》（HJ/T2.3-2018）；</w:t>
      </w:r>
    </w:p>
    <w:p>
      <w:pPr>
        <w:spacing w:line="500" w:lineRule="exact"/>
        <w:ind w:firstLine="480" w:firstLineChars="200"/>
        <w:rPr>
          <w:color w:val="000000"/>
          <w:sz w:val="24"/>
        </w:rPr>
      </w:pPr>
      <w:r>
        <w:rPr>
          <w:color w:val="000000"/>
          <w:sz w:val="24"/>
        </w:rPr>
        <w:t>（4）《环境影响评价技术导则—声环境》（HJ2.4-2009）；</w:t>
      </w:r>
    </w:p>
    <w:p>
      <w:pPr>
        <w:spacing w:line="500" w:lineRule="exact"/>
        <w:ind w:firstLine="480" w:firstLineChars="200"/>
        <w:rPr>
          <w:color w:val="000000"/>
          <w:sz w:val="24"/>
        </w:rPr>
      </w:pPr>
      <w:r>
        <w:rPr>
          <w:color w:val="000000"/>
          <w:sz w:val="24"/>
        </w:rPr>
        <w:t>（5）《环境影响评价技术导则—地下水环境》（HJ610-2016）；</w:t>
      </w:r>
    </w:p>
    <w:p>
      <w:pPr>
        <w:spacing w:line="500" w:lineRule="exact"/>
        <w:ind w:firstLine="480" w:firstLineChars="200"/>
        <w:rPr>
          <w:color w:val="000000"/>
          <w:sz w:val="24"/>
        </w:rPr>
      </w:pPr>
      <w:r>
        <w:rPr>
          <w:color w:val="000000"/>
          <w:sz w:val="24"/>
        </w:rPr>
        <w:t>（6）《环境影响评价技术导则—生态影响》（HJ19-2011）；</w:t>
      </w:r>
    </w:p>
    <w:p>
      <w:pPr>
        <w:spacing w:line="500" w:lineRule="exact"/>
        <w:ind w:firstLine="480" w:firstLineChars="200"/>
        <w:rPr>
          <w:rFonts w:hint="eastAsia" w:eastAsia="宋体"/>
          <w:color w:val="000000"/>
          <w:sz w:val="24"/>
          <w:lang w:eastAsia="zh-CN"/>
        </w:rPr>
      </w:pPr>
      <w:r>
        <w:rPr>
          <w:rFonts w:hint="eastAsia"/>
          <w:color w:val="000000"/>
          <w:sz w:val="24"/>
          <w:lang w:eastAsia="zh-CN"/>
        </w:rPr>
        <w:t>（</w:t>
      </w:r>
      <w:r>
        <w:rPr>
          <w:rFonts w:hint="eastAsia"/>
          <w:color w:val="000000"/>
          <w:sz w:val="24"/>
          <w:lang w:val="en-US" w:eastAsia="zh-CN"/>
        </w:rPr>
        <w:t>7</w:t>
      </w:r>
      <w:r>
        <w:rPr>
          <w:rFonts w:hint="eastAsia"/>
          <w:color w:val="000000"/>
          <w:sz w:val="24"/>
          <w:lang w:eastAsia="zh-CN"/>
        </w:rPr>
        <w:t>）</w:t>
      </w:r>
      <w:r>
        <w:rPr>
          <w:color w:val="000000"/>
          <w:sz w:val="24"/>
        </w:rPr>
        <w:t>《环境影响评价技术导则 土壤环境（试行）》HJ 964-2018</w:t>
      </w:r>
      <w:r>
        <w:rPr>
          <w:rFonts w:hint="eastAsia"/>
          <w:color w:val="000000"/>
          <w:sz w:val="24"/>
          <w:lang w:eastAsia="zh-CN"/>
        </w:rPr>
        <w:t>；</w:t>
      </w:r>
    </w:p>
    <w:p>
      <w:pPr>
        <w:spacing w:line="500" w:lineRule="exact"/>
        <w:ind w:firstLine="480" w:firstLineChars="200"/>
        <w:rPr>
          <w:rFonts w:hint="eastAsia" w:eastAsia="宋体"/>
          <w:color w:val="000000"/>
          <w:sz w:val="24"/>
          <w:lang w:eastAsia="zh-CN"/>
        </w:rPr>
      </w:pPr>
      <w:r>
        <w:rPr>
          <w:rFonts w:hint="eastAsia"/>
          <w:color w:val="000000"/>
          <w:sz w:val="24"/>
          <w:lang w:eastAsia="zh-CN"/>
        </w:rPr>
        <w:t>（</w:t>
      </w:r>
      <w:r>
        <w:rPr>
          <w:rFonts w:hint="eastAsia"/>
          <w:color w:val="000000"/>
          <w:sz w:val="24"/>
          <w:lang w:val="en-US" w:eastAsia="zh-CN"/>
        </w:rPr>
        <w:t>8</w:t>
      </w:r>
      <w:r>
        <w:rPr>
          <w:rFonts w:hint="eastAsia"/>
          <w:color w:val="000000"/>
          <w:sz w:val="24"/>
          <w:lang w:eastAsia="zh-CN"/>
        </w:rPr>
        <w:t>）</w:t>
      </w:r>
      <w:r>
        <w:rPr>
          <w:color w:val="000000"/>
          <w:sz w:val="24"/>
        </w:rPr>
        <w:t>《建设项目环境风险评价技术导则》HJ 169-2018</w:t>
      </w:r>
      <w:r>
        <w:rPr>
          <w:rFonts w:hint="eastAsia"/>
          <w:color w:val="000000"/>
          <w:sz w:val="24"/>
          <w:lang w:eastAsia="zh-CN"/>
        </w:rPr>
        <w:t>；</w:t>
      </w:r>
    </w:p>
    <w:p>
      <w:pPr>
        <w:spacing w:line="500" w:lineRule="exact"/>
        <w:ind w:firstLine="480" w:firstLineChars="200"/>
        <w:rPr>
          <w:color w:val="000000"/>
          <w:sz w:val="24"/>
        </w:rPr>
      </w:pPr>
      <w:r>
        <w:rPr>
          <w:color w:val="000000"/>
          <w:sz w:val="24"/>
        </w:rPr>
        <w:t>（</w:t>
      </w:r>
      <w:r>
        <w:rPr>
          <w:rFonts w:hint="eastAsia"/>
          <w:color w:val="000000"/>
          <w:sz w:val="24"/>
          <w:lang w:val="en-US" w:eastAsia="zh-CN"/>
        </w:rPr>
        <w:t>9</w:t>
      </w:r>
      <w:r>
        <w:rPr>
          <w:color w:val="000000"/>
          <w:sz w:val="24"/>
        </w:rPr>
        <w:t>）《地下水环境监测技术规范》（HJ/T164-2004）；</w:t>
      </w:r>
    </w:p>
    <w:p>
      <w:pPr>
        <w:spacing w:line="500" w:lineRule="exact"/>
        <w:ind w:firstLine="480" w:firstLineChars="200"/>
        <w:rPr>
          <w:color w:val="000000"/>
          <w:sz w:val="24"/>
        </w:rPr>
      </w:pPr>
      <w:r>
        <w:rPr>
          <w:color w:val="000000"/>
          <w:sz w:val="24"/>
        </w:rPr>
        <w:t>（</w:t>
      </w:r>
      <w:r>
        <w:rPr>
          <w:rFonts w:hint="eastAsia"/>
          <w:color w:val="000000"/>
          <w:sz w:val="24"/>
          <w:lang w:val="en-US" w:eastAsia="zh-CN"/>
        </w:rPr>
        <w:t>10</w:t>
      </w:r>
      <w:r>
        <w:rPr>
          <w:color w:val="000000"/>
          <w:sz w:val="24"/>
        </w:rPr>
        <w:t>）《地表水和污水监测技术规范》（HJ/T91-2002）；</w:t>
      </w:r>
    </w:p>
    <w:p>
      <w:pPr>
        <w:spacing w:line="500" w:lineRule="exact"/>
        <w:ind w:firstLine="480" w:firstLineChars="200"/>
        <w:rPr>
          <w:color w:val="000000"/>
          <w:sz w:val="24"/>
        </w:rPr>
      </w:pPr>
      <w:r>
        <w:rPr>
          <w:color w:val="000000"/>
          <w:sz w:val="24"/>
        </w:rPr>
        <w:t>（</w:t>
      </w:r>
      <w:r>
        <w:rPr>
          <w:rFonts w:hint="eastAsia"/>
          <w:color w:val="000000"/>
          <w:sz w:val="24"/>
          <w:lang w:val="en-US" w:eastAsia="zh-CN"/>
        </w:rPr>
        <w:t>11</w:t>
      </w:r>
      <w:r>
        <w:rPr>
          <w:color w:val="000000"/>
          <w:sz w:val="24"/>
        </w:rPr>
        <w:t>）《建设项目环境影响评价分类管理名录》（环境保护部令第44号, 2018年4月28修改）；</w:t>
      </w:r>
    </w:p>
    <w:p>
      <w:pPr>
        <w:spacing w:line="500" w:lineRule="exact"/>
        <w:ind w:firstLine="480" w:firstLineChars="200"/>
        <w:rPr>
          <w:color w:val="000000"/>
          <w:sz w:val="24"/>
        </w:rPr>
      </w:pPr>
      <w:r>
        <w:rPr>
          <w:color w:val="000000"/>
          <w:sz w:val="24"/>
        </w:rPr>
        <w:t>（1</w:t>
      </w:r>
      <w:r>
        <w:rPr>
          <w:rFonts w:hint="eastAsia"/>
          <w:color w:val="000000"/>
          <w:sz w:val="24"/>
          <w:lang w:val="en-US" w:eastAsia="zh-CN"/>
        </w:rPr>
        <w:t>2</w:t>
      </w:r>
      <w:r>
        <w:rPr>
          <w:color w:val="000000"/>
          <w:sz w:val="24"/>
        </w:rPr>
        <w:t>）《建设项目环境风险评价技术导则》（HJ/T169-2018）；</w:t>
      </w:r>
    </w:p>
    <w:p>
      <w:pPr>
        <w:spacing w:line="500" w:lineRule="exact"/>
        <w:ind w:firstLine="480" w:firstLineChars="200"/>
        <w:rPr>
          <w:color w:val="000000"/>
          <w:sz w:val="24"/>
        </w:rPr>
      </w:pPr>
      <w:r>
        <w:rPr>
          <w:color w:val="000000"/>
          <w:sz w:val="24"/>
        </w:rPr>
        <w:t>（1</w:t>
      </w:r>
      <w:r>
        <w:rPr>
          <w:rFonts w:hint="eastAsia"/>
          <w:color w:val="000000"/>
          <w:sz w:val="24"/>
          <w:lang w:val="en-US" w:eastAsia="zh-CN"/>
        </w:rPr>
        <w:t>3</w:t>
      </w:r>
      <w:r>
        <w:rPr>
          <w:color w:val="000000"/>
          <w:sz w:val="24"/>
        </w:rPr>
        <w:t>）《畜禽养殖业污染防治技术规范》（HJ/T81-2001）；</w:t>
      </w:r>
    </w:p>
    <w:p>
      <w:pPr>
        <w:spacing w:line="500" w:lineRule="exact"/>
        <w:ind w:firstLine="480" w:firstLineChars="200"/>
        <w:rPr>
          <w:color w:val="000000"/>
          <w:sz w:val="24"/>
        </w:rPr>
      </w:pPr>
      <w:r>
        <w:rPr>
          <w:color w:val="000000"/>
          <w:sz w:val="24"/>
        </w:rPr>
        <w:t>（1</w:t>
      </w:r>
      <w:r>
        <w:rPr>
          <w:rFonts w:hint="eastAsia"/>
          <w:color w:val="000000"/>
          <w:sz w:val="24"/>
          <w:lang w:val="en-US" w:eastAsia="zh-CN"/>
        </w:rPr>
        <w:t>4</w:t>
      </w:r>
      <w:r>
        <w:rPr>
          <w:color w:val="000000"/>
          <w:sz w:val="24"/>
        </w:rPr>
        <w:t>）《畜禽养殖业污染治理工程技术规范》（HJ497-2009）；</w:t>
      </w:r>
    </w:p>
    <w:p>
      <w:pPr>
        <w:spacing w:line="500" w:lineRule="exact"/>
        <w:ind w:firstLine="480" w:firstLineChars="200"/>
        <w:rPr>
          <w:color w:val="000000"/>
          <w:sz w:val="24"/>
        </w:rPr>
      </w:pPr>
      <w:r>
        <w:rPr>
          <w:color w:val="000000"/>
          <w:sz w:val="24"/>
        </w:rPr>
        <w:t>（1</w:t>
      </w:r>
      <w:r>
        <w:rPr>
          <w:rFonts w:hint="eastAsia"/>
          <w:color w:val="000000"/>
          <w:sz w:val="24"/>
          <w:lang w:val="en-US" w:eastAsia="zh-CN"/>
        </w:rPr>
        <w:t>5</w:t>
      </w:r>
      <w:r>
        <w:rPr>
          <w:color w:val="000000"/>
          <w:sz w:val="24"/>
        </w:rPr>
        <w:t>）《畜禽粪便无害化处理技术规范》（NY/T1168-2006）；</w:t>
      </w:r>
    </w:p>
    <w:p>
      <w:pPr>
        <w:spacing w:line="500" w:lineRule="exact"/>
        <w:ind w:firstLine="480" w:firstLineChars="200"/>
        <w:rPr>
          <w:color w:val="000000"/>
          <w:sz w:val="24"/>
        </w:rPr>
      </w:pPr>
      <w:r>
        <w:rPr>
          <w:color w:val="000000"/>
          <w:sz w:val="24"/>
        </w:rPr>
        <w:t>（1</w:t>
      </w:r>
      <w:r>
        <w:rPr>
          <w:rFonts w:hint="eastAsia"/>
          <w:color w:val="000000"/>
          <w:sz w:val="24"/>
          <w:lang w:val="en-US" w:eastAsia="zh-CN"/>
        </w:rPr>
        <w:t>6</w:t>
      </w:r>
      <w:r>
        <w:rPr>
          <w:color w:val="000000"/>
          <w:sz w:val="24"/>
        </w:rPr>
        <w:t>）《畜禽场环境污染控制技术规范》（NY/T1169-2006）；</w:t>
      </w:r>
    </w:p>
    <w:p>
      <w:pPr>
        <w:spacing w:line="500" w:lineRule="exact"/>
        <w:ind w:firstLine="480" w:firstLineChars="200"/>
        <w:rPr>
          <w:color w:val="000000"/>
          <w:sz w:val="24"/>
        </w:rPr>
      </w:pPr>
      <w:r>
        <w:rPr>
          <w:color w:val="000000"/>
          <w:sz w:val="24"/>
        </w:rPr>
        <w:t>（1</w:t>
      </w:r>
      <w:r>
        <w:rPr>
          <w:rFonts w:hint="eastAsia"/>
          <w:color w:val="000000"/>
          <w:sz w:val="24"/>
          <w:lang w:val="en-US" w:eastAsia="zh-CN"/>
        </w:rPr>
        <w:t>7</w:t>
      </w:r>
      <w:r>
        <w:rPr>
          <w:color w:val="000000"/>
          <w:sz w:val="24"/>
        </w:rPr>
        <w:t>）《规模化畜禽养殖场沼气工程设计规范》（NY/T1222-2006）；</w:t>
      </w:r>
    </w:p>
    <w:p>
      <w:pPr>
        <w:spacing w:line="500" w:lineRule="exact"/>
        <w:ind w:firstLine="480" w:firstLineChars="200"/>
        <w:rPr>
          <w:color w:val="000000"/>
          <w:sz w:val="24"/>
        </w:rPr>
      </w:pPr>
      <w:r>
        <w:rPr>
          <w:color w:val="000000"/>
          <w:sz w:val="24"/>
        </w:rPr>
        <w:t>（1</w:t>
      </w:r>
      <w:r>
        <w:rPr>
          <w:rFonts w:hint="eastAsia"/>
          <w:color w:val="000000"/>
          <w:sz w:val="24"/>
          <w:lang w:val="en-US" w:eastAsia="zh-CN"/>
        </w:rPr>
        <w:t>8</w:t>
      </w:r>
      <w:r>
        <w:rPr>
          <w:color w:val="000000"/>
          <w:sz w:val="24"/>
        </w:rPr>
        <w:t>）《畜禽养殖场污染防治最佳可行技术指南（试行）》（HJ-BAT-10）；</w:t>
      </w:r>
    </w:p>
    <w:p>
      <w:pPr>
        <w:spacing w:line="500" w:lineRule="exact"/>
        <w:ind w:firstLine="480" w:firstLineChars="200"/>
        <w:rPr>
          <w:color w:val="000000"/>
          <w:sz w:val="24"/>
        </w:rPr>
      </w:pPr>
      <w:r>
        <w:rPr>
          <w:color w:val="000000"/>
          <w:sz w:val="24"/>
        </w:rPr>
        <w:t>（1</w:t>
      </w:r>
      <w:r>
        <w:rPr>
          <w:rFonts w:hint="eastAsia"/>
          <w:color w:val="000000"/>
          <w:sz w:val="24"/>
          <w:lang w:val="en-US" w:eastAsia="zh-CN"/>
        </w:rPr>
        <w:t>9</w:t>
      </w:r>
      <w:r>
        <w:rPr>
          <w:color w:val="000000"/>
          <w:sz w:val="24"/>
        </w:rPr>
        <w:t>）《畜禽粪便还田技术规范》（GB/T25246-2010）；</w:t>
      </w:r>
    </w:p>
    <w:p>
      <w:pPr>
        <w:spacing w:line="500" w:lineRule="exact"/>
        <w:ind w:firstLine="480" w:firstLineChars="200"/>
        <w:rPr>
          <w:color w:val="000000"/>
          <w:sz w:val="24"/>
        </w:rPr>
      </w:pPr>
      <w:r>
        <w:rPr>
          <w:color w:val="000000"/>
          <w:sz w:val="24"/>
        </w:rPr>
        <w:t>（</w:t>
      </w:r>
      <w:r>
        <w:rPr>
          <w:rFonts w:hint="eastAsia"/>
          <w:color w:val="000000"/>
          <w:sz w:val="24"/>
          <w:lang w:val="en-US" w:eastAsia="zh-CN"/>
        </w:rPr>
        <w:t>20</w:t>
      </w:r>
      <w:r>
        <w:rPr>
          <w:color w:val="000000"/>
          <w:sz w:val="24"/>
        </w:rPr>
        <w:t>）《畜禽养殖产地环境评价规范》（HJ 568—2010）。</w:t>
      </w:r>
    </w:p>
    <w:p>
      <w:pPr>
        <w:spacing w:line="600" w:lineRule="exact"/>
        <w:outlineLvl w:val="2"/>
        <w:rPr>
          <w:b/>
          <w:color w:val="000000"/>
          <w:sz w:val="24"/>
          <w:lang w:val="zh-CN"/>
        </w:rPr>
      </w:pPr>
      <w:r>
        <w:rPr>
          <w:b/>
          <w:color w:val="000000"/>
          <w:sz w:val="24"/>
          <w:lang w:val="zh-CN"/>
        </w:rPr>
        <w:t>1.6.3 其他有关资料</w:t>
      </w:r>
    </w:p>
    <w:p>
      <w:pPr>
        <w:spacing w:line="500" w:lineRule="exact"/>
        <w:ind w:firstLine="480" w:firstLineChars="200"/>
        <w:rPr>
          <w:bCs/>
          <w:color w:val="000000"/>
          <w:sz w:val="24"/>
        </w:rPr>
      </w:pPr>
      <w:r>
        <w:rPr>
          <w:bCs/>
          <w:color w:val="000000"/>
          <w:sz w:val="24"/>
        </w:rPr>
        <w:t>（1）本项目环评工作委托书；</w:t>
      </w:r>
    </w:p>
    <w:p>
      <w:pPr>
        <w:spacing w:line="500" w:lineRule="exact"/>
        <w:ind w:firstLine="480" w:firstLineChars="200"/>
        <w:rPr>
          <w:bCs/>
          <w:color w:val="000000"/>
          <w:sz w:val="24"/>
        </w:rPr>
      </w:pPr>
      <w:r>
        <w:rPr>
          <w:bCs/>
          <w:color w:val="000000"/>
          <w:sz w:val="24"/>
        </w:rPr>
        <w:t>（</w:t>
      </w:r>
      <w:r>
        <w:rPr>
          <w:rFonts w:hint="eastAsia"/>
          <w:bCs/>
          <w:color w:val="000000"/>
          <w:sz w:val="24"/>
          <w:lang w:val="en-US" w:eastAsia="zh-CN"/>
        </w:rPr>
        <w:t>2</w:t>
      </w:r>
      <w:r>
        <w:rPr>
          <w:bCs/>
          <w:color w:val="000000"/>
          <w:sz w:val="24"/>
        </w:rPr>
        <w:t>）与项目有关的其他资料和文件。</w:t>
      </w:r>
    </w:p>
    <w:p>
      <w:pPr>
        <w:pStyle w:val="5"/>
        <w:spacing w:before="156" w:after="156"/>
        <w:rPr>
          <w:rFonts w:hAnsi="Times New Roman"/>
          <w:color w:val="000000"/>
        </w:rPr>
      </w:pPr>
      <w:bookmarkStart w:id="26" w:name="_Toc375206151"/>
      <w:bookmarkStart w:id="27" w:name="_Toc31860"/>
      <w:r>
        <w:rPr>
          <w:rFonts w:hAnsi="Times New Roman"/>
          <w:color w:val="000000"/>
        </w:rPr>
        <w:t>1.7 评价对象、评价目的和</w:t>
      </w:r>
      <w:bookmarkEnd w:id="26"/>
      <w:r>
        <w:rPr>
          <w:rFonts w:hAnsi="Times New Roman"/>
          <w:color w:val="000000"/>
        </w:rPr>
        <w:t>评价重点</w:t>
      </w:r>
      <w:bookmarkEnd w:id="27"/>
    </w:p>
    <w:p>
      <w:pPr>
        <w:spacing w:line="600" w:lineRule="exact"/>
        <w:outlineLvl w:val="2"/>
        <w:rPr>
          <w:b/>
          <w:color w:val="000000"/>
          <w:sz w:val="24"/>
        </w:rPr>
      </w:pPr>
      <w:r>
        <w:rPr>
          <w:b/>
          <w:color w:val="000000"/>
          <w:sz w:val="24"/>
        </w:rPr>
        <w:t>1.7.1 评价对象</w:t>
      </w:r>
    </w:p>
    <w:p>
      <w:pPr>
        <w:spacing w:line="500" w:lineRule="exact"/>
        <w:ind w:firstLine="480" w:firstLineChars="200"/>
        <w:rPr>
          <w:color w:val="000000"/>
          <w:sz w:val="24"/>
        </w:rPr>
      </w:pPr>
      <w:r>
        <w:rPr>
          <w:color w:val="000000"/>
          <w:sz w:val="24"/>
        </w:rPr>
        <w:t>本次评价对象为：</w:t>
      </w:r>
      <w:r>
        <w:rPr>
          <w:rFonts w:hint="eastAsia"/>
          <w:bCs/>
          <w:color w:val="000000"/>
          <w:sz w:val="24"/>
          <w:lang w:val="en-US" w:eastAsia="zh-CN"/>
        </w:rPr>
        <w:t>正阳县辉鸿农牧有限公司新建年出栏生猪一万头生产</w:t>
      </w:r>
      <w:r>
        <w:rPr>
          <w:rFonts w:hint="eastAsia"/>
          <w:bCs/>
          <w:color w:val="000000"/>
          <w:sz w:val="24"/>
        </w:rPr>
        <w:t>项目</w:t>
      </w:r>
      <w:r>
        <w:rPr>
          <w:color w:val="000000"/>
          <w:sz w:val="24"/>
        </w:rPr>
        <w:t>。</w:t>
      </w:r>
    </w:p>
    <w:p>
      <w:pPr>
        <w:spacing w:line="600" w:lineRule="exact"/>
        <w:outlineLvl w:val="2"/>
        <w:rPr>
          <w:b/>
          <w:color w:val="000000"/>
          <w:sz w:val="24"/>
        </w:rPr>
      </w:pPr>
      <w:r>
        <w:rPr>
          <w:b/>
          <w:color w:val="000000"/>
          <w:sz w:val="24"/>
        </w:rPr>
        <w:t>1.7.2 评价目的</w:t>
      </w:r>
    </w:p>
    <w:p>
      <w:pPr>
        <w:spacing w:line="500" w:lineRule="exact"/>
        <w:ind w:firstLine="480" w:firstLineChars="200"/>
        <w:rPr>
          <w:bCs/>
          <w:color w:val="000000"/>
          <w:sz w:val="24"/>
        </w:rPr>
      </w:pPr>
      <w:r>
        <w:rPr>
          <w:bCs/>
          <w:color w:val="000000"/>
          <w:sz w:val="24"/>
        </w:rPr>
        <w:t>（1）通过项目地区自然环境和社会环境调查及现状监测，了解区域环境现状，掌握当地环境质量现状水平，确定环境纳污容量；</w:t>
      </w:r>
    </w:p>
    <w:p>
      <w:pPr>
        <w:spacing w:line="500" w:lineRule="exact"/>
        <w:ind w:firstLine="480" w:firstLineChars="200"/>
        <w:rPr>
          <w:bCs/>
          <w:color w:val="000000"/>
          <w:sz w:val="24"/>
        </w:rPr>
      </w:pPr>
      <w:r>
        <w:rPr>
          <w:bCs/>
          <w:color w:val="000000"/>
          <w:sz w:val="24"/>
        </w:rPr>
        <w:t>（2）通过对项目的工程分析和现场踏勘、监测，进一步核实工程污染产生情况，分析和预测营运期项目污染对周边环境的影响范围和程度；</w:t>
      </w:r>
    </w:p>
    <w:p>
      <w:pPr>
        <w:spacing w:line="500" w:lineRule="exact"/>
        <w:ind w:firstLine="480" w:firstLineChars="200"/>
        <w:rPr>
          <w:bCs/>
          <w:color w:val="000000"/>
          <w:sz w:val="24"/>
        </w:rPr>
      </w:pPr>
      <w:r>
        <w:rPr>
          <w:bCs/>
          <w:color w:val="000000"/>
          <w:sz w:val="24"/>
        </w:rPr>
        <w:t>（3）在对本项目工程分析的基础上，以清洁生产为原则，分析工程污染治理措施的可行性，提出相应的对策措施建议，并为今后的环境管理工作提供科学依据；</w:t>
      </w:r>
    </w:p>
    <w:p>
      <w:pPr>
        <w:spacing w:line="500" w:lineRule="exact"/>
        <w:ind w:firstLine="480" w:firstLineChars="200"/>
        <w:rPr>
          <w:bCs/>
          <w:color w:val="000000"/>
          <w:sz w:val="24"/>
        </w:rPr>
      </w:pPr>
      <w:r>
        <w:rPr>
          <w:bCs/>
          <w:color w:val="000000"/>
          <w:sz w:val="24"/>
        </w:rPr>
        <w:t>（4）根据预测评价结果，分析工程及选址的可行性。</w:t>
      </w:r>
    </w:p>
    <w:p>
      <w:pPr>
        <w:spacing w:line="600" w:lineRule="exact"/>
        <w:outlineLvl w:val="2"/>
        <w:rPr>
          <w:b/>
          <w:color w:val="000000"/>
          <w:sz w:val="24"/>
        </w:rPr>
      </w:pPr>
      <w:r>
        <w:rPr>
          <w:b/>
          <w:color w:val="000000"/>
          <w:sz w:val="24"/>
        </w:rPr>
        <w:t>1.7.3 评价重点</w:t>
      </w:r>
    </w:p>
    <w:p>
      <w:pPr>
        <w:spacing w:line="500" w:lineRule="exact"/>
        <w:ind w:firstLine="480" w:firstLineChars="200"/>
        <w:rPr>
          <w:bCs/>
          <w:color w:val="000000"/>
          <w:sz w:val="24"/>
        </w:rPr>
      </w:pPr>
      <w:r>
        <w:rPr>
          <w:bCs/>
          <w:color w:val="000000"/>
          <w:sz w:val="24"/>
        </w:rPr>
        <w:t>根据对项目工程分析和选址地环境特征，确定本项目环境影响评价的重点为：</w:t>
      </w:r>
    </w:p>
    <w:p>
      <w:pPr>
        <w:spacing w:line="500" w:lineRule="exact"/>
        <w:ind w:firstLine="480" w:firstLineChars="200"/>
        <w:rPr>
          <w:bCs/>
          <w:color w:val="000000"/>
          <w:sz w:val="24"/>
        </w:rPr>
      </w:pPr>
      <w:r>
        <w:rPr>
          <w:bCs/>
          <w:color w:val="000000"/>
          <w:sz w:val="24"/>
        </w:rPr>
        <w:t>（1）工程分析：针对养殖行业特点，调查分析废气、废水、固废等的污染物特性，重点核实项目污染物的排放源强和排放特征；</w:t>
      </w:r>
    </w:p>
    <w:p>
      <w:pPr>
        <w:spacing w:line="500" w:lineRule="exact"/>
        <w:ind w:firstLine="480" w:firstLineChars="200"/>
        <w:rPr>
          <w:bCs/>
          <w:color w:val="000000"/>
          <w:sz w:val="24"/>
        </w:rPr>
      </w:pPr>
      <w:r>
        <w:rPr>
          <w:bCs/>
          <w:color w:val="000000"/>
          <w:sz w:val="24"/>
        </w:rPr>
        <w:t>（2）环境影响预测与评价：核实项目污染物的排放源强和排放特征，预测判断项目建设完成后对评价区域环境的影响范围和程度；</w:t>
      </w:r>
    </w:p>
    <w:p>
      <w:pPr>
        <w:spacing w:line="500" w:lineRule="exact"/>
        <w:ind w:firstLine="480" w:firstLineChars="200"/>
        <w:rPr>
          <w:bCs/>
          <w:color w:val="000000"/>
          <w:sz w:val="24"/>
        </w:rPr>
      </w:pPr>
      <w:r>
        <w:rPr>
          <w:bCs/>
          <w:color w:val="000000"/>
          <w:sz w:val="24"/>
        </w:rPr>
        <w:t>（3）污染防治措施及技术经济论证：根据建设项目产生的污染物特点，充分分析污染治理措施的技术先进性、经济合理性及运行的可靠性、农养一体化实施的可靠性，提出相应的对策措施建议。</w:t>
      </w:r>
    </w:p>
    <w:p>
      <w:pPr>
        <w:pStyle w:val="5"/>
        <w:spacing w:before="156" w:after="156"/>
        <w:rPr>
          <w:rFonts w:hAnsi="Times New Roman"/>
          <w:color w:val="000000"/>
        </w:rPr>
      </w:pPr>
      <w:bookmarkStart w:id="28" w:name="_Toc24521"/>
      <w:bookmarkStart w:id="29" w:name="_Toc375206152"/>
      <w:r>
        <w:rPr>
          <w:rFonts w:hAnsi="Times New Roman"/>
          <w:color w:val="000000"/>
        </w:rPr>
        <w:t>1.8 影响因素识别及评价因子筛选</w:t>
      </w:r>
      <w:bookmarkEnd w:id="28"/>
      <w:bookmarkEnd w:id="29"/>
    </w:p>
    <w:p>
      <w:pPr>
        <w:spacing w:line="600" w:lineRule="exact"/>
        <w:outlineLvl w:val="2"/>
        <w:rPr>
          <w:b/>
          <w:color w:val="000000"/>
          <w:sz w:val="24"/>
        </w:rPr>
      </w:pPr>
      <w:r>
        <w:rPr>
          <w:b/>
          <w:color w:val="000000"/>
          <w:sz w:val="24"/>
        </w:rPr>
        <w:t>1.8.1 环境影响因素识别</w:t>
      </w:r>
    </w:p>
    <w:p>
      <w:pPr>
        <w:spacing w:line="500" w:lineRule="exact"/>
        <w:ind w:firstLine="480" w:firstLineChars="200"/>
        <w:rPr>
          <w:bCs/>
          <w:color w:val="000000"/>
          <w:sz w:val="24"/>
        </w:rPr>
      </w:pPr>
      <w:r>
        <w:rPr>
          <w:bCs/>
          <w:color w:val="000000"/>
          <w:sz w:val="24"/>
        </w:rPr>
        <w:t>项目环境影响因素识别见表1</w:t>
      </w:r>
      <w:r>
        <w:rPr>
          <w:rFonts w:hint="eastAsia"/>
          <w:bCs/>
          <w:color w:val="000000"/>
          <w:sz w:val="24"/>
          <w:lang w:val="en-US" w:eastAsia="zh-CN"/>
        </w:rPr>
        <w:t>.8</w:t>
      </w:r>
      <w:r>
        <w:rPr>
          <w:bCs/>
          <w:color w:val="000000"/>
          <w:sz w:val="24"/>
        </w:rPr>
        <w:t>-1。</w:t>
      </w:r>
    </w:p>
    <w:p>
      <w:pPr>
        <w:spacing w:line="500" w:lineRule="exact"/>
        <w:ind w:firstLine="422" w:firstLineChars="200"/>
        <w:jc w:val="center"/>
        <w:rPr>
          <w:b/>
          <w:bCs/>
          <w:color w:val="000000"/>
          <w:szCs w:val="21"/>
        </w:rPr>
      </w:pPr>
      <w:r>
        <w:rPr>
          <w:b/>
          <w:bCs/>
          <w:color w:val="000000"/>
          <w:szCs w:val="21"/>
        </w:rPr>
        <w:t>表1</w:t>
      </w:r>
      <w:r>
        <w:rPr>
          <w:rFonts w:hint="eastAsia"/>
          <w:b/>
          <w:bCs/>
          <w:color w:val="000000"/>
          <w:szCs w:val="21"/>
          <w:lang w:val="en-US" w:eastAsia="zh-CN"/>
        </w:rPr>
        <w:t>.8</w:t>
      </w:r>
      <w:r>
        <w:rPr>
          <w:b/>
          <w:bCs/>
          <w:color w:val="000000"/>
          <w:szCs w:val="21"/>
        </w:rPr>
        <w:t>-1   工程环境影响识别一览表</w:t>
      </w:r>
    </w:p>
    <w:tbl>
      <w:tblPr>
        <w:tblStyle w:val="45"/>
        <w:tblW w:w="87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49"/>
        <w:gridCol w:w="1286"/>
        <w:gridCol w:w="709"/>
        <w:gridCol w:w="850"/>
        <w:gridCol w:w="949"/>
        <w:gridCol w:w="684"/>
        <w:gridCol w:w="691"/>
        <w:gridCol w:w="1136"/>
        <w:gridCol w:w="1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8" w:hRule="atLeast"/>
          <w:jc w:val="center"/>
        </w:trPr>
        <w:tc>
          <w:tcPr>
            <w:tcW w:w="848" w:type="dxa"/>
            <w:vMerge w:val="restart"/>
            <w:vAlign w:val="center"/>
          </w:tcPr>
          <w:p>
            <w:pPr>
              <w:spacing w:line="320" w:lineRule="exact"/>
              <w:jc w:val="center"/>
              <w:rPr>
                <w:b/>
                <w:color w:val="000000"/>
                <w:szCs w:val="21"/>
              </w:rPr>
            </w:pPr>
            <w:r>
              <w:rPr>
                <w:b/>
                <w:color w:val="000000"/>
                <w:szCs w:val="21"/>
              </w:rPr>
              <w:t>阶段</w:t>
            </w:r>
          </w:p>
        </w:tc>
        <w:tc>
          <w:tcPr>
            <w:tcW w:w="1735" w:type="dxa"/>
            <w:gridSpan w:val="2"/>
            <w:vMerge w:val="restart"/>
            <w:vAlign w:val="center"/>
          </w:tcPr>
          <w:p>
            <w:pPr>
              <w:spacing w:line="320" w:lineRule="exact"/>
              <w:jc w:val="center"/>
              <w:rPr>
                <w:b/>
                <w:color w:val="000000"/>
                <w:szCs w:val="21"/>
              </w:rPr>
            </w:pPr>
            <w:r>
              <w:rPr>
                <w:b/>
                <w:color w:val="000000"/>
                <w:szCs w:val="21"/>
              </w:rPr>
              <w:t>污染因素</w:t>
            </w:r>
          </w:p>
        </w:tc>
        <w:tc>
          <w:tcPr>
            <w:tcW w:w="6209" w:type="dxa"/>
            <w:gridSpan w:val="7"/>
            <w:vAlign w:val="center"/>
          </w:tcPr>
          <w:p>
            <w:pPr>
              <w:spacing w:line="320" w:lineRule="exact"/>
              <w:jc w:val="center"/>
              <w:rPr>
                <w:b/>
                <w:color w:val="000000"/>
                <w:szCs w:val="21"/>
              </w:rPr>
            </w:pPr>
            <w:r>
              <w:rPr>
                <w:b/>
                <w:color w:val="000000"/>
                <w:szCs w:val="21"/>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b/>
                <w:color w:val="000000"/>
                <w:szCs w:val="21"/>
              </w:rPr>
            </w:pPr>
          </w:p>
        </w:tc>
        <w:tc>
          <w:tcPr>
            <w:tcW w:w="1735" w:type="dxa"/>
            <w:gridSpan w:val="2"/>
            <w:vMerge w:val="continue"/>
            <w:vAlign w:val="center"/>
          </w:tcPr>
          <w:p>
            <w:pPr>
              <w:spacing w:line="320" w:lineRule="exact"/>
              <w:jc w:val="center"/>
              <w:rPr>
                <w:b/>
                <w:color w:val="000000"/>
                <w:szCs w:val="21"/>
              </w:rPr>
            </w:pPr>
          </w:p>
        </w:tc>
        <w:tc>
          <w:tcPr>
            <w:tcW w:w="709" w:type="dxa"/>
            <w:vAlign w:val="center"/>
          </w:tcPr>
          <w:p>
            <w:pPr>
              <w:spacing w:line="320" w:lineRule="exact"/>
              <w:jc w:val="center"/>
              <w:rPr>
                <w:b/>
                <w:color w:val="000000"/>
                <w:szCs w:val="21"/>
              </w:rPr>
            </w:pPr>
            <w:r>
              <w:rPr>
                <w:b/>
                <w:color w:val="000000"/>
                <w:szCs w:val="21"/>
              </w:rPr>
              <w:t>大气</w:t>
            </w:r>
          </w:p>
        </w:tc>
        <w:tc>
          <w:tcPr>
            <w:tcW w:w="850" w:type="dxa"/>
            <w:vAlign w:val="center"/>
          </w:tcPr>
          <w:p>
            <w:pPr>
              <w:spacing w:line="320" w:lineRule="exact"/>
              <w:jc w:val="center"/>
              <w:rPr>
                <w:b/>
                <w:color w:val="000000"/>
                <w:szCs w:val="21"/>
              </w:rPr>
            </w:pPr>
            <w:r>
              <w:rPr>
                <w:b/>
                <w:color w:val="000000"/>
                <w:szCs w:val="21"/>
              </w:rPr>
              <w:t>地表水</w:t>
            </w:r>
          </w:p>
        </w:tc>
        <w:tc>
          <w:tcPr>
            <w:tcW w:w="949" w:type="dxa"/>
            <w:vAlign w:val="center"/>
          </w:tcPr>
          <w:p>
            <w:pPr>
              <w:spacing w:line="320" w:lineRule="exact"/>
              <w:jc w:val="center"/>
              <w:rPr>
                <w:b/>
                <w:color w:val="000000"/>
                <w:szCs w:val="21"/>
              </w:rPr>
            </w:pPr>
            <w:r>
              <w:rPr>
                <w:b/>
                <w:color w:val="000000"/>
                <w:szCs w:val="21"/>
              </w:rPr>
              <w:t>地下水</w:t>
            </w:r>
          </w:p>
        </w:tc>
        <w:tc>
          <w:tcPr>
            <w:tcW w:w="684" w:type="dxa"/>
            <w:vAlign w:val="center"/>
          </w:tcPr>
          <w:p>
            <w:pPr>
              <w:spacing w:line="320" w:lineRule="exact"/>
              <w:jc w:val="center"/>
              <w:rPr>
                <w:b/>
                <w:color w:val="000000"/>
                <w:szCs w:val="21"/>
              </w:rPr>
            </w:pPr>
            <w:r>
              <w:rPr>
                <w:b/>
                <w:color w:val="000000"/>
                <w:szCs w:val="21"/>
              </w:rPr>
              <w:t>声</w:t>
            </w:r>
          </w:p>
        </w:tc>
        <w:tc>
          <w:tcPr>
            <w:tcW w:w="691" w:type="dxa"/>
            <w:vAlign w:val="center"/>
          </w:tcPr>
          <w:p>
            <w:pPr>
              <w:spacing w:line="320" w:lineRule="exact"/>
              <w:jc w:val="center"/>
              <w:rPr>
                <w:b/>
                <w:color w:val="000000"/>
                <w:szCs w:val="21"/>
              </w:rPr>
            </w:pPr>
            <w:r>
              <w:rPr>
                <w:b/>
                <w:color w:val="000000"/>
                <w:szCs w:val="21"/>
              </w:rPr>
              <w:t>生态</w:t>
            </w:r>
          </w:p>
        </w:tc>
        <w:tc>
          <w:tcPr>
            <w:tcW w:w="1136" w:type="dxa"/>
            <w:vAlign w:val="center"/>
          </w:tcPr>
          <w:p>
            <w:pPr>
              <w:spacing w:line="320" w:lineRule="exact"/>
              <w:jc w:val="center"/>
              <w:rPr>
                <w:b/>
                <w:color w:val="000000"/>
                <w:szCs w:val="21"/>
              </w:rPr>
            </w:pPr>
            <w:r>
              <w:rPr>
                <w:b/>
                <w:color w:val="000000"/>
                <w:szCs w:val="21"/>
              </w:rPr>
              <w:t>水土流失</w:t>
            </w:r>
          </w:p>
        </w:tc>
        <w:tc>
          <w:tcPr>
            <w:tcW w:w="1190" w:type="dxa"/>
            <w:vAlign w:val="center"/>
          </w:tcPr>
          <w:p>
            <w:pPr>
              <w:spacing w:line="320" w:lineRule="exact"/>
              <w:jc w:val="center"/>
              <w:rPr>
                <w:b/>
                <w:color w:val="000000"/>
                <w:szCs w:val="21"/>
              </w:rPr>
            </w:pPr>
            <w:r>
              <w:rPr>
                <w:b/>
                <w:color w:val="000000"/>
                <w:szCs w:val="21"/>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restart"/>
            <w:vAlign w:val="center"/>
          </w:tcPr>
          <w:p>
            <w:pPr>
              <w:spacing w:line="320" w:lineRule="exact"/>
              <w:jc w:val="center"/>
              <w:rPr>
                <w:color w:val="000000"/>
                <w:szCs w:val="21"/>
              </w:rPr>
            </w:pPr>
            <w:r>
              <w:rPr>
                <w:color w:val="000000"/>
                <w:szCs w:val="21"/>
              </w:rPr>
              <w:t>施工期</w:t>
            </w:r>
          </w:p>
        </w:tc>
        <w:tc>
          <w:tcPr>
            <w:tcW w:w="449" w:type="dxa"/>
            <w:vMerge w:val="restart"/>
            <w:vAlign w:val="center"/>
          </w:tcPr>
          <w:p>
            <w:pPr>
              <w:spacing w:line="320" w:lineRule="exact"/>
              <w:jc w:val="center"/>
              <w:rPr>
                <w:color w:val="000000"/>
                <w:szCs w:val="21"/>
              </w:rPr>
            </w:pPr>
            <w:r>
              <w:rPr>
                <w:color w:val="000000"/>
                <w:szCs w:val="21"/>
              </w:rPr>
              <w:t>场区</w:t>
            </w:r>
          </w:p>
        </w:tc>
        <w:tc>
          <w:tcPr>
            <w:tcW w:w="1286" w:type="dxa"/>
            <w:vAlign w:val="center"/>
          </w:tcPr>
          <w:p>
            <w:pPr>
              <w:spacing w:line="320" w:lineRule="exact"/>
              <w:jc w:val="center"/>
              <w:rPr>
                <w:color w:val="000000"/>
                <w:szCs w:val="21"/>
              </w:rPr>
            </w:pPr>
            <w:r>
              <w:rPr>
                <w:color w:val="000000"/>
                <w:szCs w:val="21"/>
              </w:rPr>
              <w:t>施工噪声</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S</w:t>
            </w:r>
          </w:p>
        </w:tc>
        <w:tc>
          <w:tcPr>
            <w:tcW w:w="691"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扬尘</w:t>
            </w:r>
          </w:p>
        </w:tc>
        <w:tc>
          <w:tcPr>
            <w:tcW w:w="709"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S</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90" w:type="dxa"/>
            <w:vAlign w:val="center"/>
          </w:tcPr>
          <w:p>
            <w:pPr>
              <w:spacing w:line="320" w:lineRule="exact"/>
              <w:jc w:val="center"/>
              <w:rPr>
                <w:color w:val="000000"/>
                <w:szCs w:val="21"/>
              </w:rPr>
            </w:pP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施工废水</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▲S</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36"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90" w:type="dxa"/>
            <w:vAlign w:val="center"/>
          </w:tcPr>
          <w:p>
            <w:pPr>
              <w:spacing w:line="320" w:lineRule="exact"/>
              <w:jc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车辆运输</w:t>
            </w:r>
          </w:p>
        </w:tc>
        <w:tc>
          <w:tcPr>
            <w:tcW w:w="709" w:type="dxa"/>
            <w:vAlign w:val="center"/>
          </w:tcPr>
          <w:p>
            <w:pPr>
              <w:spacing w:line="320" w:lineRule="exact"/>
              <w:jc w:val="center"/>
              <w:rPr>
                <w:color w:val="000000"/>
                <w:szCs w:val="21"/>
              </w:rPr>
            </w:pPr>
            <w:r>
              <w:rPr>
                <w:color w:val="000000"/>
                <w:szCs w:val="21"/>
              </w:rPr>
              <w:t>▲S</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▲S</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路管工程</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▲S</w:t>
            </w:r>
          </w:p>
        </w:tc>
        <w:tc>
          <w:tcPr>
            <w:tcW w:w="691" w:type="dxa"/>
            <w:vAlign w:val="center"/>
          </w:tcPr>
          <w:p>
            <w:pPr>
              <w:spacing w:line="320" w:lineRule="exact"/>
              <w:jc w:val="center"/>
              <w:rPr>
                <w:color w:val="000000"/>
                <w:szCs w:val="21"/>
              </w:rPr>
            </w:pPr>
            <w:r>
              <w:rPr>
                <w:color w:val="000000"/>
                <w:szCs w:val="21"/>
              </w:rPr>
              <w:t>▲S</w:t>
            </w:r>
          </w:p>
        </w:tc>
        <w:tc>
          <w:tcPr>
            <w:tcW w:w="1136" w:type="dxa"/>
            <w:vAlign w:val="center"/>
          </w:tcPr>
          <w:p>
            <w:pPr>
              <w:spacing w:line="320" w:lineRule="exact"/>
              <w:jc w:val="center"/>
              <w:rPr>
                <w:color w:val="000000"/>
                <w:szCs w:val="21"/>
              </w:rPr>
            </w:pPr>
            <w:r>
              <w:rPr>
                <w:color w:val="000000"/>
                <w:szCs w:val="21"/>
              </w:rPr>
              <w:t>▲S</w:t>
            </w:r>
          </w:p>
        </w:tc>
        <w:tc>
          <w:tcPr>
            <w:tcW w:w="1190" w:type="dxa"/>
            <w:vAlign w:val="center"/>
          </w:tcPr>
          <w:p>
            <w:pPr>
              <w:spacing w:line="320" w:lineRule="exact"/>
              <w:jc w:val="center"/>
              <w:rPr>
                <w:color w:val="000000"/>
                <w:szCs w:val="21"/>
              </w:rPr>
            </w:pP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restart"/>
            <w:vAlign w:val="center"/>
          </w:tcPr>
          <w:p>
            <w:pPr>
              <w:spacing w:line="320" w:lineRule="exact"/>
              <w:jc w:val="center"/>
              <w:rPr>
                <w:color w:val="000000"/>
                <w:szCs w:val="21"/>
              </w:rPr>
            </w:pPr>
            <w:r>
              <w:rPr>
                <w:color w:val="000000"/>
                <w:szCs w:val="21"/>
              </w:rPr>
              <w:t>运营期</w:t>
            </w:r>
          </w:p>
        </w:tc>
        <w:tc>
          <w:tcPr>
            <w:tcW w:w="449" w:type="dxa"/>
            <w:vMerge w:val="restart"/>
            <w:vAlign w:val="center"/>
          </w:tcPr>
          <w:p>
            <w:pPr>
              <w:spacing w:line="320" w:lineRule="exact"/>
              <w:jc w:val="center"/>
              <w:rPr>
                <w:color w:val="000000"/>
                <w:szCs w:val="21"/>
              </w:rPr>
            </w:pPr>
            <w:r>
              <w:rPr>
                <w:color w:val="000000"/>
                <w:szCs w:val="21"/>
              </w:rPr>
              <w:t>场区</w:t>
            </w:r>
          </w:p>
        </w:tc>
        <w:tc>
          <w:tcPr>
            <w:tcW w:w="1286" w:type="dxa"/>
            <w:vAlign w:val="center"/>
          </w:tcPr>
          <w:p>
            <w:pPr>
              <w:spacing w:line="320" w:lineRule="exact"/>
              <w:jc w:val="center"/>
              <w:rPr>
                <w:color w:val="000000"/>
                <w:szCs w:val="21"/>
              </w:rPr>
            </w:pPr>
            <w:r>
              <w:rPr>
                <w:color w:val="000000"/>
                <w:szCs w:val="21"/>
              </w:rPr>
              <w:t>工程废水</w:t>
            </w:r>
          </w:p>
        </w:tc>
        <w:tc>
          <w:tcPr>
            <w:tcW w:w="709"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1136"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1190"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生产恶臭</w:t>
            </w:r>
          </w:p>
        </w:tc>
        <w:tc>
          <w:tcPr>
            <w:tcW w:w="709" w:type="dxa"/>
            <w:vAlign w:val="center"/>
          </w:tcPr>
          <w:p>
            <w:pPr>
              <w:spacing w:line="320" w:lineRule="exact"/>
              <w:jc w:val="center"/>
              <w:rPr>
                <w:color w:val="000000"/>
                <w:szCs w:val="21"/>
              </w:rPr>
            </w:pP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热水炉废气</w:t>
            </w:r>
          </w:p>
        </w:tc>
        <w:tc>
          <w:tcPr>
            <w:tcW w:w="709" w:type="dxa"/>
            <w:vAlign w:val="center"/>
          </w:tcPr>
          <w:p>
            <w:pPr>
              <w:spacing w:line="320" w:lineRule="exact"/>
              <w:jc w:val="center"/>
              <w:rPr>
                <w:color w:val="000000"/>
                <w:szCs w:val="21"/>
              </w:rPr>
            </w:pP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生产噪声</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固废综合利用</w:t>
            </w:r>
          </w:p>
        </w:tc>
        <w:tc>
          <w:tcPr>
            <w:tcW w:w="709"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c>
          <w:tcPr>
            <w:tcW w:w="85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车辆运输</w:t>
            </w:r>
          </w:p>
        </w:tc>
        <w:tc>
          <w:tcPr>
            <w:tcW w:w="709" w:type="dxa"/>
            <w:vAlign w:val="center"/>
          </w:tcPr>
          <w:p>
            <w:pPr>
              <w:spacing w:line="320" w:lineRule="exact"/>
              <w:jc w:val="center"/>
              <w:rPr>
                <w:color w:val="000000"/>
                <w:szCs w:val="21"/>
              </w:rPr>
            </w:pP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▲L</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施肥管网</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土壤</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92" w:type="dxa"/>
            <w:gridSpan w:val="10"/>
            <w:vAlign w:val="center"/>
          </w:tcPr>
          <w:p>
            <w:pPr>
              <w:spacing w:line="320" w:lineRule="exact"/>
              <w:rPr>
                <w:color w:val="000000"/>
                <w:szCs w:val="21"/>
              </w:rPr>
            </w:pPr>
            <w:r>
              <w:rPr>
                <w:rFonts w:hint="eastAsia" w:ascii="宋体" w:hAnsi="宋体" w:cs="宋体"/>
                <w:color w:val="000000"/>
                <w:szCs w:val="21"/>
              </w:rPr>
              <w:t>◆</w:t>
            </w:r>
            <w:r>
              <w:rPr>
                <w:color w:val="000000"/>
                <w:szCs w:val="21"/>
              </w:rPr>
              <w:t>有影响，▲有轻微影响，</w:t>
            </w:r>
            <w:r>
              <w:rPr>
                <w:rFonts w:ascii="Cambria Math" w:hAnsi="Cambria Math" w:cs="Cambria Math"/>
                <w:color w:val="000000"/>
                <w:szCs w:val="21"/>
              </w:rPr>
              <w:t>△</w:t>
            </w:r>
            <w:r>
              <w:rPr>
                <w:color w:val="000000"/>
                <w:szCs w:val="21"/>
              </w:rPr>
              <w:t>可能有影响，○没有影响，S短期影响，L长期影响</w:t>
            </w:r>
          </w:p>
        </w:tc>
      </w:tr>
    </w:tbl>
    <w:p>
      <w:pPr>
        <w:spacing w:line="600" w:lineRule="exact"/>
        <w:outlineLvl w:val="2"/>
        <w:rPr>
          <w:b/>
          <w:color w:val="000000"/>
          <w:sz w:val="24"/>
        </w:rPr>
      </w:pPr>
      <w:r>
        <w:rPr>
          <w:b/>
          <w:color w:val="000000"/>
          <w:sz w:val="24"/>
        </w:rPr>
        <w:t>1.8.2 评价因子筛选</w:t>
      </w:r>
    </w:p>
    <w:p>
      <w:pPr>
        <w:spacing w:line="500" w:lineRule="exact"/>
        <w:ind w:firstLine="480" w:firstLineChars="200"/>
        <w:rPr>
          <w:color w:val="000000"/>
          <w:sz w:val="24"/>
        </w:rPr>
      </w:pPr>
      <w:r>
        <w:rPr>
          <w:color w:val="000000"/>
          <w:sz w:val="24"/>
        </w:rPr>
        <w:t>根据工程特点及环境影响识别，筛选评价因素见表1</w:t>
      </w:r>
      <w:r>
        <w:rPr>
          <w:rFonts w:hint="eastAsia"/>
          <w:color w:val="000000"/>
          <w:sz w:val="24"/>
          <w:lang w:val="en-US" w:eastAsia="zh-CN"/>
        </w:rPr>
        <w:t>.8</w:t>
      </w:r>
      <w:r>
        <w:rPr>
          <w:color w:val="000000"/>
          <w:sz w:val="24"/>
        </w:rPr>
        <w:t>-2。</w:t>
      </w:r>
    </w:p>
    <w:p>
      <w:pPr>
        <w:spacing w:line="500" w:lineRule="exact"/>
        <w:ind w:firstLine="422" w:firstLineChars="200"/>
        <w:jc w:val="center"/>
        <w:rPr>
          <w:b/>
          <w:color w:val="000000"/>
          <w:szCs w:val="21"/>
        </w:rPr>
      </w:pPr>
      <w:r>
        <w:rPr>
          <w:b/>
          <w:color w:val="000000"/>
          <w:szCs w:val="21"/>
        </w:rPr>
        <w:t>表1</w:t>
      </w:r>
      <w:r>
        <w:rPr>
          <w:rFonts w:hint="eastAsia"/>
          <w:b/>
          <w:color w:val="000000"/>
          <w:szCs w:val="21"/>
          <w:lang w:val="en-US" w:eastAsia="zh-CN"/>
        </w:rPr>
        <w:t>.8</w:t>
      </w:r>
      <w:r>
        <w:rPr>
          <w:b/>
          <w:color w:val="000000"/>
          <w:szCs w:val="21"/>
        </w:rPr>
        <w:t>-2   评价因子筛选结果表</w:t>
      </w:r>
    </w:p>
    <w:tbl>
      <w:tblPr>
        <w:tblStyle w:val="45"/>
        <w:tblW w:w="87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spacing w:line="320" w:lineRule="exact"/>
              <w:jc w:val="center"/>
              <w:rPr>
                <w:b/>
                <w:color w:val="000000"/>
                <w:szCs w:val="21"/>
              </w:rPr>
            </w:pPr>
            <w:r>
              <w:rPr>
                <w:b/>
                <w:color w:val="000000"/>
                <w:szCs w:val="21"/>
              </w:rPr>
              <w:t>环境类别</w:t>
            </w:r>
          </w:p>
        </w:tc>
        <w:tc>
          <w:tcPr>
            <w:tcW w:w="7520" w:type="dxa"/>
            <w:vAlign w:val="center"/>
          </w:tcPr>
          <w:p>
            <w:pPr>
              <w:spacing w:line="320" w:lineRule="exact"/>
              <w:jc w:val="center"/>
              <w:rPr>
                <w:b/>
                <w:color w:val="000000"/>
                <w:szCs w:val="21"/>
              </w:rPr>
            </w:pPr>
            <w:r>
              <w:rPr>
                <w:b/>
                <w:color w:val="000000"/>
                <w:szCs w:val="21"/>
              </w:rPr>
              <w:t>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大气环境</w:t>
            </w:r>
          </w:p>
        </w:tc>
        <w:tc>
          <w:tcPr>
            <w:tcW w:w="7520" w:type="dxa"/>
            <w:vAlign w:val="center"/>
          </w:tcPr>
          <w:p>
            <w:pPr>
              <w:spacing w:line="320" w:lineRule="exact"/>
              <w:jc w:val="center"/>
              <w:rPr>
                <w:rFonts w:hint="default" w:eastAsia="宋体"/>
                <w:color w:val="000000"/>
                <w:szCs w:val="21"/>
                <w:lang w:val="en-US" w:eastAsia="zh-CN"/>
              </w:rPr>
            </w:pPr>
            <w:r>
              <w:rPr>
                <w:color w:val="000000"/>
              </w:rPr>
              <w:t>H</w:t>
            </w:r>
            <w:r>
              <w:rPr>
                <w:color w:val="000000"/>
                <w:vertAlign w:val="subscript"/>
              </w:rPr>
              <w:t>2</w:t>
            </w:r>
            <w:r>
              <w:rPr>
                <w:color w:val="000000"/>
              </w:rPr>
              <w:t>S、NH</w:t>
            </w:r>
            <w:r>
              <w:rPr>
                <w:color w:val="000000"/>
                <w:vertAlign w:val="subscript"/>
              </w:rPr>
              <w:t>3</w:t>
            </w:r>
            <w:r>
              <w:rPr>
                <w:rFonts w:eastAsia="黑体"/>
                <w:color w:val="000000"/>
              </w:rPr>
              <w:t>、</w:t>
            </w:r>
            <w:r>
              <w:rPr>
                <w:color w:val="000000"/>
              </w:rPr>
              <w:t>SO</w:t>
            </w:r>
            <w:r>
              <w:rPr>
                <w:color w:val="000000"/>
                <w:vertAlign w:val="subscript"/>
              </w:rPr>
              <w:t>2</w:t>
            </w:r>
            <w:r>
              <w:rPr>
                <w:color w:val="000000"/>
              </w:rPr>
              <w:t>、NO</w:t>
            </w:r>
            <w:r>
              <w:rPr>
                <w:color w:val="000000"/>
                <w:vertAlign w:val="subscript"/>
              </w:rPr>
              <w:t>2</w:t>
            </w:r>
            <w:r>
              <w:rPr>
                <w:color w:val="000000"/>
              </w:rPr>
              <w:t>、</w:t>
            </w:r>
            <w:r>
              <w:rPr>
                <w:rFonts w:hint="eastAsia"/>
                <w:color w:val="000000"/>
                <w:lang w:val="en-US" w:eastAsia="zh-CN"/>
              </w:rPr>
              <w:t>CO、O</w:t>
            </w:r>
            <w:r>
              <w:rPr>
                <w:rFonts w:hint="eastAsia"/>
                <w:color w:val="000000"/>
                <w:vertAlign w:val="subscript"/>
                <w:lang w:val="en-US" w:eastAsia="zh-CN"/>
              </w:rPr>
              <w:t>3</w:t>
            </w:r>
            <w:r>
              <w:rPr>
                <w:color w:val="000000"/>
              </w:rPr>
              <w:t>、PM</w:t>
            </w:r>
            <w:r>
              <w:rPr>
                <w:color w:val="000000"/>
                <w:vertAlign w:val="subscript"/>
              </w:rPr>
              <w:t>10</w:t>
            </w:r>
            <w:r>
              <w:rPr>
                <w:color w:val="000000"/>
              </w:rPr>
              <w:t>、PM</w:t>
            </w:r>
            <w:r>
              <w:rPr>
                <w:rFonts w:hint="eastAsia"/>
                <w:color w:val="000000"/>
                <w:vertAlign w:val="subscript"/>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地表水环境</w:t>
            </w:r>
          </w:p>
        </w:tc>
        <w:tc>
          <w:tcPr>
            <w:tcW w:w="7520" w:type="dxa"/>
            <w:vAlign w:val="center"/>
          </w:tcPr>
          <w:p>
            <w:pPr>
              <w:spacing w:line="320" w:lineRule="exact"/>
              <w:jc w:val="center"/>
              <w:rPr>
                <w:color w:val="000000"/>
                <w:szCs w:val="21"/>
              </w:rPr>
            </w:pPr>
            <w:r>
              <w:rPr>
                <w:color w:val="000000"/>
              </w:rPr>
              <w:t>COD、氨氮、总磷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地下水环境</w:t>
            </w:r>
          </w:p>
        </w:tc>
        <w:tc>
          <w:tcPr>
            <w:tcW w:w="7520" w:type="dxa"/>
            <w:vAlign w:val="center"/>
          </w:tcPr>
          <w:p>
            <w:pPr>
              <w:spacing w:line="320" w:lineRule="exact"/>
              <w:jc w:val="center"/>
              <w:rPr>
                <w:color w:val="000000"/>
              </w:rPr>
            </w:pPr>
            <w:r>
              <w:rPr>
                <w:rFonts w:hint="eastAsia"/>
                <w:sz w:val="21"/>
                <w:szCs w:val="21"/>
              </w:rPr>
              <w:t>pH、氨氮、硝酸盐、亚硝酸盐、挥发性酚类、氰化物、砷、汞、铬(六价)、总硬度、铅、氟、镉、铁、锰、溶解性总固体、高锰酸盐指数、硫酸盐、氯化物、总大肠菌群、细菌总数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固体废物</w:t>
            </w:r>
          </w:p>
        </w:tc>
        <w:tc>
          <w:tcPr>
            <w:tcW w:w="7520" w:type="dxa"/>
            <w:vAlign w:val="center"/>
          </w:tcPr>
          <w:p>
            <w:pPr>
              <w:spacing w:line="320" w:lineRule="exact"/>
              <w:jc w:val="center"/>
              <w:rPr>
                <w:color w:val="000000"/>
                <w:szCs w:val="21"/>
              </w:rPr>
            </w:pPr>
            <w:r>
              <w:rPr>
                <w:color w:val="000000"/>
              </w:rPr>
              <w:t>猪粪、污泥（沼渣）、病死猪、生活垃圾、医疗废物等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声环境</w:t>
            </w:r>
          </w:p>
        </w:tc>
        <w:tc>
          <w:tcPr>
            <w:tcW w:w="7520" w:type="dxa"/>
            <w:vAlign w:val="center"/>
          </w:tcPr>
          <w:p>
            <w:pPr>
              <w:spacing w:line="320" w:lineRule="exact"/>
              <w:jc w:val="center"/>
              <w:rPr>
                <w:color w:val="000000"/>
              </w:rPr>
            </w:pPr>
            <w:r>
              <w:rPr>
                <w:color w:val="000000"/>
              </w:rPr>
              <w:t>等效连续A声级（Lep）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土壤</w:t>
            </w:r>
          </w:p>
        </w:tc>
        <w:tc>
          <w:tcPr>
            <w:tcW w:w="7520" w:type="dxa"/>
            <w:vAlign w:val="center"/>
          </w:tcPr>
          <w:p>
            <w:pPr>
              <w:spacing w:line="320" w:lineRule="exact"/>
              <w:jc w:val="center"/>
              <w:rPr>
                <w:color w:val="000000"/>
              </w:rPr>
            </w:pPr>
            <w:r>
              <w:rPr>
                <w:color w:val="000000"/>
              </w:rPr>
              <w:t>pH、镉、汞、砷、铜、铅、铬、锌、镍</w:t>
            </w:r>
          </w:p>
        </w:tc>
      </w:tr>
    </w:tbl>
    <w:p>
      <w:pPr>
        <w:pStyle w:val="5"/>
        <w:spacing w:before="156" w:after="156"/>
        <w:rPr>
          <w:rFonts w:hAnsi="Times New Roman"/>
          <w:color w:val="000000"/>
        </w:rPr>
      </w:pPr>
      <w:bookmarkStart w:id="30" w:name="_Toc375206153"/>
      <w:bookmarkStart w:id="31" w:name="_Toc12110"/>
      <w:r>
        <w:rPr>
          <w:rFonts w:hAnsi="Times New Roman"/>
          <w:color w:val="000000"/>
        </w:rPr>
        <w:t>1.9 评价标准</w:t>
      </w:r>
      <w:bookmarkEnd w:id="30"/>
      <w:bookmarkEnd w:id="31"/>
    </w:p>
    <w:p>
      <w:pPr>
        <w:spacing w:line="600" w:lineRule="exact"/>
        <w:outlineLvl w:val="2"/>
        <w:rPr>
          <w:color w:val="000000"/>
          <w:sz w:val="24"/>
        </w:rPr>
      </w:pPr>
      <w:r>
        <w:rPr>
          <w:b/>
          <w:color w:val="000000"/>
          <w:sz w:val="24"/>
        </w:rPr>
        <w:t>1.9.1环境质量标准</w:t>
      </w:r>
    </w:p>
    <w:p>
      <w:pPr>
        <w:spacing w:line="500" w:lineRule="exact"/>
        <w:ind w:firstLine="480"/>
        <w:rPr>
          <w:sz w:val="24"/>
        </w:rPr>
      </w:pPr>
      <w:r>
        <w:rPr>
          <w:color w:val="000000"/>
          <w:sz w:val="24"/>
        </w:rPr>
        <w:t>环境空气执行《环境空气质量标准》（GB3095-2012）；其中恶臭气体（H</w:t>
      </w:r>
      <w:r>
        <w:rPr>
          <w:color w:val="000000"/>
          <w:sz w:val="24"/>
          <w:vertAlign w:val="subscript"/>
        </w:rPr>
        <w:t>2</w:t>
      </w:r>
      <w:r>
        <w:rPr>
          <w:color w:val="000000"/>
          <w:sz w:val="24"/>
        </w:rPr>
        <w:t>S、NH</w:t>
      </w:r>
      <w:r>
        <w:rPr>
          <w:color w:val="000000"/>
          <w:sz w:val="24"/>
          <w:vertAlign w:val="subscript"/>
        </w:rPr>
        <w:t>3</w:t>
      </w:r>
      <w:r>
        <w:rPr>
          <w:color w:val="000000"/>
          <w:sz w:val="24"/>
        </w:rPr>
        <w:t>）</w:t>
      </w:r>
      <w:r>
        <w:rPr>
          <w:sz w:val="24"/>
        </w:rPr>
        <w:t>执行《环境影响评价技术导则 大气环境（HJ2.2-2018）》中附录D中有害物质的最高允许浓度；</w:t>
      </w:r>
    </w:p>
    <w:p>
      <w:pPr>
        <w:spacing w:line="500" w:lineRule="exact"/>
        <w:ind w:firstLine="480"/>
        <w:rPr>
          <w:color w:val="000000"/>
          <w:sz w:val="24"/>
        </w:rPr>
      </w:pPr>
      <w:r>
        <w:rPr>
          <w:color w:val="000000"/>
          <w:sz w:val="24"/>
        </w:rPr>
        <w:t>地表水环境执行《地表水环境质量标准》（GB3838-2002）</w:t>
      </w:r>
      <w:r>
        <w:rPr>
          <w:rFonts w:hint="eastAsia" w:ascii="宋体" w:hAnsi="宋体" w:cs="宋体"/>
          <w:color w:val="000000"/>
          <w:sz w:val="24"/>
        </w:rPr>
        <w:t>Ⅲ</w:t>
      </w:r>
      <w:r>
        <w:rPr>
          <w:color w:val="000000"/>
          <w:sz w:val="24"/>
        </w:rPr>
        <w:t>类标准；</w:t>
      </w:r>
    </w:p>
    <w:p>
      <w:pPr>
        <w:spacing w:line="500" w:lineRule="exact"/>
        <w:ind w:firstLine="480"/>
        <w:rPr>
          <w:color w:val="000000"/>
          <w:sz w:val="24"/>
        </w:rPr>
      </w:pPr>
      <w:r>
        <w:rPr>
          <w:color w:val="000000"/>
          <w:sz w:val="24"/>
        </w:rPr>
        <w:t>地下水环境执行《地下水质量标准》（GB/T14848-2017）</w:t>
      </w:r>
      <w:r>
        <w:rPr>
          <w:rFonts w:hint="eastAsia" w:ascii="宋体" w:hAnsi="宋体" w:cs="宋体"/>
          <w:color w:val="000000"/>
          <w:sz w:val="24"/>
        </w:rPr>
        <w:t>Ⅲ</w:t>
      </w:r>
      <w:r>
        <w:rPr>
          <w:color w:val="000000"/>
          <w:sz w:val="24"/>
        </w:rPr>
        <w:t>类标准；</w:t>
      </w:r>
    </w:p>
    <w:p>
      <w:pPr>
        <w:spacing w:line="500" w:lineRule="exact"/>
        <w:ind w:firstLine="480"/>
        <w:rPr>
          <w:color w:val="000000"/>
          <w:sz w:val="24"/>
        </w:rPr>
      </w:pPr>
      <w:r>
        <w:rPr>
          <w:color w:val="000000"/>
          <w:sz w:val="24"/>
        </w:rPr>
        <w:t>声环境质量执行《声环境质量标准》（GB3096-2008）2类标准；</w:t>
      </w:r>
    </w:p>
    <w:p>
      <w:pPr>
        <w:spacing w:line="520" w:lineRule="exact"/>
        <w:ind w:firstLine="480"/>
        <w:rPr>
          <w:color w:val="000000"/>
          <w:sz w:val="24"/>
        </w:rPr>
      </w:pPr>
      <w:r>
        <w:rPr>
          <w:color w:val="000000"/>
          <w:sz w:val="24"/>
        </w:rPr>
        <w:t>土壤环境执行</w:t>
      </w:r>
      <w:r>
        <w:rPr>
          <w:sz w:val="24"/>
        </w:rPr>
        <w:t>《土壤环境质量农用地土壤污染风险管控标准》（GB15618-2018）标准；</w:t>
      </w:r>
    </w:p>
    <w:p>
      <w:pPr>
        <w:spacing w:line="500" w:lineRule="exact"/>
        <w:ind w:firstLine="480"/>
        <w:rPr>
          <w:bCs/>
          <w:color w:val="000000"/>
          <w:sz w:val="24"/>
        </w:rPr>
      </w:pPr>
      <w:r>
        <w:rPr>
          <w:color w:val="000000"/>
          <w:sz w:val="24"/>
        </w:rPr>
        <w:t>各环境要素执行标准主要指标的标准值详见表1</w:t>
      </w:r>
      <w:r>
        <w:rPr>
          <w:rFonts w:hint="eastAsia"/>
          <w:color w:val="000000"/>
          <w:sz w:val="24"/>
          <w:lang w:val="en-US" w:eastAsia="zh-CN"/>
        </w:rPr>
        <w:t>.9</w:t>
      </w:r>
      <w:r>
        <w:rPr>
          <w:color w:val="000000"/>
          <w:sz w:val="24"/>
        </w:rPr>
        <w:t>-</w:t>
      </w:r>
      <w:r>
        <w:rPr>
          <w:rFonts w:hint="eastAsia"/>
          <w:color w:val="000000"/>
          <w:sz w:val="24"/>
          <w:lang w:val="en-US" w:eastAsia="zh-CN"/>
        </w:rPr>
        <w:t>1</w:t>
      </w:r>
      <w:r>
        <w:rPr>
          <w:color w:val="000000"/>
          <w:sz w:val="24"/>
        </w:rPr>
        <w:t>。</w:t>
      </w:r>
    </w:p>
    <w:p>
      <w:pPr>
        <w:spacing w:line="500" w:lineRule="exact"/>
        <w:jc w:val="center"/>
        <w:rPr>
          <w:b/>
          <w:color w:val="000000"/>
          <w:szCs w:val="21"/>
        </w:rPr>
      </w:pPr>
      <w:r>
        <w:rPr>
          <w:b/>
          <w:color w:val="000000"/>
          <w:szCs w:val="21"/>
        </w:rPr>
        <w:t>表1</w:t>
      </w:r>
      <w:r>
        <w:rPr>
          <w:rFonts w:hint="eastAsia"/>
          <w:b/>
          <w:color w:val="000000"/>
          <w:szCs w:val="21"/>
          <w:lang w:val="en-US" w:eastAsia="zh-CN"/>
        </w:rPr>
        <w:t>.9</w:t>
      </w:r>
      <w:r>
        <w:rPr>
          <w:b/>
          <w:color w:val="000000"/>
          <w:szCs w:val="21"/>
        </w:rPr>
        <w:t>-</w:t>
      </w:r>
      <w:r>
        <w:rPr>
          <w:rFonts w:hint="eastAsia"/>
          <w:b/>
          <w:color w:val="000000"/>
          <w:szCs w:val="21"/>
          <w:lang w:val="en-US" w:eastAsia="zh-CN"/>
        </w:rPr>
        <w:t>1</w:t>
      </w:r>
      <w:r>
        <w:rPr>
          <w:b/>
          <w:color w:val="000000"/>
          <w:szCs w:val="21"/>
        </w:rPr>
        <w:t xml:space="preserve"> </w:t>
      </w:r>
      <w:r>
        <w:rPr>
          <w:b/>
          <w:color w:val="000000"/>
          <w:kern w:val="28"/>
          <w:szCs w:val="21"/>
        </w:rPr>
        <w:t>环境质量标准一览表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401"/>
        <w:gridCol w:w="1562"/>
        <w:gridCol w:w="1043"/>
        <w:gridCol w:w="878"/>
        <w:gridCol w:w="61"/>
        <w:gridCol w:w="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101" w:type="dxa"/>
            <w:vMerge w:val="restart"/>
            <w:vAlign w:val="center"/>
          </w:tcPr>
          <w:p>
            <w:pPr>
              <w:jc w:val="center"/>
              <w:rPr>
                <w:b/>
                <w:color w:val="000000"/>
              </w:rPr>
            </w:pPr>
            <w:r>
              <w:rPr>
                <w:b/>
                <w:color w:val="000000"/>
              </w:rPr>
              <w:t>环境要素</w:t>
            </w:r>
          </w:p>
        </w:tc>
        <w:tc>
          <w:tcPr>
            <w:tcW w:w="3401" w:type="dxa"/>
            <w:vMerge w:val="restart"/>
            <w:vAlign w:val="center"/>
          </w:tcPr>
          <w:p>
            <w:pPr>
              <w:jc w:val="center"/>
              <w:rPr>
                <w:b/>
                <w:color w:val="000000"/>
              </w:rPr>
            </w:pPr>
            <w:r>
              <w:rPr>
                <w:b/>
                <w:color w:val="000000"/>
              </w:rPr>
              <w:t>标准名称及级（类）别</w:t>
            </w:r>
          </w:p>
        </w:tc>
        <w:tc>
          <w:tcPr>
            <w:tcW w:w="1562" w:type="dxa"/>
            <w:vMerge w:val="restart"/>
            <w:vAlign w:val="center"/>
          </w:tcPr>
          <w:p>
            <w:pPr>
              <w:jc w:val="center"/>
              <w:rPr>
                <w:b/>
                <w:color w:val="000000"/>
              </w:rPr>
            </w:pPr>
            <w:r>
              <w:rPr>
                <w:b/>
                <w:color w:val="000000"/>
              </w:rPr>
              <w:t>项目</w:t>
            </w:r>
          </w:p>
        </w:tc>
        <w:tc>
          <w:tcPr>
            <w:tcW w:w="2882" w:type="dxa"/>
            <w:gridSpan w:val="4"/>
            <w:vAlign w:val="center"/>
          </w:tcPr>
          <w:p>
            <w:pPr>
              <w:jc w:val="center"/>
              <w:rPr>
                <w:b/>
                <w:color w:val="000000"/>
              </w:rPr>
            </w:pPr>
            <w:r>
              <w:rPr>
                <w:b/>
                <w:color w:val="000000"/>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blHeader/>
          <w:jc w:val="center"/>
        </w:trPr>
        <w:tc>
          <w:tcPr>
            <w:tcW w:w="1101" w:type="dxa"/>
            <w:vMerge w:val="continue"/>
            <w:vAlign w:val="center"/>
          </w:tcPr>
          <w:p>
            <w:pPr>
              <w:jc w:val="center"/>
              <w:rPr>
                <w:b/>
                <w:color w:val="000000"/>
              </w:rPr>
            </w:pPr>
          </w:p>
        </w:tc>
        <w:tc>
          <w:tcPr>
            <w:tcW w:w="3401" w:type="dxa"/>
            <w:vMerge w:val="continue"/>
            <w:vAlign w:val="center"/>
          </w:tcPr>
          <w:p>
            <w:pPr>
              <w:jc w:val="center"/>
              <w:rPr>
                <w:b/>
                <w:color w:val="000000"/>
              </w:rPr>
            </w:pPr>
          </w:p>
        </w:tc>
        <w:tc>
          <w:tcPr>
            <w:tcW w:w="1562" w:type="dxa"/>
            <w:vMerge w:val="continue"/>
            <w:vAlign w:val="center"/>
          </w:tcPr>
          <w:p>
            <w:pPr>
              <w:jc w:val="center"/>
              <w:rPr>
                <w:b/>
                <w:color w:val="000000"/>
              </w:rPr>
            </w:pPr>
          </w:p>
        </w:tc>
        <w:tc>
          <w:tcPr>
            <w:tcW w:w="1043" w:type="dxa"/>
            <w:vAlign w:val="center"/>
          </w:tcPr>
          <w:p>
            <w:pPr>
              <w:jc w:val="center"/>
              <w:rPr>
                <w:b/>
                <w:color w:val="000000"/>
              </w:rPr>
            </w:pPr>
            <w:r>
              <w:rPr>
                <w:b/>
                <w:color w:val="000000"/>
              </w:rPr>
              <w:t>单位</w:t>
            </w:r>
          </w:p>
        </w:tc>
        <w:tc>
          <w:tcPr>
            <w:tcW w:w="1839" w:type="dxa"/>
            <w:gridSpan w:val="3"/>
            <w:vAlign w:val="center"/>
          </w:tcPr>
          <w:p>
            <w:pPr>
              <w:jc w:val="center"/>
              <w:rPr>
                <w:b/>
                <w:color w:val="000000"/>
              </w:rPr>
            </w:pPr>
            <w:r>
              <w:rPr>
                <w:b/>
                <w:color w:val="000000"/>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环境空气</w:t>
            </w:r>
          </w:p>
        </w:tc>
        <w:tc>
          <w:tcPr>
            <w:tcW w:w="3401" w:type="dxa"/>
            <w:vMerge w:val="restart"/>
            <w:vAlign w:val="center"/>
          </w:tcPr>
          <w:p>
            <w:pPr>
              <w:jc w:val="center"/>
              <w:rPr>
                <w:color w:val="000000"/>
              </w:rPr>
            </w:pPr>
            <w:r>
              <w:rPr>
                <w:color w:val="000000"/>
              </w:rPr>
              <w:t>《环境空气质量标准》（GB3095-2012）</w:t>
            </w:r>
          </w:p>
        </w:tc>
        <w:tc>
          <w:tcPr>
            <w:tcW w:w="1562" w:type="dxa"/>
            <w:vMerge w:val="restart"/>
            <w:vAlign w:val="center"/>
          </w:tcPr>
          <w:p>
            <w:pPr>
              <w:jc w:val="center"/>
              <w:rPr>
                <w:color w:val="000000"/>
              </w:rPr>
            </w:pPr>
            <w:r>
              <w:rPr>
                <w:color w:val="000000"/>
              </w:rPr>
              <w:t>SO</w:t>
            </w:r>
            <w:r>
              <w:rPr>
                <w:color w:val="000000"/>
                <w:vertAlign w:val="subscript"/>
              </w:rPr>
              <w:t>2</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1小时平均：500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restart"/>
            <w:vAlign w:val="center"/>
          </w:tcPr>
          <w:p>
            <w:pPr>
              <w:jc w:val="center"/>
              <w:rPr>
                <w:color w:val="000000"/>
              </w:rPr>
            </w:pPr>
            <w:r>
              <w:rPr>
                <w:color w:val="000000"/>
              </w:rPr>
              <w:t>NO</w:t>
            </w:r>
            <w:r>
              <w:rPr>
                <w:color w:val="000000"/>
                <w:vertAlign w:val="subscript"/>
              </w:rPr>
              <w:t>2</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1小时平均：200</w:t>
            </w:r>
          </w:p>
        </w:tc>
      </w:tr>
      <w:tr>
        <w:tblPrEx>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restart"/>
            <w:vAlign w:val="center"/>
          </w:tcPr>
          <w:p>
            <w:pPr>
              <w:jc w:val="center"/>
              <w:rPr>
                <w:color w:val="000000"/>
              </w:rPr>
            </w:pPr>
            <w:r>
              <w:rPr>
                <w:color w:val="000000"/>
              </w:rPr>
              <w:t>TSP</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restart"/>
            <w:vAlign w:val="center"/>
          </w:tcPr>
          <w:p>
            <w:pPr>
              <w:jc w:val="center"/>
              <w:rPr>
                <w:color w:val="000000"/>
              </w:rPr>
            </w:pPr>
            <w:r>
              <w:rPr>
                <w:color w:val="000000"/>
              </w:rPr>
              <w:t>PM</w:t>
            </w:r>
            <w:r>
              <w:rPr>
                <w:color w:val="000000"/>
                <w:vertAlign w:val="subscript"/>
              </w:rPr>
              <w:t>2.5</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restart"/>
            <w:vAlign w:val="center"/>
          </w:tcPr>
          <w:p>
            <w:pPr>
              <w:jc w:val="center"/>
              <w:rPr>
                <w:color w:val="000000"/>
                <w:vertAlign w:val="subscript"/>
              </w:rPr>
            </w:pPr>
            <w:r>
              <w:rPr>
                <w:color w:val="000000"/>
              </w:rPr>
              <w:t>PM</w:t>
            </w:r>
            <w:r>
              <w:rPr>
                <w:color w:val="000000"/>
                <w:vertAlign w:val="subscript"/>
              </w:rPr>
              <w:t>10</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restart"/>
            <w:vAlign w:val="center"/>
          </w:tcPr>
          <w:p>
            <w:pPr>
              <w:jc w:val="center"/>
              <w:rPr>
                <w:color w:val="000000"/>
              </w:rPr>
            </w:pPr>
            <w:r>
              <w:rPr>
                <w:color w:val="000000"/>
              </w:rPr>
              <w:t>《环境影响评价技术导则 大气环境（HJ2.2-2018）》中附录D</w:t>
            </w:r>
          </w:p>
        </w:tc>
        <w:tc>
          <w:tcPr>
            <w:tcW w:w="1562" w:type="dxa"/>
            <w:vAlign w:val="center"/>
          </w:tcPr>
          <w:p>
            <w:pPr>
              <w:jc w:val="center"/>
              <w:rPr>
                <w:color w:val="000000"/>
              </w:rPr>
            </w:pPr>
            <w:r>
              <w:rPr>
                <w:color w:val="000000"/>
              </w:rPr>
              <w:t>H</w:t>
            </w:r>
            <w:r>
              <w:rPr>
                <w:color w:val="000000"/>
                <w:vertAlign w:val="subscript"/>
              </w:rPr>
              <w:t>2</w:t>
            </w:r>
            <w:r>
              <w:rPr>
                <w:color w:val="000000"/>
              </w:rPr>
              <w:t>S</w:t>
            </w:r>
          </w:p>
        </w:tc>
        <w:tc>
          <w:tcPr>
            <w:tcW w:w="1043" w:type="dxa"/>
            <w:vAlign w:val="center"/>
          </w:tcPr>
          <w:p>
            <w:pPr>
              <w:jc w:val="center"/>
              <w:rPr>
                <w:color w:val="000000"/>
              </w:rPr>
            </w:pPr>
            <w:r>
              <w:rPr>
                <w:color w:val="000000"/>
              </w:rPr>
              <w:t>mg/m</w:t>
            </w:r>
            <w:r>
              <w:rPr>
                <w:color w:val="000000"/>
                <w:vertAlign w:val="superscript"/>
              </w:rPr>
              <w:t>3</w:t>
            </w:r>
          </w:p>
        </w:tc>
        <w:tc>
          <w:tcPr>
            <w:tcW w:w="1839" w:type="dxa"/>
            <w:gridSpan w:val="3"/>
            <w:vAlign w:val="center"/>
          </w:tcPr>
          <w:p>
            <w:pPr>
              <w:jc w:val="center"/>
              <w:rPr>
                <w:color w:val="000000"/>
              </w:rPr>
            </w:pPr>
            <w:r>
              <w:rPr>
                <w:color w:val="000000"/>
              </w:rPr>
              <w:t>一次值：0.01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NH</w:t>
            </w:r>
            <w:r>
              <w:rPr>
                <w:color w:val="000000"/>
                <w:vertAlign w:val="subscript"/>
              </w:rPr>
              <w:t>3</w:t>
            </w:r>
          </w:p>
        </w:tc>
        <w:tc>
          <w:tcPr>
            <w:tcW w:w="1043" w:type="dxa"/>
            <w:vAlign w:val="center"/>
          </w:tcPr>
          <w:p>
            <w:pPr>
              <w:jc w:val="center"/>
              <w:rPr>
                <w:color w:val="000000"/>
              </w:rPr>
            </w:pPr>
            <w:r>
              <w:rPr>
                <w:color w:val="000000"/>
              </w:rPr>
              <w:t>mg/m</w:t>
            </w:r>
            <w:r>
              <w:rPr>
                <w:color w:val="000000"/>
                <w:vertAlign w:val="superscript"/>
              </w:rPr>
              <w:t>3</w:t>
            </w:r>
          </w:p>
        </w:tc>
        <w:tc>
          <w:tcPr>
            <w:tcW w:w="1839" w:type="dxa"/>
            <w:gridSpan w:val="3"/>
            <w:vAlign w:val="center"/>
          </w:tcPr>
          <w:p>
            <w:pPr>
              <w:jc w:val="center"/>
              <w:rPr>
                <w:color w:val="000000"/>
              </w:rPr>
            </w:pPr>
            <w:r>
              <w:rPr>
                <w:color w:val="000000"/>
              </w:rPr>
              <w:t>一次值：0.20</w:t>
            </w:r>
          </w:p>
        </w:tc>
      </w:tr>
      <w:tr>
        <w:tblPrEx>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声环境</w:t>
            </w:r>
          </w:p>
        </w:tc>
        <w:tc>
          <w:tcPr>
            <w:tcW w:w="3401" w:type="dxa"/>
            <w:vMerge w:val="restart"/>
            <w:vAlign w:val="center"/>
          </w:tcPr>
          <w:p>
            <w:pPr>
              <w:jc w:val="center"/>
              <w:rPr>
                <w:color w:val="000000"/>
              </w:rPr>
            </w:pPr>
            <w:r>
              <w:rPr>
                <w:color w:val="000000"/>
              </w:rPr>
              <w:t>《声环境质量标准》（GB3096-2008）2类标准</w:t>
            </w:r>
          </w:p>
        </w:tc>
        <w:tc>
          <w:tcPr>
            <w:tcW w:w="1562" w:type="dxa"/>
            <w:vMerge w:val="restart"/>
            <w:vAlign w:val="center"/>
          </w:tcPr>
          <w:p>
            <w:pPr>
              <w:jc w:val="center"/>
              <w:rPr>
                <w:color w:val="000000"/>
                <w:vertAlign w:val="subscript"/>
              </w:rPr>
            </w:pPr>
            <w:r>
              <w:rPr>
                <w:color w:val="000000"/>
              </w:rPr>
              <w:t>等效声级L</w:t>
            </w:r>
            <w:r>
              <w:rPr>
                <w:color w:val="000000"/>
                <w:vertAlign w:val="subscript"/>
              </w:rPr>
              <w:t>Aeq</w:t>
            </w:r>
          </w:p>
        </w:tc>
        <w:tc>
          <w:tcPr>
            <w:tcW w:w="1043" w:type="dxa"/>
            <w:vMerge w:val="restart"/>
            <w:vAlign w:val="center"/>
          </w:tcPr>
          <w:p>
            <w:pPr>
              <w:jc w:val="center"/>
              <w:rPr>
                <w:color w:val="000000"/>
              </w:rPr>
            </w:pPr>
            <w:r>
              <w:rPr>
                <w:color w:val="000000"/>
              </w:rPr>
              <w:t>dB（A）</w:t>
            </w:r>
          </w:p>
        </w:tc>
        <w:tc>
          <w:tcPr>
            <w:tcW w:w="878" w:type="dxa"/>
            <w:vAlign w:val="center"/>
          </w:tcPr>
          <w:p>
            <w:pPr>
              <w:jc w:val="center"/>
              <w:rPr>
                <w:color w:val="000000"/>
              </w:rPr>
            </w:pPr>
            <w:r>
              <w:rPr>
                <w:color w:val="000000"/>
              </w:rPr>
              <w:t>昼</w:t>
            </w:r>
          </w:p>
        </w:tc>
        <w:tc>
          <w:tcPr>
            <w:tcW w:w="961" w:type="dxa"/>
            <w:gridSpan w:val="2"/>
            <w:vAlign w:val="center"/>
          </w:tcPr>
          <w:p>
            <w:pPr>
              <w:jc w:val="center"/>
              <w:rPr>
                <w:color w:val="000000"/>
              </w:rPr>
            </w:pPr>
            <w:r>
              <w:rPr>
                <w:color w:val="000000"/>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Merge w:val="continue"/>
            <w:vAlign w:val="center"/>
          </w:tcPr>
          <w:p>
            <w:pPr>
              <w:jc w:val="center"/>
              <w:rPr>
                <w:color w:val="000000"/>
              </w:rPr>
            </w:pPr>
          </w:p>
        </w:tc>
        <w:tc>
          <w:tcPr>
            <w:tcW w:w="1043" w:type="dxa"/>
            <w:vMerge w:val="continue"/>
            <w:vAlign w:val="center"/>
          </w:tcPr>
          <w:p>
            <w:pPr>
              <w:jc w:val="center"/>
              <w:rPr>
                <w:color w:val="000000"/>
              </w:rPr>
            </w:pPr>
          </w:p>
        </w:tc>
        <w:tc>
          <w:tcPr>
            <w:tcW w:w="878" w:type="dxa"/>
            <w:vAlign w:val="center"/>
          </w:tcPr>
          <w:p>
            <w:pPr>
              <w:jc w:val="center"/>
              <w:rPr>
                <w:color w:val="000000"/>
              </w:rPr>
            </w:pPr>
            <w:r>
              <w:rPr>
                <w:color w:val="000000"/>
              </w:rPr>
              <w:t>夜</w:t>
            </w:r>
          </w:p>
        </w:tc>
        <w:tc>
          <w:tcPr>
            <w:tcW w:w="961" w:type="dxa"/>
            <w:gridSpan w:val="2"/>
            <w:vAlign w:val="center"/>
          </w:tcPr>
          <w:p>
            <w:pPr>
              <w:jc w:val="center"/>
              <w:rPr>
                <w:color w:val="000000"/>
              </w:rPr>
            </w:pPr>
            <w:r>
              <w:rPr>
                <w:color w:val="00000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地表水</w:t>
            </w:r>
          </w:p>
          <w:p>
            <w:pPr>
              <w:jc w:val="center"/>
              <w:rPr>
                <w:color w:val="000000"/>
              </w:rPr>
            </w:pPr>
            <w:r>
              <w:rPr>
                <w:color w:val="000000"/>
              </w:rPr>
              <w:t>环境</w:t>
            </w:r>
          </w:p>
        </w:tc>
        <w:tc>
          <w:tcPr>
            <w:tcW w:w="3401" w:type="dxa"/>
            <w:vMerge w:val="restart"/>
            <w:vAlign w:val="center"/>
          </w:tcPr>
          <w:p>
            <w:pPr>
              <w:jc w:val="center"/>
              <w:rPr>
                <w:color w:val="000000"/>
              </w:rPr>
            </w:pPr>
            <w:r>
              <w:rPr>
                <w:color w:val="000000"/>
              </w:rPr>
              <w:t>《地表水环境质量标准》（GB3838-2002）</w:t>
            </w:r>
            <w:r>
              <w:rPr>
                <w:rFonts w:hint="eastAsia" w:ascii="宋体" w:hAnsi="宋体" w:cs="宋体"/>
                <w:color w:val="000000"/>
                <w:sz w:val="24"/>
              </w:rPr>
              <w:t>Ⅲ</w:t>
            </w:r>
            <w:r>
              <w:rPr>
                <w:color w:val="000000"/>
              </w:rPr>
              <w:t>类</w:t>
            </w:r>
          </w:p>
        </w:tc>
        <w:tc>
          <w:tcPr>
            <w:tcW w:w="1562" w:type="dxa"/>
            <w:vAlign w:val="center"/>
          </w:tcPr>
          <w:p>
            <w:pPr>
              <w:jc w:val="center"/>
              <w:rPr>
                <w:rFonts w:ascii="Times New Roman" w:hAnsi="Times New Roman" w:eastAsia="宋体" w:cs="Times New Roman"/>
                <w:color w:val="000000"/>
                <w:kern w:val="2"/>
                <w:sz w:val="21"/>
                <w:szCs w:val="24"/>
                <w:vertAlign w:val="subscript"/>
                <w:lang w:val="en-US" w:eastAsia="zh-CN" w:bidi="ar-SA"/>
              </w:rPr>
            </w:pPr>
            <w:r>
              <w:rPr>
                <w:color w:val="000000"/>
              </w:rPr>
              <w:t>COD</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jc w:val="center"/>
              <w:rPr>
                <w:rFonts w:hint="default" w:ascii="Times New Roman" w:hAnsi="Times New Roman" w:eastAsia="宋体" w:cs="Times New Roman"/>
                <w:color w:val="000000"/>
                <w:kern w:val="2"/>
                <w:sz w:val="21"/>
                <w:szCs w:val="24"/>
                <w:lang w:val="en-US" w:eastAsia="zh-CN" w:bidi="ar-SA"/>
              </w:rPr>
            </w:pPr>
            <w:r>
              <w:rPr>
                <w:rFonts w:hint="eastAsia"/>
                <w:color w:val="000000"/>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氨氮</w:t>
            </w:r>
          </w:p>
        </w:tc>
        <w:tc>
          <w:tcPr>
            <w:tcW w:w="1043" w:type="dxa"/>
            <w:vAlign w:val="center"/>
          </w:tcPr>
          <w:p>
            <w:pPr>
              <w:jc w:val="center"/>
              <w:rPr>
                <w:color w:val="000000"/>
              </w:rPr>
            </w:pPr>
            <w:r>
              <w:rPr>
                <w:color w:val="000000"/>
              </w:rPr>
              <w:t>mg/L</w:t>
            </w:r>
          </w:p>
        </w:tc>
        <w:tc>
          <w:tcPr>
            <w:tcW w:w="1839" w:type="dxa"/>
            <w:gridSpan w:val="3"/>
            <w:vAlign w:val="center"/>
          </w:tcPr>
          <w:p>
            <w:pPr>
              <w:jc w:val="center"/>
              <w:rPr>
                <w:rFonts w:hint="eastAsia" w:eastAsia="宋体"/>
                <w:color w:val="000000"/>
                <w:lang w:eastAsia="zh-CN"/>
              </w:rPr>
            </w:pPr>
            <w:r>
              <w:rPr>
                <w:color w:val="000000"/>
              </w:rPr>
              <w:t>1.</w:t>
            </w:r>
            <w:r>
              <w:rPr>
                <w:rFonts w:hint="eastAsia"/>
                <w:color w:val="000000"/>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总磷</w:t>
            </w:r>
          </w:p>
        </w:tc>
        <w:tc>
          <w:tcPr>
            <w:tcW w:w="1043" w:type="dxa"/>
            <w:vAlign w:val="center"/>
          </w:tcPr>
          <w:p>
            <w:pPr>
              <w:jc w:val="center"/>
              <w:rPr>
                <w:color w:val="000000"/>
              </w:rPr>
            </w:pPr>
            <w:r>
              <w:rPr>
                <w:color w:val="000000"/>
              </w:rPr>
              <w:t>mg/L</w:t>
            </w:r>
          </w:p>
        </w:tc>
        <w:tc>
          <w:tcPr>
            <w:tcW w:w="1839" w:type="dxa"/>
            <w:gridSpan w:val="3"/>
            <w:vAlign w:val="center"/>
          </w:tcPr>
          <w:p>
            <w:pPr>
              <w:jc w:val="center"/>
              <w:rPr>
                <w:color w:val="000000"/>
              </w:rPr>
            </w:pPr>
            <w:r>
              <w:rPr>
                <w:color w:val="000000"/>
              </w:rPr>
              <w:t>0.</w:t>
            </w:r>
            <w:r>
              <w:rPr>
                <w:rFonts w:hint="eastAsia"/>
                <w:color w:val="000000"/>
                <w:lang w:val="en-US" w:eastAsia="zh-CN"/>
              </w:rPr>
              <w:t>2</w:t>
            </w:r>
            <w:r>
              <w:rPr>
                <w:color w:val="000000"/>
              </w:rPr>
              <w:t>（湖、库0.1）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地下水</w:t>
            </w:r>
          </w:p>
          <w:p>
            <w:pPr>
              <w:jc w:val="center"/>
              <w:rPr>
                <w:color w:val="000000"/>
              </w:rPr>
            </w:pPr>
            <w:r>
              <w:rPr>
                <w:color w:val="000000"/>
              </w:rPr>
              <w:t>环境</w:t>
            </w:r>
          </w:p>
        </w:tc>
        <w:tc>
          <w:tcPr>
            <w:tcW w:w="3401" w:type="dxa"/>
            <w:vMerge w:val="restart"/>
            <w:vAlign w:val="center"/>
          </w:tcPr>
          <w:p>
            <w:pPr>
              <w:jc w:val="center"/>
              <w:rPr>
                <w:color w:val="000000"/>
              </w:rPr>
            </w:pPr>
            <w:r>
              <w:rPr>
                <w:szCs w:val="21"/>
              </w:rPr>
              <w:t>《地下水质量标准》（GB/T14848-2017）</w:t>
            </w:r>
            <w:r>
              <w:rPr>
                <w:rFonts w:hint="eastAsia" w:ascii="宋体" w:hAnsi="宋体" w:cs="宋体"/>
                <w:szCs w:val="21"/>
              </w:rPr>
              <w:t>Ⅲ</w:t>
            </w:r>
            <w:r>
              <w:rPr>
                <w:szCs w:val="21"/>
              </w:rPr>
              <w:t>类</w:t>
            </w:r>
          </w:p>
        </w:tc>
        <w:tc>
          <w:tcPr>
            <w:tcW w:w="1562" w:type="dxa"/>
            <w:vAlign w:val="center"/>
          </w:tcPr>
          <w:p>
            <w:pPr>
              <w:pStyle w:val="280"/>
              <w:ind w:firstLine="0" w:firstLineChars="0"/>
              <w:rPr>
                <w:color w:val="000000"/>
              </w:rPr>
            </w:pPr>
            <w:r>
              <w:t>pH值</w:t>
            </w:r>
          </w:p>
        </w:tc>
        <w:tc>
          <w:tcPr>
            <w:tcW w:w="1043" w:type="dxa"/>
            <w:vAlign w:val="center"/>
          </w:tcPr>
          <w:p>
            <w:pPr>
              <w:pStyle w:val="280"/>
              <w:ind w:firstLine="0" w:firstLineChars="0"/>
              <w:rPr>
                <w:rFonts w:hint="eastAsia" w:eastAsia="宋体"/>
                <w:color w:val="000000"/>
                <w:lang w:val="en-US" w:eastAsia="zh-CN"/>
              </w:rPr>
            </w:pPr>
            <w:r>
              <w:rPr>
                <w:rFonts w:hint="eastAsia"/>
                <w:color w:val="000000"/>
                <w:lang w:val="en-US" w:eastAsia="zh-CN"/>
              </w:rPr>
              <w:t>/</w:t>
            </w:r>
          </w:p>
        </w:tc>
        <w:tc>
          <w:tcPr>
            <w:tcW w:w="1839" w:type="dxa"/>
            <w:gridSpan w:val="3"/>
            <w:vAlign w:val="center"/>
          </w:tcPr>
          <w:p>
            <w:pPr>
              <w:pStyle w:val="280"/>
              <w:ind w:firstLine="0" w:firstLineChars="0"/>
              <w:rPr>
                <w:color w:val="000000"/>
              </w:rPr>
            </w:pPr>
            <w: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t>氨氮</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w:t>
            </w: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硝酸盐氮</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t>亚硝酸盐氮</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w:t>
            </w: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挥发酚</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氰化物</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砷</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汞</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六价铬</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t>总硬度</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w:t>
            </w:r>
            <w: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铅</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氟</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≤1</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镉</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铁</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锰</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≤0</w:t>
            </w:r>
            <w: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t>溶解性总固体</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w:t>
            </w:r>
            <w: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耗氧量</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w:t>
            </w:r>
            <w: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硫酸盐</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≤2</w:t>
            </w:r>
            <w: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rPr>
                <w:rFonts w:hint="eastAsia"/>
              </w:rPr>
              <w:t>氯化物</w:t>
            </w:r>
          </w:p>
        </w:tc>
        <w:tc>
          <w:tcPr>
            <w:tcW w:w="1043" w:type="dxa"/>
            <w:vAlign w:val="center"/>
          </w:tcPr>
          <w:p>
            <w:pPr>
              <w:jc w:val="center"/>
              <w:rPr>
                <w:rFonts w:ascii="Times New Roman" w:hAnsi="Times New Roman" w:eastAsia="宋体" w:cs="Times New Roman"/>
                <w:color w:val="000000"/>
                <w:kern w:val="2"/>
                <w:sz w:val="21"/>
                <w:szCs w:val="24"/>
                <w:lang w:val="en-US" w:eastAsia="zh-CN" w:bidi="ar-SA"/>
              </w:rPr>
            </w:pPr>
            <w:r>
              <w:rPr>
                <w:color w:val="000000"/>
              </w:rPr>
              <w:t>mg/L</w:t>
            </w:r>
          </w:p>
        </w:tc>
        <w:tc>
          <w:tcPr>
            <w:tcW w:w="1839" w:type="dxa"/>
            <w:gridSpan w:val="3"/>
            <w:vAlign w:val="center"/>
          </w:tcPr>
          <w:p>
            <w:pPr>
              <w:pStyle w:val="280"/>
              <w:ind w:firstLine="0" w:firstLineChars="0"/>
              <w:rPr>
                <w:color w:val="000000"/>
              </w:rPr>
            </w:pPr>
            <w:r>
              <w:rPr>
                <w:rFonts w:hint="eastAsia"/>
              </w:rPr>
              <w:t>≤2</w:t>
            </w:r>
            <w: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color w:val="000000"/>
              </w:rPr>
            </w:pPr>
            <w:r>
              <w:t>总大肠菌群</w:t>
            </w:r>
          </w:p>
        </w:tc>
        <w:tc>
          <w:tcPr>
            <w:tcW w:w="1043" w:type="dxa"/>
            <w:vAlign w:val="center"/>
          </w:tcPr>
          <w:p>
            <w:pPr>
              <w:pStyle w:val="280"/>
              <w:ind w:firstLine="0" w:firstLineChars="0"/>
              <w:rPr>
                <w:color w:val="000000"/>
                <w:sz w:val="21"/>
                <w:szCs w:val="21"/>
              </w:rPr>
            </w:pPr>
            <w:r>
              <w:rPr>
                <w:sz w:val="21"/>
                <w:szCs w:val="21"/>
              </w:rPr>
              <w:t>CFU/100ml</w:t>
            </w:r>
          </w:p>
        </w:tc>
        <w:tc>
          <w:tcPr>
            <w:tcW w:w="1839" w:type="dxa"/>
            <w:gridSpan w:val="3"/>
            <w:vAlign w:val="center"/>
          </w:tcPr>
          <w:p>
            <w:pPr>
              <w:pStyle w:val="280"/>
              <w:ind w:firstLine="0" w:firstLineChars="0"/>
              <w:rPr>
                <w:color w:val="000000"/>
              </w:rPr>
            </w:pPr>
            <w:r>
              <w:rPr>
                <w:rFonts w:hint="eastAsia"/>
              </w:rPr>
              <w:t>≤</w:t>
            </w:r>
            <w: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pStyle w:val="280"/>
              <w:ind w:firstLine="0" w:firstLineChars="0"/>
              <w:rPr>
                <w:rFonts w:ascii="Times New Roman" w:hAnsi="Times New Roman" w:eastAsia="宋体" w:cs="宋体"/>
                <w:kern w:val="2"/>
                <w:sz w:val="21"/>
                <w:szCs w:val="20"/>
                <w:lang w:val="en-US" w:eastAsia="zh-CN" w:bidi="ar-SA"/>
              </w:rPr>
            </w:pPr>
            <w:r>
              <w:rPr>
                <w:rFonts w:hint="eastAsia"/>
              </w:rPr>
              <w:t>细菌总数</w:t>
            </w:r>
          </w:p>
        </w:tc>
        <w:tc>
          <w:tcPr>
            <w:tcW w:w="1043" w:type="dxa"/>
            <w:vAlign w:val="center"/>
          </w:tcPr>
          <w:p>
            <w:pPr>
              <w:pStyle w:val="280"/>
              <w:ind w:firstLine="0" w:firstLineChars="0"/>
              <w:rPr>
                <w:rFonts w:hint="eastAsia" w:ascii="Times New Roman" w:hAnsi="Times New Roman" w:eastAsia="宋体" w:cs="宋体"/>
                <w:kern w:val="2"/>
                <w:sz w:val="21"/>
                <w:szCs w:val="21"/>
                <w:lang w:val="en-US" w:eastAsia="zh-CN" w:bidi="ar-SA"/>
              </w:rPr>
            </w:pPr>
            <w:r>
              <w:rPr>
                <w:sz w:val="21"/>
                <w:szCs w:val="21"/>
              </w:rPr>
              <w:t>CFU/ml</w:t>
            </w:r>
          </w:p>
        </w:tc>
        <w:tc>
          <w:tcPr>
            <w:tcW w:w="1839" w:type="dxa"/>
            <w:gridSpan w:val="3"/>
            <w:vAlign w:val="center"/>
          </w:tcPr>
          <w:p>
            <w:pPr>
              <w:jc w:val="center"/>
              <w:rPr>
                <w:color w:val="000000"/>
              </w:rPr>
            </w:pPr>
            <w:r>
              <w:rPr>
                <w:rFonts w:hint="eastAsia"/>
              </w:rPr>
              <w:t>≤1</w:t>
            </w:r>
            <w: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01" w:type="dxa"/>
            <w:vMerge w:val="restart"/>
            <w:vAlign w:val="center"/>
          </w:tcPr>
          <w:p>
            <w:pPr>
              <w:jc w:val="center"/>
              <w:rPr>
                <w:color w:val="000000"/>
              </w:rPr>
            </w:pPr>
            <w:r>
              <w:rPr>
                <w:color w:val="000000"/>
              </w:rPr>
              <w:t>土壤环境</w:t>
            </w:r>
          </w:p>
        </w:tc>
        <w:tc>
          <w:tcPr>
            <w:tcW w:w="3401" w:type="dxa"/>
            <w:vMerge w:val="restart"/>
            <w:vAlign w:val="center"/>
          </w:tcPr>
          <w:p>
            <w:pPr>
              <w:jc w:val="center"/>
              <w:rPr>
                <w:color w:val="000000"/>
              </w:rPr>
            </w:pPr>
            <w:r>
              <w:rPr>
                <w:szCs w:val="21"/>
              </w:rPr>
              <w:t>《土壤环境质量农用地土壤污染风险管控标准》（GB15618-2018）</w:t>
            </w:r>
          </w:p>
        </w:tc>
        <w:tc>
          <w:tcPr>
            <w:tcW w:w="1562" w:type="dxa"/>
            <w:vAlign w:val="center"/>
          </w:tcPr>
          <w:p>
            <w:pPr>
              <w:jc w:val="center"/>
              <w:rPr>
                <w:color w:val="000000"/>
              </w:rPr>
            </w:pPr>
            <w:r>
              <w:rPr>
                <w:color w:val="000000"/>
              </w:rPr>
              <w:t>pH</w:t>
            </w:r>
          </w:p>
        </w:tc>
        <w:tc>
          <w:tcPr>
            <w:tcW w:w="1043" w:type="dxa"/>
            <w:vAlign w:val="center"/>
          </w:tcPr>
          <w:p>
            <w:pPr>
              <w:jc w:val="center"/>
              <w:rPr>
                <w:color w:val="000000"/>
              </w:rPr>
            </w:pPr>
            <w:r>
              <w:rPr>
                <w:color w:val="000000"/>
              </w:rPr>
              <w:t>/</w:t>
            </w:r>
          </w:p>
        </w:tc>
        <w:tc>
          <w:tcPr>
            <w:tcW w:w="939" w:type="dxa"/>
            <w:gridSpan w:val="2"/>
            <w:vAlign w:val="center"/>
          </w:tcPr>
          <w:p>
            <w:pPr>
              <w:jc w:val="center"/>
              <w:rPr>
                <w:color w:val="000000"/>
              </w:rPr>
            </w:pPr>
            <w:r>
              <w:rPr>
                <w:color w:val="000000"/>
              </w:rPr>
              <w:t>6.5~7.5</w:t>
            </w:r>
          </w:p>
        </w:tc>
        <w:tc>
          <w:tcPr>
            <w:tcW w:w="900" w:type="dxa"/>
            <w:vAlign w:val="center"/>
          </w:tcPr>
          <w:p>
            <w:pPr>
              <w:jc w:val="center"/>
              <w:rPr>
                <w:color w:val="000000"/>
              </w:rPr>
            </w:pPr>
            <w:r>
              <w:rPr>
                <w:color w:val="000000"/>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镉</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0.30</w:t>
            </w:r>
          </w:p>
        </w:tc>
        <w:tc>
          <w:tcPr>
            <w:tcW w:w="900" w:type="dxa"/>
            <w:vAlign w:val="center"/>
          </w:tcPr>
          <w:p>
            <w:pPr>
              <w:jc w:val="center"/>
              <w:rPr>
                <w:color w:val="000000"/>
              </w:rPr>
            </w:pPr>
            <w:r>
              <w:rPr>
                <w:color w:val="000000"/>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汞</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2.4</w:t>
            </w:r>
          </w:p>
        </w:tc>
        <w:tc>
          <w:tcPr>
            <w:tcW w:w="900" w:type="dxa"/>
            <w:vAlign w:val="center"/>
          </w:tcPr>
          <w:p>
            <w:pPr>
              <w:jc w:val="center"/>
              <w:rPr>
                <w:color w:val="000000"/>
              </w:rPr>
            </w:pPr>
            <w:r>
              <w:rPr>
                <w:color w:val="000000"/>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 xml:space="preserve">砷 </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30</w:t>
            </w:r>
          </w:p>
        </w:tc>
        <w:tc>
          <w:tcPr>
            <w:tcW w:w="900" w:type="dxa"/>
            <w:vAlign w:val="center"/>
          </w:tcPr>
          <w:p>
            <w:pPr>
              <w:jc w:val="center"/>
              <w:rPr>
                <w:color w:val="000000"/>
              </w:rPr>
            </w:pPr>
            <w:r>
              <w:rPr>
                <w:color w:val="00000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铜</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100</w:t>
            </w:r>
          </w:p>
        </w:tc>
        <w:tc>
          <w:tcPr>
            <w:tcW w:w="900" w:type="dxa"/>
            <w:vAlign w:val="center"/>
          </w:tcPr>
          <w:p>
            <w:pPr>
              <w:jc w:val="center"/>
              <w:rPr>
                <w:color w:val="000000"/>
              </w:rPr>
            </w:pPr>
            <w:r>
              <w:rPr>
                <w:color w:val="00000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铅</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120</w:t>
            </w:r>
          </w:p>
        </w:tc>
        <w:tc>
          <w:tcPr>
            <w:tcW w:w="900" w:type="dxa"/>
            <w:vAlign w:val="center"/>
          </w:tcPr>
          <w:p>
            <w:pPr>
              <w:jc w:val="center"/>
              <w:rPr>
                <w:color w:val="000000"/>
              </w:rPr>
            </w:pPr>
            <w:r>
              <w:rPr>
                <w:color w:val="000000"/>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 xml:space="preserve">铬 </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200</w:t>
            </w:r>
          </w:p>
        </w:tc>
        <w:tc>
          <w:tcPr>
            <w:tcW w:w="900" w:type="dxa"/>
            <w:vAlign w:val="center"/>
          </w:tcPr>
          <w:p>
            <w:pPr>
              <w:jc w:val="center"/>
              <w:rPr>
                <w:color w:val="000000"/>
              </w:rPr>
            </w:pPr>
            <w:r>
              <w:rPr>
                <w:color w:val="000000"/>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锌</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250</w:t>
            </w:r>
          </w:p>
        </w:tc>
        <w:tc>
          <w:tcPr>
            <w:tcW w:w="900" w:type="dxa"/>
            <w:vAlign w:val="center"/>
          </w:tcPr>
          <w:p>
            <w:pPr>
              <w:jc w:val="center"/>
              <w:rPr>
                <w:color w:val="000000"/>
              </w:rPr>
            </w:pPr>
            <w:r>
              <w:rPr>
                <w:color w:val="000000"/>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1" w:type="dxa"/>
            <w:vMerge w:val="continue"/>
            <w:vAlign w:val="center"/>
          </w:tcPr>
          <w:p>
            <w:pPr>
              <w:jc w:val="center"/>
              <w:rPr>
                <w:color w:val="000000"/>
              </w:rPr>
            </w:pPr>
          </w:p>
        </w:tc>
        <w:tc>
          <w:tcPr>
            <w:tcW w:w="1562" w:type="dxa"/>
            <w:vAlign w:val="center"/>
          </w:tcPr>
          <w:p>
            <w:pPr>
              <w:jc w:val="center"/>
              <w:rPr>
                <w:color w:val="000000"/>
              </w:rPr>
            </w:pPr>
            <w:r>
              <w:rPr>
                <w:color w:val="000000"/>
              </w:rPr>
              <w:t>镍</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100</w:t>
            </w:r>
          </w:p>
        </w:tc>
        <w:tc>
          <w:tcPr>
            <w:tcW w:w="900" w:type="dxa"/>
            <w:vAlign w:val="center"/>
          </w:tcPr>
          <w:p>
            <w:pPr>
              <w:jc w:val="center"/>
              <w:rPr>
                <w:color w:val="000000"/>
              </w:rPr>
            </w:pPr>
            <w:r>
              <w:rPr>
                <w:color w:val="000000"/>
              </w:rPr>
              <w:t>190</w:t>
            </w:r>
          </w:p>
        </w:tc>
      </w:tr>
    </w:tbl>
    <w:p>
      <w:pPr>
        <w:spacing w:line="500" w:lineRule="exact"/>
        <w:outlineLvl w:val="2"/>
        <w:rPr>
          <w:color w:val="000000"/>
          <w:sz w:val="24"/>
        </w:rPr>
      </w:pPr>
      <w:r>
        <w:rPr>
          <w:b/>
          <w:color w:val="000000"/>
          <w:sz w:val="24"/>
        </w:rPr>
        <w:t>1.9.2 污染物排放标准</w:t>
      </w:r>
    </w:p>
    <w:p>
      <w:pPr>
        <w:spacing w:line="500" w:lineRule="exact"/>
        <w:ind w:firstLine="480" w:firstLineChars="200"/>
        <w:rPr>
          <w:color w:val="000000"/>
          <w:sz w:val="24"/>
        </w:rPr>
      </w:pPr>
      <w:r>
        <w:rPr>
          <w:color w:val="000000"/>
          <w:sz w:val="24"/>
        </w:rPr>
        <w:t>本项目废水全部资源化利用，不设废水排污口，废水执行“零排放”。</w:t>
      </w:r>
    </w:p>
    <w:p>
      <w:pPr>
        <w:spacing w:line="500" w:lineRule="exact"/>
        <w:ind w:firstLine="480" w:firstLineChars="200"/>
        <w:rPr>
          <w:color w:val="000000"/>
          <w:sz w:val="24"/>
        </w:rPr>
      </w:pPr>
      <w:r>
        <w:rPr>
          <w:color w:val="000000"/>
          <w:sz w:val="24"/>
        </w:rPr>
        <w:t>本项目大气污染因子（NH</w:t>
      </w:r>
      <w:r>
        <w:rPr>
          <w:color w:val="000000"/>
          <w:sz w:val="24"/>
          <w:vertAlign w:val="subscript"/>
        </w:rPr>
        <w:t>3</w:t>
      </w:r>
      <w:r>
        <w:rPr>
          <w:color w:val="000000"/>
          <w:sz w:val="24"/>
        </w:rPr>
        <w:t>、H</w:t>
      </w:r>
      <w:r>
        <w:rPr>
          <w:color w:val="000000"/>
          <w:sz w:val="24"/>
          <w:vertAlign w:val="subscript"/>
        </w:rPr>
        <w:t>2</w:t>
      </w:r>
      <w:r>
        <w:rPr>
          <w:color w:val="000000"/>
          <w:sz w:val="24"/>
        </w:rPr>
        <w:t>S）执行《恶臭污染物排放标准》（GB14554-93）中表1标准，臭气排放浓度执行《畜禽养殖业污染物排放标准》（GB18596-2001）表7集约化畜禽养殖业恶臭污染物排放标准，</w:t>
      </w:r>
      <w:r>
        <w:rPr>
          <w:sz w:val="24"/>
        </w:rPr>
        <w:t>沼气燃烧废气</w:t>
      </w:r>
      <w:r>
        <w:rPr>
          <w:rFonts w:hint="eastAsia"/>
          <w:sz w:val="24"/>
          <w:lang w:val="en-US" w:eastAsia="zh-CN"/>
        </w:rPr>
        <w:t>执行</w:t>
      </w:r>
      <w:r>
        <w:rPr>
          <w:rFonts w:hint="eastAsia"/>
          <w:sz w:val="24"/>
          <w:lang w:eastAsia="zh-CN"/>
        </w:rPr>
        <w:t>《</w:t>
      </w:r>
      <w:r>
        <w:rPr>
          <w:rFonts w:hint="eastAsia"/>
          <w:sz w:val="24"/>
          <w:lang w:val="en-US" w:eastAsia="zh-CN"/>
        </w:rPr>
        <w:t>大气污染物综合排放标准</w:t>
      </w:r>
      <w:r>
        <w:rPr>
          <w:rFonts w:hint="eastAsia"/>
          <w:sz w:val="24"/>
          <w:lang w:eastAsia="zh-CN"/>
        </w:rPr>
        <w:t>》（</w:t>
      </w:r>
      <w:r>
        <w:rPr>
          <w:rFonts w:hint="eastAsia"/>
          <w:sz w:val="24"/>
          <w:lang w:val="en-US" w:eastAsia="zh-CN"/>
        </w:rPr>
        <w:t>GB16297-1996</w:t>
      </w:r>
      <w:r>
        <w:rPr>
          <w:rFonts w:hint="eastAsia"/>
          <w:sz w:val="24"/>
          <w:lang w:eastAsia="zh-CN"/>
        </w:rPr>
        <w:t>）</w:t>
      </w:r>
      <w:r>
        <w:rPr>
          <w:sz w:val="24"/>
        </w:rPr>
        <w:t>，食堂油烟执行河南省《餐饮业油烟污染物放标准》(DB41/1604-2018)。</w:t>
      </w:r>
    </w:p>
    <w:p>
      <w:pPr>
        <w:spacing w:line="500" w:lineRule="exact"/>
        <w:ind w:firstLine="480" w:firstLineChars="200"/>
        <w:rPr>
          <w:color w:val="000000"/>
          <w:sz w:val="24"/>
        </w:rPr>
      </w:pPr>
      <w:r>
        <w:rPr>
          <w:color w:val="000000"/>
          <w:sz w:val="24"/>
        </w:rPr>
        <w:t>施工期噪声执行《建筑施工场界环境噪声排放标准》（GB12523-2011），运营期场界噪声采用《工业企业厂界环境噪声排放标准》（GB12348-2008）中2类标准。</w:t>
      </w:r>
    </w:p>
    <w:p>
      <w:pPr>
        <w:spacing w:line="500" w:lineRule="exact"/>
        <w:ind w:firstLine="480" w:firstLineChars="200"/>
        <w:rPr>
          <w:b/>
          <w:bCs/>
          <w:color w:val="000000"/>
          <w:szCs w:val="21"/>
        </w:rPr>
      </w:pPr>
      <w:r>
        <w:rPr>
          <w:color w:val="000000"/>
          <w:sz w:val="24"/>
        </w:rPr>
        <w:t>粪便排放执行《畜禽养殖业污染物排放标准》（GB18596-2001）表6畜禽养殖业废渣无害化环境标准，危险废物执行《危险废物贮存污染物控制标准》（GB18597-2001），其他一般固废执行《一般工业固体废物贮存处置场污染控制标准》（GB18599-2001）。</w:t>
      </w:r>
    </w:p>
    <w:p>
      <w:pPr>
        <w:spacing w:line="500" w:lineRule="exact"/>
        <w:ind w:firstLine="422" w:firstLineChars="200"/>
        <w:jc w:val="center"/>
        <w:rPr>
          <w:b/>
          <w:bCs/>
          <w:color w:val="000000"/>
          <w:szCs w:val="21"/>
          <w:u w:val="single"/>
        </w:rPr>
      </w:pPr>
      <w:r>
        <w:rPr>
          <w:b/>
          <w:bCs/>
          <w:color w:val="000000"/>
          <w:szCs w:val="21"/>
        </w:rPr>
        <w:t>表1</w:t>
      </w:r>
      <w:r>
        <w:rPr>
          <w:rFonts w:hint="eastAsia"/>
          <w:b/>
          <w:bCs/>
          <w:color w:val="000000"/>
          <w:szCs w:val="21"/>
          <w:lang w:val="en-US" w:eastAsia="zh-CN"/>
        </w:rPr>
        <w:t>.9</w:t>
      </w:r>
      <w:r>
        <w:rPr>
          <w:b/>
          <w:bCs/>
          <w:color w:val="000000"/>
          <w:szCs w:val="21"/>
        </w:rPr>
        <w:t>-</w:t>
      </w:r>
      <w:r>
        <w:rPr>
          <w:rFonts w:hint="eastAsia"/>
          <w:b/>
          <w:bCs/>
          <w:color w:val="000000"/>
          <w:szCs w:val="21"/>
          <w:lang w:val="en-US" w:eastAsia="zh-CN"/>
        </w:rPr>
        <w:t>2</w:t>
      </w:r>
      <w:r>
        <w:rPr>
          <w:b/>
          <w:bCs/>
          <w:color w:val="000000"/>
          <w:szCs w:val="21"/>
        </w:rPr>
        <w:t xml:space="preserve">   污染物排放标准一览表</w:t>
      </w:r>
    </w:p>
    <w:tbl>
      <w:tblPr>
        <w:tblStyle w:val="45"/>
        <w:tblW w:w="89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260"/>
        <w:gridCol w:w="1705"/>
        <w:gridCol w:w="1080"/>
        <w:gridCol w:w="544"/>
        <w:gridCol w:w="546"/>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blHeader/>
        </w:trPr>
        <w:tc>
          <w:tcPr>
            <w:tcW w:w="676" w:type="dxa"/>
            <w:vAlign w:val="center"/>
          </w:tcPr>
          <w:p>
            <w:pPr>
              <w:jc w:val="center"/>
              <w:rPr>
                <w:b/>
                <w:color w:val="000000"/>
              </w:rPr>
            </w:pPr>
            <w:r>
              <w:rPr>
                <w:b/>
                <w:color w:val="000000"/>
              </w:rPr>
              <w:t>污染</w:t>
            </w:r>
          </w:p>
          <w:p>
            <w:pPr>
              <w:jc w:val="center"/>
              <w:rPr>
                <w:b/>
                <w:color w:val="000000"/>
              </w:rPr>
            </w:pPr>
            <w:r>
              <w:rPr>
                <w:b/>
                <w:color w:val="000000"/>
              </w:rPr>
              <w:t>类型</w:t>
            </w:r>
          </w:p>
        </w:tc>
        <w:tc>
          <w:tcPr>
            <w:tcW w:w="3260" w:type="dxa"/>
            <w:vAlign w:val="center"/>
          </w:tcPr>
          <w:p>
            <w:pPr>
              <w:jc w:val="center"/>
              <w:rPr>
                <w:b/>
                <w:color w:val="000000"/>
              </w:rPr>
            </w:pPr>
            <w:r>
              <w:rPr>
                <w:b/>
                <w:color w:val="000000"/>
              </w:rPr>
              <w:t>标准名称</w:t>
            </w:r>
          </w:p>
        </w:tc>
        <w:tc>
          <w:tcPr>
            <w:tcW w:w="1705" w:type="dxa"/>
            <w:vAlign w:val="center"/>
          </w:tcPr>
          <w:p>
            <w:pPr>
              <w:jc w:val="center"/>
              <w:rPr>
                <w:b/>
                <w:color w:val="000000"/>
              </w:rPr>
            </w:pPr>
            <w:r>
              <w:rPr>
                <w:b/>
                <w:color w:val="000000"/>
              </w:rPr>
              <w:t>污染因子</w:t>
            </w:r>
          </w:p>
        </w:tc>
        <w:tc>
          <w:tcPr>
            <w:tcW w:w="3314" w:type="dxa"/>
            <w:gridSpan w:val="4"/>
            <w:vAlign w:val="center"/>
          </w:tcPr>
          <w:p>
            <w:pPr>
              <w:jc w:val="center"/>
              <w:rPr>
                <w:b/>
                <w:color w:val="000000"/>
              </w:rPr>
            </w:pPr>
            <w:r>
              <w:rPr>
                <w:b/>
                <w:color w:val="000000"/>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76" w:type="dxa"/>
            <w:vMerge w:val="restart"/>
            <w:vAlign w:val="center"/>
          </w:tcPr>
          <w:p>
            <w:pPr>
              <w:jc w:val="center"/>
              <w:rPr>
                <w:color w:val="000000"/>
              </w:rPr>
            </w:pPr>
            <w:r>
              <w:rPr>
                <w:color w:val="000000"/>
              </w:rPr>
              <w:t>废气</w:t>
            </w:r>
          </w:p>
        </w:tc>
        <w:tc>
          <w:tcPr>
            <w:tcW w:w="3260" w:type="dxa"/>
            <w:vMerge w:val="restart"/>
            <w:vAlign w:val="center"/>
          </w:tcPr>
          <w:p>
            <w:pPr>
              <w:jc w:val="center"/>
              <w:rPr>
                <w:color w:val="000000"/>
              </w:rPr>
            </w:pPr>
            <w:r>
              <w:rPr>
                <w:color w:val="000000"/>
              </w:rPr>
              <w:t>《恶臭污染物排放标准》（GB14554-93）二级新建</w:t>
            </w:r>
          </w:p>
        </w:tc>
        <w:tc>
          <w:tcPr>
            <w:tcW w:w="1705" w:type="dxa"/>
            <w:vAlign w:val="center"/>
          </w:tcPr>
          <w:p>
            <w:pPr>
              <w:jc w:val="center"/>
              <w:rPr>
                <w:color w:val="000000"/>
              </w:rPr>
            </w:pPr>
            <w:r>
              <w:rPr>
                <w:color w:val="000000"/>
              </w:rPr>
              <w:t>NH</w:t>
            </w:r>
            <w:r>
              <w:rPr>
                <w:color w:val="000000"/>
                <w:vertAlign w:val="subscript"/>
              </w:rPr>
              <w:t>3</w:t>
            </w:r>
          </w:p>
        </w:tc>
        <w:tc>
          <w:tcPr>
            <w:tcW w:w="1624" w:type="dxa"/>
            <w:gridSpan w:val="2"/>
            <w:vMerge w:val="restart"/>
            <w:vAlign w:val="center"/>
          </w:tcPr>
          <w:p>
            <w:pPr>
              <w:jc w:val="center"/>
              <w:rPr>
                <w:color w:val="000000"/>
              </w:rPr>
            </w:pPr>
            <w:r>
              <w:rPr>
                <w:color w:val="000000"/>
              </w:rPr>
              <w:t>厂界标准值</w:t>
            </w:r>
          </w:p>
        </w:tc>
        <w:tc>
          <w:tcPr>
            <w:tcW w:w="1690" w:type="dxa"/>
            <w:gridSpan w:val="2"/>
            <w:vAlign w:val="center"/>
          </w:tcPr>
          <w:p>
            <w:pPr>
              <w:jc w:val="center"/>
              <w:rPr>
                <w:color w:val="000000"/>
              </w:rPr>
            </w:pPr>
            <w:r>
              <w:rPr>
                <w:color w:val="000000"/>
              </w:rPr>
              <w:t>1.5 mg/m</w:t>
            </w:r>
            <w:r>
              <w:rPr>
                <w:color w:val="00000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color w:val="000000"/>
              </w:rPr>
            </w:pPr>
            <w:r>
              <w:rPr>
                <w:color w:val="000000"/>
              </w:rPr>
              <w:t>H</w:t>
            </w:r>
            <w:r>
              <w:rPr>
                <w:color w:val="000000"/>
                <w:vertAlign w:val="subscript"/>
              </w:rPr>
              <w:t>2</w:t>
            </w:r>
            <w:r>
              <w:rPr>
                <w:color w:val="000000"/>
              </w:rPr>
              <w:t>S</w:t>
            </w:r>
          </w:p>
        </w:tc>
        <w:tc>
          <w:tcPr>
            <w:tcW w:w="1624" w:type="dxa"/>
            <w:gridSpan w:val="2"/>
            <w:vMerge w:val="continue"/>
            <w:vAlign w:val="center"/>
          </w:tcPr>
          <w:p>
            <w:pPr>
              <w:jc w:val="center"/>
              <w:rPr>
                <w:color w:val="000000"/>
              </w:rPr>
            </w:pPr>
          </w:p>
        </w:tc>
        <w:tc>
          <w:tcPr>
            <w:tcW w:w="1690" w:type="dxa"/>
            <w:gridSpan w:val="2"/>
            <w:vAlign w:val="center"/>
          </w:tcPr>
          <w:p>
            <w:pPr>
              <w:jc w:val="center"/>
              <w:rPr>
                <w:color w:val="000000"/>
              </w:rPr>
            </w:pPr>
            <w:r>
              <w:rPr>
                <w:color w:val="000000"/>
              </w:rPr>
              <w:t>0.06 mg/m</w:t>
            </w:r>
            <w:r>
              <w:rPr>
                <w:color w:val="00000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76" w:type="dxa"/>
            <w:vMerge w:val="continue"/>
            <w:vAlign w:val="center"/>
          </w:tcPr>
          <w:p>
            <w:pPr>
              <w:jc w:val="center"/>
              <w:rPr>
                <w:color w:val="000000"/>
              </w:rPr>
            </w:pPr>
          </w:p>
        </w:tc>
        <w:tc>
          <w:tcPr>
            <w:tcW w:w="3260" w:type="dxa"/>
            <w:vAlign w:val="center"/>
          </w:tcPr>
          <w:p>
            <w:pPr>
              <w:jc w:val="center"/>
              <w:rPr>
                <w:color w:val="000000"/>
              </w:rPr>
            </w:pPr>
            <w:r>
              <w:rPr>
                <w:color w:val="000000"/>
              </w:rPr>
              <w:t>《畜禽养殖业污染物排放标准》（GB18596-2001）</w:t>
            </w:r>
          </w:p>
        </w:tc>
        <w:tc>
          <w:tcPr>
            <w:tcW w:w="1705" w:type="dxa"/>
            <w:vAlign w:val="center"/>
          </w:tcPr>
          <w:p>
            <w:pPr>
              <w:jc w:val="center"/>
              <w:rPr>
                <w:color w:val="000000"/>
              </w:rPr>
            </w:pPr>
            <w:r>
              <w:rPr>
                <w:color w:val="000000"/>
              </w:rPr>
              <w:t>臭气浓度</w:t>
            </w:r>
          </w:p>
          <w:p>
            <w:pPr>
              <w:jc w:val="center"/>
              <w:rPr>
                <w:color w:val="000000"/>
              </w:rPr>
            </w:pPr>
            <w:r>
              <w:rPr>
                <w:color w:val="000000"/>
              </w:rPr>
              <w:t>（无量纲）</w:t>
            </w:r>
          </w:p>
        </w:tc>
        <w:tc>
          <w:tcPr>
            <w:tcW w:w="3314" w:type="dxa"/>
            <w:gridSpan w:val="4"/>
            <w:vAlign w:val="center"/>
          </w:tcPr>
          <w:p>
            <w:pPr>
              <w:jc w:val="center"/>
              <w:rPr>
                <w:color w:val="000000"/>
              </w:rPr>
            </w:pPr>
            <w:r>
              <w:rPr>
                <w:color w:val="000000"/>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4" w:hRule="atLeast"/>
        </w:trPr>
        <w:tc>
          <w:tcPr>
            <w:tcW w:w="676" w:type="dxa"/>
            <w:vMerge w:val="continue"/>
            <w:vAlign w:val="center"/>
          </w:tcPr>
          <w:p>
            <w:pPr>
              <w:jc w:val="center"/>
              <w:rPr>
                <w:color w:val="000000"/>
              </w:rPr>
            </w:pPr>
          </w:p>
        </w:tc>
        <w:tc>
          <w:tcPr>
            <w:tcW w:w="3260" w:type="dxa"/>
            <w:vMerge w:val="restart"/>
            <w:vAlign w:val="center"/>
          </w:tcPr>
          <w:p>
            <w:pPr>
              <w:jc w:val="center"/>
              <w:rPr>
                <w:rFonts w:hint="default" w:eastAsia="宋体"/>
                <w:lang w:val="en-US" w:eastAsia="zh-CN"/>
              </w:rPr>
            </w:pPr>
            <w:r>
              <w:rPr>
                <w:rFonts w:hint="eastAsia"/>
                <w:lang w:val="en-US" w:eastAsia="zh-CN"/>
              </w:rPr>
              <w:t>大气污染物综合排放标准</w:t>
            </w:r>
          </w:p>
        </w:tc>
        <w:tc>
          <w:tcPr>
            <w:tcW w:w="1705" w:type="dxa"/>
            <w:vAlign w:val="center"/>
          </w:tcPr>
          <w:p>
            <w:pPr>
              <w:jc w:val="center"/>
              <w:rPr>
                <w:rFonts w:ascii="Times New Roman" w:hAnsi="Times New Roman" w:eastAsia="宋体" w:cs="Times New Roman"/>
                <w:color w:val="000000"/>
                <w:kern w:val="2"/>
                <w:sz w:val="21"/>
                <w:szCs w:val="24"/>
                <w:lang w:val="en-US" w:eastAsia="zh-CN" w:bidi="ar-SA"/>
              </w:rPr>
            </w:pPr>
            <w:r>
              <w:rPr>
                <w:szCs w:val="21"/>
              </w:rPr>
              <w:t>SO</w:t>
            </w:r>
            <w:r>
              <w:rPr>
                <w:szCs w:val="21"/>
                <w:vertAlign w:val="subscript"/>
              </w:rPr>
              <w:t>2</w:t>
            </w:r>
          </w:p>
        </w:tc>
        <w:tc>
          <w:tcPr>
            <w:tcW w:w="3314" w:type="dxa"/>
            <w:gridSpan w:val="4"/>
            <w:vAlign w:val="center"/>
          </w:tcPr>
          <w:p>
            <w:pPr>
              <w:jc w:val="center"/>
              <w:rPr>
                <w:rFonts w:ascii="Times New Roman" w:hAnsi="Times New Roman" w:eastAsia="宋体" w:cs="Times New Roman"/>
                <w:color w:val="000000"/>
                <w:kern w:val="2"/>
                <w:sz w:val="21"/>
                <w:szCs w:val="24"/>
                <w:lang w:val="en-US" w:eastAsia="zh-CN" w:bidi="ar-SA"/>
              </w:rPr>
            </w:pPr>
            <w:r>
              <w:rPr>
                <w:rFonts w:hint="eastAsia"/>
                <w:szCs w:val="21"/>
                <w:lang w:val="en-US" w:eastAsia="zh-CN"/>
              </w:rPr>
              <w:t>550</w:t>
            </w:r>
            <w:r>
              <w:rPr>
                <w:szCs w:val="21"/>
              </w:rPr>
              <w:t>mg/Nm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rFonts w:ascii="Times New Roman" w:hAnsi="Times New Roman" w:eastAsia="宋体" w:cs="Times New Roman"/>
                <w:color w:val="000000"/>
                <w:kern w:val="2"/>
                <w:sz w:val="21"/>
                <w:szCs w:val="24"/>
                <w:lang w:val="en-US" w:eastAsia="zh-CN" w:bidi="ar-SA"/>
              </w:rPr>
            </w:pPr>
            <w:r>
              <w:rPr>
                <w:szCs w:val="21"/>
              </w:rPr>
              <w:t>NO</w:t>
            </w:r>
            <w:r>
              <w:rPr>
                <w:szCs w:val="21"/>
                <w:vertAlign w:val="subscript"/>
              </w:rPr>
              <w:t>2</w:t>
            </w:r>
          </w:p>
        </w:tc>
        <w:tc>
          <w:tcPr>
            <w:tcW w:w="3314" w:type="dxa"/>
            <w:gridSpan w:val="4"/>
            <w:vAlign w:val="center"/>
          </w:tcPr>
          <w:p>
            <w:pPr>
              <w:jc w:val="center"/>
              <w:rPr>
                <w:rFonts w:ascii="Times New Roman" w:hAnsi="Times New Roman" w:eastAsia="宋体" w:cs="Times New Roman"/>
                <w:color w:val="000000"/>
                <w:kern w:val="2"/>
                <w:sz w:val="21"/>
                <w:szCs w:val="24"/>
                <w:lang w:val="en-US" w:eastAsia="zh-CN" w:bidi="ar-SA"/>
              </w:rPr>
            </w:pPr>
            <w:r>
              <w:rPr>
                <w:rFonts w:hint="eastAsia"/>
                <w:spacing w:val="-4"/>
                <w:szCs w:val="21"/>
                <w:lang w:val="en-US" w:eastAsia="zh-CN"/>
              </w:rPr>
              <w:t>240</w:t>
            </w:r>
            <w:r>
              <w:rPr>
                <w:szCs w:val="21"/>
              </w:rPr>
              <w:t>mg/Nm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76" w:type="dxa"/>
            <w:vMerge w:val="continue"/>
            <w:vAlign w:val="center"/>
          </w:tcPr>
          <w:p>
            <w:pPr>
              <w:jc w:val="center"/>
              <w:rPr>
                <w:color w:val="000000"/>
              </w:rPr>
            </w:pPr>
          </w:p>
        </w:tc>
        <w:tc>
          <w:tcPr>
            <w:tcW w:w="3260" w:type="dxa"/>
            <w:vAlign w:val="center"/>
          </w:tcPr>
          <w:p>
            <w:pPr>
              <w:jc w:val="center"/>
            </w:pPr>
            <w:r>
              <w:t>餐饮业油烟污染物排放标准（DB41/1604-2018）</w:t>
            </w:r>
          </w:p>
        </w:tc>
        <w:tc>
          <w:tcPr>
            <w:tcW w:w="1705" w:type="dxa"/>
            <w:vAlign w:val="center"/>
          </w:tcPr>
          <w:p>
            <w:pPr>
              <w:jc w:val="center"/>
            </w:pPr>
            <w:r>
              <w:t>食堂油烟</w:t>
            </w:r>
          </w:p>
        </w:tc>
        <w:tc>
          <w:tcPr>
            <w:tcW w:w="3314" w:type="dxa"/>
            <w:gridSpan w:val="4"/>
            <w:vAlign w:val="center"/>
          </w:tcPr>
          <w:p>
            <w:pPr>
              <w:jc w:val="center"/>
            </w:pPr>
            <w:r>
              <w:t>小型  1.5 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6" w:type="dxa"/>
            <w:vMerge w:val="restart"/>
            <w:vAlign w:val="center"/>
          </w:tcPr>
          <w:p>
            <w:pPr>
              <w:jc w:val="center"/>
              <w:rPr>
                <w:color w:val="000000"/>
              </w:rPr>
            </w:pPr>
            <w:r>
              <w:rPr>
                <w:color w:val="000000"/>
              </w:rPr>
              <w:t>噪声</w:t>
            </w:r>
          </w:p>
        </w:tc>
        <w:tc>
          <w:tcPr>
            <w:tcW w:w="3260" w:type="dxa"/>
            <w:vMerge w:val="restart"/>
            <w:vAlign w:val="center"/>
          </w:tcPr>
          <w:p>
            <w:pPr>
              <w:jc w:val="center"/>
              <w:rPr>
                <w:color w:val="000000"/>
              </w:rPr>
            </w:pPr>
            <w:r>
              <w:rPr>
                <w:color w:val="000000"/>
              </w:rPr>
              <w:t>《建筑施工场界环境噪声排放标准》（GB12523-2011）</w:t>
            </w:r>
          </w:p>
        </w:tc>
        <w:tc>
          <w:tcPr>
            <w:tcW w:w="1705" w:type="dxa"/>
            <w:vMerge w:val="restart"/>
            <w:vAlign w:val="center"/>
          </w:tcPr>
          <w:p>
            <w:pPr>
              <w:jc w:val="center"/>
              <w:rPr>
                <w:color w:val="000000"/>
              </w:rPr>
            </w:pPr>
            <w:r>
              <w:rPr>
                <w:color w:val="000000"/>
              </w:rPr>
              <w:t>噪声dB（A）</w:t>
            </w:r>
          </w:p>
        </w:tc>
        <w:tc>
          <w:tcPr>
            <w:tcW w:w="1080" w:type="dxa"/>
            <w:vAlign w:val="center"/>
          </w:tcPr>
          <w:p>
            <w:pPr>
              <w:jc w:val="center"/>
              <w:rPr>
                <w:color w:val="000000"/>
              </w:rPr>
            </w:pPr>
            <w:r>
              <w:rPr>
                <w:color w:val="000000"/>
              </w:rPr>
              <w:t>昼间</w:t>
            </w:r>
          </w:p>
        </w:tc>
        <w:tc>
          <w:tcPr>
            <w:tcW w:w="2234" w:type="dxa"/>
            <w:gridSpan w:val="3"/>
            <w:vAlign w:val="center"/>
          </w:tcPr>
          <w:p>
            <w:pPr>
              <w:jc w:val="center"/>
              <w:rPr>
                <w:color w:val="000000"/>
              </w:rPr>
            </w:pPr>
            <w:r>
              <w:rPr>
                <w:color w:val="000000"/>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Merge w:val="continue"/>
            <w:vAlign w:val="center"/>
          </w:tcPr>
          <w:p>
            <w:pPr>
              <w:jc w:val="center"/>
              <w:rPr>
                <w:color w:val="000000"/>
              </w:rPr>
            </w:pPr>
          </w:p>
        </w:tc>
        <w:tc>
          <w:tcPr>
            <w:tcW w:w="1080" w:type="dxa"/>
            <w:vAlign w:val="center"/>
          </w:tcPr>
          <w:p>
            <w:pPr>
              <w:jc w:val="center"/>
              <w:rPr>
                <w:color w:val="000000"/>
              </w:rPr>
            </w:pPr>
            <w:r>
              <w:rPr>
                <w:color w:val="000000"/>
              </w:rPr>
              <w:t>夜间</w:t>
            </w:r>
          </w:p>
        </w:tc>
        <w:tc>
          <w:tcPr>
            <w:tcW w:w="2234" w:type="dxa"/>
            <w:gridSpan w:val="3"/>
            <w:vAlign w:val="center"/>
          </w:tcPr>
          <w:p>
            <w:pPr>
              <w:jc w:val="center"/>
              <w:rPr>
                <w:color w:val="000000"/>
              </w:rPr>
            </w:pPr>
            <w:r>
              <w:rPr>
                <w:color w:val="00000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76" w:type="dxa"/>
            <w:vMerge w:val="continue"/>
            <w:vAlign w:val="center"/>
          </w:tcPr>
          <w:p>
            <w:pPr>
              <w:jc w:val="center"/>
              <w:rPr>
                <w:color w:val="000000"/>
              </w:rPr>
            </w:pPr>
          </w:p>
        </w:tc>
        <w:tc>
          <w:tcPr>
            <w:tcW w:w="3260" w:type="dxa"/>
            <w:vMerge w:val="restart"/>
            <w:vAlign w:val="center"/>
          </w:tcPr>
          <w:p>
            <w:pPr>
              <w:jc w:val="center"/>
              <w:rPr>
                <w:color w:val="000000"/>
              </w:rPr>
            </w:pPr>
            <w:r>
              <w:rPr>
                <w:color w:val="000000"/>
              </w:rPr>
              <w:t>《工业企业厂界环境噪声排放标准》（GB12348-2008）</w:t>
            </w:r>
          </w:p>
        </w:tc>
        <w:tc>
          <w:tcPr>
            <w:tcW w:w="1705" w:type="dxa"/>
            <w:vMerge w:val="restart"/>
            <w:vAlign w:val="center"/>
          </w:tcPr>
          <w:p>
            <w:pPr>
              <w:jc w:val="center"/>
              <w:rPr>
                <w:color w:val="000000"/>
              </w:rPr>
            </w:pPr>
            <w:r>
              <w:rPr>
                <w:color w:val="000000"/>
              </w:rPr>
              <w:t>噪声dB（A）</w:t>
            </w:r>
          </w:p>
        </w:tc>
        <w:tc>
          <w:tcPr>
            <w:tcW w:w="1080" w:type="dxa"/>
            <w:vAlign w:val="center"/>
          </w:tcPr>
          <w:p>
            <w:pPr>
              <w:jc w:val="center"/>
              <w:rPr>
                <w:color w:val="000000"/>
              </w:rPr>
            </w:pPr>
            <w:r>
              <w:rPr>
                <w:color w:val="000000"/>
              </w:rPr>
              <w:t>功能类别</w:t>
            </w:r>
          </w:p>
        </w:tc>
        <w:tc>
          <w:tcPr>
            <w:tcW w:w="1090" w:type="dxa"/>
            <w:gridSpan w:val="2"/>
            <w:vAlign w:val="center"/>
          </w:tcPr>
          <w:p>
            <w:pPr>
              <w:jc w:val="center"/>
              <w:rPr>
                <w:color w:val="000000"/>
              </w:rPr>
            </w:pPr>
            <w:r>
              <w:rPr>
                <w:color w:val="000000"/>
              </w:rPr>
              <w:t>昼间</w:t>
            </w:r>
          </w:p>
        </w:tc>
        <w:tc>
          <w:tcPr>
            <w:tcW w:w="1144" w:type="dxa"/>
            <w:vAlign w:val="center"/>
          </w:tcPr>
          <w:p>
            <w:pPr>
              <w:jc w:val="center"/>
              <w:rPr>
                <w:color w:val="000000"/>
              </w:rPr>
            </w:pPr>
            <w:r>
              <w:rPr>
                <w:color w:val="00000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Merge w:val="continue"/>
            <w:vAlign w:val="center"/>
          </w:tcPr>
          <w:p>
            <w:pPr>
              <w:jc w:val="center"/>
              <w:rPr>
                <w:color w:val="000000"/>
              </w:rPr>
            </w:pPr>
          </w:p>
        </w:tc>
        <w:tc>
          <w:tcPr>
            <w:tcW w:w="1080" w:type="dxa"/>
            <w:vAlign w:val="center"/>
          </w:tcPr>
          <w:p>
            <w:pPr>
              <w:jc w:val="center"/>
              <w:rPr>
                <w:color w:val="000000"/>
              </w:rPr>
            </w:pPr>
            <w:r>
              <w:rPr>
                <w:color w:val="000000"/>
              </w:rPr>
              <w:t>2类</w:t>
            </w:r>
          </w:p>
        </w:tc>
        <w:tc>
          <w:tcPr>
            <w:tcW w:w="1090" w:type="dxa"/>
            <w:gridSpan w:val="2"/>
            <w:vAlign w:val="center"/>
          </w:tcPr>
          <w:p>
            <w:pPr>
              <w:jc w:val="center"/>
              <w:rPr>
                <w:color w:val="000000"/>
              </w:rPr>
            </w:pPr>
            <w:r>
              <w:rPr>
                <w:color w:val="000000"/>
              </w:rPr>
              <w:t>60</w:t>
            </w:r>
          </w:p>
        </w:tc>
        <w:tc>
          <w:tcPr>
            <w:tcW w:w="1144" w:type="dxa"/>
            <w:vAlign w:val="center"/>
          </w:tcPr>
          <w:p>
            <w:pPr>
              <w:jc w:val="center"/>
              <w:rPr>
                <w:color w:val="000000"/>
              </w:rPr>
            </w:pPr>
            <w:r>
              <w:rPr>
                <w:color w:val="00000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6" w:type="dxa"/>
            <w:vMerge w:val="restart"/>
            <w:vAlign w:val="center"/>
          </w:tcPr>
          <w:p>
            <w:pPr>
              <w:jc w:val="center"/>
              <w:rPr>
                <w:color w:val="000000"/>
              </w:rPr>
            </w:pPr>
            <w:r>
              <w:rPr>
                <w:color w:val="000000"/>
              </w:rPr>
              <w:t>固废</w:t>
            </w:r>
          </w:p>
        </w:tc>
        <w:tc>
          <w:tcPr>
            <w:tcW w:w="3260" w:type="dxa"/>
            <w:vMerge w:val="restart"/>
            <w:vAlign w:val="center"/>
          </w:tcPr>
          <w:p>
            <w:pPr>
              <w:jc w:val="center"/>
              <w:rPr>
                <w:color w:val="000000"/>
              </w:rPr>
            </w:pPr>
            <w:r>
              <w:rPr>
                <w:color w:val="000000"/>
              </w:rPr>
              <w:t>《畜禽养殖业污染物排放标准》（GB18596-2001）</w:t>
            </w:r>
          </w:p>
        </w:tc>
        <w:tc>
          <w:tcPr>
            <w:tcW w:w="1705" w:type="dxa"/>
            <w:vAlign w:val="center"/>
          </w:tcPr>
          <w:p>
            <w:pPr>
              <w:jc w:val="center"/>
              <w:rPr>
                <w:color w:val="000000"/>
              </w:rPr>
            </w:pPr>
            <w:r>
              <w:rPr>
                <w:color w:val="000000"/>
              </w:rPr>
              <w:t>蛔虫卵</w:t>
            </w:r>
          </w:p>
        </w:tc>
        <w:tc>
          <w:tcPr>
            <w:tcW w:w="3314" w:type="dxa"/>
            <w:gridSpan w:val="4"/>
            <w:vAlign w:val="center"/>
          </w:tcPr>
          <w:p>
            <w:pPr>
              <w:jc w:val="center"/>
              <w:rPr>
                <w:color w:val="000000"/>
              </w:rPr>
            </w:pPr>
            <w:r>
              <w:rPr>
                <w:color w:val="000000"/>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color w:val="000000"/>
              </w:rPr>
            </w:pPr>
            <w:r>
              <w:rPr>
                <w:color w:val="000000"/>
              </w:rPr>
              <w:t>粪大肠菌群数</w:t>
            </w:r>
          </w:p>
        </w:tc>
        <w:tc>
          <w:tcPr>
            <w:tcW w:w="3314" w:type="dxa"/>
            <w:gridSpan w:val="4"/>
            <w:vAlign w:val="center"/>
          </w:tcPr>
          <w:p>
            <w:pPr>
              <w:jc w:val="center"/>
              <w:rPr>
                <w:color w:val="000000"/>
              </w:rPr>
            </w:pPr>
            <w:r>
              <w:rPr>
                <w:color w:val="000000"/>
              </w:rPr>
              <w:t>≤10</w:t>
            </w:r>
            <w:r>
              <w:rPr>
                <w:color w:val="000000"/>
                <w:vertAlign w:val="superscript"/>
              </w:rPr>
              <w:t>5</w:t>
            </w:r>
            <w:r>
              <w:rPr>
                <w:color w:val="000000"/>
              </w:rPr>
              <w:t>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76" w:type="dxa"/>
            <w:vMerge w:val="continue"/>
            <w:vAlign w:val="center"/>
          </w:tcPr>
          <w:p>
            <w:pPr>
              <w:jc w:val="center"/>
              <w:rPr>
                <w:color w:val="000000"/>
              </w:rPr>
            </w:pPr>
          </w:p>
        </w:tc>
        <w:tc>
          <w:tcPr>
            <w:tcW w:w="3260" w:type="dxa"/>
            <w:vAlign w:val="center"/>
          </w:tcPr>
          <w:p>
            <w:pPr>
              <w:jc w:val="center"/>
              <w:rPr>
                <w:color w:val="000000"/>
                <w:highlight w:val="yellow"/>
              </w:rPr>
            </w:pPr>
            <w:r>
              <w:rPr>
                <w:color w:val="000000"/>
              </w:rPr>
              <w:t>《危险废物贮存污染物控制标准》（GB18597-2001）</w:t>
            </w:r>
          </w:p>
        </w:tc>
        <w:tc>
          <w:tcPr>
            <w:tcW w:w="1705" w:type="dxa"/>
            <w:vAlign w:val="center"/>
          </w:tcPr>
          <w:p>
            <w:pPr>
              <w:jc w:val="center"/>
              <w:rPr>
                <w:color w:val="000000"/>
              </w:rPr>
            </w:pPr>
            <w:r>
              <w:rPr>
                <w:color w:val="000000"/>
              </w:rPr>
              <w:t>/</w:t>
            </w:r>
          </w:p>
        </w:tc>
        <w:tc>
          <w:tcPr>
            <w:tcW w:w="3314" w:type="dxa"/>
            <w:gridSpan w:val="4"/>
            <w:vAlign w:val="center"/>
          </w:tcPr>
          <w:p>
            <w:pPr>
              <w:jc w:val="center"/>
              <w:rPr>
                <w:color w:val="000000"/>
              </w:rPr>
            </w:pPr>
            <w:r>
              <w:rPr>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6" w:type="dxa"/>
            <w:vMerge w:val="continue"/>
            <w:vAlign w:val="center"/>
          </w:tcPr>
          <w:p>
            <w:pPr>
              <w:jc w:val="center"/>
              <w:rPr>
                <w:color w:val="000000"/>
              </w:rPr>
            </w:pPr>
          </w:p>
        </w:tc>
        <w:tc>
          <w:tcPr>
            <w:tcW w:w="3260" w:type="dxa"/>
            <w:vAlign w:val="center"/>
          </w:tcPr>
          <w:p>
            <w:pPr>
              <w:jc w:val="center"/>
              <w:rPr>
                <w:color w:val="000000"/>
              </w:rPr>
            </w:pPr>
            <w:r>
              <w:rPr>
                <w:color w:val="000000"/>
              </w:rPr>
              <w:t>《一般工业固体废物贮存处置场污染控制标准》（GB18599-2001）</w:t>
            </w:r>
          </w:p>
        </w:tc>
        <w:tc>
          <w:tcPr>
            <w:tcW w:w="1705" w:type="dxa"/>
            <w:vAlign w:val="center"/>
          </w:tcPr>
          <w:p>
            <w:pPr>
              <w:jc w:val="center"/>
              <w:rPr>
                <w:color w:val="000000"/>
              </w:rPr>
            </w:pPr>
            <w:r>
              <w:rPr>
                <w:color w:val="000000"/>
              </w:rPr>
              <w:t>/</w:t>
            </w:r>
          </w:p>
        </w:tc>
        <w:tc>
          <w:tcPr>
            <w:tcW w:w="3314" w:type="dxa"/>
            <w:gridSpan w:val="4"/>
            <w:vAlign w:val="center"/>
          </w:tcPr>
          <w:p>
            <w:pPr>
              <w:jc w:val="center"/>
              <w:rPr>
                <w:color w:val="000000"/>
              </w:rPr>
            </w:pPr>
            <w:r>
              <w:rPr>
                <w:color w:val="000000"/>
              </w:rPr>
              <w:t>/</w:t>
            </w:r>
          </w:p>
        </w:tc>
      </w:tr>
    </w:tbl>
    <w:p>
      <w:pPr>
        <w:pStyle w:val="5"/>
        <w:spacing w:before="156" w:after="156"/>
        <w:rPr>
          <w:rFonts w:hAnsi="Times New Roman"/>
          <w:color w:val="000000"/>
        </w:rPr>
      </w:pPr>
      <w:bookmarkStart w:id="32" w:name="_Toc16935"/>
      <w:r>
        <w:rPr>
          <w:rFonts w:hAnsi="Times New Roman"/>
          <w:color w:val="000000"/>
        </w:rPr>
        <w:t>1.10 评价等级及评价范围</w:t>
      </w:r>
      <w:bookmarkEnd w:id="32"/>
    </w:p>
    <w:p>
      <w:pPr>
        <w:spacing w:line="600" w:lineRule="exact"/>
        <w:ind w:firstLine="241" w:firstLineChars="100"/>
        <w:outlineLvl w:val="2"/>
        <w:rPr>
          <w:color w:val="000000"/>
          <w:sz w:val="24"/>
          <w:highlight w:val="yellow"/>
        </w:rPr>
      </w:pPr>
      <w:r>
        <w:rPr>
          <w:b/>
          <w:color w:val="000000"/>
          <w:sz w:val="24"/>
          <w:highlight w:val="none"/>
        </w:rPr>
        <w:t>1.10.1 环境空气</w:t>
      </w:r>
    </w:p>
    <w:p>
      <w:pPr>
        <w:spacing w:line="520" w:lineRule="exact"/>
        <w:ind w:firstLine="480" w:firstLineChars="200"/>
        <w:rPr>
          <w:color w:val="FF0000"/>
          <w:sz w:val="24"/>
          <w:lang w:val="en-GB"/>
        </w:rPr>
      </w:pPr>
      <w:r>
        <w:rPr>
          <w:sz w:val="24"/>
        </w:rPr>
        <w:t>项目营运期产生的废气源主要为猪舍、粪污处理区等产生的恶臭（NH</w:t>
      </w:r>
      <w:r>
        <w:rPr>
          <w:sz w:val="24"/>
          <w:vertAlign w:val="subscript"/>
        </w:rPr>
        <w:t>3</w:t>
      </w:r>
      <w:r>
        <w:rPr>
          <w:sz w:val="24"/>
        </w:rPr>
        <w:t>、H</w:t>
      </w:r>
      <w:r>
        <w:rPr>
          <w:sz w:val="24"/>
          <w:vertAlign w:val="subscript"/>
        </w:rPr>
        <w:t>2</w:t>
      </w:r>
      <w:r>
        <w:rPr>
          <w:sz w:val="24"/>
        </w:rPr>
        <w:t>S），根据</w:t>
      </w:r>
      <w:r>
        <w:rPr>
          <w:sz w:val="24"/>
          <w:szCs w:val="28"/>
        </w:rPr>
        <w:t>《环境影响评价技术导则-大气环境》（HJ2.2-2018）</w:t>
      </w:r>
      <w:r>
        <w:rPr>
          <w:sz w:val="24"/>
        </w:rPr>
        <w:t>推荐的AERSCREEN模式计算结果，</w:t>
      </w:r>
      <w:r>
        <w:rPr>
          <w:sz w:val="24"/>
          <w:lang w:val="en-GB"/>
        </w:rPr>
        <w:t>对照《环境影响评价技术导则—大气环境》（HJ2.2-2018）（</w:t>
      </w:r>
      <w:r>
        <w:rPr>
          <w:sz w:val="24"/>
        </w:rPr>
        <w:t>2</w:t>
      </w:r>
      <w:r>
        <w:rPr>
          <w:sz w:val="24"/>
          <w:lang w:val="en-GB"/>
        </w:rPr>
        <w:t>-6）中的规定，确定大气环境影响评价为二级评价。</w:t>
      </w:r>
      <w:r>
        <w:rPr>
          <w:sz w:val="24"/>
        </w:rPr>
        <w:t>根据</w:t>
      </w:r>
      <w:r>
        <w:rPr>
          <w:sz w:val="24"/>
          <w:szCs w:val="28"/>
        </w:rPr>
        <w:t>AERSCREEN</w:t>
      </w:r>
      <w:r>
        <w:rPr>
          <w:sz w:val="24"/>
        </w:rPr>
        <w:t>模式计算得出各污染源占标率</w:t>
      </w:r>
      <w:r>
        <w:rPr>
          <w:color w:val="000000"/>
          <w:sz w:val="24"/>
        </w:rPr>
        <w:t>见表1</w:t>
      </w:r>
      <w:r>
        <w:rPr>
          <w:rFonts w:hint="eastAsia"/>
          <w:color w:val="000000"/>
          <w:sz w:val="24"/>
          <w:lang w:val="en-US" w:eastAsia="zh-CN"/>
        </w:rPr>
        <w:t>.10</w:t>
      </w:r>
      <w:r>
        <w:rPr>
          <w:color w:val="000000"/>
          <w:sz w:val="24"/>
        </w:rPr>
        <w:t>-</w:t>
      </w:r>
      <w:r>
        <w:rPr>
          <w:rFonts w:hint="eastAsia"/>
          <w:color w:val="000000"/>
          <w:sz w:val="24"/>
          <w:lang w:val="en-US" w:eastAsia="zh-CN"/>
        </w:rPr>
        <w:t>1</w:t>
      </w:r>
      <w:r>
        <w:rPr>
          <w:color w:val="000000"/>
          <w:sz w:val="24"/>
        </w:rPr>
        <w:t>。</w:t>
      </w:r>
    </w:p>
    <w:p>
      <w:pPr>
        <w:spacing w:before="156" w:after="156" w:line="500" w:lineRule="exact"/>
        <w:ind w:firstLine="422" w:firstLineChars="200"/>
        <w:jc w:val="center"/>
        <w:rPr>
          <w:b/>
          <w:szCs w:val="21"/>
        </w:rPr>
      </w:pPr>
      <w:r>
        <w:rPr>
          <w:b/>
          <w:szCs w:val="21"/>
        </w:rPr>
        <w:t>表1</w:t>
      </w:r>
      <w:r>
        <w:rPr>
          <w:rFonts w:hint="eastAsia"/>
          <w:b/>
          <w:szCs w:val="21"/>
          <w:lang w:val="en-US" w:eastAsia="zh-CN"/>
        </w:rPr>
        <w:t>.10</w:t>
      </w:r>
      <w:r>
        <w:rPr>
          <w:b/>
          <w:szCs w:val="21"/>
        </w:rPr>
        <w:t>-</w:t>
      </w:r>
      <w:r>
        <w:rPr>
          <w:rFonts w:hint="eastAsia"/>
          <w:b/>
          <w:szCs w:val="21"/>
          <w:lang w:val="en-US" w:eastAsia="zh-CN"/>
        </w:rPr>
        <w:t>1</w:t>
      </w:r>
      <w:r>
        <w:rPr>
          <w:b/>
          <w:szCs w:val="21"/>
        </w:rPr>
        <w:t xml:space="preserve">   评价工作级别表</w:t>
      </w:r>
    </w:p>
    <w:tbl>
      <w:tblPr>
        <w:tblStyle w:val="45"/>
        <w:tblW w:w="87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27"/>
        <w:gridCol w:w="6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427" w:type="dxa"/>
            <w:vAlign w:val="center"/>
          </w:tcPr>
          <w:p>
            <w:pPr>
              <w:spacing w:line="240" w:lineRule="exact"/>
              <w:jc w:val="center"/>
              <w:rPr>
                <w:kern w:val="0"/>
              </w:rPr>
            </w:pPr>
            <w:r>
              <w:rPr>
                <w:kern w:val="0"/>
              </w:rPr>
              <w:t>评价工作等级</w:t>
            </w:r>
          </w:p>
        </w:tc>
        <w:tc>
          <w:tcPr>
            <w:tcW w:w="6353" w:type="dxa"/>
            <w:vAlign w:val="center"/>
          </w:tcPr>
          <w:p>
            <w:pPr>
              <w:spacing w:line="240" w:lineRule="exact"/>
              <w:jc w:val="center"/>
              <w:rPr>
                <w:kern w:val="0"/>
              </w:rPr>
            </w:pPr>
            <w:r>
              <w:rPr>
                <w:kern w:val="0"/>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427" w:type="dxa"/>
            <w:vAlign w:val="center"/>
          </w:tcPr>
          <w:p>
            <w:pPr>
              <w:spacing w:line="240" w:lineRule="exact"/>
              <w:jc w:val="center"/>
              <w:rPr>
                <w:kern w:val="0"/>
              </w:rPr>
            </w:pPr>
            <w:r>
              <w:rPr>
                <w:kern w:val="0"/>
              </w:rPr>
              <w:t>一级</w:t>
            </w:r>
          </w:p>
        </w:tc>
        <w:tc>
          <w:tcPr>
            <w:tcW w:w="6353" w:type="dxa"/>
            <w:vAlign w:val="center"/>
          </w:tcPr>
          <w:p>
            <w:pPr>
              <w:spacing w:line="240" w:lineRule="exact"/>
              <w:jc w:val="center"/>
              <w:rPr>
                <w:kern w:val="0"/>
              </w:rPr>
            </w:pPr>
            <w:r>
              <w:rPr>
                <w:kern w:val="0"/>
              </w:rPr>
              <w:t>P</w:t>
            </w:r>
            <w:r>
              <w:rPr>
                <w:kern w:val="0"/>
                <w:vertAlign w:val="subscript"/>
              </w:rPr>
              <w:t>max</w:t>
            </w:r>
            <w:r>
              <w:rPr>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71" w:hRule="atLeast"/>
          <w:jc w:val="center"/>
        </w:trPr>
        <w:tc>
          <w:tcPr>
            <w:tcW w:w="2427" w:type="dxa"/>
            <w:vAlign w:val="center"/>
          </w:tcPr>
          <w:p>
            <w:pPr>
              <w:spacing w:line="240" w:lineRule="exact"/>
              <w:jc w:val="center"/>
              <w:rPr>
                <w:kern w:val="0"/>
              </w:rPr>
            </w:pPr>
            <w:r>
              <w:rPr>
                <w:kern w:val="0"/>
              </w:rPr>
              <w:t>二级</w:t>
            </w:r>
          </w:p>
        </w:tc>
        <w:tc>
          <w:tcPr>
            <w:tcW w:w="6353" w:type="dxa"/>
            <w:vAlign w:val="center"/>
          </w:tcPr>
          <w:p>
            <w:pPr>
              <w:spacing w:line="240" w:lineRule="exact"/>
              <w:jc w:val="center"/>
              <w:rPr>
                <w:kern w:val="0"/>
              </w:rPr>
            </w:pPr>
            <w:r>
              <w:rPr>
                <w:kern w:val="0"/>
              </w:rPr>
              <w:t>1%≤P</w:t>
            </w:r>
            <w:r>
              <w:rPr>
                <w:kern w:val="0"/>
                <w:vertAlign w:val="subscript"/>
              </w:rPr>
              <w:t xml:space="preserve">max </w:t>
            </w:r>
            <w:r>
              <w:rPr>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2427" w:type="dxa"/>
            <w:vAlign w:val="center"/>
          </w:tcPr>
          <w:p>
            <w:pPr>
              <w:spacing w:line="240" w:lineRule="exact"/>
              <w:jc w:val="center"/>
              <w:rPr>
                <w:kern w:val="0"/>
              </w:rPr>
            </w:pPr>
            <w:r>
              <w:rPr>
                <w:kern w:val="0"/>
              </w:rPr>
              <w:t>三级</w:t>
            </w:r>
          </w:p>
        </w:tc>
        <w:tc>
          <w:tcPr>
            <w:tcW w:w="6353" w:type="dxa"/>
            <w:vAlign w:val="center"/>
          </w:tcPr>
          <w:p>
            <w:pPr>
              <w:spacing w:line="240" w:lineRule="exact"/>
              <w:jc w:val="center"/>
              <w:rPr>
                <w:kern w:val="0"/>
              </w:rPr>
            </w:pPr>
            <w:r>
              <w:rPr>
                <w:kern w:val="0"/>
              </w:rPr>
              <w:t>P</w:t>
            </w:r>
            <w:r>
              <w:rPr>
                <w:kern w:val="0"/>
                <w:vertAlign w:val="subscript"/>
              </w:rPr>
              <w:t>max</w:t>
            </w:r>
            <w:r>
              <w:rPr>
                <w:kern w:val="0"/>
              </w:rPr>
              <w:t>＜1%</w:t>
            </w:r>
          </w:p>
        </w:tc>
      </w:tr>
    </w:tbl>
    <w:p>
      <w:pPr>
        <w:spacing w:before="156" w:after="156" w:line="500" w:lineRule="exact"/>
        <w:ind w:firstLine="480" w:firstLineChars="200"/>
        <w:rPr>
          <w:sz w:val="24"/>
        </w:rPr>
      </w:pPr>
      <w:r>
        <w:rPr>
          <w:sz w:val="24"/>
        </w:rPr>
        <w:t>根据计算得出各污染源占标率见表1</w:t>
      </w:r>
      <w:r>
        <w:rPr>
          <w:rFonts w:hint="eastAsia"/>
          <w:sz w:val="24"/>
          <w:lang w:val="en-US" w:eastAsia="zh-CN"/>
        </w:rPr>
        <w:t>.10</w:t>
      </w:r>
      <w:r>
        <w:rPr>
          <w:sz w:val="24"/>
        </w:rPr>
        <w:t>-</w:t>
      </w:r>
      <w:r>
        <w:rPr>
          <w:rFonts w:hint="eastAsia"/>
          <w:sz w:val="24"/>
          <w:lang w:val="en-US" w:eastAsia="zh-CN"/>
        </w:rPr>
        <w:t>2、1.10-3</w:t>
      </w:r>
      <w:r>
        <w:rPr>
          <w:sz w:val="24"/>
        </w:rPr>
        <w:t>。</w:t>
      </w:r>
    </w:p>
    <w:p>
      <w:pPr>
        <w:spacing w:line="500" w:lineRule="exact"/>
        <w:jc w:val="center"/>
        <w:rPr>
          <w:b/>
          <w:bCs/>
          <w:szCs w:val="21"/>
        </w:rPr>
      </w:pPr>
      <w:r>
        <w:rPr>
          <w:b/>
          <w:bCs/>
          <w:szCs w:val="21"/>
        </w:rPr>
        <w:t>表1</w:t>
      </w:r>
      <w:r>
        <w:rPr>
          <w:rFonts w:hint="eastAsia"/>
          <w:b/>
          <w:bCs/>
          <w:szCs w:val="21"/>
          <w:lang w:val="en-US" w:eastAsia="zh-CN"/>
        </w:rPr>
        <w:t xml:space="preserve">.10-2  </w:t>
      </w:r>
      <w:r>
        <w:rPr>
          <w:b/>
          <w:bCs/>
          <w:szCs w:val="21"/>
        </w:rPr>
        <w:t>点源估算模式参数取值一览表</w:t>
      </w:r>
    </w:p>
    <w:tbl>
      <w:tblPr>
        <w:tblStyle w:val="45"/>
        <w:tblW w:w="87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73"/>
        <w:gridCol w:w="1049"/>
        <w:gridCol w:w="751"/>
        <w:gridCol w:w="899"/>
        <w:gridCol w:w="1048"/>
        <w:gridCol w:w="1051"/>
        <w:gridCol w:w="563"/>
        <w:gridCol w:w="706"/>
        <w:gridCol w:w="677"/>
        <w:gridCol w:w="1016"/>
        <w:gridCol w:w="5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54" w:hRule="atLeast"/>
          <w:tblHeader/>
          <w:jc w:val="center"/>
        </w:trPr>
        <w:tc>
          <w:tcPr>
            <w:tcW w:w="473" w:type="dxa"/>
            <w:vMerge w:val="restart"/>
            <w:tcMar>
              <w:left w:w="28" w:type="dxa"/>
              <w:right w:w="28" w:type="dxa"/>
            </w:tcMar>
            <w:vAlign w:val="center"/>
          </w:tcPr>
          <w:p>
            <w:pPr>
              <w:jc w:val="center"/>
              <w:rPr>
                <w:b/>
                <w:sz w:val="18"/>
                <w:szCs w:val="18"/>
              </w:rPr>
            </w:pPr>
            <w:r>
              <w:rPr>
                <w:b/>
                <w:sz w:val="18"/>
                <w:szCs w:val="18"/>
              </w:rPr>
              <w:t>点源</w:t>
            </w:r>
          </w:p>
        </w:tc>
        <w:tc>
          <w:tcPr>
            <w:tcW w:w="1049" w:type="dxa"/>
            <w:tcMar>
              <w:left w:w="28" w:type="dxa"/>
              <w:right w:w="28" w:type="dxa"/>
            </w:tcMar>
            <w:vAlign w:val="center"/>
          </w:tcPr>
          <w:p>
            <w:pPr>
              <w:jc w:val="center"/>
              <w:rPr>
                <w:b/>
                <w:sz w:val="18"/>
                <w:szCs w:val="18"/>
              </w:rPr>
            </w:pPr>
            <w:r>
              <w:rPr>
                <w:b/>
                <w:sz w:val="18"/>
                <w:szCs w:val="18"/>
              </w:rPr>
              <w:t>污染源名称</w:t>
            </w:r>
          </w:p>
        </w:tc>
        <w:tc>
          <w:tcPr>
            <w:tcW w:w="751" w:type="dxa"/>
            <w:tcMar>
              <w:left w:w="28" w:type="dxa"/>
              <w:right w:w="28" w:type="dxa"/>
            </w:tcMar>
            <w:vAlign w:val="center"/>
          </w:tcPr>
          <w:p>
            <w:pPr>
              <w:jc w:val="center"/>
              <w:rPr>
                <w:b/>
                <w:sz w:val="18"/>
                <w:szCs w:val="18"/>
              </w:rPr>
            </w:pPr>
            <w:r>
              <w:rPr>
                <w:b/>
                <w:sz w:val="18"/>
                <w:szCs w:val="18"/>
              </w:rPr>
              <w:t>污染物</w:t>
            </w:r>
          </w:p>
        </w:tc>
        <w:tc>
          <w:tcPr>
            <w:tcW w:w="899" w:type="dxa"/>
            <w:tcMar>
              <w:left w:w="28" w:type="dxa"/>
              <w:right w:w="28" w:type="dxa"/>
            </w:tcMar>
            <w:vAlign w:val="center"/>
          </w:tcPr>
          <w:p>
            <w:pPr>
              <w:jc w:val="center"/>
              <w:rPr>
                <w:b/>
                <w:sz w:val="18"/>
                <w:szCs w:val="18"/>
              </w:rPr>
            </w:pPr>
            <w:r>
              <w:rPr>
                <w:b/>
                <w:sz w:val="18"/>
                <w:szCs w:val="18"/>
              </w:rPr>
              <w:t>排放速率t/a</w:t>
            </w:r>
          </w:p>
        </w:tc>
        <w:tc>
          <w:tcPr>
            <w:tcW w:w="1048" w:type="dxa"/>
            <w:vAlign w:val="center"/>
          </w:tcPr>
          <w:p>
            <w:pPr>
              <w:jc w:val="center"/>
              <w:rPr>
                <w:b/>
                <w:sz w:val="18"/>
                <w:szCs w:val="18"/>
              </w:rPr>
            </w:pPr>
            <w:r>
              <w:rPr>
                <w:b/>
                <w:sz w:val="18"/>
                <w:szCs w:val="18"/>
              </w:rPr>
              <w:t>烟囱几何高度m</w:t>
            </w:r>
          </w:p>
        </w:tc>
        <w:tc>
          <w:tcPr>
            <w:tcW w:w="1051" w:type="dxa"/>
            <w:vAlign w:val="center"/>
          </w:tcPr>
          <w:p>
            <w:pPr>
              <w:jc w:val="center"/>
              <w:rPr>
                <w:b/>
                <w:sz w:val="18"/>
                <w:szCs w:val="18"/>
              </w:rPr>
            </w:pPr>
            <w:r>
              <w:rPr>
                <w:b/>
                <w:sz w:val="18"/>
                <w:szCs w:val="18"/>
              </w:rPr>
              <w:t>烟囱出口</w:t>
            </w:r>
          </w:p>
          <w:p>
            <w:pPr>
              <w:jc w:val="center"/>
              <w:rPr>
                <w:b/>
                <w:sz w:val="18"/>
                <w:szCs w:val="18"/>
              </w:rPr>
            </w:pPr>
            <w:r>
              <w:rPr>
                <w:b/>
                <w:sz w:val="18"/>
                <w:szCs w:val="18"/>
              </w:rPr>
              <w:t>内径m</w:t>
            </w:r>
          </w:p>
        </w:tc>
        <w:tc>
          <w:tcPr>
            <w:tcW w:w="563" w:type="dxa"/>
            <w:vAlign w:val="center"/>
          </w:tcPr>
          <w:p>
            <w:pPr>
              <w:jc w:val="center"/>
              <w:rPr>
                <w:b/>
                <w:sz w:val="18"/>
                <w:szCs w:val="18"/>
              </w:rPr>
            </w:pPr>
            <w:r>
              <w:rPr>
                <w:b/>
                <w:sz w:val="18"/>
                <w:szCs w:val="18"/>
              </w:rPr>
              <w:t>烟气</w:t>
            </w:r>
          </w:p>
          <w:p>
            <w:pPr>
              <w:jc w:val="center"/>
              <w:rPr>
                <w:b/>
                <w:sz w:val="18"/>
                <w:szCs w:val="18"/>
              </w:rPr>
            </w:pPr>
            <w:r>
              <w:rPr>
                <w:b/>
                <w:sz w:val="18"/>
                <w:szCs w:val="18"/>
              </w:rPr>
              <w:t>温度</w:t>
            </w:r>
          </w:p>
          <w:p>
            <w:pPr>
              <w:jc w:val="center"/>
              <w:rPr>
                <w:b/>
                <w:sz w:val="18"/>
                <w:szCs w:val="18"/>
              </w:rPr>
            </w:pPr>
            <w:r>
              <w:rPr>
                <w:rFonts w:hint="eastAsia" w:ascii="宋体" w:hAnsi="宋体" w:cs="宋体"/>
                <w:b/>
                <w:sz w:val="18"/>
                <w:szCs w:val="18"/>
              </w:rPr>
              <w:t>℃</w:t>
            </w:r>
          </w:p>
        </w:tc>
        <w:tc>
          <w:tcPr>
            <w:tcW w:w="706" w:type="dxa"/>
            <w:vAlign w:val="center"/>
          </w:tcPr>
          <w:p>
            <w:pPr>
              <w:jc w:val="center"/>
              <w:rPr>
                <w:b/>
                <w:sz w:val="18"/>
                <w:szCs w:val="18"/>
              </w:rPr>
            </w:pPr>
            <w:r>
              <w:rPr>
                <w:b/>
                <w:sz w:val="18"/>
                <w:szCs w:val="18"/>
              </w:rPr>
              <w:t>环境</w:t>
            </w:r>
          </w:p>
          <w:p>
            <w:pPr>
              <w:jc w:val="center"/>
              <w:rPr>
                <w:b/>
                <w:sz w:val="18"/>
                <w:szCs w:val="18"/>
              </w:rPr>
            </w:pPr>
            <w:r>
              <w:rPr>
                <w:b/>
                <w:sz w:val="18"/>
                <w:szCs w:val="18"/>
              </w:rPr>
              <w:t>温度</w:t>
            </w:r>
          </w:p>
          <w:p>
            <w:pPr>
              <w:jc w:val="center"/>
              <w:rPr>
                <w:b/>
                <w:sz w:val="18"/>
                <w:szCs w:val="18"/>
              </w:rPr>
            </w:pPr>
            <w:r>
              <w:rPr>
                <w:rFonts w:hint="eastAsia" w:ascii="宋体" w:hAnsi="宋体" w:cs="宋体"/>
                <w:b/>
                <w:sz w:val="18"/>
                <w:szCs w:val="18"/>
              </w:rPr>
              <w:t>℃</w:t>
            </w:r>
          </w:p>
        </w:tc>
        <w:tc>
          <w:tcPr>
            <w:tcW w:w="677" w:type="dxa"/>
            <w:vAlign w:val="center"/>
          </w:tcPr>
          <w:p>
            <w:pPr>
              <w:jc w:val="center"/>
              <w:rPr>
                <w:b/>
                <w:sz w:val="18"/>
                <w:szCs w:val="18"/>
              </w:rPr>
            </w:pPr>
            <w:r>
              <w:rPr>
                <w:b/>
                <w:sz w:val="18"/>
                <w:szCs w:val="18"/>
              </w:rPr>
              <w:t>城市/乡村</w:t>
            </w:r>
          </w:p>
          <w:p>
            <w:pPr>
              <w:jc w:val="center"/>
              <w:rPr>
                <w:b/>
                <w:sz w:val="18"/>
                <w:szCs w:val="18"/>
              </w:rPr>
            </w:pPr>
            <w:r>
              <w:rPr>
                <w:b/>
                <w:sz w:val="18"/>
                <w:szCs w:val="18"/>
              </w:rPr>
              <w:t>选项</w:t>
            </w:r>
          </w:p>
        </w:tc>
        <w:tc>
          <w:tcPr>
            <w:tcW w:w="1016" w:type="dxa"/>
            <w:vAlign w:val="center"/>
          </w:tcPr>
          <w:p>
            <w:pPr>
              <w:jc w:val="center"/>
              <w:rPr>
                <w:b/>
                <w:sz w:val="18"/>
                <w:szCs w:val="18"/>
              </w:rPr>
            </w:pPr>
            <w:r>
              <w:rPr>
                <w:b/>
                <w:sz w:val="18"/>
                <w:szCs w:val="18"/>
              </w:rPr>
              <w:t>评价标准mg/m</w:t>
            </w:r>
            <w:r>
              <w:rPr>
                <w:b/>
                <w:sz w:val="18"/>
                <w:szCs w:val="18"/>
                <w:vertAlign w:val="superscript"/>
              </w:rPr>
              <w:t>3</w:t>
            </w:r>
          </w:p>
        </w:tc>
        <w:tc>
          <w:tcPr>
            <w:tcW w:w="542" w:type="dxa"/>
            <w:vAlign w:val="center"/>
          </w:tcPr>
          <w:p>
            <w:pPr>
              <w:jc w:val="center"/>
              <w:rPr>
                <w:b/>
                <w:sz w:val="18"/>
                <w:szCs w:val="18"/>
              </w:rPr>
            </w:pPr>
            <w:r>
              <w:rPr>
                <w:b/>
                <w:sz w:val="18"/>
                <w:szCs w:val="18"/>
              </w:rPr>
              <w:t>Pmax</w:t>
            </w:r>
          </w:p>
          <w:p>
            <w:pPr>
              <w:jc w:val="center"/>
              <w:rPr>
                <w:b/>
                <w:sz w:val="18"/>
                <w:szCs w:val="18"/>
              </w:rPr>
            </w:pPr>
            <w:r>
              <w:rPr>
                <w:b/>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473" w:type="dxa"/>
            <w:vMerge w:val="continue"/>
            <w:tcMar>
              <w:left w:w="28" w:type="dxa"/>
              <w:right w:w="28" w:type="dxa"/>
            </w:tcMar>
            <w:vAlign w:val="center"/>
          </w:tcPr>
          <w:p>
            <w:pPr>
              <w:jc w:val="center"/>
              <w:rPr>
                <w:b/>
                <w:sz w:val="18"/>
                <w:szCs w:val="18"/>
              </w:rPr>
            </w:pPr>
          </w:p>
        </w:tc>
        <w:tc>
          <w:tcPr>
            <w:tcW w:w="1049" w:type="dxa"/>
            <w:vMerge w:val="restart"/>
            <w:vAlign w:val="center"/>
          </w:tcPr>
          <w:p>
            <w:pPr>
              <w:jc w:val="center"/>
              <w:rPr>
                <w:rFonts w:hint="default" w:eastAsia="宋体"/>
                <w:b/>
                <w:sz w:val="18"/>
                <w:szCs w:val="18"/>
                <w:lang w:val="en-US" w:eastAsia="zh-CN"/>
              </w:rPr>
            </w:pPr>
            <w:r>
              <w:rPr>
                <w:b/>
                <w:sz w:val="18"/>
                <w:szCs w:val="18"/>
              </w:rPr>
              <w:t>沼气</w:t>
            </w:r>
            <w:r>
              <w:rPr>
                <w:rFonts w:hint="eastAsia"/>
                <w:b/>
                <w:sz w:val="18"/>
                <w:szCs w:val="18"/>
                <w:lang w:val="en-US" w:eastAsia="zh-CN"/>
              </w:rPr>
              <w:t>燃烧</w:t>
            </w:r>
          </w:p>
        </w:tc>
        <w:tc>
          <w:tcPr>
            <w:tcW w:w="751" w:type="dxa"/>
            <w:vAlign w:val="center"/>
          </w:tcPr>
          <w:p>
            <w:pPr>
              <w:jc w:val="center"/>
              <w:rPr>
                <w:sz w:val="18"/>
                <w:szCs w:val="18"/>
              </w:rPr>
            </w:pPr>
            <w:r>
              <w:rPr>
                <w:sz w:val="18"/>
                <w:szCs w:val="18"/>
              </w:rPr>
              <w:t>SO</w:t>
            </w:r>
            <w:r>
              <w:rPr>
                <w:sz w:val="18"/>
                <w:szCs w:val="18"/>
                <w:vertAlign w:val="subscript"/>
              </w:rPr>
              <w:t>2</w:t>
            </w:r>
          </w:p>
        </w:tc>
        <w:tc>
          <w:tcPr>
            <w:tcW w:w="899" w:type="dxa"/>
            <w:tcMar>
              <w:left w:w="28" w:type="dxa"/>
              <w:right w:w="28" w:type="dxa"/>
            </w:tcMar>
            <w:vAlign w:val="center"/>
          </w:tcPr>
          <w:p>
            <w:pPr>
              <w:jc w:val="center"/>
              <w:rPr>
                <w:rFonts w:hint="default" w:eastAsia="宋体"/>
                <w:sz w:val="18"/>
                <w:szCs w:val="18"/>
                <w:lang w:val="en-US" w:eastAsia="zh-CN"/>
              </w:rPr>
            </w:pPr>
            <w:r>
              <w:rPr>
                <w:sz w:val="18"/>
                <w:szCs w:val="18"/>
              </w:rPr>
              <w:t>0.00</w:t>
            </w:r>
            <w:r>
              <w:rPr>
                <w:rFonts w:hint="eastAsia"/>
                <w:sz w:val="18"/>
                <w:szCs w:val="18"/>
                <w:lang w:val="en-US" w:eastAsia="zh-CN"/>
              </w:rPr>
              <w:t>07</w:t>
            </w:r>
          </w:p>
        </w:tc>
        <w:tc>
          <w:tcPr>
            <w:tcW w:w="1048" w:type="dxa"/>
            <w:vMerge w:val="restart"/>
            <w:vAlign w:val="center"/>
          </w:tcPr>
          <w:p>
            <w:pPr>
              <w:jc w:val="center"/>
              <w:rPr>
                <w:sz w:val="18"/>
                <w:szCs w:val="18"/>
              </w:rPr>
            </w:pPr>
            <w:r>
              <w:rPr>
                <w:sz w:val="18"/>
                <w:szCs w:val="18"/>
              </w:rPr>
              <w:t>8</w:t>
            </w:r>
          </w:p>
        </w:tc>
        <w:tc>
          <w:tcPr>
            <w:tcW w:w="1051" w:type="dxa"/>
            <w:vMerge w:val="restart"/>
            <w:vAlign w:val="center"/>
          </w:tcPr>
          <w:p>
            <w:pPr>
              <w:jc w:val="center"/>
              <w:rPr>
                <w:sz w:val="18"/>
                <w:szCs w:val="18"/>
              </w:rPr>
            </w:pPr>
            <w:r>
              <w:rPr>
                <w:sz w:val="18"/>
                <w:szCs w:val="18"/>
              </w:rPr>
              <w:t>0.06</w:t>
            </w:r>
          </w:p>
        </w:tc>
        <w:tc>
          <w:tcPr>
            <w:tcW w:w="563" w:type="dxa"/>
            <w:vMerge w:val="restart"/>
            <w:vAlign w:val="center"/>
          </w:tcPr>
          <w:p>
            <w:pPr>
              <w:jc w:val="center"/>
              <w:rPr>
                <w:sz w:val="18"/>
                <w:szCs w:val="18"/>
              </w:rPr>
            </w:pPr>
            <w:r>
              <w:rPr>
                <w:sz w:val="18"/>
                <w:szCs w:val="18"/>
              </w:rPr>
              <w:t>100</w:t>
            </w:r>
          </w:p>
        </w:tc>
        <w:tc>
          <w:tcPr>
            <w:tcW w:w="706" w:type="dxa"/>
            <w:vMerge w:val="restart"/>
            <w:vAlign w:val="center"/>
          </w:tcPr>
          <w:p>
            <w:pPr>
              <w:jc w:val="center"/>
              <w:rPr>
                <w:sz w:val="18"/>
                <w:szCs w:val="18"/>
              </w:rPr>
            </w:pPr>
            <w:r>
              <w:rPr>
                <w:sz w:val="18"/>
                <w:szCs w:val="18"/>
              </w:rPr>
              <w:t>2</w:t>
            </w:r>
          </w:p>
        </w:tc>
        <w:tc>
          <w:tcPr>
            <w:tcW w:w="677" w:type="dxa"/>
            <w:vMerge w:val="restart"/>
            <w:vAlign w:val="center"/>
          </w:tcPr>
          <w:p>
            <w:pPr>
              <w:jc w:val="center"/>
              <w:rPr>
                <w:sz w:val="18"/>
                <w:szCs w:val="18"/>
              </w:rPr>
            </w:pPr>
            <w:r>
              <w:rPr>
                <w:sz w:val="18"/>
                <w:szCs w:val="18"/>
              </w:rPr>
              <w:t>农村</w:t>
            </w:r>
          </w:p>
        </w:tc>
        <w:tc>
          <w:tcPr>
            <w:tcW w:w="1016" w:type="dxa"/>
            <w:vAlign w:val="center"/>
          </w:tcPr>
          <w:p>
            <w:pPr>
              <w:jc w:val="center"/>
              <w:rPr>
                <w:sz w:val="18"/>
                <w:szCs w:val="18"/>
              </w:rPr>
            </w:pPr>
            <w:r>
              <w:rPr>
                <w:sz w:val="18"/>
                <w:szCs w:val="18"/>
              </w:rPr>
              <w:t>0.5</w:t>
            </w:r>
          </w:p>
        </w:tc>
        <w:tc>
          <w:tcPr>
            <w:tcW w:w="542" w:type="dxa"/>
            <w:vAlign w:val="center"/>
          </w:tcPr>
          <w:p>
            <w:pPr>
              <w:spacing w:line="280" w:lineRule="exact"/>
              <w:jc w:val="center"/>
              <w:rPr>
                <w:rFonts w:hint="eastAsia" w:eastAsia="宋体"/>
                <w:sz w:val="18"/>
                <w:szCs w:val="18"/>
                <w:lang w:eastAsia="zh-CN"/>
              </w:rPr>
            </w:pPr>
            <w:r>
              <w:rPr>
                <w:sz w:val="18"/>
                <w:szCs w:val="18"/>
              </w:rPr>
              <w:t>0.0</w:t>
            </w:r>
            <w:r>
              <w:rPr>
                <w:rFonts w:hint="eastAsia"/>
                <w:sz w:val="18"/>
                <w:szCs w:val="18"/>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473" w:type="dxa"/>
            <w:vMerge w:val="continue"/>
            <w:tcMar>
              <w:left w:w="28" w:type="dxa"/>
              <w:right w:w="28" w:type="dxa"/>
            </w:tcMar>
            <w:vAlign w:val="center"/>
          </w:tcPr>
          <w:p>
            <w:pPr>
              <w:jc w:val="center"/>
              <w:rPr>
                <w:b/>
                <w:sz w:val="18"/>
                <w:szCs w:val="18"/>
              </w:rPr>
            </w:pPr>
          </w:p>
        </w:tc>
        <w:tc>
          <w:tcPr>
            <w:tcW w:w="1049" w:type="dxa"/>
            <w:vMerge w:val="continue"/>
            <w:vAlign w:val="center"/>
          </w:tcPr>
          <w:p>
            <w:pPr>
              <w:jc w:val="center"/>
              <w:rPr>
                <w:b/>
                <w:sz w:val="18"/>
                <w:szCs w:val="18"/>
              </w:rPr>
            </w:pPr>
          </w:p>
        </w:tc>
        <w:tc>
          <w:tcPr>
            <w:tcW w:w="751" w:type="dxa"/>
            <w:vAlign w:val="center"/>
          </w:tcPr>
          <w:p>
            <w:pPr>
              <w:jc w:val="center"/>
              <w:rPr>
                <w:sz w:val="18"/>
                <w:szCs w:val="18"/>
              </w:rPr>
            </w:pPr>
            <w:r>
              <w:rPr>
                <w:sz w:val="18"/>
                <w:szCs w:val="18"/>
              </w:rPr>
              <w:t>NO</w:t>
            </w:r>
            <w:r>
              <w:rPr>
                <w:sz w:val="18"/>
                <w:szCs w:val="18"/>
                <w:vertAlign w:val="subscript"/>
              </w:rPr>
              <w:t>2</w:t>
            </w:r>
          </w:p>
        </w:tc>
        <w:tc>
          <w:tcPr>
            <w:tcW w:w="899" w:type="dxa"/>
            <w:tcMar>
              <w:left w:w="28" w:type="dxa"/>
              <w:right w:w="28" w:type="dxa"/>
            </w:tcMar>
            <w:vAlign w:val="center"/>
          </w:tcPr>
          <w:p>
            <w:pPr>
              <w:jc w:val="center"/>
              <w:rPr>
                <w:rFonts w:hint="default" w:eastAsia="宋体"/>
                <w:sz w:val="18"/>
                <w:szCs w:val="18"/>
                <w:lang w:val="en-US" w:eastAsia="zh-CN"/>
              </w:rPr>
            </w:pPr>
            <w:r>
              <w:rPr>
                <w:sz w:val="18"/>
                <w:szCs w:val="18"/>
              </w:rPr>
              <w:t>0.0</w:t>
            </w:r>
            <w:r>
              <w:rPr>
                <w:rFonts w:hint="eastAsia"/>
                <w:sz w:val="18"/>
                <w:szCs w:val="18"/>
                <w:lang w:val="en-US" w:eastAsia="zh-CN"/>
              </w:rPr>
              <w:t>26</w:t>
            </w:r>
          </w:p>
        </w:tc>
        <w:tc>
          <w:tcPr>
            <w:tcW w:w="1048" w:type="dxa"/>
            <w:vMerge w:val="continue"/>
            <w:vAlign w:val="center"/>
          </w:tcPr>
          <w:p>
            <w:pPr>
              <w:jc w:val="center"/>
              <w:rPr>
                <w:sz w:val="18"/>
                <w:szCs w:val="18"/>
              </w:rPr>
            </w:pPr>
          </w:p>
        </w:tc>
        <w:tc>
          <w:tcPr>
            <w:tcW w:w="1051" w:type="dxa"/>
            <w:vMerge w:val="continue"/>
            <w:vAlign w:val="center"/>
          </w:tcPr>
          <w:p>
            <w:pPr>
              <w:jc w:val="center"/>
              <w:rPr>
                <w:sz w:val="18"/>
                <w:szCs w:val="18"/>
              </w:rPr>
            </w:pPr>
          </w:p>
        </w:tc>
        <w:tc>
          <w:tcPr>
            <w:tcW w:w="563" w:type="dxa"/>
            <w:vMerge w:val="continue"/>
            <w:vAlign w:val="center"/>
          </w:tcPr>
          <w:p>
            <w:pPr>
              <w:jc w:val="center"/>
              <w:rPr>
                <w:sz w:val="18"/>
                <w:szCs w:val="18"/>
              </w:rPr>
            </w:pPr>
          </w:p>
        </w:tc>
        <w:tc>
          <w:tcPr>
            <w:tcW w:w="706" w:type="dxa"/>
            <w:vMerge w:val="continue"/>
            <w:vAlign w:val="center"/>
          </w:tcPr>
          <w:p>
            <w:pPr>
              <w:jc w:val="center"/>
              <w:rPr>
                <w:sz w:val="18"/>
                <w:szCs w:val="18"/>
              </w:rPr>
            </w:pPr>
          </w:p>
        </w:tc>
        <w:tc>
          <w:tcPr>
            <w:tcW w:w="677" w:type="dxa"/>
            <w:vMerge w:val="continue"/>
            <w:vAlign w:val="center"/>
          </w:tcPr>
          <w:p>
            <w:pPr>
              <w:jc w:val="center"/>
              <w:rPr>
                <w:sz w:val="18"/>
                <w:szCs w:val="18"/>
              </w:rPr>
            </w:pPr>
          </w:p>
        </w:tc>
        <w:tc>
          <w:tcPr>
            <w:tcW w:w="1016" w:type="dxa"/>
            <w:vAlign w:val="center"/>
          </w:tcPr>
          <w:p>
            <w:pPr>
              <w:jc w:val="center"/>
              <w:rPr>
                <w:sz w:val="18"/>
                <w:szCs w:val="18"/>
              </w:rPr>
            </w:pPr>
            <w:r>
              <w:rPr>
                <w:sz w:val="18"/>
                <w:szCs w:val="18"/>
              </w:rPr>
              <w:t>2</w:t>
            </w:r>
          </w:p>
        </w:tc>
        <w:tc>
          <w:tcPr>
            <w:tcW w:w="542" w:type="dxa"/>
            <w:vAlign w:val="center"/>
          </w:tcPr>
          <w:p>
            <w:pPr>
              <w:spacing w:line="280" w:lineRule="exact"/>
              <w:jc w:val="center"/>
              <w:rPr>
                <w:rFonts w:hint="default" w:eastAsia="宋体"/>
                <w:sz w:val="18"/>
                <w:szCs w:val="18"/>
                <w:lang w:val="en-US" w:eastAsia="zh-CN"/>
              </w:rPr>
            </w:pPr>
            <w:r>
              <w:rPr>
                <w:rFonts w:hint="eastAsia"/>
                <w:sz w:val="18"/>
                <w:szCs w:val="18"/>
                <w:lang w:val="en-US" w:eastAsia="zh-CN"/>
              </w:rPr>
              <w:t>0.09</w:t>
            </w:r>
          </w:p>
        </w:tc>
      </w:tr>
    </w:tbl>
    <w:p>
      <w:pPr>
        <w:spacing w:line="500" w:lineRule="exact"/>
        <w:jc w:val="center"/>
        <w:rPr>
          <w:b/>
          <w:sz w:val="24"/>
        </w:rPr>
      </w:pPr>
      <w:r>
        <w:rPr>
          <w:b/>
          <w:bCs/>
          <w:szCs w:val="21"/>
        </w:rPr>
        <w:t>表1</w:t>
      </w:r>
      <w:r>
        <w:rPr>
          <w:rFonts w:hint="eastAsia"/>
          <w:b/>
          <w:bCs/>
          <w:szCs w:val="21"/>
          <w:lang w:val="en-US" w:eastAsia="zh-CN"/>
        </w:rPr>
        <w:t xml:space="preserve">.10-3  </w:t>
      </w:r>
      <w:r>
        <w:rPr>
          <w:b/>
          <w:bCs/>
          <w:szCs w:val="21"/>
        </w:rPr>
        <w:t>面源估算模式参数取值一览表</w:t>
      </w:r>
    </w:p>
    <w:tbl>
      <w:tblPr>
        <w:tblStyle w:val="45"/>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036"/>
        <w:gridCol w:w="700"/>
        <w:gridCol w:w="1115"/>
        <w:gridCol w:w="766"/>
        <w:gridCol w:w="723"/>
        <w:gridCol w:w="723"/>
        <w:gridCol w:w="1158"/>
        <w:gridCol w:w="1013"/>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52" w:type="dxa"/>
            <w:vMerge w:val="restart"/>
            <w:vAlign w:val="center"/>
          </w:tcPr>
          <w:p>
            <w:pPr>
              <w:jc w:val="center"/>
              <w:rPr>
                <w:b/>
                <w:sz w:val="18"/>
                <w:szCs w:val="18"/>
              </w:rPr>
            </w:pPr>
            <w:r>
              <w:rPr>
                <w:b/>
                <w:sz w:val="18"/>
                <w:szCs w:val="18"/>
              </w:rPr>
              <w:t>面源</w:t>
            </w:r>
          </w:p>
        </w:tc>
        <w:tc>
          <w:tcPr>
            <w:tcW w:w="1036" w:type="dxa"/>
            <w:vAlign w:val="center"/>
          </w:tcPr>
          <w:p>
            <w:pPr>
              <w:jc w:val="center"/>
              <w:rPr>
                <w:b/>
                <w:sz w:val="18"/>
                <w:szCs w:val="18"/>
              </w:rPr>
            </w:pPr>
            <w:r>
              <w:rPr>
                <w:b/>
                <w:sz w:val="18"/>
                <w:szCs w:val="18"/>
              </w:rPr>
              <w:t>无组织</w:t>
            </w:r>
          </w:p>
          <w:p>
            <w:pPr>
              <w:jc w:val="center"/>
              <w:rPr>
                <w:b/>
                <w:sz w:val="18"/>
                <w:szCs w:val="18"/>
              </w:rPr>
            </w:pPr>
            <w:r>
              <w:rPr>
                <w:b/>
                <w:sz w:val="18"/>
                <w:szCs w:val="18"/>
              </w:rPr>
              <w:t>排放源</w:t>
            </w:r>
          </w:p>
        </w:tc>
        <w:tc>
          <w:tcPr>
            <w:tcW w:w="700" w:type="dxa"/>
            <w:vAlign w:val="center"/>
          </w:tcPr>
          <w:p>
            <w:pPr>
              <w:jc w:val="center"/>
              <w:rPr>
                <w:b/>
                <w:sz w:val="18"/>
                <w:szCs w:val="18"/>
              </w:rPr>
            </w:pPr>
            <w:r>
              <w:rPr>
                <w:b/>
                <w:sz w:val="18"/>
                <w:szCs w:val="18"/>
              </w:rPr>
              <w:t>主要</w:t>
            </w:r>
          </w:p>
          <w:p>
            <w:pPr>
              <w:jc w:val="center"/>
              <w:rPr>
                <w:b/>
                <w:sz w:val="18"/>
                <w:szCs w:val="18"/>
              </w:rPr>
            </w:pPr>
            <w:r>
              <w:rPr>
                <w:b/>
                <w:sz w:val="18"/>
                <w:szCs w:val="18"/>
              </w:rPr>
              <w:t>污染物</w:t>
            </w:r>
          </w:p>
        </w:tc>
        <w:tc>
          <w:tcPr>
            <w:tcW w:w="1115" w:type="dxa"/>
            <w:vAlign w:val="center"/>
          </w:tcPr>
          <w:p>
            <w:pPr>
              <w:jc w:val="center"/>
              <w:rPr>
                <w:b/>
                <w:sz w:val="18"/>
                <w:szCs w:val="18"/>
              </w:rPr>
            </w:pPr>
            <w:r>
              <w:rPr>
                <w:b/>
                <w:sz w:val="18"/>
                <w:szCs w:val="18"/>
              </w:rPr>
              <w:t>排放强度（t/a）</w:t>
            </w:r>
          </w:p>
        </w:tc>
        <w:tc>
          <w:tcPr>
            <w:tcW w:w="766" w:type="dxa"/>
          </w:tcPr>
          <w:p>
            <w:pPr>
              <w:jc w:val="center"/>
              <w:rPr>
                <w:b/>
                <w:sz w:val="18"/>
                <w:szCs w:val="18"/>
              </w:rPr>
            </w:pPr>
            <w:r>
              <w:rPr>
                <w:b/>
                <w:sz w:val="18"/>
                <w:szCs w:val="18"/>
              </w:rPr>
              <w:t>面源长度</w:t>
            </w:r>
          </w:p>
        </w:tc>
        <w:tc>
          <w:tcPr>
            <w:tcW w:w="723" w:type="dxa"/>
          </w:tcPr>
          <w:p>
            <w:pPr>
              <w:jc w:val="center"/>
              <w:rPr>
                <w:b/>
                <w:sz w:val="18"/>
                <w:szCs w:val="18"/>
              </w:rPr>
            </w:pPr>
            <w:r>
              <w:rPr>
                <w:b/>
                <w:sz w:val="18"/>
                <w:szCs w:val="18"/>
              </w:rPr>
              <w:t>面源宽度</w:t>
            </w:r>
          </w:p>
        </w:tc>
        <w:tc>
          <w:tcPr>
            <w:tcW w:w="723" w:type="dxa"/>
          </w:tcPr>
          <w:p>
            <w:pPr>
              <w:jc w:val="center"/>
              <w:rPr>
                <w:b/>
                <w:sz w:val="18"/>
                <w:szCs w:val="18"/>
              </w:rPr>
            </w:pPr>
            <w:r>
              <w:rPr>
                <w:b/>
                <w:sz w:val="18"/>
                <w:szCs w:val="18"/>
              </w:rPr>
              <w:t>排放 高度</w:t>
            </w:r>
          </w:p>
        </w:tc>
        <w:tc>
          <w:tcPr>
            <w:tcW w:w="1158" w:type="dxa"/>
            <w:vAlign w:val="center"/>
          </w:tcPr>
          <w:p>
            <w:pPr>
              <w:jc w:val="center"/>
              <w:rPr>
                <w:b/>
                <w:sz w:val="18"/>
                <w:szCs w:val="18"/>
              </w:rPr>
            </w:pPr>
            <w:r>
              <w:rPr>
                <w:b/>
                <w:sz w:val="18"/>
                <w:szCs w:val="18"/>
              </w:rPr>
              <w:t>评价标准</w:t>
            </w:r>
          </w:p>
          <w:p>
            <w:pPr>
              <w:jc w:val="center"/>
              <w:rPr>
                <w:b/>
                <w:sz w:val="18"/>
                <w:szCs w:val="18"/>
              </w:rPr>
            </w:pPr>
            <w:r>
              <w:rPr>
                <w:b/>
                <w:sz w:val="18"/>
                <w:szCs w:val="18"/>
              </w:rPr>
              <w:t>mg/m</w:t>
            </w:r>
            <w:r>
              <w:rPr>
                <w:b/>
                <w:sz w:val="18"/>
                <w:szCs w:val="18"/>
                <w:vertAlign w:val="superscript"/>
              </w:rPr>
              <w:t>3</w:t>
            </w:r>
          </w:p>
        </w:tc>
        <w:tc>
          <w:tcPr>
            <w:tcW w:w="1013" w:type="dxa"/>
            <w:vAlign w:val="center"/>
          </w:tcPr>
          <w:p>
            <w:pPr>
              <w:jc w:val="center"/>
              <w:rPr>
                <w:b/>
                <w:sz w:val="18"/>
                <w:szCs w:val="18"/>
              </w:rPr>
            </w:pPr>
            <w:r>
              <w:rPr>
                <w:b/>
                <w:sz w:val="18"/>
                <w:szCs w:val="18"/>
              </w:rPr>
              <w:t>Pmax %</w:t>
            </w:r>
          </w:p>
        </w:tc>
        <w:tc>
          <w:tcPr>
            <w:tcW w:w="1262" w:type="dxa"/>
            <w:vAlign w:val="center"/>
          </w:tcPr>
          <w:p>
            <w:pPr>
              <w:jc w:val="center"/>
              <w:rPr>
                <w:b/>
                <w:sz w:val="18"/>
                <w:szCs w:val="18"/>
              </w:rPr>
            </w:pPr>
            <w:r>
              <w:rPr>
                <w:b/>
                <w:sz w:val="18"/>
                <w:szCs w:val="18"/>
              </w:rPr>
              <w:t>评价</w:t>
            </w:r>
          </w:p>
          <w:p>
            <w:pPr>
              <w:jc w:val="center"/>
              <w:rPr>
                <w:b/>
                <w:sz w:val="18"/>
                <w:szCs w:val="18"/>
              </w:rPr>
            </w:pPr>
            <w:r>
              <w:rPr>
                <w:b/>
                <w:sz w:val="18"/>
                <w:szCs w:val="18"/>
              </w:rPr>
              <w:t>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52" w:type="dxa"/>
            <w:vMerge w:val="continue"/>
            <w:vAlign w:val="center"/>
          </w:tcPr>
          <w:p>
            <w:pPr>
              <w:jc w:val="center"/>
              <w:rPr>
                <w:b/>
                <w:sz w:val="18"/>
                <w:szCs w:val="18"/>
              </w:rPr>
            </w:pPr>
          </w:p>
        </w:tc>
        <w:tc>
          <w:tcPr>
            <w:tcW w:w="1036" w:type="dxa"/>
            <w:vMerge w:val="restart"/>
            <w:vAlign w:val="center"/>
          </w:tcPr>
          <w:p>
            <w:pPr>
              <w:jc w:val="center"/>
              <w:rPr>
                <w:rFonts w:eastAsiaTheme="minorEastAsia"/>
                <w:b/>
                <w:sz w:val="18"/>
                <w:szCs w:val="18"/>
              </w:rPr>
            </w:pPr>
            <w:r>
              <w:rPr>
                <w:rFonts w:eastAsiaTheme="minorEastAsia"/>
                <w:b/>
                <w:sz w:val="18"/>
                <w:szCs w:val="18"/>
              </w:rPr>
              <w:t>场区</w:t>
            </w:r>
          </w:p>
        </w:tc>
        <w:tc>
          <w:tcPr>
            <w:tcW w:w="700" w:type="dxa"/>
            <w:vAlign w:val="center"/>
          </w:tcPr>
          <w:p>
            <w:pPr>
              <w:jc w:val="center"/>
              <w:rPr>
                <w:rFonts w:eastAsiaTheme="minorEastAsia"/>
                <w:sz w:val="18"/>
                <w:szCs w:val="18"/>
              </w:rPr>
            </w:pPr>
            <w:r>
              <w:rPr>
                <w:rFonts w:eastAsiaTheme="minorEastAsia"/>
                <w:sz w:val="18"/>
                <w:szCs w:val="18"/>
              </w:rPr>
              <w:t>NH</w:t>
            </w:r>
            <w:r>
              <w:rPr>
                <w:rFonts w:eastAsiaTheme="minorEastAsia"/>
                <w:sz w:val="18"/>
                <w:szCs w:val="18"/>
                <w:vertAlign w:val="subscript"/>
              </w:rPr>
              <w:t>3</w:t>
            </w:r>
          </w:p>
        </w:tc>
        <w:tc>
          <w:tcPr>
            <w:tcW w:w="1115" w:type="dxa"/>
            <w:vAlign w:val="center"/>
          </w:tcPr>
          <w:p>
            <w:pPr>
              <w:jc w:val="center"/>
              <w:rPr>
                <w:rFonts w:hint="default" w:eastAsiaTheme="minorEastAsia"/>
                <w:sz w:val="18"/>
                <w:szCs w:val="22"/>
                <w:lang w:val="en-US" w:eastAsia="zh-CN"/>
              </w:rPr>
            </w:pPr>
            <w:r>
              <w:rPr>
                <w:rFonts w:hint="eastAsia" w:eastAsiaTheme="minorEastAsia"/>
                <w:sz w:val="18"/>
                <w:szCs w:val="22"/>
                <w:lang w:val="en-US" w:eastAsia="zh-CN"/>
              </w:rPr>
              <w:t>0.3156</w:t>
            </w:r>
          </w:p>
        </w:tc>
        <w:tc>
          <w:tcPr>
            <w:tcW w:w="766" w:type="dxa"/>
            <w:vMerge w:val="restart"/>
            <w:vAlign w:val="center"/>
          </w:tcPr>
          <w:p>
            <w:pPr>
              <w:jc w:val="center"/>
              <w:rPr>
                <w:rFonts w:eastAsiaTheme="minorEastAsia"/>
                <w:sz w:val="18"/>
                <w:szCs w:val="21"/>
              </w:rPr>
            </w:pPr>
            <w:r>
              <w:rPr>
                <w:rFonts w:hint="eastAsia" w:eastAsiaTheme="minorEastAsia"/>
                <w:sz w:val="18"/>
                <w:szCs w:val="21"/>
                <w:lang w:val="en-US" w:eastAsia="zh-CN"/>
              </w:rPr>
              <w:t>155</w:t>
            </w:r>
            <w:r>
              <w:rPr>
                <w:rFonts w:eastAsiaTheme="minorEastAsia"/>
                <w:sz w:val="18"/>
                <w:szCs w:val="21"/>
              </w:rPr>
              <w:t>m</w:t>
            </w:r>
          </w:p>
        </w:tc>
        <w:tc>
          <w:tcPr>
            <w:tcW w:w="723" w:type="dxa"/>
            <w:vMerge w:val="restart"/>
            <w:vAlign w:val="center"/>
          </w:tcPr>
          <w:p>
            <w:pPr>
              <w:jc w:val="center"/>
              <w:rPr>
                <w:rFonts w:eastAsiaTheme="minorEastAsia"/>
                <w:sz w:val="18"/>
                <w:szCs w:val="21"/>
              </w:rPr>
            </w:pPr>
            <w:r>
              <w:rPr>
                <w:rFonts w:hint="eastAsia" w:eastAsiaTheme="minorEastAsia"/>
                <w:sz w:val="18"/>
                <w:szCs w:val="21"/>
                <w:lang w:val="en-US" w:eastAsia="zh-CN"/>
              </w:rPr>
              <w:t>170</w:t>
            </w:r>
            <w:r>
              <w:rPr>
                <w:rFonts w:eastAsiaTheme="minorEastAsia"/>
                <w:sz w:val="18"/>
                <w:szCs w:val="21"/>
              </w:rPr>
              <w:t>m</w:t>
            </w:r>
          </w:p>
        </w:tc>
        <w:tc>
          <w:tcPr>
            <w:tcW w:w="723" w:type="dxa"/>
            <w:vMerge w:val="restart"/>
            <w:vAlign w:val="center"/>
          </w:tcPr>
          <w:p>
            <w:pPr>
              <w:jc w:val="center"/>
              <w:rPr>
                <w:rFonts w:eastAsiaTheme="minorEastAsia"/>
                <w:sz w:val="18"/>
                <w:szCs w:val="21"/>
              </w:rPr>
            </w:pPr>
            <w:r>
              <w:rPr>
                <w:rFonts w:eastAsiaTheme="minorEastAsia"/>
                <w:sz w:val="18"/>
                <w:szCs w:val="21"/>
              </w:rPr>
              <w:t>5.6m</w:t>
            </w:r>
          </w:p>
        </w:tc>
        <w:tc>
          <w:tcPr>
            <w:tcW w:w="1158" w:type="dxa"/>
            <w:vAlign w:val="center"/>
          </w:tcPr>
          <w:p>
            <w:pPr>
              <w:jc w:val="center"/>
              <w:rPr>
                <w:rFonts w:eastAsiaTheme="minorEastAsia"/>
                <w:sz w:val="18"/>
                <w:szCs w:val="21"/>
              </w:rPr>
            </w:pPr>
            <w:r>
              <w:rPr>
                <w:rFonts w:eastAsiaTheme="minorEastAsia"/>
                <w:sz w:val="18"/>
                <w:szCs w:val="21"/>
              </w:rPr>
              <w:t>0.20</w:t>
            </w:r>
          </w:p>
        </w:tc>
        <w:tc>
          <w:tcPr>
            <w:tcW w:w="1013" w:type="dxa"/>
            <w:vAlign w:val="center"/>
          </w:tcPr>
          <w:p>
            <w:pPr>
              <w:jc w:val="center"/>
              <w:rPr>
                <w:rFonts w:hint="default" w:eastAsiaTheme="minorEastAsia"/>
                <w:sz w:val="18"/>
                <w:szCs w:val="18"/>
                <w:lang w:val="en-US" w:eastAsia="zh-CN"/>
              </w:rPr>
            </w:pPr>
            <w:r>
              <w:rPr>
                <w:rFonts w:hint="eastAsia" w:eastAsiaTheme="minorEastAsia"/>
                <w:sz w:val="18"/>
                <w:szCs w:val="18"/>
                <w:lang w:val="en-US" w:eastAsia="zh-CN"/>
              </w:rPr>
              <w:t>3.83</w:t>
            </w:r>
          </w:p>
        </w:tc>
        <w:tc>
          <w:tcPr>
            <w:tcW w:w="1262" w:type="dxa"/>
            <w:vAlign w:val="center"/>
          </w:tcPr>
          <w:p>
            <w:pPr>
              <w:jc w:val="center"/>
              <w:rPr>
                <w:rFonts w:eastAsiaTheme="minorEastAsia"/>
                <w:sz w:val="18"/>
                <w:szCs w:val="18"/>
              </w:rPr>
            </w:pPr>
            <w:r>
              <w:rPr>
                <w:rFonts w:eastAsiaTheme="minorEastAsia"/>
                <w:sz w:val="18"/>
                <w:szCs w:val="18"/>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52" w:type="dxa"/>
            <w:vMerge w:val="continue"/>
            <w:vAlign w:val="center"/>
          </w:tcPr>
          <w:p>
            <w:pPr>
              <w:jc w:val="center"/>
              <w:rPr>
                <w:b/>
                <w:sz w:val="18"/>
                <w:szCs w:val="18"/>
              </w:rPr>
            </w:pPr>
          </w:p>
        </w:tc>
        <w:tc>
          <w:tcPr>
            <w:tcW w:w="1036" w:type="dxa"/>
            <w:vMerge w:val="continue"/>
            <w:vAlign w:val="center"/>
          </w:tcPr>
          <w:p>
            <w:pPr>
              <w:jc w:val="center"/>
              <w:rPr>
                <w:rFonts w:eastAsiaTheme="minorEastAsia"/>
                <w:b/>
                <w:sz w:val="18"/>
                <w:szCs w:val="18"/>
              </w:rPr>
            </w:pPr>
          </w:p>
        </w:tc>
        <w:tc>
          <w:tcPr>
            <w:tcW w:w="700" w:type="dxa"/>
            <w:vAlign w:val="center"/>
          </w:tcPr>
          <w:p>
            <w:pPr>
              <w:jc w:val="center"/>
              <w:rPr>
                <w:rFonts w:eastAsiaTheme="minorEastAsia"/>
                <w:sz w:val="18"/>
                <w:szCs w:val="18"/>
              </w:rPr>
            </w:pPr>
            <w:r>
              <w:rPr>
                <w:rFonts w:eastAsiaTheme="minorEastAsia"/>
                <w:sz w:val="18"/>
                <w:szCs w:val="18"/>
              </w:rPr>
              <w:t>H</w:t>
            </w:r>
            <w:r>
              <w:rPr>
                <w:rFonts w:eastAsiaTheme="minorEastAsia"/>
                <w:sz w:val="18"/>
                <w:szCs w:val="18"/>
                <w:vertAlign w:val="subscript"/>
              </w:rPr>
              <w:t>2</w:t>
            </w:r>
            <w:r>
              <w:rPr>
                <w:rFonts w:eastAsiaTheme="minorEastAsia"/>
                <w:sz w:val="18"/>
                <w:szCs w:val="18"/>
              </w:rPr>
              <w:t>S</w:t>
            </w:r>
          </w:p>
        </w:tc>
        <w:tc>
          <w:tcPr>
            <w:tcW w:w="1115" w:type="dxa"/>
            <w:vAlign w:val="center"/>
          </w:tcPr>
          <w:p>
            <w:pPr>
              <w:jc w:val="center"/>
              <w:rPr>
                <w:rFonts w:hint="default" w:eastAsiaTheme="minorEastAsia"/>
                <w:sz w:val="18"/>
                <w:szCs w:val="22"/>
                <w:lang w:val="en-US" w:eastAsia="zh-CN"/>
              </w:rPr>
            </w:pPr>
            <w:r>
              <w:rPr>
                <w:rFonts w:hint="eastAsia" w:eastAsiaTheme="minorEastAsia"/>
                <w:sz w:val="18"/>
                <w:szCs w:val="22"/>
                <w:lang w:val="en-US" w:eastAsia="zh-CN"/>
              </w:rPr>
              <w:t>0.0202</w:t>
            </w:r>
          </w:p>
        </w:tc>
        <w:tc>
          <w:tcPr>
            <w:tcW w:w="766" w:type="dxa"/>
            <w:vMerge w:val="continue"/>
            <w:vAlign w:val="center"/>
          </w:tcPr>
          <w:p>
            <w:pPr>
              <w:jc w:val="center"/>
              <w:rPr>
                <w:rFonts w:eastAsiaTheme="minorEastAsia"/>
                <w:sz w:val="18"/>
                <w:szCs w:val="21"/>
              </w:rPr>
            </w:pPr>
          </w:p>
        </w:tc>
        <w:tc>
          <w:tcPr>
            <w:tcW w:w="723" w:type="dxa"/>
            <w:vMerge w:val="continue"/>
            <w:vAlign w:val="center"/>
          </w:tcPr>
          <w:p>
            <w:pPr>
              <w:jc w:val="center"/>
              <w:rPr>
                <w:rFonts w:eastAsiaTheme="minorEastAsia"/>
                <w:sz w:val="18"/>
                <w:szCs w:val="21"/>
              </w:rPr>
            </w:pPr>
          </w:p>
        </w:tc>
        <w:tc>
          <w:tcPr>
            <w:tcW w:w="723" w:type="dxa"/>
            <w:vMerge w:val="continue"/>
            <w:vAlign w:val="center"/>
          </w:tcPr>
          <w:p>
            <w:pPr>
              <w:jc w:val="center"/>
              <w:rPr>
                <w:rFonts w:eastAsiaTheme="minorEastAsia"/>
                <w:sz w:val="18"/>
                <w:szCs w:val="21"/>
              </w:rPr>
            </w:pPr>
          </w:p>
        </w:tc>
        <w:tc>
          <w:tcPr>
            <w:tcW w:w="1158" w:type="dxa"/>
            <w:vAlign w:val="center"/>
          </w:tcPr>
          <w:p>
            <w:pPr>
              <w:jc w:val="center"/>
              <w:rPr>
                <w:rFonts w:eastAsiaTheme="minorEastAsia"/>
                <w:sz w:val="18"/>
                <w:szCs w:val="21"/>
              </w:rPr>
            </w:pPr>
            <w:r>
              <w:rPr>
                <w:rFonts w:eastAsiaTheme="minorEastAsia"/>
                <w:sz w:val="18"/>
                <w:szCs w:val="21"/>
              </w:rPr>
              <w:t>0.01</w:t>
            </w:r>
          </w:p>
        </w:tc>
        <w:tc>
          <w:tcPr>
            <w:tcW w:w="1013" w:type="dxa"/>
            <w:vAlign w:val="center"/>
          </w:tcPr>
          <w:p>
            <w:pPr>
              <w:jc w:val="center"/>
              <w:rPr>
                <w:rFonts w:hint="default" w:eastAsiaTheme="minorEastAsia"/>
                <w:sz w:val="18"/>
                <w:szCs w:val="18"/>
                <w:lang w:val="en-US" w:eastAsia="zh-CN"/>
              </w:rPr>
            </w:pPr>
            <w:r>
              <w:rPr>
                <w:rFonts w:hint="eastAsia" w:eastAsiaTheme="minorEastAsia"/>
                <w:sz w:val="18"/>
                <w:szCs w:val="18"/>
                <w:lang w:val="en-US" w:eastAsia="zh-CN"/>
              </w:rPr>
              <w:t>4.95</w:t>
            </w:r>
          </w:p>
        </w:tc>
        <w:tc>
          <w:tcPr>
            <w:tcW w:w="1262" w:type="dxa"/>
            <w:vAlign w:val="center"/>
          </w:tcPr>
          <w:p>
            <w:pPr>
              <w:jc w:val="center"/>
              <w:rPr>
                <w:rFonts w:eastAsiaTheme="minorEastAsia"/>
                <w:sz w:val="18"/>
                <w:szCs w:val="18"/>
              </w:rPr>
            </w:pPr>
            <w:r>
              <w:rPr>
                <w:rFonts w:hint="eastAsia" w:eastAsiaTheme="minorEastAsia"/>
                <w:sz w:val="18"/>
                <w:szCs w:val="18"/>
                <w:lang w:val="en-US" w:eastAsia="zh-CN"/>
              </w:rPr>
              <w:t>二</w:t>
            </w:r>
            <w:r>
              <w:rPr>
                <w:rFonts w:eastAsiaTheme="minorEastAsia"/>
                <w:sz w:val="18"/>
                <w:szCs w:val="18"/>
              </w:rPr>
              <w:t>级</w:t>
            </w:r>
          </w:p>
        </w:tc>
      </w:tr>
    </w:tbl>
    <w:p>
      <w:pPr>
        <w:spacing w:line="500" w:lineRule="exact"/>
        <w:ind w:firstLine="480" w:firstLineChars="200"/>
        <w:rPr>
          <w:sz w:val="24"/>
          <w:lang w:val="en-GB"/>
        </w:rPr>
      </w:pPr>
      <w:r>
        <w:rPr>
          <w:sz w:val="24"/>
        </w:rPr>
        <w:t>由表可见，拟建项目污染物排放占标率最大的为场区无组织排放的H</w:t>
      </w:r>
      <w:r>
        <w:rPr>
          <w:sz w:val="24"/>
          <w:vertAlign w:val="subscript"/>
        </w:rPr>
        <w:t>2</w:t>
      </w:r>
      <w:r>
        <w:rPr>
          <w:sz w:val="24"/>
        </w:rPr>
        <w:t>S，其占标率为P</w:t>
      </w:r>
      <w:r>
        <w:rPr>
          <w:rFonts w:eastAsiaTheme="minorEastAsia"/>
          <w:sz w:val="18"/>
          <w:szCs w:val="18"/>
        </w:rPr>
        <w:t xml:space="preserve"> NH</w:t>
      </w:r>
      <w:r>
        <w:rPr>
          <w:rFonts w:eastAsiaTheme="minorEastAsia"/>
          <w:sz w:val="18"/>
          <w:szCs w:val="18"/>
          <w:vertAlign w:val="subscript"/>
        </w:rPr>
        <w:t>3</w:t>
      </w:r>
      <w:r>
        <w:rPr>
          <w:sz w:val="24"/>
          <w:vertAlign w:val="subscript"/>
        </w:rPr>
        <w:t xml:space="preserve"> max</w:t>
      </w:r>
      <w:r>
        <w:rPr>
          <w:sz w:val="24"/>
        </w:rPr>
        <w:t>为</w:t>
      </w:r>
      <w:r>
        <w:rPr>
          <w:rFonts w:hint="eastAsia"/>
          <w:sz w:val="24"/>
          <w:lang w:val="en-US" w:eastAsia="zh-CN"/>
        </w:rPr>
        <w:t>4.95</w:t>
      </w:r>
      <w:r>
        <w:rPr>
          <w:sz w:val="24"/>
        </w:rPr>
        <w:t>%＜10%，确定环境空气影响评价为二级评价。</w:t>
      </w:r>
      <w:r>
        <w:rPr>
          <w:sz w:val="24"/>
          <w:lang w:val="en-GB"/>
        </w:rPr>
        <w:t>根据《环境影响评价技术导则—大气环境》（HJ2.2-2008）中的规定，评价范围的直径或边长一般不应小于5km，环境空气评价范围定为以场区中心点为中点，边长为5km的正方形区域范围内。</w:t>
      </w:r>
    </w:p>
    <w:p>
      <w:pPr>
        <w:spacing w:line="600" w:lineRule="exact"/>
        <w:outlineLvl w:val="2"/>
        <w:rPr>
          <w:color w:val="000000"/>
          <w:sz w:val="24"/>
        </w:rPr>
      </w:pPr>
      <w:r>
        <w:rPr>
          <w:b/>
          <w:color w:val="000000"/>
          <w:sz w:val="24"/>
        </w:rPr>
        <w:t>1.10.2地表水</w:t>
      </w:r>
    </w:p>
    <w:p>
      <w:pPr>
        <w:spacing w:line="520" w:lineRule="exact"/>
        <w:ind w:firstLine="480" w:firstLineChars="200"/>
        <w:rPr>
          <w:sz w:val="24"/>
        </w:rPr>
      </w:pPr>
      <w:r>
        <w:rPr>
          <w:sz w:val="24"/>
        </w:rPr>
        <w:t>拟建项目所产生的废水主要污染物为COD、NH</w:t>
      </w:r>
      <w:r>
        <w:rPr>
          <w:sz w:val="24"/>
          <w:vertAlign w:val="subscript"/>
        </w:rPr>
        <w:t>3</w:t>
      </w:r>
      <w:r>
        <w:rPr>
          <w:sz w:val="24"/>
        </w:rPr>
        <w:t>-N等，全部实现综合利用，无废水外排。根据《环境影响评价技术导则—地表水环境》（HJ2.3-2018）表1中所列出的地面水环境影响评价分级判据标准，本项目地面水环境影响评价工作等级确定因素见</w:t>
      </w:r>
      <w:r>
        <w:fldChar w:fldCharType="begin"/>
      </w:r>
      <w:r>
        <w:instrText xml:space="preserve"> REF _Ref478120750 \h  \* MERGEFORMAT </w:instrText>
      </w:r>
      <w:r>
        <w:fldChar w:fldCharType="separate"/>
      </w:r>
      <w:r>
        <w:rPr>
          <w:sz w:val="24"/>
        </w:rPr>
        <w:t>表</w:t>
      </w:r>
      <w:r>
        <w:rPr>
          <w:b/>
          <w:bCs/>
          <w:szCs w:val="21"/>
        </w:rPr>
        <w:t xml:space="preserve"> </w:t>
      </w:r>
      <w:r>
        <w:rPr>
          <w:b/>
          <w:bCs/>
          <w:szCs w:val="21"/>
        </w:rPr>
        <w:fldChar w:fldCharType="end"/>
      </w:r>
      <w:r>
        <w:rPr>
          <w:sz w:val="24"/>
        </w:rPr>
        <w:t>。</w:t>
      </w:r>
    </w:p>
    <w:p>
      <w:pPr>
        <w:spacing w:before="156" w:line="500" w:lineRule="exact"/>
        <w:jc w:val="center"/>
        <w:rPr>
          <w:b/>
          <w:bCs/>
          <w:szCs w:val="21"/>
        </w:rPr>
      </w:pPr>
      <w:bookmarkStart w:id="33" w:name="_Ref478120750"/>
      <w:r>
        <w:rPr>
          <w:b/>
          <w:bCs/>
          <w:szCs w:val="21"/>
        </w:rPr>
        <w:t xml:space="preserve">表 </w:t>
      </w:r>
      <w:bookmarkEnd w:id="33"/>
      <w:r>
        <w:rPr>
          <w:b/>
          <w:bCs/>
          <w:szCs w:val="21"/>
        </w:rPr>
        <w:t>1</w:t>
      </w:r>
      <w:r>
        <w:rPr>
          <w:rFonts w:hint="eastAsia"/>
          <w:b/>
          <w:bCs/>
          <w:szCs w:val="21"/>
          <w:lang w:val="en-US" w:eastAsia="zh-CN"/>
        </w:rPr>
        <w:t>.10-4</w:t>
      </w:r>
      <w:r>
        <w:rPr>
          <w:b/>
          <w:bCs/>
          <w:szCs w:val="21"/>
        </w:rPr>
        <w:t xml:space="preserve">    地表水环境评价工作等级判定表</w:t>
      </w:r>
    </w:p>
    <w:tbl>
      <w:tblPr>
        <w:tblStyle w:val="45"/>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3586"/>
        <w:gridCol w:w="3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vMerge w:val="restart"/>
            <w:noWrap/>
            <w:vAlign w:val="center"/>
          </w:tcPr>
          <w:p>
            <w:pPr>
              <w:jc w:val="center"/>
              <w:rPr>
                <w:bCs/>
                <w:kern w:val="0"/>
                <w:szCs w:val="21"/>
              </w:rPr>
            </w:pPr>
            <w:r>
              <w:rPr>
                <w:bCs/>
                <w:kern w:val="0"/>
                <w:szCs w:val="21"/>
              </w:rPr>
              <w:t>判定等级</w:t>
            </w:r>
          </w:p>
        </w:tc>
        <w:tc>
          <w:tcPr>
            <w:tcW w:w="6866" w:type="dxa"/>
            <w:gridSpan w:val="2"/>
            <w:noWrap/>
            <w:vAlign w:val="center"/>
          </w:tcPr>
          <w:p>
            <w:pPr>
              <w:jc w:val="center"/>
              <w:rPr>
                <w:bCs/>
                <w:kern w:val="0"/>
                <w:szCs w:val="21"/>
              </w:rPr>
            </w:pPr>
            <w:r>
              <w:rPr>
                <w:bCs/>
                <w:kern w:val="0"/>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vMerge w:val="continue"/>
            <w:noWrap/>
            <w:vAlign w:val="center"/>
          </w:tcPr>
          <w:p>
            <w:pPr>
              <w:jc w:val="center"/>
              <w:rPr>
                <w:bCs/>
                <w:kern w:val="0"/>
                <w:szCs w:val="21"/>
              </w:rPr>
            </w:pPr>
          </w:p>
        </w:tc>
        <w:tc>
          <w:tcPr>
            <w:tcW w:w="3586" w:type="dxa"/>
            <w:noWrap/>
            <w:vAlign w:val="center"/>
          </w:tcPr>
          <w:p>
            <w:pPr>
              <w:jc w:val="center"/>
              <w:rPr>
                <w:bCs/>
                <w:kern w:val="0"/>
                <w:szCs w:val="21"/>
              </w:rPr>
            </w:pPr>
            <w:r>
              <w:rPr>
                <w:bCs/>
                <w:kern w:val="0"/>
                <w:szCs w:val="21"/>
              </w:rPr>
              <w:t>排放方式</w:t>
            </w:r>
          </w:p>
        </w:tc>
        <w:tc>
          <w:tcPr>
            <w:tcW w:w="3280" w:type="dxa"/>
            <w:noWrap/>
            <w:vAlign w:val="center"/>
          </w:tcPr>
          <w:p>
            <w:pPr>
              <w:jc w:val="center"/>
              <w:rPr>
                <w:bCs/>
                <w:kern w:val="0"/>
                <w:szCs w:val="21"/>
              </w:rPr>
            </w:pPr>
            <w:r>
              <w:rPr>
                <w:bCs/>
                <w:kern w:val="0"/>
                <w:szCs w:val="21"/>
              </w:rPr>
              <w:t>废水排放量Q/（m</w:t>
            </w:r>
            <w:r>
              <w:rPr>
                <w:bCs/>
                <w:kern w:val="0"/>
                <w:szCs w:val="21"/>
                <w:vertAlign w:val="superscript"/>
              </w:rPr>
              <w:t>3</w:t>
            </w:r>
            <w:r>
              <w:rPr>
                <w:bCs/>
                <w:kern w:val="0"/>
                <w:szCs w:val="21"/>
              </w:rPr>
              <w:t>/d）；</w:t>
            </w:r>
          </w:p>
          <w:p>
            <w:pPr>
              <w:jc w:val="center"/>
              <w:rPr>
                <w:bCs/>
                <w:kern w:val="0"/>
                <w:szCs w:val="21"/>
              </w:rPr>
            </w:pPr>
            <w:r>
              <w:rPr>
                <w:bCs/>
                <w:kern w:val="0"/>
                <w:szCs w:val="21"/>
              </w:rPr>
              <w:t>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Cs/>
                <w:kern w:val="0"/>
                <w:szCs w:val="21"/>
              </w:rPr>
            </w:pPr>
            <w:r>
              <w:rPr>
                <w:bCs/>
                <w:kern w:val="0"/>
                <w:szCs w:val="21"/>
              </w:rPr>
              <w:t>一级</w:t>
            </w:r>
          </w:p>
        </w:tc>
        <w:tc>
          <w:tcPr>
            <w:tcW w:w="3586" w:type="dxa"/>
            <w:noWrap/>
            <w:vAlign w:val="center"/>
          </w:tcPr>
          <w:p>
            <w:pPr>
              <w:jc w:val="center"/>
              <w:rPr>
                <w:bCs/>
                <w:kern w:val="0"/>
                <w:szCs w:val="21"/>
              </w:rPr>
            </w:pPr>
            <w:r>
              <w:rPr>
                <w:bCs/>
                <w:kern w:val="0"/>
                <w:szCs w:val="21"/>
              </w:rPr>
              <w:t>直接排放</w:t>
            </w:r>
          </w:p>
        </w:tc>
        <w:tc>
          <w:tcPr>
            <w:tcW w:w="3280" w:type="dxa"/>
            <w:noWrap/>
            <w:vAlign w:val="center"/>
          </w:tcPr>
          <w:p>
            <w:pPr>
              <w:jc w:val="center"/>
              <w:rPr>
                <w:bCs/>
                <w:kern w:val="0"/>
                <w:szCs w:val="21"/>
              </w:rPr>
            </w:pPr>
            <w:r>
              <w:rPr>
                <w:bCs/>
                <w:kern w:val="0"/>
                <w:szCs w:val="21"/>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Cs/>
                <w:kern w:val="0"/>
                <w:szCs w:val="21"/>
              </w:rPr>
            </w:pPr>
            <w:r>
              <w:rPr>
                <w:bCs/>
                <w:kern w:val="0"/>
                <w:szCs w:val="21"/>
              </w:rPr>
              <w:t>二级</w:t>
            </w:r>
          </w:p>
        </w:tc>
        <w:tc>
          <w:tcPr>
            <w:tcW w:w="3586" w:type="dxa"/>
            <w:noWrap/>
            <w:vAlign w:val="center"/>
          </w:tcPr>
          <w:p>
            <w:pPr>
              <w:jc w:val="center"/>
              <w:rPr>
                <w:bCs/>
                <w:kern w:val="0"/>
                <w:szCs w:val="21"/>
              </w:rPr>
            </w:pPr>
            <w:r>
              <w:rPr>
                <w:bCs/>
                <w:kern w:val="0"/>
                <w:szCs w:val="21"/>
              </w:rPr>
              <w:t>直接排放</w:t>
            </w:r>
          </w:p>
        </w:tc>
        <w:tc>
          <w:tcPr>
            <w:tcW w:w="3280" w:type="dxa"/>
            <w:noWrap/>
            <w:vAlign w:val="center"/>
          </w:tcPr>
          <w:p>
            <w:pPr>
              <w:jc w:val="center"/>
              <w:rPr>
                <w:bCs/>
                <w:kern w:val="0"/>
                <w:szCs w:val="21"/>
              </w:rPr>
            </w:pPr>
            <w:r>
              <w:rPr>
                <w:bCs/>
                <w:kern w:val="0"/>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Cs/>
                <w:kern w:val="0"/>
                <w:szCs w:val="21"/>
              </w:rPr>
            </w:pPr>
            <w:r>
              <w:rPr>
                <w:bCs/>
                <w:kern w:val="0"/>
                <w:szCs w:val="21"/>
              </w:rPr>
              <w:t>三级A</w:t>
            </w:r>
          </w:p>
        </w:tc>
        <w:tc>
          <w:tcPr>
            <w:tcW w:w="3586" w:type="dxa"/>
            <w:noWrap/>
            <w:vAlign w:val="center"/>
          </w:tcPr>
          <w:p>
            <w:pPr>
              <w:jc w:val="center"/>
              <w:rPr>
                <w:bCs/>
                <w:kern w:val="0"/>
                <w:szCs w:val="21"/>
              </w:rPr>
            </w:pPr>
            <w:r>
              <w:rPr>
                <w:bCs/>
                <w:kern w:val="0"/>
                <w:szCs w:val="21"/>
              </w:rPr>
              <w:t>直接排放</w:t>
            </w:r>
          </w:p>
        </w:tc>
        <w:tc>
          <w:tcPr>
            <w:tcW w:w="3280" w:type="dxa"/>
            <w:noWrap/>
            <w:vAlign w:val="center"/>
          </w:tcPr>
          <w:p>
            <w:pPr>
              <w:jc w:val="center"/>
              <w:rPr>
                <w:bCs/>
                <w:kern w:val="0"/>
                <w:szCs w:val="21"/>
              </w:rPr>
            </w:pPr>
            <w:r>
              <w:rPr>
                <w:bCs/>
                <w:kern w:val="0"/>
                <w:szCs w:val="21"/>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Cs/>
                <w:kern w:val="0"/>
                <w:szCs w:val="21"/>
              </w:rPr>
            </w:pPr>
            <w:r>
              <w:rPr>
                <w:bCs/>
                <w:kern w:val="0"/>
                <w:szCs w:val="21"/>
              </w:rPr>
              <w:t>三级B</w:t>
            </w:r>
          </w:p>
        </w:tc>
        <w:tc>
          <w:tcPr>
            <w:tcW w:w="3586" w:type="dxa"/>
            <w:noWrap/>
            <w:vAlign w:val="center"/>
          </w:tcPr>
          <w:p>
            <w:pPr>
              <w:jc w:val="center"/>
              <w:rPr>
                <w:bCs/>
                <w:kern w:val="0"/>
                <w:szCs w:val="21"/>
              </w:rPr>
            </w:pPr>
            <w:r>
              <w:rPr>
                <w:bCs/>
                <w:kern w:val="0"/>
                <w:szCs w:val="21"/>
              </w:rPr>
              <w:t>间接排放</w:t>
            </w:r>
          </w:p>
        </w:tc>
        <w:tc>
          <w:tcPr>
            <w:tcW w:w="3280" w:type="dxa"/>
            <w:noWrap/>
            <w:vAlign w:val="center"/>
          </w:tcPr>
          <w:p>
            <w:pPr>
              <w:jc w:val="center"/>
              <w:rPr>
                <w:bCs/>
                <w:kern w:val="0"/>
                <w:szCs w:val="21"/>
              </w:rPr>
            </w:pPr>
            <w:r>
              <w:rPr>
                <w:bCs/>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Cs/>
                <w:kern w:val="0"/>
                <w:szCs w:val="21"/>
              </w:rPr>
            </w:pPr>
            <w:r>
              <w:rPr>
                <w:bCs/>
                <w:kern w:val="0"/>
                <w:szCs w:val="21"/>
              </w:rPr>
              <w:t>本项目</w:t>
            </w:r>
          </w:p>
        </w:tc>
        <w:tc>
          <w:tcPr>
            <w:tcW w:w="6866" w:type="dxa"/>
            <w:gridSpan w:val="2"/>
            <w:noWrap/>
            <w:vAlign w:val="center"/>
          </w:tcPr>
          <w:p>
            <w:pPr>
              <w:jc w:val="center"/>
              <w:rPr>
                <w:bCs/>
                <w:kern w:val="0"/>
                <w:szCs w:val="21"/>
              </w:rPr>
            </w:pPr>
            <w:r>
              <w:rPr>
                <w:bCs/>
                <w:kern w:val="0"/>
                <w:szCs w:val="21"/>
              </w:rPr>
              <w:t>有废水产生，但综合利用，不排放到外环境，按三级B评价</w:t>
            </w:r>
          </w:p>
        </w:tc>
      </w:tr>
    </w:tbl>
    <w:p>
      <w:pPr>
        <w:spacing w:line="520" w:lineRule="exact"/>
        <w:ind w:firstLine="480" w:firstLineChars="200"/>
        <w:rPr>
          <w:sz w:val="24"/>
        </w:rPr>
      </w:pPr>
      <w:r>
        <w:rPr>
          <w:sz w:val="24"/>
        </w:rPr>
        <w:t>根据上表可知，本项目地表水影响评价等级为三级B。重点针对污水处理综合利用的措施、途径及利用的可行性进行分析。</w:t>
      </w:r>
    </w:p>
    <w:p>
      <w:pPr>
        <w:spacing w:line="600" w:lineRule="exact"/>
        <w:outlineLvl w:val="2"/>
        <w:rPr>
          <w:color w:val="000000"/>
          <w:sz w:val="24"/>
        </w:rPr>
      </w:pPr>
      <w:r>
        <w:rPr>
          <w:b/>
          <w:color w:val="000000"/>
          <w:sz w:val="24"/>
        </w:rPr>
        <w:t>1.10.3地下水</w:t>
      </w:r>
    </w:p>
    <w:p>
      <w:pPr>
        <w:widowControl/>
        <w:spacing w:after="60" w:line="360" w:lineRule="auto"/>
        <w:ind w:firstLine="480" w:firstLineChars="200"/>
        <w:rPr>
          <w:bCs/>
          <w:snapToGrid w:val="0"/>
          <w:kern w:val="0"/>
          <w:sz w:val="24"/>
        </w:rPr>
      </w:pPr>
      <w:r>
        <w:rPr>
          <w:bCs/>
          <w:color w:val="000000"/>
          <w:sz w:val="24"/>
        </w:rPr>
        <w:t>本项目用水取自地下水井，在建设及生产运行过程中对地下水影响主要为沼液综合利用通过土壤渗透可能造成地下水水质污染，</w:t>
      </w:r>
      <w:r>
        <w:rPr>
          <w:bCs/>
          <w:snapToGrid w:val="0"/>
          <w:kern w:val="0"/>
          <w:sz w:val="24"/>
        </w:rPr>
        <w:t>对照《环境影响评价技术导则 地下水环境》（HJ610-2016）附表A，项目属于</w:t>
      </w:r>
      <w:r>
        <w:rPr>
          <w:rFonts w:hint="eastAsia" w:ascii="宋体" w:hAnsi="宋体" w:cs="宋体"/>
          <w:bCs/>
          <w:snapToGrid w:val="0"/>
          <w:kern w:val="0"/>
          <w:sz w:val="24"/>
        </w:rPr>
        <w:t>Ⅲ</w:t>
      </w:r>
      <w:r>
        <w:rPr>
          <w:bCs/>
          <w:snapToGrid w:val="0"/>
          <w:kern w:val="0"/>
          <w:sz w:val="24"/>
        </w:rPr>
        <w:t>类建设项目，项目不涉及饮用水源保护区，根据地下水敏感程度分级表本项目所在区域地下水敏感程度为不敏感。</w:t>
      </w:r>
    </w:p>
    <w:p>
      <w:pPr>
        <w:spacing w:line="520" w:lineRule="exact"/>
        <w:ind w:firstLine="480" w:firstLineChars="200"/>
        <w:rPr>
          <w:sz w:val="24"/>
        </w:rPr>
      </w:pPr>
      <w:r>
        <w:rPr>
          <w:sz w:val="24"/>
        </w:rPr>
        <w:t>根据《环境影响评价技术导则  地下水环境》（HJ610-2016）地下水敏感程度可分为敏感、较敏感、不敏感三级，地下水敏感程度分级表见</w:t>
      </w:r>
      <w:r>
        <w:fldChar w:fldCharType="begin"/>
      </w:r>
      <w:r>
        <w:instrText xml:space="preserve"> REF _Ref478121195 \h  \* MERGEFORMAT </w:instrText>
      </w:r>
      <w:r>
        <w:fldChar w:fldCharType="separate"/>
      </w:r>
      <w:r>
        <w:rPr>
          <w:sz w:val="24"/>
        </w:rPr>
        <w:t xml:space="preserve">表 </w:t>
      </w:r>
      <w:r>
        <w:rPr>
          <w:sz w:val="24"/>
        </w:rPr>
        <w:fldChar w:fldCharType="end"/>
      </w:r>
      <w:r>
        <w:rPr>
          <w:sz w:val="24"/>
        </w:rPr>
        <w:t>。</w:t>
      </w:r>
    </w:p>
    <w:p>
      <w:pPr>
        <w:spacing w:before="156" w:line="500" w:lineRule="exact"/>
        <w:jc w:val="center"/>
        <w:rPr>
          <w:b/>
          <w:bCs/>
          <w:szCs w:val="21"/>
        </w:rPr>
      </w:pPr>
      <w:bookmarkStart w:id="34" w:name="_Ref478121195"/>
      <w:r>
        <w:rPr>
          <w:b/>
          <w:bCs/>
          <w:szCs w:val="21"/>
        </w:rPr>
        <w:t xml:space="preserve">表 </w:t>
      </w:r>
      <w:bookmarkEnd w:id="34"/>
      <w:r>
        <w:rPr>
          <w:b/>
          <w:bCs/>
          <w:szCs w:val="21"/>
        </w:rPr>
        <w:t>1</w:t>
      </w:r>
      <w:r>
        <w:rPr>
          <w:rFonts w:hint="eastAsia"/>
          <w:b/>
          <w:bCs/>
          <w:szCs w:val="21"/>
          <w:lang w:val="en-US" w:eastAsia="zh-CN"/>
        </w:rPr>
        <w:t>.10-5</w:t>
      </w:r>
      <w:r>
        <w:rPr>
          <w:b/>
          <w:bCs/>
          <w:szCs w:val="21"/>
        </w:rPr>
        <w:t xml:space="preserve">  地下水敏感程度分级表</w:t>
      </w:r>
    </w:p>
    <w:tbl>
      <w:tblPr>
        <w:tblStyle w:val="45"/>
        <w:tblW w:w="8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7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blHeader/>
        </w:trPr>
        <w:tc>
          <w:tcPr>
            <w:tcW w:w="1683" w:type="dxa"/>
            <w:noWrap/>
            <w:vAlign w:val="center"/>
          </w:tcPr>
          <w:p>
            <w:pPr>
              <w:adjustRightInd w:val="0"/>
              <w:snapToGrid w:val="0"/>
              <w:spacing w:line="360" w:lineRule="exact"/>
              <w:jc w:val="center"/>
              <w:rPr>
                <w:bCs/>
                <w:kern w:val="0"/>
                <w:szCs w:val="21"/>
                <w:lang w:val="en-GB"/>
              </w:rPr>
            </w:pPr>
            <w:r>
              <w:rPr>
                <w:bCs/>
                <w:kern w:val="0"/>
                <w:szCs w:val="21"/>
                <w:lang w:val="en-GB"/>
              </w:rPr>
              <w:t>敏感程度</w:t>
            </w:r>
          </w:p>
        </w:tc>
        <w:tc>
          <w:tcPr>
            <w:tcW w:w="7263" w:type="dxa"/>
            <w:noWrap/>
            <w:vAlign w:val="center"/>
          </w:tcPr>
          <w:p>
            <w:pPr>
              <w:adjustRightInd w:val="0"/>
              <w:snapToGrid w:val="0"/>
              <w:spacing w:line="360" w:lineRule="exact"/>
              <w:jc w:val="center"/>
              <w:rPr>
                <w:bCs/>
                <w:kern w:val="0"/>
                <w:szCs w:val="21"/>
                <w:lang w:val="en-GB"/>
              </w:rPr>
            </w:pPr>
            <w:r>
              <w:rPr>
                <w:bCs/>
                <w:kern w:val="0"/>
                <w:szCs w:val="21"/>
                <w:lang w:val="en-GB"/>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noWrap/>
            <w:vAlign w:val="center"/>
          </w:tcPr>
          <w:p>
            <w:pPr>
              <w:spacing w:line="360" w:lineRule="exact"/>
              <w:jc w:val="center"/>
              <w:rPr>
                <w:bCs/>
                <w:kern w:val="0"/>
                <w:szCs w:val="21"/>
                <w:lang w:val="en-GB"/>
              </w:rPr>
            </w:pPr>
            <w:r>
              <w:rPr>
                <w:bCs/>
                <w:kern w:val="0"/>
                <w:szCs w:val="21"/>
                <w:lang w:val="en-GB"/>
              </w:rPr>
              <w:t>敏感</w:t>
            </w:r>
          </w:p>
        </w:tc>
        <w:tc>
          <w:tcPr>
            <w:tcW w:w="7263" w:type="dxa"/>
            <w:noWrap/>
            <w:vAlign w:val="center"/>
          </w:tcPr>
          <w:p>
            <w:pPr>
              <w:spacing w:line="360" w:lineRule="exact"/>
              <w:jc w:val="center"/>
              <w:rPr>
                <w:bCs/>
                <w:kern w:val="0"/>
                <w:szCs w:val="21"/>
                <w:lang w:val="en-GB"/>
              </w:rPr>
            </w:pPr>
            <w:r>
              <w:rPr>
                <w:bCs/>
                <w:kern w:val="0"/>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noWrap/>
            <w:vAlign w:val="center"/>
          </w:tcPr>
          <w:p>
            <w:pPr>
              <w:spacing w:line="360" w:lineRule="exact"/>
              <w:jc w:val="center"/>
              <w:rPr>
                <w:bCs/>
                <w:kern w:val="0"/>
                <w:szCs w:val="21"/>
                <w:lang w:val="en-GB"/>
              </w:rPr>
            </w:pPr>
            <w:r>
              <w:rPr>
                <w:bCs/>
                <w:kern w:val="0"/>
                <w:szCs w:val="21"/>
                <w:lang w:val="en-GB"/>
              </w:rPr>
              <w:t>较敏感</w:t>
            </w:r>
          </w:p>
        </w:tc>
        <w:tc>
          <w:tcPr>
            <w:tcW w:w="7263" w:type="dxa"/>
            <w:noWrap/>
            <w:vAlign w:val="center"/>
          </w:tcPr>
          <w:p>
            <w:pPr>
              <w:spacing w:line="360" w:lineRule="exact"/>
              <w:jc w:val="center"/>
              <w:rPr>
                <w:bCs/>
                <w:kern w:val="0"/>
                <w:szCs w:val="21"/>
                <w:lang w:val="en-GB"/>
              </w:rPr>
            </w:pPr>
            <w:r>
              <w:rPr>
                <w:bCs/>
                <w:kern w:val="0"/>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noWrap/>
            <w:vAlign w:val="center"/>
          </w:tcPr>
          <w:p>
            <w:pPr>
              <w:spacing w:line="360" w:lineRule="exact"/>
              <w:jc w:val="center"/>
              <w:rPr>
                <w:bCs/>
                <w:kern w:val="0"/>
                <w:szCs w:val="21"/>
                <w:lang w:val="en-GB"/>
              </w:rPr>
            </w:pPr>
            <w:r>
              <w:rPr>
                <w:bCs/>
                <w:kern w:val="0"/>
                <w:szCs w:val="21"/>
                <w:lang w:val="en-GB"/>
              </w:rPr>
              <w:t>不敏感</w:t>
            </w:r>
          </w:p>
        </w:tc>
        <w:tc>
          <w:tcPr>
            <w:tcW w:w="7263" w:type="dxa"/>
            <w:noWrap/>
            <w:vAlign w:val="center"/>
          </w:tcPr>
          <w:p>
            <w:pPr>
              <w:spacing w:line="360" w:lineRule="exact"/>
              <w:jc w:val="center"/>
              <w:rPr>
                <w:bCs/>
                <w:kern w:val="0"/>
                <w:szCs w:val="21"/>
                <w:lang w:val="en-GB"/>
              </w:rPr>
            </w:pPr>
            <w:r>
              <w:rPr>
                <w:bCs/>
                <w:kern w:val="0"/>
                <w:szCs w:val="21"/>
                <w:lang w:val="en-GB"/>
              </w:rPr>
              <w:t>上述地区之外的其它区域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46" w:type="dxa"/>
            <w:gridSpan w:val="2"/>
            <w:noWrap/>
            <w:vAlign w:val="center"/>
          </w:tcPr>
          <w:p>
            <w:pPr>
              <w:spacing w:line="360" w:lineRule="exact"/>
              <w:jc w:val="center"/>
              <w:rPr>
                <w:bCs/>
                <w:kern w:val="0"/>
                <w:szCs w:val="21"/>
                <w:lang w:val="en-GB"/>
              </w:rPr>
            </w:pPr>
            <w:r>
              <w:rPr>
                <w:bCs/>
                <w:kern w:val="0"/>
                <w:szCs w:val="21"/>
                <w:lang w:val="en-GB"/>
              </w:rPr>
              <w:t>注：a“环境敏感区”是指《建设项目环境影响评价分类管理名录》</w:t>
            </w:r>
          </w:p>
          <w:p>
            <w:pPr>
              <w:spacing w:line="360" w:lineRule="exact"/>
              <w:jc w:val="center"/>
              <w:rPr>
                <w:bCs/>
                <w:kern w:val="0"/>
                <w:szCs w:val="21"/>
                <w:lang w:val="en-GB"/>
              </w:rPr>
            </w:pPr>
            <w:r>
              <w:rPr>
                <w:bCs/>
                <w:kern w:val="0"/>
                <w:szCs w:val="21"/>
                <w:lang w:val="en-GB"/>
              </w:rPr>
              <w:t>中所界定的涉及地下水的环境敏感区</w:t>
            </w:r>
          </w:p>
        </w:tc>
      </w:tr>
    </w:tbl>
    <w:p>
      <w:pPr>
        <w:widowControl/>
        <w:spacing w:line="520" w:lineRule="exact"/>
        <w:ind w:firstLine="480" w:firstLineChars="200"/>
        <w:rPr>
          <w:spacing w:val="4"/>
          <w:sz w:val="24"/>
        </w:rPr>
      </w:pPr>
      <w:r>
        <w:rPr>
          <w:bCs/>
          <w:sz w:val="24"/>
        </w:rPr>
        <w:t>本项目不在</w:t>
      </w:r>
      <w:r>
        <w:rPr>
          <w:rFonts w:hint="eastAsia"/>
          <w:bCs/>
          <w:sz w:val="24"/>
          <w:lang w:eastAsia="zh-CN"/>
        </w:rPr>
        <w:t>正阳县</w:t>
      </w:r>
      <w:r>
        <w:rPr>
          <w:bCs/>
          <w:sz w:val="24"/>
        </w:rPr>
        <w:t>集中饮用水源地一级保护区、二级保护区范围内，不属于热水、矿泉水、温泉等特殊地下水源保护区，亦非</w:t>
      </w:r>
      <w:r>
        <w:rPr>
          <w:rFonts w:hint="eastAsia"/>
          <w:bCs/>
          <w:sz w:val="24"/>
          <w:lang w:eastAsia="zh-CN"/>
        </w:rPr>
        <w:t>正阳县</w:t>
      </w:r>
      <w:r>
        <w:rPr>
          <w:bCs/>
          <w:sz w:val="24"/>
        </w:rPr>
        <w:t>地下水集中饮用水源地主要补给区和径流区。同时场地内无分散居民饮用水源等其它环境敏感区，项目场地地下水敏感程度为不敏感。</w:t>
      </w:r>
      <w:r>
        <w:rPr>
          <w:spacing w:val="-4"/>
          <w:sz w:val="24"/>
        </w:rPr>
        <w:t>依据建设项目类别和地下水敏感程度，</w:t>
      </w:r>
      <w:r>
        <w:rPr>
          <w:spacing w:val="4"/>
          <w:sz w:val="24"/>
        </w:rPr>
        <w:t>地下水环境影响评价工作等级为三级。</w:t>
      </w:r>
    </w:p>
    <w:p>
      <w:pPr>
        <w:spacing w:line="520" w:lineRule="exact"/>
        <w:ind w:firstLine="480" w:firstLineChars="200"/>
        <w:rPr>
          <w:bCs/>
          <w:sz w:val="24"/>
        </w:rPr>
      </w:pPr>
      <w:r>
        <w:rPr>
          <w:bCs/>
          <w:sz w:val="24"/>
        </w:rPr>
        <w:t>评价范围：养殖场及沼液消纳地周边1km范围内浅层地下水。</w:t>
      </w:r>
    </w:p>
    <w:p>
      <w:pPr>
        <w:spacing w:line="600" w:lineRule="exact"/>
        <w:outlineLvl w:val="2"/>
        <w:rPr>
          <w:color w:val="000000"/>
          <w:sz w:val="24"/>
        </w:rPr>
      </w:pPr>
      <w:r>
        <w:rPr>
          <w:b/>
          <w:color w:val="000000"/>
          <w:sz w:val="24"/>
        </w:rPr>
        <w:t>1.10.4噪声</w:t>
      </w:r>
    </w:p>
    <w:p>
      <w:pPr>
        <w:spacing w:line="500" w:lineRule="exact"/>
        <w:ind w:firstLine="480" w:firstLineChars="200"/>
        <w:rPr>
          <w:color w:val="000000"/>
          <w:sz w:val="24"/>
        </w:rPr>
      </w:pPr>
      <w:r>
        <w:rPr>
          <w:color w:val="000000"/>
          <w:sz w:val="24"/>
        </w:rPr>
        <w:t>项目区域属于《声环境质量标准》（GB3096-2008）规定的2类功能区。营运期噪声源主要来自</w:t>
      </w:r>
      <w:r>
        <w:rPr>
          <w:bCs/>
          <w:color w:val="000000"/>
          <w:sz w:val="24"/>
        </w:rPr>
        <w:t>废水处理设备、风机等运行产生的设备噪声及猪叫声</w:t>
      </w:r>
      <w:r>
        <w:rPr>
          <w:color w:val="000000"/>
          <w:sz w:val="24"/>
        </w:rPr>
        <w:t>，高压水枪使用时空压机噪声，工程建设前后，噪声级增加量不大，根据《环境影响评价技术导则—声环境》（HJ2.4-2009），声环境影响评价等级为二级。</w:t>
      </w:r>
    </w:p>
    <w:p>
      <w:pPr>
        <w:spacing w:line="500" w:lineRule="exact"/>
        <w:ind w:firstLine="480" w:firstLineChars="200"/>
        <w:rPr>
          <w:color w:val="000000"/>
          <w:sz w:val="24"/>
        </w:rPr>
      </w:pPr>
      <w:r>
        <w:rPr>
          <w:color w:val="000000"/>
          <w:sz w:val="24"/>
        </w:rPr>
        <w:t>本项目声环境评价等级划分详见表1</w:t>
      </w:r>
      <w:r>
        <w:rPr>
          <w:rFonts w:hint="eastAsia"/>
          <w:color w:val="000000"/>
          <w:sz w:val="24"/>
          <w:lang w:val="en-US" w:eastAsia="zh-CN"/>
        </w:rPr>
        <w:t>.10-6</w:t>
      </w:r>
      <w:r>
        <w:rPr>
          <w:color w:val="000000"/>
          <w:sz w:val="24"/>
        </w:rPr>
        <w:t>。</w:t>
      </w:r>
    </w:p>
    <w:p>
      <w:pPr>
        <w:spacing w:line="500" w:lineRule="exact"/>
        <w:ind w:firstLine="422" w:firstLineChars="200"/>
        <w:jc w:val="center"/>
        <w:rPr>
          <w:b/>
          <w:color w:val="000000"/>
          <w:szCs w:val="21"/>
        </w:rPr>
      </w:pPr>
      <w:r>
        <w:rPr>
          <w:b/>
          <w:color w:val="000000"/>
          <w:szCs w:val="21"/>
        </w:rPr>
        <w:t>表1</w:t>
      </w:r>
      <w:r>
        <w:rPr>
          <w:rFonts w:hint="eastAsia"/>
          <w:b/>
          <w:color w:val="000000"/>
          <w:szCs w:val="21"/>
          <w:lang w:val="en-US" w:eastAsia="zh-CN"/>
        </w:rPr>
        <w:t>.10-6</w:t>
      </w:r>
      <w:r>
        <w:rPr>
          <w:b/>
          <w:color w:val="000000"/>
          <w:szCs w:val="21"/>
        </w:rPr>
        <w:t xml:space="preserve">   声环境评价等级划分表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38"/>
        <w:gridCol w:w="4017"/>
        <w:gridCol w:w="1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b/>
                <w:color w:val="000000"/>
                <w:szCs w:val="21"/>
              </w:rPr>
            </w:pPr>
            <w:r>
              <w:rPr>
                <w:b/>
                <w:color w:val="000000"/>
                <w:szCs w:val="21"/>
              </w:rPr>
              <w:t>评价类别</w:t>
            </w:r>
          </w:p>
        </w:tc>
        <w:tc>
          <w:tcPr>
            <w:tcW w:w="4017" w:type="dxa"/>
            <w:vAlign w:val="center"/>
          </w:tcPr>
          <w:p>
            <w:pPr>
              <w:spacing w:line="320" w:lineRule="exact"/>
              <w:jc w:val="center"/>
              <w:rPr>
                <w:b/>
                <w:color w:val="000000"/>
                <w:szCs w:val="21"/>
              </w:rPr>
            </w:pPr>
            <w:r>
              <w:rPr>
                <w:b/>
                <w:color w:val="000000"/>
                <w:szCs w:val="21"/>
              </w:rPr>
              <w:t>指标</w:t>
            </w:r>
          </w:p>
        </w:tc>
        <w:tc>
          <w:tcPr>
            <w:tcW w:w="1691" w:type="dxa"/>
            <w:vAlign w:val="center"/>
          </w:tcPr>
          <w:p>
            <w:pPr>
              <w:spacing w:line="320" w:lineRule="exact"/>
              <w:jc w:val="center"/>
              <w:rPr>
                <w:b/>
                <w:color w:val="000000"/>
                <w:szCs w:val="21"/>
              </w:rPr>
            </w:pPr>
            <w:r>
              <w:rPr>
                <w:b/>
                <w:color w:val="000000"/>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color w:val="000000"/>
                <w:szCs w:val="21"/>
              </w:rPr>
            </w:pPr>
            <w:r>
              <w:rPr>
                <w:color w:val="000000"/>
                <w:szCs w:val="21"/>
              </w:rPr>
              <w:t>所在区域环境功能区划</w:t>
            </w:r>
          </w:p>
        </w:tc>
        <w:tc>
          <w:tcPr>
            <w:tcW w:w="4017" w:type="dxa"/>
            <w:vAlign w:val="center"/>
          </w:tcPr>
          <w:p>
            <w:pPr>
              <w:spacing w:line="320" w:lineRule="exact"/>
              <w:jc w:val="center"/>
              <w:rPr>
                <w:color w:val="000000"/>
                <w:szCs w:val="21"/>
              </w:rPr>
            </w:pPr>
            <w:r>
              <w:rPr>
                <w:color w:val="000000"/>
                <w:szCs w:val="21"/>
              </w:rPr>
              <w:t>GB3096-2008  2类</w:t>
            </w:r>
          </w:p>
        </w:tc>
        <w:tc>
          <w:tcPr>
            <w:tcW w:w="1691" w:type="dxa"/>
            <w:vMerge w:val="restart"/>
            <w:vAlign w:val="center"/>
          </w:tcPr>
          <w:p>
            <w:pPr>
              <w:spacing w:line="320" w:lineRule="exact"/>
              <w:jc w:val="center"/>
              <w:rPr>
                <w:color w:val="000000"/>
                <w:szCs w:val="21"/>
              </w:rPr>
            </w:pPr>
            <w:r>
              <w:rPr>
                <w:color w:val="000000"/>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color w:val="000000"/>
                <w:szCs w:val="21"/>
              </w:rPr>
            </w:pPr>
            <w:r>
              <w:rPr>
                <w:color w:val="000000"/>
                <w:szCs w:val="21"/>
              </w:rPr>
              <w:t>受影响人口及噪声级变化</w:t>
            </w:r>
          </w:p>
        </w:tc>
        <w:tc>
          <w:tcPr>
            <w:tcW w:w="4017" w:type="dxa"/>
            <w:vAlign w:val="center"/>
          </w:tcPr>
          <w:p>
            <w:pPr>
              <w:spacing w:line="320" w:lineRule="exact"/>
              <w:jc w:val="center"/>
              <w:rPr>
                <w:color w:val="000000"/>
                <w:szCs w:val="21"/>
              </w:rPr>
            </w:pPr>
            <w:r>
              <w:rPr>
                <w:color w:val="000000"/>
                <w:szCs w:val="21"/>
              </w:rPr>
              <w:t>变化不大，预计增加＜3dB(A)</w:t>
            </w:r>
          </w:p>
        </w:tc>
        <w:tc>
          <w:tcPr>
            <w:tcW w:w="1691" w:type="dxa"/>
            <w:vMerge w:val="continue"/>
            <w:vAlign w:val="center"/>
          </w:tcPr>
          <w:p>
            <w:pPr>
              <w:spacing w:line="320"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color w:val="000000"/>
                <w:szCs w:val="21"/>
              </w:rPr>
            </w:pPr>
            <w:r>
              <w:rPr>
                <w:color w:val="000000"/>
                <w:szCs w:val="21"/>
              </w:rPr>
              <w:t>噪声源种类及数量</w:t>
            </w:r>
          </w:p>
        </w:tc>
        <w:tc>
          <w:tcPr>
            <w:tcW w:w="4017" w:type="dxa"/>
            <w:vAlign w:val="center"/>
          </w:tcPr>
          <w:p>
            <w:pPr>
              <w:spacing w:line="320" w:lineRule="exact"/>
              <w:jc w:val="center"/>
              <w:rPr>
                <w:color w:val="000000"/>
                <w:szCs w:val="21"/>
              </w:rPr>
            </w:pPr>
            <w:r>
              <w:rPr>
                <w:color w:val="000000"/>
                <w:szCs w:val="21"/>
              </w:rPr>
              <w:t>略有增加</w:t>
            </w:r>
          </w:p>
        </w:tc>
        <w:tc>
          <w:tcPr>
            <w:tcW w:w="1691" w:type="dxa"/>
            <w:vMerge w:val="continue"/>
            <w:vAlign w:val="center"/>
          </w:tcPr>
          <w:p>
            <w:pPr>
              <w:spacing w:line="320" w:lineRule="exact"/>
              <w:jc w:val="center"/>
              <w:rPr>
                <w:color w:val="000000"/>
                <w:szCs w:val="21"/>
              </w:rPr>
            </w:pPr>
          </w:p>
        </w:tc>
      </w:tr>
    </w:tbl>
    <w:p>
      <w:pPr>
        <w:spacing w:line="500" w:lineRule="exact"/>
        <w:ind w:firstLine="480" w:firstLineChars="200"/>
        <w:rPr>
          <w:color w:val="000000"/>
          <w:sz w:val="24"/>
        </w:rPr>
      </w:pPr>
      <w:r>
        <w:rPr>
          <w:color w:val="000000"/>
          <w:sz w:val="24"/>
        </w:rPr>
        <w:t>评价范围：项目边界外200m范围内。</w:t>
      </w:r>
    </w:p>
    <w:p>
      <w:pPr>
        <w:spacing w:line="600" w:lineRule="exact"/>
        <w:outlineLvl w:val="2"/>
        <w:rPr>
          <w:color w:val="000000"/>
          <w:sz w:val="24"/>
        </w:rPr>
      </w:pPr>
      <w:r>
        <w:rPr>
          <w:b/>
          <w:color w:val="000000"/>
          <w:sz w:val="24"/>
        </w:rPr>
        <w:t>1.10.5生态环境</w:t>
      </w:r>
    </w:p>
    <w:p>
      <w:pPr>
        <w:spacing w:line="520" w:lineRule="exact"/>
        <w:ind w:firstLine="480" w:firstLineChars="200"/>
        <w:rPr>
          <w:color w:val="000000"/>
          <w:sz w:val="24"/>
        </w:rPr>
      </w:pPr>
      <w:r>
        <w:rPr>
          <w:color w:val="000000"/>
          <w:sz w:val="24"/>
        </w:rPr>
        <w:t>场址所在地为</w:t>
      </w:r>
      <w:r>
        <w:rPr>
          <w:rFonts w:hint="eastAsia"/>
          <w:color w:val="000000"/>
          <w:sz w:val="24"/>
          <w:lang w:val="en-US" w:eastAsia="zh-CN"/>
        </w:rPr>
        <w:t>林地</w:t>
      </w:r>
      <w:r>
        <w:rPr>
          <w:color w:val="000000"/>
          <w:sz w:val="24"/>
        </w:rPr>
        <w:t>，不涉及基本农田。不属于生态敏感区，项目占地</w:t>
      </w:r>
      <w:r>
        <w:rPr>
          <w:rFonts w:hint="eastAsia"/>
          <w:color w:val="000000"/>
          <w:sz w:val="24"/>
          <w:lang w:val="en-US" w:eastAsia="zh-CN"/>
        </w:rPr>
        <w:t>67.4999</w:t>
      </w:r>
      <w:r>
        <w:rPr>
          <w:color w:val="000000"/>
          <w:sz w:val="24"/>
        </w:rPr>
        <w:t>亩，根据《环境影响评价技术导则—生态影响》（HJ19-2011），结合项目特点及现场调查，区域内无特殊生态敏感区和重要生态敏感区，因此生态影响评价工作等级为三级，对区域生态环境的影响主要集中在施工期。</w:t>
      </w:r>
    </w:p>
    <w:p>
      <w:pPr>
        <w:spacing w:line="520" w:lineRule="exact"/>
        <w:ind w:firstLine="422" w:firstLineChars="200"/>
        <w:jc w:val="center"/>
        <w:rPr>
          <w:b/>
          <w:color w:val="000000"/>
          <w:szCs w:val="21"/>
        </w:rPr>
      </w:pPr>
      <w:r>
        <w:rPr>
          <w:b/>
          <w:color w:val="000000"/>
          <w:szCs w:val="21"/>
        </w:rPr>
        <w:t>表1</w:t>
      </w:r>
      <w:r>
        <w:rPr>
          <w:rFonts w:hint="eastAsia"/>
          <w:b/>
          <w:color w:val="000000"/>
          <w:szCs w:val="21"/>
          <w:lang w:val="en-US" w:eastAsia="zh-CN"/>
        </w:rPr>
        <w:t>.10-7</w:t>
      </w:r>
      <w:r>
        <w:rPr>
          <w:b/>
          <w:color w:val="000000"/>
          <w:szCs w:val="21"/>
        </w:rPr>
        <w:t xml:space="preserve">   生态影响评价工作等级划分表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2319"/>
        <w:gridCol w:w="2675"/>
        <w:gridCol w:w="21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Merge w:val="restart"/>
            <w:vAlign w:val="center"/>
          </w:tcPr>
          <w:p>
            <w:pPr>
              <w:adjustRightInd w:val="0"/>
              <w:snapToGrid w:val="0"/>
              <w:spacing w:line="320" w:lineRule="exact"/>
              <w:jc w:val="center"/>
              <w:rPr>
                <w:b/>
                <w:color w:val="000000"/>
                <w:kern w:val="0"/>
                <w:szCs w:val="21"/>
              </w:rPr>
            </w:pPr>
            <w:r>
              <w:rPr>
                <w:b/>
                <w:color w:val="000000"/>
                <w:kern w:val="0"/>
                <w:szCs w:val="21"/>
              </w:rPr>
              <w:t>影响区域生态敏感性</w:t>
            </w:r>
          </w:p>
        </w:tc>
        <w:tc>
          <w:tcPr>
            <w:tcW w:w="7096" w:type="dxa"/>
            <w:gridSpan w:val="3"/>
            <w:vAlign w:val="center"/>
          </w:tcPr>
          <w:p>
            <w:pPr>
              <w:adjustRightInd w:val="0"/>
              <w:snapToGrid w:val="0"/>
              <w:spacing w:line="320" w:lineRule="exact"/>
              <w:jc w:val="center"/>
              <w:rPr>
                <w:b/>
                <w:color w:val="000000"/>
                <w:kern w:val="0"/>
                <w:szCs w:val="21"/>
              </w:rPr>
            </w:pPr>
            <w:r>
              <w:rPr>
                <w:b/>
                <w:color w:val="000000"/>
                <w:kern w:val="0"/>
                <w:szCs w:val="21"/>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Merge w:val="continue"/>
            <w:vAlign w:val="center"/>
          </w:tcPr>
          <w:p>
            <w:pPr>
              <w:adjustRightInd w:val="0"/>
              <w:snapToGrid w:val="0"/>
              <w:spacing w:line="320" w:lineRule="exact"/>
              <w:jc w:val="center"/>
              <w:rPr>
                <w:b/>
                <w:color w:val="000000"/>
                <w:kern w:val="0"/>
                <w:szCs w:val="21"/>
              </w:rPr>
            </w:pPr>
          </w:p>
        </w:tc>
        <w:tc>
          <w:tcPr>
            <w:tcW w:w="2319" w:type="dxa"/>
            <w:vAlign w:val="center"/>
          </w:tcPr>
          <w:p>
            <w:pPr>
              <w:adjustRightInd w:val="0"/>
              <w:snapToGrid w:val="0"/>
              <w:spacing w:line="320" w:lineRule="exact"/>
              <w:jc w:val="center"/>
              <w:rPr>
                <w:b/>
                <w:color w:val="000000"/>
                <w:kern w:val="0"/>
                <w:szCs w:val="21"/>
              </w:rPr>
            </w:pPr>
            <w:r>
              <w:rPr>
                <w:b/>
                <w:color w:val="000000"/>
                <w:kern w:val="0"/>
                <w:szCs w:val="21"/>
              </w:rPr>
              <w:t>面积≥20km</w:t>
            </w:r>
            <w:r>
              <w:rPr>
                <w:b/>
                <w:color w:val="000000"/>
                <w:kern w:val="0"/>
                <w:szCs w:val="21"/>
                <w:vertAlign w:val="superscript"/>
              </w:rPr>
              <w:t>2</w:t>
            </w:r>
            <w:r>
              <w:rPr>
                <w:b/>
                <w:color w:val="000000"/>
                <w:kern w:val="0"/>
                <w:szCs w:val="21"/>
              </w:rPr>
              <w:t>或长度≥100km</w:t>
            </w:r>
          </w:p>
        </w:tc>
        <w:tc>
          <w:tcPr>
            <w:tcW w:w="2675" w:type="dxa"/>
            <w:vAlign w:val="center"/>
          </w:tcPr>
          <w:p>
            <w:pPr>
              <w:adjustRightInd w:val="0"/>
              <w:snapToGrid w:val="0"/>
              <w:spacing w:line="320" w:lineRule="exact"/>
              <w:jc w:val="center"/>
              <w:rPr>
                <w:b/>
                <w:color w:val="000000"/>
                <w:kern w:val="0"/>
                <w:szCs w:val="21"/>
              </w:rPr>
            </w:pPr>
            <w:r>
              <w:rPr>
                <w:b/>
                <w:color w:val="000000"/>
                <w:kern w:val="0"/>
                <w:szCs w:val="21"/>
              </w:rPr>
              <w:t>面积2km</w:t>
            </w:r>
            <w:r>
              <w:rPr>
                <w:b/>
                <w:color w:val="000000"/>
                <w:kern w:val="0"/>
                <w:szCs w:val="21"/>
                <w:vertAlign w:val="superscript"/>
              </w:rPr>
              <w:t>2</w:t>
            </w:r>
            <w:r>
              <w:rPr>
                <w:b/>
                <w:color w:val="000000"/>
                <w:kern w:val="0"/>
                <w:szCs w:val="21"/>
              </w:rPr>
              <w:t>～20km</w:t>
            </w:r>
            <w:r>
              <w:rPr>
                <w:b/>
                <w:color w:val="000000"/>
                <w:kern w:val="0"/>
                <w:szCs w:val="21"/>
                <w:vertAlign w:val="superscript"/>
              </w:rPr>
              <w:t>2</w:t>
            </w:r>
            <w:r>
              <w:rPr>
                <w:b/>
                <w:color w:val="000000"/>
                <w:kern w:val="0"/>
                <w:szCs w:val="21"/>
              </w:rPr>
              <w:t>或长度50km～100km</w:t>
            </w:r>
          </w:p>
        </w:tc>
        <w:tc>
          <w:tcPr>
            <w:tcW w:w="2102" w:type="dxa"/>
            <w:vAlign w:val="center"/>
          </w:tcPr>
          <w:p>
            <w:pPr>
              <w:adjustRightInd w:val="0"/>
              <w:snapToGrid w:val="0"/>
              <w:spacing w:line="320" w:lineRule="exact"/>
              <w:jc w:val="center"/>
              <w:rPr>
                <w:b/>
                <w:color w:val="000000"/>
                <w:kern w:val="0"/>
                <w:szCs w:val="21"/>
              </w:rPr>
            </w:pPr>
            <w:r>
              <w:rPr>
                <w:b/>
                <w:color w:val="000000"/>
                <w:kern w:val="0"/>
                <w:szCs w:val="21"/>
              </w:rPr>
              <w:t>面积≤2km</w:t>
            </w:r>
            <w:r>
              <w:rPr>
                <w:b/>
                <w:color w:val="000000"/>
                <w:kern w:val="0"/>
                <w:szCs w:val="21"/>
                <w:vertAlign w:val="superscript"/>
              </w:rPr>
              <w:t>2</w:t>
            </w:r>
            <w:r>
              <w:rPr>
                <w:b/>
                <w:color w:val="000000"/>
                <w:kern w:val="0"/>
                <w:szCs w:val="21"/>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Align w:val="center"/>
          </w:tcPr>
          <w:p>
            <w:pPr>
              <w:adjustRightInd w:val="0"/>
              <w:snapToGrid w:val="0"/>
              <w:spacing w:line="320" w:lineRule="exact"/>
              <w:jc w:val="center"/>
              <w:rPr>
                <w:color w:val="000000"/>
                <w:kern w:val="0"/>
                <w:szCs w:val="21"/>
              </w:rPr>
            </w:pPr>
            <w:r>
              <w:rPr>
                <w:color w:val="000000"/>
                <w:kern w:val="0"/>
                <w:szCs w:val="21"/>
              </w:rPr>
              <w:t>特殊生态敏感区</w:t>
            </w:r>
          </w:p>
        </w:tc>
        <w:tc>
          <w:tcPr>
            <w:tcW w:w="2319" w:type="dxa"/>
            <w:vAlign w:val="center"/>
          </w:tcPr>
          <w:p>
            <w:pPr>
              <w:adjustRightInd w:val="0"/>
              <w:snapToGrid w:val="0"/>
              <w:spacing w:line="320" w:lineRule="exact"/>
              <w:jc w:val="center"/>
              <w:rPr>
                <w:color w:val="000000"/>
                <w:kern w:val="0"/>
                <w:szCs w:val="21"/>
              </w:rPr>
            </w:pPr>
            <w:r>
              <w:rPr>
                <w:color w:val="000000"/>
                <w:kern w:val="0"/>
                <w:szCs w:val="21"/>
              </w:rPr>
              <w:t>一级</w:t>
            </w:r>
          </w:p>
        </w:tc>
        <w:tc>
          <w:tcPr>
            <w:tcW w:w="2675" w:type="dxa"/>
            <w:vAlign w:val="center"/>
          </w:tcPr>
          <w:p>
            <w:pPr>
              <w:adjustRightInd w:val="0"/>
              <w:snapToGrid w:val="0"/>
              <w:spacing w:line="320" w:lineRule="exact"/>
              <w:jc w:val="center"/>
              <w:rPr>
                <w:color w:val="000000"/>
                <w:kern w:val="0"/>
                <w:szCs w:val="21"/>
              </w:rPr>
            </w:pPr>
            <w:r>
              <w:rPr>
                <w:color w:val="000000"/>
                <w:kern w:val="0"/>
                <w:szCs w:val="21"/>
              </w:rPr>
              <w:t>一级</w:t>
            </w:r>
          </w:p>
        </w:tc>
        <w:tc>
          <w:tcPr>
            <w:tcW w:w="2102" w:type="dxa"/>
            <w:vAlign w:val="center"/>
          </w:tcPr>
          <w:p>
            <w:pPr>
              <w:adjustRightInd w:val="0"/>
              <w:snapToGrid w:val="0"/>
              <w:spacing w:line="320" w:lineRule="exact"/>
              <w:jc w:val="center"/>
              <w:rPr>
                <w:color w:val="000000"/>
                <w:kern w:val="0"/>
                <w:szCs w:val="21"/>
              </w:rPr>
            </w:pPr>
            <w:r>
              <w:rPr>
                <w:color w:val="000000"/>
                <w:kern w:val="0"/>
                <w:szCs w:val="21"/>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Align w:val="center"/>
          </w:tcPr>
          <w:p>
            <w:pPr>
              <w:adjustRightInd w:val="0"/>
              <w:snapToGrid w:val="0"/>
              <w:spacing w:line="320" w:lineRule="exact"/>
              <w:jc w:val="center"/>
              <w:rPr>
                <w:color w:val="000000"/>
                <w:kern w:val="0"/>
                <w:szCs w:val="21"/>
              </w:rPr>
            </w:pPr>
            <w:r>
              <w:rPr>
                <w:color w:val="000000"/>
                <w:kern w:val="0"/>
                <w:szCs w:val="21"/>
              </w:rPr>
              <w:t>重要生态敏感区</w:t>
            </w:r>
          </w:p>
        </w:tc>
        <w:tc>
          <w:tcPr>
            <w:tcW w:w="2319" w:type="dxa"/>
            <w:vAlign w:val="center"/>
          </w:tcPr>
          <w:p>
            <w:pPr>
              <w:adjustRightInd w:val="0"/>
              <w:snapToGrid w:val="0"/>
              <w:spacing w:line="320" w:lineRule="exact"/>
              <w:jc w:val="center"/>
              <w:rPr>
                <w:color w:val="000000"/>
                <w:kern w:val="0"/>
                <w:szCs w:val="21"/>
              </w:rPr>
            </w:pPr>
            <w:r>
              <w:rPr>
                <w:color w:val="000000"/>
                <w:kern w:val="0"/>
                <w:szCs w:val="21"/>
              </w:rPr>
              <w:t>一级</w:t>
            </w:r>
          </w:p>
        </w:tc>
        <w:tc>
          <w:tcPr>
            <w:tcW w:w="2675" w:type="dxa"/>
            <w:vAlign w:val="center"/>
          </w:tcPr>
          <w:p>
            <w:pPr>
              <w:adjustRightInd w:val="0"/>
              <w:snapToGrid w:val="0"/>
              <w:spacing w:line="320" w:lineRule="exact"/>
              <w:jc w:val="center"/>
              <w:rPr>
                <w:color w:val="000000"/>
                <w:kern w:val="0"/>
                <w:szCs w:val="21"/>
              </w:rPr>
            </w:pPr>
            <w:r>
              <w:rPr>
                <w:color w:val="000000"/>
                <w:kern w:val="0"/>
                <w:szCs w:val="21"/>
              </w:rPr>
              <w:t>二级</w:t>
            </w:r>
          </w:p>
        </w:tc>
        <w:tc>
          <w:tcPr>
            <w:tcW w:w="2102" w:type="dxa"/>
            <w:vAlign w:val="center"/>
          </w:tcPr>
          <w:p>
            <w:pPr>
              <w:adjustRightInd w:val="0"/>
              <w:snapToGrid w:val="0"/>
              <w:spacing w:line="320" w:lineRule="exact"/>
              <w:jc w:val="center"/>
              <w:rPr>
                <w:color w:val="000000"/>
                <w:kern w:val="0"/>
                <w:szCs w:val="21"/>
              </w:rPr>
            </w:pPr>
            <w:r>
              <w:rPr>
                <w:color w:val="000000"/>
                <w:kern w:val="0"/>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Align w:val="center"/>
          </w:tcPr>
          <w:p>
            <w:pPr>
              <w:adjustRightInd w:val="0"/>
              <w:snapToGrid w:val="0"/>
              <w:spacing w:line="320" w:lineRule="exact"/>
              <w:jc w:val="center"/>
              <w:rPr>
                <w:color w:val="000000"/>
                <w:kern w:val="0"/>
                <w:szCs w:val="21"/>
              </w:rPr>
            </w:pPr>
            <w:r>
              <w:rPr>
                <w:color w:val="000000"/>
                <w:kern w:val="0"/>
                <w:szCs w:val="21"/>
              </w:rPr>
              <w:t>一般区域</w:t>
            </w:r>
          </w:p>
        </w:tc>
        <w:tc>
          <w:tcPr>
            <w:tcW w:w="2319" w:type="dxa"/>
            <w:vAlign w:val="center"/>
          </w:tcPr>
          <w:p>
            <w:pPr>
              <w:adjustRightInd w:val="0"/>
              <w:snapToGrid w:val="0"/>
              <w:spacing w:line="320" w:lineRule="exact"/>
              <w:jc w:val="center"/>
              <w:rPr>
                <w:color w:val="000000"/>
                <w:kern w:val="0"/>
                <w:szCs w:val="21"/>
              </w:rPr>
            </w:pPr>
            <w:r>
              <w:rPr>
                <w:color w:val="000000"/>
                <w:kern w:val="0"/>
                <w:szCs w:val="21"/>
              </w:rPr>
              <w:t>二级</w:t>
            </w:r>
          </w:p>
        </w:tc>
        <w:tc>
          <w:tcPr>
            <w:tcW w:w="2675" w:type="dxa"/>
            <w:vAlign w:val="center"/>
          </w:tcPr>
          <w:p>
            <w:pPr>
              <w:adjustRightInd w:val="0"/>
              <w:snapToGrid w:val="0"/>
              <w:spacing w:line="320" w:lineRule="exact"/>
              <w:jc w:val="center"/>
              <w:rPr>
                <w:color w:val="000000"/>
                <w:kern w:val="0"/>
                <w:szCs w:val="21"/>
              </w:rPr>
            </w:pPr>
            <w:r>
              <w:rPr>
                <w:color w:val="000000"/>
                <w:kern w:val="0"/>
                <w:szCs w:val="21"/>
              </w:rPr>
              <w:t>三级</w:t>
            </w:r>
          </w:p>
        </w:tc>
        <w:tc>
          <w:tcPr>
            <w:tcW w:w="2102" w:type="dxa"/>
            <w:vAlign w:val="center"/>
          </w:tcPr>
          <w:p>
            <w:pPr>
              <w:adjustRightInd w:val="0"/>
              <w:snapToGrid w:val="0"/>
              <w:spacing w:line="320" w:lineRule="exact"/>
              <w:jc w:val="center"/>
              <w:rPr>
                <w:b/>
                <w:color w:val="000000"/>
                <w:kern w:val="0"/>
                <w:szCs w:val="21"/>
              </w:rPr>
            </w:pPr>
            <w:r>
              <w:rPr>
                <w:b/>
                <w:color w:val="000000"/>
                <w:kern w:val="0"/>
                <w:szCs w:val="21"/>
              </w:rPr>
              <w:t>三级</w:t>
            </w:r>
          </w:p>
        </w:tc>
      </w:tr>
    </w:tbl>
    <w:p>
      <w:pPr>
        <w:spacing w:line="600" w:lineRule="exact"/>
        <w:outlineLvl w:val="2"/>
        <w:rPr>
          <w:color w:val="000000"/>
          <w:sz w:val="24"/>
        </w:rPr>
      </w:pPr>
      <w:r>
        <w:rPr>
          <w:b/>
          <w:color w:val="000000"/>
          <w:sz w:val="24"/>
        </w:rPr>
        <w:t>1.10.6环境风险</w:t>
      </w:r>
    </w:p>
    <w:p>
      <w:pPr>
        <w:autoSpaceDE w:val="0"/>
        <w:autoSpaceDN w:val="0"/>
        <w:adjustRightInd w:val="0"/>
        <w:snapToGrid w:val="0"/>
        <w:spacing w:line="520" w:lineRule="exact"/>
        <w:ind w:firstLine="480" w:firstLineChars="200"/>
        <w:jc w:val="left"/>
        <w:rPr>
          <w:b w:val="0"/>
          <w:bCs/>
          <w:color w:val="000000"/>
          <w:sz w:val="24"/>
          <w:szCs w:val="28"/>
          <w:u w:val="none"/>
        </w:rPr>
      </w:pPr>
      <w:r>
        <w:rPr>
          <w:b w:val="0"/>
          <w:bCs/>
          <w:color w:val="000000"/>
          <w:sz w:val="24"/>
          <w:szCs w:val="28"/>
          <w:u w:val="none"/>
        </w:rPr>
        <w:t>根据《建设项目环境风险评价技术导则》（HJ/T169－2018）附录B及附录C，本项目q&lt;1，评价工作等级为简单分析。</w:t>
      </w:r>
    </w:p>
    <w:p>
      <w:pPr>
        <w:autoSpaceDE w:val="0"/>
        <w:autoSpaceDN w:val="0"/>
        <w:adjustRightInd w:val="0"/>
        <w:snapToGrid w:val="0"/>
        <w:spacing w:line="600" w:lineRule="exact"/>
        <w:jc w:val="left"/>
        <w:outlineLvl w:val="2"/>
        <w:rPr>
          <w:color w:val="000000"/>
          <w:sz w:val="24"/>
          <w:szCs w:val="28"/>
        </w:rPr>
      </w:pPr>
      <w:r>
        <w:rPr>
          <w:b/>
          <w:color w:val="000000"/>
          <w:sz w:val="24"/>
        </w:rPr>
        <w:t>1.10.7 评价工作等级及评价范围汇总</w:t>
      </w:r>
    </w:p>
    <w:p>
      <w:pPr>
        <w:autoSpaceDE w:val="0"/>
        <w:autoSpaceDN w:val="0"/>
        <w:adjustRightInd w:val="0"/>
        <w:snapToGrid w:val="0"/>
        <w:spacing w:line="520" w:lineRule="exact"/>
        <w:ind w:firstLine="480" w:firstLineChars="200"/>
        <w:jc w:val="left"/>
        <w:rPr>
          <w:color w:val="000000"/>
          <w:sz w:val="24"/>
          <w:szCs w:val="28"/>
        </w:rPr>
      </w:pPr>
      <w:r>
        <w:rPr>
          <w:color w:val="000000"/>
          <w:sz w:val="24"/>
          <w:szCs w:val="28"/>
        </w:rPr>
        <w:t>项目的评价工作等级及评价范围汇总详见表1</w:t>
      </w:r>
      <w:r>
        <w:rPr>
          <w:rFonts w:hint="eastAsia"/>
          <w:color w:val="000000"/>
          <w:sz w:val="24"/>
          <w:szCs w:val="28"/>
          <w:lang w:val="en-US" w:eastAsia="zh-CN"/>
        </w:rPr>
        <w:t>.10-8</w:t>
      </w:r>
      <w:r>
        <w:rPr>
          <w:color w:val="000000"/>
          <w:sz w:val="24"/>
          <w:szCs w:val="28"/>
        </w:rPr>
        <w:t>。</w:t>
      </w:r>
    </w:p>
    <w:p>
      <w:pPr>
        <w:autoSpaceDE w:val="0"/>
        <w:autoSpaceDN w:val="0"/>
        <w:adjustRightInd w:val="0"/>
        <w:snapToGrid w:val="0"/>
        <w:spacing w:line="520" w:lineRule="exact"/>
        <w:jc w:val="center"/>
        <w:rPr>
          <w:b/>
          <w:color w:val="000000"/>
          <w:szCs w:val="21"/>
        </w:rPr>
      </w:pPr>
      <w:r>
        <w:rPr>
          <w:b/>
          <w:color w:val="000000"/>
          <w:szCs w:val="21"/>
        </w:rPr>
        <w:t>表1</w:t>
      </w:r>
      <w:r>
        <w:rPr>
          <w:rFonts w:hint="eastAsia"/>
          <w:b/>
          <w:color w:val="000000"/>
          <w:szCs w:val="21"/>
          <w:lang w:val="en-US" w:eastAsia="zh-CN"/>
        </w:rPr>
        <w:t>.10-8</w:t>
      </w:r>
      <w:r>
        <w:rPr>
          <w:b/>
          <w:color w:val="000000"/>
          <w:szCs w:val="21"/>
        </w:rPr>
        <w:t xml:space="preserve">   评价工作等级及评价范围一览表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4"/>
        <w:gridCol w:w="1784"/>
        <w:gridCol w:w="1560"/>
        <w:gridCol w:w="486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4" w:hRule="atLeast"/>
          <w:jc w:val="center"/>
        </w:trPr>
        <w:tc>
          <w:tcPr>
            <w:tcW w:w="734" w:type="dxa"/>
            <w:vAlign w:val="center"/>
          </w:tcPr>
          <w:p>
            <w:pPr>
              <w:spacing w:line="320" w:lineRule="exact"/>
              <w:jc w:val="center"/>
              <w:rPr>
                <w:b/>
                <w:snapToGrid w:val="0"/>
                <w:color w:val="000000"/>
                <w:szCs w:val="21"/>
              </w:rPr>
            </w:pPr>
            <w:r>
              <w:rPr>
                <w:b/>
                <w:snapToGrid w:val="0"/>
                <w:color w:val="000000"/>
                <w:szCs w:val="21"/>
              </w:rPr>
              <w:t>序号</w:t>
            </w:r>
          </w:p>
        </w:tc>
        <w:tc>
          <w:tcPr>
            <w:tcW w:w="1784" w:type="dxa"/>
            <w:vAlign w:val="center"/>
          </w:tcPr>
          <w:p>
            <w:pPr>
              <w:spacing w:line="320" w:lineRule="exact"/>
              <w:jc w:val="center"/>
              <w:rPr>
                <w:b/>
                <w:snapToGrid w:val="0"/>
                <w:color w:val="000000"/>
                <w:szCs w:val="21"/>
              </w:rPr>
            </w:pPr>
            <w:r>
              <w:rPr>
                <w:b/>
                <w:snapToGrid w:val="0"/>
                <w:color w:val="000000"/>
                <w:szCs w:val="21"/>
              </w:rPr>
              <w:t>环境要素</w:t>
            </w:r>
          </w:p>
        </w:tc>
        <w:tc>
          <w:tcPr>
            <w:tcW w:w="1560" w:type="dxa"/>
            <w:vAlign w:val="center"/>
          </w:tcPr>
          <w:p>
            <w:pPr>
              <w:spacing w:line="320" w:lineRule="exact"/>
              <w:jc w:val="center"/>
              <w:rPr>
                <w:b/>
                <w:snapToGrid w:val="0"/>
                <w:color w:val="000000"/>
                <w:szCs w:val="21"/>
              </w:rPr>
            </w:pPr>
            <w:r>
              <w:rPr>
                <w:b/>
                <w:snapToGrid w:val="0"/>
                <w:color w:val="000000"/>
                <w:szCs w:val="21"/>
              </w:rPr>
              <w:t>评价工作等级</w:t>
            </w:r>
          </w:p>
        </w:tc>
        <w:tc>
          <w:tcPr>
            <w:tcW w:w="4868" w:type="dxa"/>
            <w:vAlign w:val="center"/>
          </w:tcPr>
          <w:p>
            <w:pPr>
              <w:spacing w:line="320" w:lineRule="exact"/>
              <w:jc w:val="center"/>
              <w:rPr>
                <w:b/>
                <w:snapToGrid w:val="0"/>
                <w:color w:val="000000"/>
                <w:szCs w:val="21"/>
              </w:rPr>
            </w:pPr>
            <w:r>
              <w:rPr>
                <w:b/>
                <w:snapToGrid w:val="0"/>
                <w:color w:val="000000"/>
                <w:szCs w:val="21"/>
              </w:rPr>
              <w:t>评价范围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7" w:hRule="atLeast"/>
          <w:jc w:val="center"/>
        </w:trPr>
        <w:tc>
          <w:tcPr>
            <w:tcW w:w="734" w:type="dxa"/>
            <w:vAlign w:val="center"/>
          </w:tcPr>
          <w:p>
            <w:pPr>
              <w:spacing w:line="320" w:lineRule="exact"/>
              <w:jc w:val="center"/>
              <w:rPr>
                <w:snapToGrid w:val="0"/>
                <w:color w:val="000000"/>
                <w:szCs w:val="21"/>
              </w:rPr>
            </w:pPr>
            <w:r>
              <w:rPr>
                <w:snapToGrid w:val="0"/>
                <w:color w:val="000000"/>
                <w:szCs w:val="21"/>
              </w:rPr>
              <w:t>1</w:t>
            </w:r>
          </w:p>
        </w:tc>
        <w:tc>
          <w:tcPr>
            <w:tcW w:w="1784" w:type="dxa"/>
            <w:vAlign w:val="center"/>
          </w:tcPr>
          <w:p>
            <w:pPr>
              <w:spacing w:line="320" w:lineRule="exact"/>
              <w:jc w:val="center"/>
              <w:rPr>
                <w:snapToGrid w:val="0"/>
                <w:color w:val="000000"/>
                <w:szCs w:val="21"/>
              </w:rPr>
            </w:pPr>
            <w:r>
              <w:rPr>
                <w:snapToGrid w:val="0"/>
                <w:color w:val="000000"/>
                <w:szCs w:val="21"/>
              </w:rPr>
              <w:t>环境空气</w:t>
            </w:r>
          </w:p>
        </w:tc>
        <w:tc>
          <w:tcPr>
            <w:tcW w:w="1560" w:type="dxa"/>
            <w:vAlign w:val="center"/>
          </w:tcPr>
          <w:p>
            <w:pPr>
              <w:spacing w:line="320" w:lineRule="exact"/>
              <w:jc w:val="center"/>
              <w:rPr>
                <w:snapToGrid w:val="0"/>
                <w:color w:val="000000"/>
                <w:szCs w:val="21"/>
              </w:rPr>
            </w:pPr>
            <w:r>
              <w:rPr>
                <w:snapToGrid w:val="0"/>
                <w:color w:val="000000"/>
                <w:szCs w:val="21"/>
              </w:rPr>
              <w:t>二级</w:t>
            </w:r>
          </w:p>
        </w:tc>
        <w:tc>
          <w:tcPr>
            <w:tcW w:w="4868" w:type="dxa"/>
            <w:vAlign w:val="center"/>
          </w:tcPr>
          <w:p>
            <w:pPr>
              <w:spacing w:line="320" w:lineRule="exact"/>
              <w:jc w:val="center"/>
              <w:rPr>
                <w:snapToGrid w:val="0"/>
                <w:color w:val="000000"/>
                <w:szCs w:val="21"/>
              </w:rPr>
            </w:pPr>
            <w:r>
              <w:rPr>
                <w:snapToGrid w:val="0"/>
                <w:color w:val="000000"/>
                <w:szCs w:val="21"/>
                <w:lang w:val="en-GB"/>
              </w:rPr>
              <w:t>以养殖场区中心点为中点，边长为5km的正方形区域范围内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734" w:type="dxa"/>
            <w:vAlign w:val="center"/>
          </w:tcPr>
          <w:p>
            <w:pPr>
              <w:spacing w:line="320" w:lineRule="exact"/>
              <w:jc w:val="center"/>
              <w:rPr>
                <w:snapToGrid w:val="0"/>
                <w:color w:val="000000"/>
                <w:szCs w:val="21"/>
              </w:rPr>
            </w:pPr>
            <w:r>
              <w:rPr>
                <w:snapToGrid w:val="0"/>
                <w:color w:val="000000"/>
                <w:szCs w:val="21"/>
              </w:rPr>
              <w:t>2</w:t>
            </w:r>
          </w:p>
        </w:tc>
        <w:tc>
          <w:tcPr>
            <w:tcW w:w="1784" w:type="dxa"/>
            <w:vAlign w:val="center"/>
          </w:tcPr>
          <w:p>
            <w:pPr>
              <w:spacing w:line="320" w:lineRule="exact"/>
              <w:jc w:val="center"/>
              <w:rPr>
                <w:snapToGrid w:val="0"/>
                <w:color w:val="000000"/>
                <w:szCs w:val="21"/>
              </w:rPr>
            </w:pPr>
            <w:r>
              <w:rPr>
                <w:snapToGrid w:val="0"/>
                <w:color w:val="000000"/>
                <w:szCs w:val="21"/>
              </w:rPr>
              <w:t>地表水环境</w:t>
            </w:r>
          </w:p>
        </w:tc>
        <w:tc>
          <w:tcPr>
            <w:tcW w:w="1560" w:type="dxa"/>
            <w:vAlign w:val="center"/>
          </w:tcPr>
          <w:p>
            <w:pPr>
              <w:spacing w:line="320" w:lineRule="exact"/>
              <w:jc w:val="center"/>
              <w:rPr>
                <w:snapToGrid w:val="0"/>
                <w:color w:val="000000"/>
                <w:szCs w:val="21"/>
              </w:rPr>
            </w:pPr>
            <w:r>
              <w:rPr>
                <w:snapToGrid w:val="0"/>
                <w:color w:val="000000"/>
                <w:szCs w:val="21"/>
              </w:rPr>
              <w:t>低于三级</w:t>
            </w:r>
          </w:p>
        </w:tc>
        <w:tc>
          <w:tcPr>
            <w:tcW w:w="4868" w:type="dxa"/>
            <w:vAlign w:val="center"/>
          </w:tcPr>
          <w:p>
            <w:pPr>
              <w:spacing w:line="320" w:lineRule="exact"/>
              <w:jc w:val="center"/>
              <w:rPr>
                <w:snapToGrid w:val="0"/>
                <w:color w:val="000000"/>
                <w:szCs w:val="21"/>
              </w:rPr>
            </w:pPr>
            <w:r>
              <w:rPr>
                <w:snapToGrid w:val="0"/>
                <w:color w:val="000000"/>
                <w:szCs w:val="21"/>
              </w:rPr>
              <w:t>定性分析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734" w:type="dxa"/>
            <w:vAlign w:val="center"/>
          </w:tcPr>
          <w:p>
            <w:pPr>
              <w:spacing w:line="320" w:lineRule="exact"/>
              <w:jc w:val="center"/>
              <w:rPr>
                <w:snapToGrid w:val="0"/>
                <w:color w:val="000000"/>
                <w:szCs w:val="21"/>
              </w:rPr>
            </w:pPr>
            <w:r>
              <w:rPr>
                <w:snapToGrid w:val="0"/>
                <w:color w:val="000000"/>
                <w:szCs w:val="21"/>
              </w:rPr>
              <w:t>3</w:t>
            </w:r>
          </w:p>
        </w:tc>
        <w:tc>
          <w:tcPr>
            <w:tcW w:w="1784" w:type="dxa"/>
            <w:vAlign w:val="center"/>
          </w:tcPr>
          <w:p>
            <w:pPr>
              <w:spacing w:line="320" w:lineRule="exact"/>
              <w:jc w:val="center"/>
              <w:rPr>
                <w:snapToGrid w:val="0"/>
                <w:color w:val="000000"/>
                <w:szCs w:val="21"/>
              </w:rPr>
            </w:pPr>
            <w:r>
              <w:rPr>
                <w:snapToGrid w:val="0"/>
                <w:color w:val="000000"/>
                <w:szCs w:val="21"/>
              </w:rPr>
              <w:t>地下水</w:t>
            </w:r>
          </w:p>
        </w:tc>
        <w:tc>
          <w:tcPr>
            <w:tcW w:w="1560" w:type="dxa"/>
            <w:vAlign w:val="center"/>
          </w:tcPr>
          <w:p>
            <w:pPr>
              <w:spacing w:line="320" w:lineRule="exact"/>
              <w:jc w:val="center"/>
              <w:rPr>
                <w:snapToGrid w:val="0"/>
                <w:color w:val="000000"/>
                <w:szCs w:val="21"/>
              </w:rPr>
            </w:pPr>
            <w:r>
              <w:rPr>
                <w:snapToGrid w:val="0"/>
                <w:color w:val="000000"/>
                <w:szCs w:val="21"/>
              </w:rPr>
              <w:t>三级</w:t>
            </w:r>
          </w:p>
        </w:tc>
        <w:tc>
          <w:tcPr>
            <w:tcW w:w="4868" w:type="dxa"/>
            <w:vAlign w:val="center"/>
          </w:tcPr>
          <w:p>
            <w:pPr>
              <w:spacing w:line="320" w:lineRule="exact"/>
              <w:jc w:val="center"/>
              <w:rPr>
                <w:snapToGrid w:val="0"/>
                <w:color w:val="000000"/>
                <w:szCs w:val="21"/>
              </w:rPr>
            </w:pPr>
            <w:r>
              <w:rPr>
                <w:bCs/>
                <w:snapToGrid w:val="0"/>
                <w:color w:val="000000"/>
                <w:szCs w:val="21"/>
              </w:rPr>
              <w:t>养殖场及沼液消纳地周边1km范围内浅层地下水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8" w:hRule="atLeast"/>
          <w:jc w:val="center"/>
        </w:trPr>
        <w:tc>
          <w:tcPr>
            <w:tcW w:w="734" w:type="dxa"/>
            <w:vAlign w:val="center"/>
          </w:tcPr>
          <w:p>
            <w:pPr>
              <w:spacing w:line="320" w:lineRule="exact"/>
              <w:jc w:val="center"/>
              <w:rPr>
                <w:snapToGrid w:val="0"/>
                <w:color w:val="000000"/>
                <w:szCs w:val="21"/>
              </w:rPr>
            </w:pPr>
            <w:r>
              <w:rPr>
                <w:snapToGrid w:val="0"/>
                <w:color w:val="000000"/>
                <w:szCs w:val="21"/>
              </w:rPr>
              <w:t>4</w:t>
            </w:r>
          </w:p>
        </w:tc>
        <w:tc>
          <w:tcPr>
            <w:tcW w:w="1784" w:type="dxa"/>
            <w:vAlign w:val="center"/>
          </w:tcPr>
          <w:p>
            <w:pPr>
              <w:spacing w:line="320" w:lineRule="exact"/>
              <w:jc w:val="center"/>
              <w:rPr>
                <w:snapToGrid w:val="0"/>
                <w:color w:val="000000"/>
                <w:szCs w:val="21"/>
              </w:rPr>
            </w:pPr>
            <w:r>
              <w:rPr>
                <w:snapToGrid w:val="0"/>
                <w:color w:val="000000"/>
                <w:szCs w:val="21"/>
              </w:rPr>
              <w:t>声环境</w:t>
            </w:r>
          </w:p>
        </w:tc>
        <w:tc>
          <w:tcPr>
            <w:tcW w:w="1560" w:type="dxa"/>
            <w:vAlign w:val="center"/>
          </w:tcPr>
          <w:p>
            <w:pPr>
              <w:spacing w:line="320" w:lineRule="exact"/>
              <w:jc w:val="center"/>
              <w:rPr>
                <w:snapToGrid w:val="0"/>
                <w:color w:val="000000"/>
                <w:szCs w:val="21"/>
              </w:rPr>
            </w:pPr>
            <w:r>
              <w:rPr>
                <w:snapToGrid w:val="0"/>
                <w:color w:val="000000"/>
                <w:szCs w:val="21"/>
              </w:rPr>
              <w:t>二级</w:t>
            </w:r>
          </w:p>
        </w:tc>
        <w:tc>
          <w:tcPr>
            <w:tcW w:w="4868" w:type="dxa"/>
            <w:vAlign w:val="center"/>
          </w:tcPr>
          <w:p>
            <w:pPr>
              <w:spacing w:line="320" w:lineRule="exact"/>
              <w:jc w:val="center"/>
              <w:rPr>
                <w:snapToGrid w:val="0"/>
                <w:color w:val="000000"/>
                <w:szCs w:val="21"/>
              </w:rPr>
            </w:pPr>
            <w:r>
              <w:rPr>
                <w:snapToGrid w:val="0"/>
                <w:color w:val="000000"/>
                <w:szCs w:val="21"/>
              </w:rPr>
              <w:t>项目边界外200m范围内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734" w:type="dxa"/>
            <w:vAlign w:val="center"/>
          </w:tcPr>
          <w:p>
            <w:pPr>
              <w:spacing w:line="320" w:lineRule="exact"/>
              <w:jc w:val="center"/>
              <w:rPr>
                <w:snapToGrid w:val="0"/>
                <w:color w:val="000000"/>
                <w:szCs w:val="21"/>
              </w:rPr>
            </w:pPr>
            <w:r>
              <w:rPr>
                <w:snapToGrid w:val="0"/>
                <w:color w:val="000000"/>
                <w:szCs w:val="21"/>
              </w:rPr>
              <w:t>5</w:t>
            </w:r>
          </w:p>
        </w:tc>
        <w:tc>
          <w:tcPr>
            <w:tcW w:w="1784" w:type="dxa"/>
            <w:vAlign w:val="center"/>
          </w:tcPr>
          <w:p>
            <w:pPr>
              <w:spacing w:line="320" w:lineRule="exact"/>
              <w:jc w:val="center"/>
              <w:rPr>
                <w:snapToGrid w:val="0"/>
                <w:color w:val="000000"/>
                <w:szCs w:val="21"/>
              </w:rPr>
            </w:pPr>
            <w:r>
              <w:rPr>
                <w:snapToGrid w:val="0"/>
                <w:color w:val="000000"/>
                <w:szCs w:val="21"/>
              </w:rPr>
              <w:t>生态环境</w:t>
            </w:r>
          </w:p>
        </w:tc>
        <w:tc>
          <w:tcPr>
            <w:tcW w:w="1560" w:type="dxa"/>
            <w:vAlign w:val="center"/>
          </w:tcPr>
          <w:p>
            <w:pPr>
              <w:spacing w:line="320" w:lineRule="exact"/>
              <w:jc w:val="center"/>
              <w:rPr>
                <w:snapToGrid w:val="0"/>
                <w:color w:val="000000"/>
                <w:szCs w:val="21"/>
              </w:rPr>
            </w:pPr>
            <w:r>
              <w:rPr>
                <w:snapToGrid w:val="0"/>
                <w:color w:val="000000"/>
                <w:szCs w:val="21"/>
              </w:rPr>
              <w:t>三级</w:t>
            </w:r>
          </w:p>
        </w:tc>
        <w:tc>
          <w:tcPr>
            <w:tcW w:w="4868" w:type="dxa"/>
            <w:vAlign w:val="center"/>
          </w:tcPr>
          <w:p>
            <w:pPr>
              <w:spacing w:line="320" w:lineRule="exact"/>
              <w:jc w:val="center"/>
              <w:rPr>
                <w:snapToGrid w:val="0"/>
                <w:color w:val="000000"/>
                <w:szCs w:val="21"/>
              </w:rPr>
            </w:pPr>
            <w:r>
              <w:rPr>
                <w:snapToGrid w:val="0"/>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734" w:type="dxa"/>
            <w:vAlign w:val="center"/>
          </w:tcPr>
          <w:p>
            <w:pPr>
              <w:spacing w:line="320" w:lineRule="exact"/>
              <w:jc w:val="center"/>
              <w:rPr>
                <w:snapToGrid w:val="0"/>
                <w:color w:val="000000"/>
                <w:szCs w:val="21"/>
              </w:rPr>
            </w:pPr>
            <w:r>
              <w:rPr>
                <w:snapToGrid w:val="0"/>
                <w:color w:val="000000"/>
                <w:szCs w:val="21"/>
              </w:rPr>
              <w:t>6</w:t>
            </w:r>
          </w:p>
        </w:tc>
        <w:tc>
          <w:tcPr>
            <w:tcW w:w="1784" w:type="dxa"/>
            <w:vAlign w:val="center"/>
          </w:tcPr>
          <w:p>
            <w:pPr>
              <w:spacing w:line="320" w:lineRule="exact"/>
              <w:jc w:val="center"/>
              <w:rPr>
                <w:snapToGrid w:val="0"/>
                <w:color w:val="000000"/>
                <w:szCs w:val="21"/>
              </w:rPr>
            </w:pPr>
            <w:r>
              <w:rPr>
                <w:snapToGrid w:val="0"/>
                <w:color w:val="000000"/>
                <w:szCs w:val="21"/>
              </w:rPr>
              <w:t>风险</w:t>
            </w:r>
          </w:p>
        </w:tc>
        <w:tc>
          <w:tcPr>
            <w:tcW w:w="1560" w:type="dxa"/>
            <w:vAlign w:val="center"/>
          </w:tcPr>
          <w:p>
            <w:pPr>
              <w:adjustRightInd w:val="0"/>
              <w:snapToGrid w:val="0"/>
              <w:spacing w:line="240" w:lineRule="exact"/>
              <w:jc w:val="center"/>
              <w:rPr>
                <w:kern w:val="0"/>
                <w:szCs w:val="21"/>
              </w:rPr>
            </w:pPr>
            <w:r>
              <w:rPr>
                <w:kern w:val="0"/>
                <w:szCs w:val="21"/>
              </w:rPr>
              <w:t>简单分析</w:t>
            </w:r>
          </w:p>
        </w:tc>
        <w:tc>
          <w:tcPr>
            <w:tcW w:w="4868" w:type="dxa"/>
            <w:vAlign w:val="center"/>
          </w:tcPr>
          <w:p>
            <w:pPr>
              <w:adjustRightInd w:val="0"/>
              <w:snapToGrid w:val="0"/>
              <w:spacing w:line="240" w:lineRule="exact"/>
              <w:jc w:val="center"/>
              <w:rPr>
                <w:rFonts w:hint="eastAsia" w:eastAsia="宋体"/>
                <w:kern w:val="0"/>
                <w:szCs w:val="21"/>
                <w:lang w:eastAsia="zh-CN"/>
              </w:rPr>
            </w:pPr>
            <w:r>
              <w:rPr>
                <w:rFonts w:hint="eastAsia"/>
                <w:kern w:val="0"/>
                <w:szCs w:val="21"/>
                <w:highlight w:val="none"/>
                <w:lang w:val="en-US" w:eastAsia="zh-CN"/>
              </w:rPr>
              <w:t>/</w:t>
            </w:r>
          </w:p>
        </w:tc>
      </w:tr>
    </w:tbl>
    <w:p>
      <w:pPr>
        <w:pStyle w:val="5"/>
        <w:spacing w:before="156" w:after="156"/>
        <w:rPr>
          <w:rFonts w:hAnsi="Times New Roman"/>
          <w:color w:val="000000"/>
        </w:rPr>
      </w:pPr>
      <w:bookmarkStart w:id="35" w:name="_Toc31635"/>
      <w:bookmarkStart w:id="36" w:name="_Toc375206155"/>
      <w:r>
        <w:rPr>
          <w:rFonts w:hAnsi="Times New Roman"/>
          <w:color w:val="000000"/>
        </w:rPr>
        <w:t>1.11工程特点和环境保护目标</w:t>
      </w:r>
      <w:bookmarkEnd w:id="35"/>
    </w:p>
    <w:p>
      <w:pPr>
        <w:spacing w:line="600" w:lineRule="exact"/>
        <w:outlineLvl w:val="2"/>
        <w:rPr>
          <w:b/>
          <w:color w:val="000000"/>
          <w:sz w:val="24"/>
        </w:rPr>
      </w:pPr>
      <w:r>
        <w:rPr>
          <w:b/>
          <w:color w:val="000000"/>
          <w:sz w:val="24"/>
        </w:rPr>
        <w:t>1.11.1 工程特点</w:t>
      </w:r>
    </w:p>
    <w:p>
      <w:pPr>
        <w:spacing w:line="500" w:lineRule="exact"/>
        <w:ind w:firstLine="480" w:firstLineChars="200"/>
        <w:rPr>
          <w:color w:val="000000"/>
          <w:sz w:val="24"/>
        </w:rPr>
      </w:pPr>
      <w:r>
        <w:rPr>
          <w:bCs/>
          <w:color w:val="000000"/>
          <w:sz w:val="24"/>
        </w:rPr>
        <w:t>（1）</w:t>
      </w:r>
      <w:r>
        <w:rPr>
          <w:color w:val="000000"/>
          <w:sz w:val="24"/>
        </w:rPr>
        <w:t>本项目属于</w:t>
      </w:r>
      <w:r>
        <w:rPr>
          <w:rFonts w:hint="eastAsia"/>
          <w:color w:val="000000"/>
          <w:sz w:val="24"/>
          <w:lang w:val="en-US" w:eastAsia="zh-CN"/>
        </w:rPr>
        <w:t>新</w:t>
      </w:r>
      <w:r>
        <w:rPr>
          <w:color w:val="000000"/>
          <w:sz w:val="24"/>
        </w:rPr>
        <w:t>建性质，年出栏生猪</w:t>
      </w:r>
      <w:r>
        <w:rPr>
          <w:rFonts w:hint="eastAsia"/>
          <w:color w:val="000000"/>
          <w:sz w:val="24"/>
          <w:lang w:val="en-US" w:eastAsia="zh-CN"/>
        </w:rPr>
        <w:t>一万</w:t>
      </w:r>
      <w:r>
        <w:rPr>
          <w:color w:val="000000"/>
          <w:sz w:val="24"/>
        </w:rPr>
        <w:t>头，采用干清粪工艺。</w:t>
      </w:r>
    </w:p>
    <w:p>
      <w:pPr>
        <w:spacing w:line="500" w:lineRule="exact"/>
        <w:ind w:firstLine="480" w:firstLineChars="200"/>
        <w:rPr>
          <w:bCs/>
          <w:color w:val="000000"/>
          <w:sz w:val="24"/>
        </w:rPr>
      </w:pPr>
      <w:r>
        <w:rPr>
          <w:bCs/>
          <w:color w:val="000000"/>
          <w:sz w:val="24"/>
        </w:rPr>
        <w:t>（2）项目运行过程中产生的污染因素以废水、恶臭气体、固体废物和设备噪声为主。项目以“预防为主、防治结合”的技术方针，采用较为成熟的治理措施，可以将其对外环境的影响降至最低。</w:t>
      </w:r>
    </w:p>
    <w:p>
      <w:pPr>
        <w:spacing w:line="500" w:lineRule="exact"/>
        <w:ind w:firstLine="480" w:firstLineChars="200"/>
        <w:rPr>
          <w:bCs/>
          <w:color w:val="000000"/>
          <w:sz w:val="24"/>
        </w:rPr>
      </w:pPr>
      <w:r>
        <w:rPr>
          <w:bCs/>
          <w:color w:val="000000"/>
          <w:sz w:val="24"/>
        </w:rPr>
        <w:t>（3）项目为规模化养殖，养殖区采用干清粪工艺，减少养殖过程中冲洗废水产生量、降低废水中污染物的浓度；项目产生的猪粪以及本项目污水处理装置产生的沼渣运至项目区固粪处置区，采用好氧发酵工艺生产有机肥基肥，外售。</w:t>
      </w:r>
    </w:p>
    <w:p>
      <w:pPr>
        <w:spacing w:line="500" w:lineRule="exact"/>
        <w:ind w:firstLine="480" w:firstLineChars="200"/>
        <w:rPr>
          <w:bCs/>
          <w:color w:val="000000"/>
          <w:sz w:val="24"/>
        </w:rPr>
      </w:pPr>
      <w:r>
        <w:rPr>
          <w:bCs/>
          <w:color w:val="000000"/>
          <w:sz w:val="24"/>
        </w:rPr>
        <w:t>（4）项目产生的废水采用“污水处理+沼液</w:t>
      </w:r>
      <w:r>
        <w:rPr>
          <w:rFonts w:hint="eastAsia"/>
          <w:bCs/>
          <w:color w:val="000000"/>
          <w:sz w:val="24"/>
          <w:lang w:val="en-US" w:eastAsia="zh-CN"/>
        </w:rPr>
        <w:t>林田施肥</w:t>
      </w:r>
      <w:r>
        <w:rPr>
          <w:bCs/>
          <w:color w:val="000000"/>
          <w:sz w:val="24"/>
        </w:rPr>
        <w:t>”的处理方式，实现废水资源化利用，“零排放”。</w:t>
      </w:r>
    </w:p>
    <w:p>
      <w:pPr>
        <w:spacing w:line="600" w:lineRule="exact"/>
        <w:outlineLvl w:val="2"/>
        <w:rPr>
          <w:b/>
          <w:color w:val="000000"/>
          <w:sz w:val="24"/>
        </w:rPr>
      </w:pPr>
      <w:r>
        <w:rPr>
          <w:b/>
          <w:color w:val="000000"/>
          <w:sz w:val="24"/>
        </w:rPr>
        <w:t>1.11.2 场址周围环境特点及环境保护目标</w:t>
      </w:r>
    </w:p>
    <w:p>
      <w:pPr>
        <w:spacing w:line="500" w:lineRule="exact"/>
        <w:ind w:firstLine="480" w:firstLineChars="200"/>
        <w:rPr>
          <w:b w:val="0"/>
          <w:bCs w:val="0"/>
          <w:color w:val="000000" w:themeColor="text1"/>
          <w:sz w:val="24"/>
          <w:u w:val="none"/>
        </w:rPr>
      </w:pPr>
      <w:r>
        <w:rPr>
          <w:b w:val="0"/>
          <w:bCs w:val="0"/>
          <w:color w:val="000000" w:themeColor="text1"/>
          <w:sz w:val="24"/>
          <w:u w:val="none"/>
        </w:rPr>
        <w:t>（1）场址周围环境特点</w:t>
      </w:r>
    </w:p>
    <w:p>
      <w:pPr>
        <w:spacing w:line="560" w:lineRule="exact"/>
        <w:ind w:firstLine="480" w:firstLineChars="200"/>
        <w:rPr>
          <w:b w:val="0"/>
          <w:bCs w:val="0"/>
          <w:color w:val="000000" w:themeColor="text1"/>
          <w:sz w:val="24"/>
          <w:u w:val="none"/>
        </w:rPr>
      </w:pPr>
      <w:r>
        <w:rPr>
          <w:b w:val="0"/>
          <w:bCs w:val="0"/>
          <w:color w:val="000000" w:themeColor="text1"/>
          <w:sz w:val="24"/>
          <w:u w:val="none"/>
        </w:rPr>
        <w:t>（1）区域地表水</w:t>
      </w:r>
    </w:p>
    <w:p>
      <w:pPr>
        <w:spacing w:line="500" w:lineRule="exact"/>
        <w:ind w:firstLine="480" w:firstLineChars="200"/>
        <w:rPr>
          <w:b w:val="0"/>
          <w:bCs w:val="0"/>
          <w:color w:val="000000" w:themeColor="text1"/>
          <w:sz w:val="24"/>
          <w:u w:val="none"/>
        </w:rPr>
      </w:pPr>
      <w:r>
        <w:rPr>
          <w:b w:val="0"/>
          <w:bCs w:val="0"/>
          <w:color w:val="000000" w:themeColor="text1"/>
          <w:sz w:val="24"/>
          <w:u w:val="none"/>
        </w:rPr>
        <w:t>评价区域地表水体主要为项目</w:t>
      </w:r>
      <w:r>
        <w:rPr>
          <w:rFonts w:hint="eastAsia"/>
          <w:b w:val="0"/>
          <w:bCs w:val="0"/>
          <w:color w:val="000000"/>
          <w:sz w:val="24"/>
          <w:u w:val="none"/>
          <w:lang w:val="en-US" w:eastAsia="zh-CN"/>
        </w:rPr>
        <w:t>南</w:t>
      </w:r>
      <w:r>
        <w:rPr>
          <w:b w:val="0"/>
          <w:bCs w:val="0"/>
          <w:color w:val="000000"/>
          <w:sz w:val="24"/>
          <w:u w:val="none"/>
          <w:lang w:val="zh-CN"/>
        </w:rPr>
        <w:t>侧</w:t>
      </w:r>
      <w:r>
        <w:rPr>
          <w:rFonts w:hint="eastAsia"/>
          <w:b w:val="0"/>
          <w:bCs w:val="0"/>
          <w:color w:val="000000"/>
          <w:sz w:val="24"/>
          <w:u w:val="none"/>
          <w:lang w:val="en-US" w:eastAsia="zh-CN"/>
        </w:rPr>
        <w:t>6.2k</w:t>
      </w:r>
      <w:r>
        <w:rPr>
          <w:b w:val="0"/>
          <w:bCs w:val="0"/>
          <w:color w:val="000000"/>
          <w:sz w:val="24"/>
          <w:u w:val="none"/>
          <w:lang w:val="zh-CN"/>
        </w:rPr>
        <w:t>m处的</w:t>
      </w:r>
      <w:r>
        <w:rPr>
          <w:rFonts w:hint="eastAsia"/>
          <w:b w:val="0"/>
          <w:bCs w:val="0"/>
          <w:color w:val="000000"/>
          <w:sz w:val="24"/>
          <w:u w:val="none"/>
          <w:lang w:val="en-US" w:eastAsia="zh-CN"/>
        </w:rPr>
        <w:t>闾河</w:t>
      </w:r>
      <w:r>
        <w:rPr>
          <w:b w:val="0"/>
          <w:bCs w:val="0"/>
          <w:color w:val="000000" w:themeColor="text1"/>
          <w:sz w:val="24"/>
          <w:u w:val="none"/>
          <w:lang w:val="zh-CN"/>
        </w:rPr>
        <w:t>，</w:t>
      </w:r>
      <w:r>
        <w:rPr>
          <w:rFonts w:hint="eastAsia"/>
          <w:b w:val="0"/>
          <w:bCs w:val="0"/>
          <w:color w:val="000000"/>
          <w:sz w:val="24"/>
          <w:u w:val="none"/>
          <w:lang w:val="en-US" w:eastAsia="zh-CN"/>
        </w:rPr>
        <w:t>闾河</w:t>
      </w:r>
      <w:r>
        <w:rPr>
          <w:b w:val="0"/>
          <w:bCs w:val="0"/>
          <w:color w:val="000000" w:themeColor="text1"/>
          <w:sz w:val="24"/>
          <w:u w:val="none"/>
        </w:rPr>
        <w:t>水质功能区划为</w:t>
      </w:r>
      <w:r>
        <w:rPr>
          <w:rFonts w:hint="eastAsia" w:hAnsi="宋体"/>
          <w:b w:val="0"/>
          <w:bCs w:val="0"/>
          <w:szCs w:val="21"/>
          <w:u w:val="none"/>
        </w:rPr>
        <w:t>Ⅲ</w:t>
      </w:r>
      <w:r>
        <w:rPr>
          <w:b w:val="0"/>
          <w:bCs w:val="0"/>
          <w:color w:val="000000" w:themeColor="text1"/>
          <w:sz w:val="24"/>
          <w:u w:val="none"/>
        </w:rPr>
        <w:t>类。满足《畜禽养殖业污染防治技术规范》中“畜禽粪便的贮存设施的位置必须远离各类功能地表水体（距离不得小于400m）”的要求。</w:t>
      </w:r>
    </w:p>
    <w:p>
      <w:pPr>
        <w:spacing w:line="500" w:lineRule="exact"/>
        <w:ind w:firstLine="480" w:firstLineChars="200"/>
        <w:rPr>
          <w:b w:val="0"/>
          <w:bCs w:val="0"/>
          <w:color w:val="000000" w:themeColor="text1"/>
          <w:sz w:val="24"/>
          <w:u w:val="none"/>
        </w:rPr>
      </w:pPr>
      <w:r>
        <w:rPr>
          <w:b w:val="0"/>
          <w:bCs w:val="0"/>
          <w:color w:val="000000" w:themeColor="text1"/>
          <w:sz w:val="24"/>
          <w:u w:val="none"/>
        </w:rPr>
        <w:t>项目区周边环境概况如下：项目区地处农村，周围无工业企业分布，均为农田及村庄。</w:t>
      </w:r>
    </w:p>
    <w:p>
      <w:pPr>
        <w:spacing w:line="500" w:lineRule="exact"/>
        <w:ind w:firstLine="480" w:firstLineChars="200"/>
        <w:rPr>
          <w:b w:val="0"/>
          <w:bCs w:val="0"/>
          <w:color w:val="000000" w:themeColor="text1"/>
          <w:sz w:val="24"/>
          <w:u w:val="none"/>
        </w:rPr>
      </w:pPr>
      <w:r>
        <w:rPr>
          <w:b w:val="0"/>
          <w:bCs w:val="0"/>
          <w:color w:val="000000" w:themeColor="text1"/>
          <w:sz w:val="24"/>
          <w:u w:val="none"/>
        </w:rPr>
        <w:t>（2）环境保护目标</w:t>
      </w:r>
    </w:p>
    <w:p>
      <w:pPr>
        <w:spacing w:line="560" w:lineRule="exact"/>
        <w:ind w:firstLine="480" w:firstLineChars="200"/>
        <w:rPr>
          <w:b w:val="0"/>
          <w:bCs w:val="0"/>
          <w:color w:val="000000" w:themeColor="text1"/>
          <w:sz w:val="24"/>
          <w:u w:val="none"/>
          <w:lang w:val="zh-CN"/>
        </w:rPr>
      </w:pPr>
      <w:r>
        <w:rPr>
          <w:b w:val="0"/>
          <w:bCs w:val="0"/>
          <w:color w:val="000000" w:themeColor="text1"/>
          <w:sz w:val="24"/>
          <w:u w:val="none"/>
          <w:lang w:val="zh-CN"/>
        </w:rPr>
        <w:t>该项目位于</w:t>
      </w:r>
      <w:r>
        <w:rPr>
          <w:rFonts w:hint="eastAsia"/>
          <w:b w:val="0"/>
          <w:bCs w:val="0"/>
          <w:color w:val="000000" w:themeColor="text1"/>
          <w:sz w:val="24"/>
          <w:u w:val="none"/>
          <w:lang w:val="en-US" w:eastAsia="zh-CN"/>
        </w:rPr>
        <w:t>正阳县青年农场</w:t>
      </w:r>
      <w:r>
        <w:rPr>
          <w:b w:val="0"/>
          <w:bCs w:val="0"/>
          <w:color w:val="000000" w:themeColor="text1"/>
          <w:sz w:val="24"/>
          <w:u w:val="none"/>
          <w:lang w:val="zh-CN"/>
        </w:rPr>
        <w:t>，场区四周农田围绕。种植作物有玉米、小麦等；场址周围敏感点有：</w:t>
      </w:r>
      <w:r>
        <w:rPr>
          <w:rFonts w:hint="eastAsia"/>
          <w:b w:val="0"/>
          <w:bCs w:val="0"/>
          <w:color w:val="000000" w:themeColor="text1"/>
          <w:sz w:val="24"/>
          <w:u w:val="none"/>
          <w:lang w:val="en-US" w:eastAsia="zh-CN"/>
        </w:rPr>
        <w:t>东</w:t>
      </w:r>
      <w:r>
        <w:rPr>
          <w:b w:val="0"/>
          <w:bCs w:val="0"/>
          <w:color w:val="000000" w:themeColor="text1"/>
          <w:sz w:val="24"/>
          <w:u w:val="none"/>
          <w:lang w:val="zh-CN"/>
        </w:rPr>
        <w:t>侧5</w:t>
      </w:r>
      <w:r>
        <w:rPr>
          <w:rFonts w:hint="eastAsia"/>
          <w:b w:val="0"/>
          <w:bCs w:val="0"/>
          <w:color w:val="000000" w:themeColor="text1"/>
          <w:sz w:val="24"/>
          <w:u w:val="none"/>
          <w:lang w:val="en-US" w:eastAsia="zh-CN"/>
        </w:rPr>
        <w:t>01</w:t>
      </w:r>
      <w:r>
        <w:rPr>
          <w:b w:val="0"/>
          <w:bCs w:val="0"/>
          <w:color w:val="000000" w:themeColor="text1"/>
          <w:sz w:val="24"/>
          <w:u w:val="none"/>
          <w:lang w:val="zh-CN"/>
        </w:rPr>
        <w:t>m处为</w:t>
      </w:r>
      <w:r>
        <w:rPr>
          <w:rFonts w:hint="eastAsia"/>
          <w:b w:val="0"/>
          <w:bCs w:val="0"/>
          <w:color w:val="000000" w:themeColor="text1"/>
          <w:sz w:val="24"/>
          <w:u w:val="none"/>
          <w:lang w:val="en-US" w:eastAsia="zh-CN"/>
        </w:rPr>
        <w:t>前周庄</w:t>
      </w:r>
      <w:r>
        <w:rPr>
          <w:b w:val="0"/>
          <w:bCs w:val="0"/>
          <w:color w:val="000000" w:themeColor="text1"/>
          <w:sz w:val="24"/>
          <w:u w:val="none"/>
          <w:lang w:val="zh-CN"/>
        </w:rPr>
        <w:t>，</w:t>
      </w:r>
      <w:r>
        <w:rPr>
          <w:rFonts w:hint="eastAsia"/>
          <w:b w:val="0"/>
          <w:bCs w:val="0"/>
          <w:color w:val="000000" w:themeColor="text1"/>
          <w:sz w:val="24"/>
          <w:u w:val="none"/>
          <w:lang w:val="en-US" w:eastAsia="zh-CN"/>
        </w:rPr>
        <w:t>西</w:t>
      </w:r>
      <w:r>
        <w:rPr>
          <w:b w:val="0"/>
          <w:bCs w:val="0"/>
          <w:color w:val="000000" w:themeColor="text1"/>
          <w:sz w:val="24"/>
          <w:u w:val="none"/>
          <w:lang w:val="zh-CN"/>
        </w:rPr>
        <w:t>侧6</w:t>
      </w:r>
      <w:r>
        <w:rPr>
          <w:rFonts w:hint="eastAsia"/>
          <w:b w:val="0"/>
          <w:bCs w:val="0"/>
          <w:color w:val="000000" w:themeColor="text1"/>
          <w:sz w:val="24"/>
          <w:u w:val="none"/>
          <w:lang w:val="en-US" w:eastAsia="zh-CN"/>
        </w:rPr>
        <w:t>20</w:t>
      </w:r>
      <w:r>
        <w:rPr>
          <w:b w:val="0"/>
          <w:bCs w:val="0"/>
          <w:color w:val="000000" w:themeColor="text1"/>
          <w:sz w:val="24"/>
          <w:u w:val="none"/>
          <w:lang w:val="zh-CN"/>
        </w:rPr>
        <w:t>m处为</w:t>
      </w:r>
      <w:r>
        <w:rPr>
          <w:rFonts w:hint="eastAsia"/>
          <w:b w:val="0"/>
          <w:bCs w:val="0"/>
          <w:color w:val="000000" w:themeColor="text1"/>
          <w:sz w:val="24"/>
          <w:u w:val="none"/>
          <w:lang w:val="en-US" w:eastAsia="zh-CN"/>
        </w:rPr>
        <w:t>姜庄</w:t>
      </w:r>
      <w:r>
        <w:rPr>
          <w:b w:val="0"/>
          <w:bCs w:val="0"/>
          <w:color w:val="000000" w:themeColor="text1"/>
          <w:sz w:val="24"/>
          <w:u w:val="none"/>
          <w:lang w:val="zh-CN"/>
        </w:rPr>
        <w:t>，</w:t>
      </w:r>
      <w:r>
        <w:rPr>
          <w:rFonts w:hint="eastAsia"/>
          <w:b w:val="0"/>
          <w:bCs w:val="0"/>
          <w:color w:val="000000" w:themeColor="text1"/>
          <w:sz w:val="24"/>
          <w:u w:val="none"/>
          <w:lang w:val="en-US" w:eastAsia="zh-CN"/>
        </w:rPr>
        <w:t>东</w:t>
      </w:r>
      <w:r>
        <w:rPr>
          <w:b w:val="0"/>
          <w:bCs w:val="0"/>
          <w:color w:val="000000" w:themeColor="text1"/>
          <w:sz w:val="24"/>
          <w:u w:val="none"/>
          <w:lang w:val="zh-CN"/>
        </w:rPr>
        <w:t>侧</w:t>
      </w:r>
      <w:r>
        <w:rPr>
          <w:rFonts w:hint="eastAsia"/>
          <w:b w:val="0"/>
          <w:bCs w:val="0"/>
          <w:color w:val="000000" w:themeColor="text1"/>
          <w:sz w:val="24"/>
          <w:u w:val="none"/>
          <w:lang w:val="en-US" w:eastAsia="zh-CN"/>
        </w:rPr>
        <w:t>1000</w:t>
      </w:r>
      <w:r>
        <w:rPr>
          <w:b w:val="0"/>
          <w:bCs w:val="0"/>
          <w:color w:val="000000" w:themeColor="text1"/>
          <w:sz w:val="24"/>
          <w:u w:val="none"/>
          <w:lang w:val="zh-CN"/>
        </w:rPr>
        <w:t>m处为</w:t>
      </w:r>
      <w:r>
        <w:rPr>
          <w:rFonts w:hint="eastAsia"/>
          <w:b w:val="0"/>
          <w:bCs w:val="0"/>
          <w:color w:val="000000" w:themeColor="text1"/>
          <w:sz w:val="24"/>
          <w:u w:val="none"/>
          <w:lang w:val="en-US" w:eastAsia="zh-CN"/>
        </w:rPr>
        <w:t>西吴楼，西侧1220m处为新张庄，西南侧1252m处为小鲁庄，西南侧1030m处为后余庄，东南侧1397m处为董庄</w:t>
      </w:r>
      <w:r>
        <w:rPr>
          <w:b w:val="0"/>
          <w:bCs w:val="0"/>
          <w:color w:val="000000" w:themeColor="text1"/>
          <w:sz w:val="24"/>
          <w:u w:val="none"/>
          <w:lang w:val="zh-CN"/>
        </w:rPr>
        <w:t>。</w:t>
      </w:r>
    </w:p>
    <w:p>
      <w:pPr>
        <w:spacing w:line="560" w:lineRule="exact"/>
        <w:ind w:firstLine="480" w:firstLineChars="200"/>
        <w:rPr>
          <w:b w:val="0"/>
          <w:bCs w:val="0"/>
          <w:color w:val="000000" w:themeColor="text1"/>
          <w:sz w:val="24"/>
          <w:u w:val="none"/>
          <w:lang w:val="zh-CN"/>
        </w:rPr>
      </w:pPr>
      <w:r>
        <w:rPr>
          <w:b w:val="0"/>
          <w:bCs w:val="0"/>
          <w:color w:val="000000" w:themeColor="text1"/>
          <w:sz w:val="24"/>
          <w:u w:val="none"/>
        </w:rPr>
        <w:t>项目周围环境保护目标见表1</w:t>
      </w:r>
      <w:r>
        <w:rPr>
          <w:rFonts w:hint="eastAsia"/>
          <w:b w:val="0"/>
          <w:bCs w:val="0"/>
          <w:color w:val="000000" w:themeColor="text1"/>
          <w:sz w:val="24"/>
          <w:u w:val="none"/>
          <w:lang w:val="en-US" w:eastAsia="zh-CN"/>
        </w:rPr>
        <w:t>.11-1</w:t>
      </w:r>
      <w:r>
        <w:rPr>
          <w:b w:val="0"/>
          <w:bCs w:val="0"/>
          <w:color w:val="000000" w:themeColor="text1"/>
          <w:sz w:val="24"/>
          <w:u w:val="none"/>
        </w:rPr>
        <w:t>和附图二。</w:t>
      </w:r>
    </w:p>
    <w:p>
      <w:pPr>
        <w:autoSpaceDE w:val="0"/>
        <w:autoSpaceDN w:val="0"/>
        <w:adjustRightInd w:val="0"/>
        <w:snapToGrid w:val="0"/>
        <w:spacing w:line="520" w:lineRule="exact"/>
        <w:jc w:val="center"/>
        <w:rPr>
          <w:b/>
          <w:color w:val="000000"/>
          <w:szCs w:val="21"/>
        </w:rPr>
      </w:pPr>
      <w:r>
        <w:rPr>
          <w:b/>
          <w:color w:val="000000"/>
          <w:szCs w:val="21"/>
        </w:rPr>
        <w:t>表1</w:t>
      </w:r>
      <w:r>
        <w:rPr>
          <w:rFonts w:hint="eastAsia"/>
          <w:b/>
          <w:color w:val="000000"/>
          <w:szCs w:val="21"/>
          <w:lang w:val="en-US" w:eastAsia="zh-CN"/>
        </w:rPr>
        <w:t>.11-1</w:t>
      </w:r>
      <w:r>
        <w:rPr>
          <w:b/>
          <w:color w:val="000000"/>
          <w:szCs w:val="21"/>
        </w:rPr>
        <w:t xml:space="preserve">   环境保护目标一览表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336"/>
        <w:gridCol w:w="1192"/>
        <w:gridCol w:w="895"/>
        <w:gridCol w:w="893"/>
        <w:gridCol w:w="893"/>
        <w:gridCol w:w="2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57" w:type="dxa"/>
            <w:vAlign w:val="center"/>
          </w:tcPr>
          <w:p>
            <w:pPr>
              <w:spacing w:line="320" w:lineRule="exact"/>
              <w:jc w:val="center"/>
              <w:rPr>
                <w:b w:val="0"/>
                <w:bCs w:val="0"/>
                <w:szCs w:val="21"/>
                <w:u w:val="none"/>
              </w:rPr>
            </w:pPr>
            <w:r>
              <w:rPr>
                <w:b w:val="0"/>
                <w:bCs w:val="0"/>
                <w:szCs w:val="21"/>
                <w:u w:val="none"/>
              </w:rPr>
              <w:t>环境要素</w:t>
            </w:r>
          </w:p>
        </w:tc>
        <w:tc>
          <w:tcPr>
            <w:tcW w:w="1336" w:type="dxa"/>
            <w:vAlign w:val="center"/>
          </w:tcPr>
          <w:p>
            <w:pPr>
              <w:spacing w:line="320" w:lineRule="exact"/>
              <w:jc w:val="center"/>
              <w:rPr>
                <w:b w:val="0"/>
                <w:bCs w:val="0"/>
                <w:szCs w:val="21"/>
                <w:u w:val="none"/>
              </w:rPr>
            </w:pPr>
            <w:r>
              <w:rPr>
                <w:b w:val="0"/>
                <w:bCs w:val="0"/>
                <w:szCs w:val="21"/>
                <w:u w:val="none"/>
              </w:rPr>
              <w:t>环境保护对象名称</w:t>
            </w:r>
          </w:p>
        </w:tc>
        <w:tc>
          <w:tcPr>
            <w:tcW w:w="1192" w:type="dxa"/>
            <w:vAlign w:val="center"/>
          </w:tcPr>
          <w:p>
            <w:pPr>
              <w:spacing w:line="320" w:lineRule="exact"/>
              <w:jc w:val="center"/>
              <w:rPr>
                <w:b w:val="0"/>
                <w:bCs w:val="0"/>
                <w:szCs w:val="21"/>
                <w:u w:val="none"/>
              </w:rPr>
            </w:pPr>
            <w:r>
              <w:rPr>
                <w:b w:val="0"/>
                <w:bCs w:val="0"/>
                <w:szCs w:val="21"/>
                <w:u w:val="none"/>
              </w:rPr>
              <w:t>与养殖场相对方位</w:t>
            </w:r>
          </w:p>
        </w:tc>
        <w:tc>
          <w:tcPr>
            <w:tcW w:w="895" w:type="dxa"/>
            <w:vAlign w:val="center"/>
          </w:tcPr>
          <w:p>
            <w:pPr>
              <w:spacing w:line="320" w:lineRule="exact"/>
              <w:jc w:val="center"/>
              <w:rPr>
                <w:b w:val="0"/>
                <w:bCs w:val="0"/>
                <w:szCs w:val="21"/>
                <w:u w:val="none"/>
              </w:rPr>
            </w:pPr>
            <w:r>
              <w:rPr>
                <w:b w:val="0"/>
                <w:bCs w:val="0"/>
                <w:szCs w:val="21"/>
                <w:u w:val="none"/>
              </w:rPr>
              <w:t>距离（m）</w:t>
            </w:r>
          </w:p>
        </w:tc>
        <w:tc>
          <w:tcPr>
            <w:tcW w:w="893" w:type="dxa"/>
            <w:vAlign w:val="center"/>
          </w:tcPr>
          <w:p>
            <w:pPr>
              <w:spacing w:line="320" w:lineRule="exact"/>
              <w:jc w:val="center"/>
              <w:rPr>
                <w:b w:val="0"/>
                <w:bCs w:val="0"/>
                <w:szCs w:val="21"/>
                <w:u w:val="none"/>
              </w:rPr>
            </w:pPr>
            <w:r>
              <w:rPr>
                <w:b w:val="0"/>
                <w:bCs w:val="0"/>
                <w:szCs w:val="21"/>
                <w:u w:val="none"/>
              </w:rPr>
              <w:t>户数</w:t>
            </w:r>
          </w:p>
        </w:tc>
        <w:tc>
          <w:tcPr>
            <w:tcW w:w="893" w:type="dxa"/>
            <w:vAlign w:val="center"/>
          </w:tcPr>
          <w:p>
            <w:pPr>
              <w:spacing w:line="320" w:lineRule="exact"/>
              <w:jc w:val="center"/>
              <w:rPr>
                <w:b w:val="0"/>
                <w:bCs w:val="0"/>
                <w:szCs w:val="21"/>
                <w:u w:val="none"/>
              </w:rPr>
            </w:pPr>
            <w:r>
              <w:rPr>
                <w:b w:val="0"/>
                <w:bCs w:val="0"/>
                <w:szCs w:val="21"/>
                <w:u w:val="none"/>
              </w:rPr>
              <w:t>人口</w:t>
            </w:r>
          </w:p>
        </w:tc>
        <w:tc>
          <w:tcPr>
            <w:tcW w:w="2580" w:type="dxa"/>
            <w:vAlign w:val="center"/>
          </w:tcPr>
          <w:p>
            <w:pPr>
              <w:spacing w:line="320" w:lineRule="exact"/>
              <w:jc w:val="center"/>
              <w:rPr>
                <w:b w:val="0"/>
                <w:bCs w:val="0"/>
                <w:szCs w:val="21"/>
                <w:u w:val="none"/>
              </w:rPr>
            </w:pPr>
            <w:r>
              <w:rPr>
                <w:b w:val="0"/>
                <w:bCs w:val="0"/>
                <w:szCs w:val="21"/>
                <w:u w:val="none"/>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restart"/>
            <w:vAlign w:val="center"/>
          </w:tcPr>
          <w:p>
            <w:pPr>
              <w:spacing w:line="320" w:lineRule="exact"/>
              <w:jc w:val="center"/>
              <w:rPr>
                <w:b w:val="0"/>
                <w:bCs w:val="0"/>
                <w:szCs w:val="21"/>
                <w:u w:val="none"/>
              </w:rPr>
            </w:pPr>
            <w:r>
              <w:rPr>
                <w:b w:val="0"/>
                <w:bCs w:val="0"/>
                <w:szCs w:val="21"/>
                <w:u w:val="none"/>
              </w:rPr>
              <w:t>空气环境</w:t>
            </w: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姜庄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620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60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250</w:t>
            </w:r>
          </w:p>
        </w:tc>
        <w:tc>
          <w:tcPr>
            <w:tcW w:w="2580" w:type="dxa"/>
            <w:vMerge w:val="restart"/>
            <w:vAlign w:val="center"/>
          </w:tcPr>
          <w:p>
            <w:pPr>
              <w:spacing w:line="320" w:lineRule="exact"/>
              <w:jc w:val="center"/>
              <w:rPr>
                <w:b w:val="0"/>
                <w:bCs w:val="0"/>
                <w:szCs w:val="21"/>
                <w:u w:val="none"/>
              </w:rPr>
            </w:pPr>
            <w:r>
              <w:rPr>
                <w:b w:val="0"/>
                <w:bCs w:val="0"/>
                <w:szCs w:val="21"/>
                <w:u w:val="none"/>
              </w:rPr>
              <w:t>《环境空气质量标准》（GB3095-2012）中二类、</w:t>
            </w:r>
            <w:r>
              <w:rPr>
                <w:rFonts w:hint="eastAsia"/>
                <w:b w:val="0"/>
                <w:bCs w:val="0"/>
                <w:szCs w:val="21"/>
                <w:u w:val="none"/>
                <w:lang w:eastAsia="zh-CN"/>
              </w:rPr>
              <w:t>《环境影响评价技术导则 大气环境（HJ2.2-2018）》中附录D</w:t>
            </w:r>
            <w:r>
              <w:rPr>
                <w:b w:val="0"/>
                <w:bCs w:val="0"/>
                <w:szCs w:val="21"/>
                <w:u w:val="none"/>
              </w:rPr>
              <w:t>标1中居住区大气中有害物质的最高容许浓度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前周庄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E</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501</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70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320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西吴楼</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E</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1000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35</w:t>
            </w:r>
          </w:p>
        </w:tc>
        <w:tc>
          <w:tcPr>
            <w:tcW w:w="893"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120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新张庄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1220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150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小鲁庄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SW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1252</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80</w:t>
            </w:r>
          </w:p>
        </w:tc>
        <w:tc>
          <w:tcPr>
            <w:tcW w:w="893"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320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后余庄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SW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1030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70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290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董庄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SE</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1397</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200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贺庄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N</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1377</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50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240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皮庄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NW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1750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45</w:t>
            </w:r>
          </w:p>
        </w:tc>
        <w:tc>
          <w:tcPr>
            <w:tcW w:w="893"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200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段围孜</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NW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1888</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100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410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老王庄村</w:t>
            </w:r>
          </w:p>
        </w:tc>
        <w:tc>
          <w:tcPr>
            <w:tcW w:w="1192"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NW</w:t>
            </w:r>
          </w:p>
        </w:tc>
        <w:tc>
          <w:tcPr>
            <w:tcW w:w="895"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3492</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80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330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油坊店乡</w:t>
            </w:r>
          </w:p>
        </w:tc>
        <w:tc>
          <w:tcPr>
            <w:tcW w:w="1192"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NE</w:t>
            </w:r>
          </w:p>
        </w:tc>
        <w:tc>
          <w:tcPr>
            <w:tcW w:w="895"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4538</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1000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4000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北大张庄</w:t>
            </w:r>
          </w:p>
        </w:tc>
        <w:tc>
          <w:tcPr>
            <w:tcW w:w="1192"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S</w:t>
            </w:r>
          </w:p>
        </w:tc>
        <w:tc>
          <w:tcPr>
            <w:tcW w:w="895"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3600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70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300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熊李庄村</w:t>
            </w:r>
          </w:p>
        </w:tc>
        <w:tc>
          <w:tcPr>
            <w:tcW w:w="1192"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SW</w:t>
            </w:r>
          </w:p>
        </w:tc>
        <w:tc>
          <w:tcPr>
            <w:tcW w:w="895"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3097</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60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240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地表水</w:t>
            </w:r>
          </w:p>
          <w:p>
            <w:pPr>
              <w:spacing w:line="320" w:lineRule="exact"/>
              <w:jc w:val="center"/>
              <w:rPr>
                <w:b w:val="0"/>
                <w:bCs w:val="0"/>
                <w:szCs w:val="21"/>
                <w:u w:val="none"/>
              </w:rPr>
            </w:pPr>
            <w:r>
              <w:rPr>
                <w:b w:val="0"/>
                <w:bCs w:val="0"/>
                <w:szCs w:val="21"/>
                <w:u w:val="none"/>
              </w:rPr>
              <w:t>环境</w:t>
            </w:r>
          </w:p>
        </w:tc>
        <w:tc>
          <w:tcPr>
            <w:tcW w:w="1336"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闾河</w:t>
            </w:r>
          </w:p>
        </w:tc>
        <w:tc>
          <w:tcPr>
            <w:tcW w:w="1192"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 xml:space="preserve"> S</w:t>
            </w:r>
          </w:p>
        </w:tc>
        <w:tc>
          <w:tcPr>
            <w:tcW w:w="895"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6200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w:t>
            </w:r>
          </w:p>
        </w:tc>
        <w:tc>
          <w:tcPr>
            <w:tcW w:w="2580" w:type="dxa"/>
            <w:vAlign w:val="center"/>
          </w:tcPr>
          <w:p>
            <w:pPr>
              <w:spacing w:line="320" w:lineRule="exact"/>
              <w:jc w:val="center"/>
              <w:rPr>
                <w:b w:val="0"/>
                <w:bCs w:val="0"/>
                <w:szCs w:val="21"/>
                <w:u w:val="none"/>
              </w:rPr>
            </w:pPr>
            <w:r>
              <w:rPr>
                <w:b w:val="0"/>
                <w:bCs w:val="0"/>
                <w:szCs w:val="21"/>
                <w:u w:val="none"/>
              </w:rPr>
              <w:t>《地表水环境质量标准》（GB3838-2002）</w:t>
            </w:r>
            <w:r>
              <w:rPr>
                <w:rFonts w:hint="eastAsia" w:ascii="宋体" w:hAnsi="宋体" w:cs="宋体"/>
                <w:b w:val="0"/>
                <w:bCs w:val="0"/>
                <w:szCs w:val="21"/>
                <w:u w:val="none"/>
              </w:rPr>
              <w:t>Ⅲ</w:t>
            </w:r>
            <w:r>
              <w:rPr>
                <w:b w:val="0"/>
                <w:bCs w:val="0"/>
                <w:szCs w:val="21"/>
                <w:u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地下水</w:t>
            </w:r>
          </w:p>
        </w:tc>
        <w:tc>
          <w:tcPr>
            <w:tcW w:w="3423" w:type="dxa"/>
            <w:gridSpan w:val="3"/>
            <w:vAlign w:val="center"/>
          </w:tcPr>
          <w:p>
            <w:pPr>
              <w:spacing w:line="320" w:lineRule="exact"/>
              <w:jc w:val="center"/>
              <w:rPr>
                <w:b w:val="0"/>
                <w:bCs w:val="0"/>
                <w:szCs w:val="21"/>
                <w:u w:val="none"/>
              </w:rPr>
            </w:pPr>
            <w:r>
              <w:rPr>
                <w:b w:val="0"/>
                <w:bCs w:val="0"/>
                <w:szCs w:val="21"/>
                <w:u w:val="none"/>
              </w:rPr>
              <w:t>场区下游村庄地下水、配套沼液消纳地附近村庄地下水</w:t>
            </w:r>
          </w:p>
        </w:tc>
        <w:tc>
          <w:tcPr>
            <w:tcW w:w="893" w:type="dxa"/>
            <w:vAlign w:val="center"/>
          </w:tcPr>
          <w:p>
            <w:pPr>
              <w:spacing w:line="320" w:lineRule="exact"/>
              <w:jc w:val="center"/>
              <w:rPr>
                <w:b w:val="0"/>
                <w:bCs w:val="0"/>
                <w:szCs w:val="21"/>
                <w:u w:val="none"/>
              </w:rPr>
            </w:pPr>
            <w:r>
              <w:rPr>
                <w:b w:val="0"/>
                <w:bCs w:val="0"/>
                <w:szCs w:val="21"/>
                <w:u w:val="none"/>
              </w:rPr>
              <w:t>/</w:t>
            </w:r>
          </w:p>
        </w:tc>
        <w:tc>
          <w:tcPr>
            <w:tcW w:w="893" w:type="dxa"/>
            <w:vAlign w:val="center"/>
          </w:tcPr>
          <w:p>
            <w:pPr>
              <w:spacing w:line="320" w:lineRule="exact"/>
              <w:jc w:val="center"/>
              <w:rPr>
                <w:b w:val="0"/>
                <w:bCs w:val="0"/>
                <w:szCs w:val="21"/>
                <w:u w:val="none"/>
              </w:rPr>
            </w:pPr>
            <w:r>
              <w:rPr>
                <w:b w:val="0"/>
                <w:bCs w:val="0"/>
                <w:szCs w:val="21"/>
                <w:u w:val="none"/>
              </w:rPr>
              <w:t>/</w:t>
            </w:r>
          </w:p>
        </w:tc>
        <w:tc>
          <w:tcPr>
            <w:tcW w:w="2580" w:type="dxa"/>
            <w:vAlign w:val="center"/>
          </w:tcPr>
          <w:p>
            <w:pPr>
              <w:spacing w:line="320" w:lineRule="exact"/>
              <w:jc w:val="center"/>
              <w:rPr>
                <w:b w:val="0"/>
                <w:bCs w:val="0"/>
                <w:szCs w:val="21"/>
                <w:u w:val="none"/>
              </w:rPr>
            </w:pPr>
            <w:r>
              <w:rPr>
                <w:b w:val="0"/>
                <w:bCs w:val="0"/>
                <w:szCs w:val="21"/>
                <w:u w:val="none"/>
              </w:rPr>
              <w:t>《地下水质量标准》（GB/T14848-2017）</w:t>
            </w:r>
            <w:r>
              <w:rPr>
                <w:rFonts w:hint="eastAsia" w:ascii="宋体" w:hAnsi="宋体" w:cs="宋体"/>
                <w:b w:val="0"/>
                <w:bCs w:val="0"/>
                <w:szCs w:val="21"/>
                <w:u w:val="none"/>
              </w:rPr>
              <w:t>Ⅲ</w:t>
            </w:r>
            <w:r>
              <w:rPr>
                <w:b w:val="0"/>
                <w:bCs w:val="0"/>
                <w:szCs w:val="21"/>
                <w:u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土壤</w:t>
            </w:r>
          </w:p>
        </w:tc>
        <w:tc>
          <w:tcPr>
            <w:tcW w:w="3423" w:type="dxa"/>
            <w:gridSpan w:val="3"/>
            <w:vAlign w:val="center"/>
          </w:tcPr>
          <w:p>
            <w:pPr>
              <w:spacing w:line="320" w:lineRule="exact"/>
              <w:jc w:val="center"/>
              <w:rPr>
                <w:b w:val="0"/>
                <w:bCs w:val="0"/>
                <w:szCs w:val="21"/>
                <w:u w:val="none"/>
              </w:rPr>
            </w:pPr>
            <w:r>
              <w:rPr>
                <w:b w:val="0"/>
                <w:bCs w:val="0"/>
                <w:szCs w:val="21"/>
                <w:u w:val="none"/>
              </w:rPr>
              <w:t>配套沼液消纳地附近土壤环境</w:t>
            </w:r>
          </w:p>
        </w:tc>
        <w:tc>
          <w:tcPr>
            <w:tcW w:w="893" w:type="dxa"/>
            <w:vAlign w:val="center"/>
          </w:tcPr>
          <w:p>
            <w:pPr>
              <w:spacing w:line="320" w:lineRule="exact"/>
              <w:jc w:val="center"/>
              <w:rPr>
                <w:b w:val="0"/>
                <w:bCs w:val="0"/>
                <w:szCs w:val="21"/>
                <w:u w:val="none"/>
              </w:rPr>
            </w:pPr>
            <w:r>
              <w:rPr>
                <w:b w:val="0"/>
                <w:bCs w:val="0"/>
                <w:szCs w:val="21"/>
                <w:u w:val="none"/>
              </w:rPr>
              <w:t>/</w:t>
            </w:r>
          </w:p>
        </w:tc>
        <w:tc>
          <w:tcPr>
            <w:tcW w:w="893" w:type="dxa"/>
            <w:vAlign w:val="center"/>
          </w:tcPr>
          <w:p>
            <w:pPr>
              <w:spacing w:line="320" w:lineRule="exact"/>
              <w:jc w:val="center"/>
              <w:rPr>
                <w:b w:val="0"/>
                <w:bCs w:val="0"/>
                <w:szCs w:val="21"/>
                <w:u w:val="none"/>
              </w:rPr>
            </w:pPr>
            <w:r>
              <w:rPr>
                <w:b w:val="0"/>
                <w:bCs w:val="0"/>
                <w:szCs w:val="21"/>
                <w:u w:val="none"/>
              </w:rPr>
              <w:t>/</w:t>
            </w:r>
          </w:p>
        </w:tc>
        <w:tc>
          <w:tcPr>
            <w:tcW w:w="2580" w:type="dxa"/>
            <w:vAlign w:val="center"/>
          </w:tcPr>
          <w:p>
            <w:pPr>
              <w:spacing w:line="320" w:lineRule="exact"/>
              <w:jc w:val="center"/>
              <w:rPr>
                <w:b w:val="0"/>
                <w:bCs w:val="0"/>
                <w:szCs w:val="21"/>
                <w:u w:val="none"/>
              </w:rPr>
            </w:pPr>
            <w:r>
              <w:rPr>
                <w:b w:val="0"/>
                <w:bCs w:val="0"/>
                <w:szCs w:val="21"/>
                <w:u w:val="none"/>
              </w:rPr>
              <w:t>《土壤环境质量农用地土壤污染风险管控标准》（GB15618-2018）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噪声</w:t>
            </w:r>
          </w:p>
        </w:tc>
        <w:tc>
          <w:tcPr>
            <w:tcW w:w="3423" w:type="dxa"/>
            <w:gridSpan w:val="3"/>
            <w:vAlign w:val="center"/>
          </w:tcPr>
          <w:p>
            <w:pPr>
              <w:spacing w:line="320" w:lineRule="exact"/>
              <w:jc w:val="center"/>
              <w:rPr>
                <w:b w:val="0"/>
                <w:bCs w:val="0"/>
                <w:szCs w:val="21"/>
                <w:u w:val="none"/>
              </w:rPr>
            </w:pPr>
            <w:r>
              <w:rPr>
                <w:b w:val="0"/>
                <w:bCs w:val="0"/>
                <w:szCs w:val="21"/>
                <w:u w:val="none"/>
              </w:rPr>
              <w:t>场区四周场界</w:t>
            </w:r>
          </w:p>
        </w:tc>
        <w:tc>
          <w:tcPr>
            <w:tcW w:w="893" w:type="dxa"/>
            <w:vAlign w:val="center"/>
          </w:tcPr>
          <w:p>
            <w:pPr>
              <w:spacing w:line="320" w:lineRule="exact"/>
              <w:jc w:val="center"/>
              <w:rPr>
                <w:b w:val="0"/>
                <w:bCs w:val="0"/>
                <w:szCs w:val="21"/>
                <w:u w:val="none"/>
              </w:rPr>
            </w:pPr>
            <w:r>
              <w:rPr>
                <w:b w:val="0"/>
                <w:bCs w:val="0"/>
                <w:szCs w:val="21"/>
                <w:u w:val="none"/>
              </w:rPr>
              <w:t>/</w:t>
            </w:r>
          </w:p>
        </w:tc>
        <w:tc>
          <w:tcPr>
            <w:tcW w:w="893" w:type="dxa"/>
            <w:vAlign w:val="center"/>
          </w:tcPr>
          <w:p>
            <w:pPr>
              <w:spacing w:line="320" w:lineRule="exact"/>
              <w:jc w:val="center"/>
              <w:rPr>
                <w:b w:val="0"/>
                <w:bCs w:val="0"/>
                <w:szCs w:val="21"/>
                <w:u w:val="none"/>
              </w:rPr>
            </w:pPr>
            <w:r>
              <w:rPr>
                <w:b w:val="0"/>
                <w:bCs w:val="0"/>
                <w:szCs w:val="21"/>
                <w:u w:val="none"/>
              </w:rPr>
              <w:t>/</w:t>
            </w:r>
          </w:p>
        </w:tc>
        <w:tc>
          <w:tcPr>
            <w:tcW w:w="2580" w:type="dxa"/>
            <w:vAlign w:val="center"/>
          </w:tcPr>
          <w:p>
            <w:pPr>
              <w:spacing w:line="320" w:lineRule="exact"/>
              <w:jc w:val="center"/>
              <w:rPr>
                <w:b w:val="0"/>
                <w:bCs w:val="0"/>
                <w:szCs w:val="21"/>
                <w:u w:val="none"/>
              </w:rPr>
            </w:pPr>
            <w:r>
              <w:rPr>
                <w:b w:val="0"/>
                <w:bCs w:val="0"/>
                <w:szCs w:val="21"/>
                <w:u w:val="none"/>
              </w:rPr>
              <w:t>《声环境质量标准》（GB3096-2008）2类</w:t>
            </w:r>
          </w:p>
        </w:tc>
      </w:tr>
    </w:tbl>
    <w:p>
      <w:pPr>
        <w:spacing w:line="500" w:lineRule="exact"/>
        <w:rPr>
          <w:b/>
          <w:bCs/>
          <w:szCs w:val="21"/>
        </w:rPr>
      </w:pPr>
    </w:p>
    <w:p>
      <w:pPr>
        <w:pStyle w:val="5"/>
        <w:tabs>
          <w:tab w:val="left" w:pos="3400"/>
        </w:tabs>
        <w:spacing w:before="156" w:after="156"/>
        <w:rPr>
          <w:rFonts w:hAnsi="Times New Roman"/>
          <w:color w:val="000000"/>
        </w:rPr>
      </w:pPr>
      <w:bookmarkStart w:id="37" w:name="_Toc22229"/>
      <w:r>
        <w:rPr>
          <w:rFonts w:hAnsi="Times New Roman"/>
          <w:color w:val="000000"/>
        </w:rPr>
        <w:t>1.12 评价专题设置</w:t>
      </w:r>
      <w:bookmarkEnd w:id="37"/>
    </w:p>
    <w:p>
      <w:pPr>
        <w:spacing w:line="520" w:lineRule="exact"/>
        <w:ind w:firstLine="480" w:firstLineChars="200"/>
        <w:rPr>
          <w:color w:val="000000"/>
          <w:sz w:val="24"/>
        </w:rPr>
      </w:pPr>
      <w:r>
        <w:rPr>
          <w:color w:val="000000"/>
          <w:sz w:val="24"/>
        </w:rPr>
        <w:t>根据本项目特点及周围环境特点，按照建设项目环境影响报告书编制规范要求，本次评价拟设置以下专题。</w:t>
      </w:r>
    </w:p>
    <w:p>
      <w:pPr>
        <w:numPr>
          <w:ilvl w:val="0"/>
          <w:numId w:val="1"/>
        </w:numPr>
        <w:spacing w:line="520" w:lineRule="exact"/>
        <w:ind w:firstLine="480" w:firstLineChars="200"/>
        <w:rPr>
          <w:bCs/>
          <w:color w:val="000000"/>
          <w:sz w:val="24"/>
        </w:rPr>
      </w:pPr>
      <w:r>
        <w:rPr>
          <w:color w:val="000000"/>
          <w:sz w:val="24"/>
        </w:rPr>
        <w:t xml:space="preserve">   </w:t>
      </w:r>
      <w:r>
        <w:rPr>
          <w:bCs/>
          <w:color w:val="000000"/>
          <w:sz w:val="24"/>
        </w:rPr>
        <w:t>总则</w:t>
      </w:r>
    </w:p>
    <w:p>
      <w:pPr>
        <w:numPr>
          <w:ilvl w:val="0"/>
          <w:numId w:val="1"/>
        </w:numPr>
        <w:spacing w:line="520" w:lineRule="exact"/>
        <w:ind w:firstLine="480" w:firstLineChars="200"/>
        <w:rPr>
          <w:color w:val="000000"/>
          <w:sz w:val="24"/>
        </w:rPr>
      </w:pPr>
      <w:r>
        <w:rPr>
          <w:rFonts w:hint="eastAsia"/>
          <w:color w:val="000000"/>
          <w:sz w:val="24"/>
          <w:lang w:val="en-US" w:eastAsia="zh-CN"/>
        </w:rPr>
        <w:t xml:space="preserve">   </w:t>
      </w:r>
      <w:r>
        <w:rPr>
          <w:color w:val="000000"/>
          <w:sz w:val="24"/>
        </w:rPr>
        <w:t>工程分析</w:t>
      </w:r>
    </w:p>
    <w:p>
      <w:pPr>
        <w:spacing w:line="520" w:lineRule="exact"/>
        <w:ind w:firstLine="480" w:firstLineChars="200"/>
        <w:rPr>
          <w:color w:val="000000"/>
          <w:sz w:val="24"/>
        </w:rPr>
      </w:pPr>
      <w:r>
        <w:rPr>
          <w:color w:val="000000"/>
          <w:sz w:val="24"/>
        </w:rPr>
        <w:t>第</w:t>
      </w:r>
      <w:r>
        <w:rPr>
          <w:rFonts w:hint="eastAsia"/>
          <w:color w:val="000000"/>
          <w:sz w:val="24"/>
          <w:lang w:val="en-US" w:eastAsia="zh-CN"/>
        </w:rPr>
        <w:t>三</w:t>
      </w:r>
      <w:r>
        <w:rPr>
          <w:color w:val="000000"/>
          <w:sz w:val="24"/>
        </w:rPr>
        <w:t>章    环境现状调查与评价</w:t>
      </w:r>
    </w:p>
    <w:p>
      <w:pPr>
        <w:spacing w:line="520" w:lineRule="exact"/>
        <w:ind w:firstLine="480" w:firstLineChars="200"/>
        <w:rPr>
          <w:color w:val="000000"/>
          <w:sz w:val="24"/>
        </w:rPr>
      </w:pPr>
      <w:r>
        <w:rPr>
          <w:color w:val="000000"/>
          <w:sz w:val="24"/>
        </w:rPr>
        <w:t>第</w:t>
      </w:r>
      <w:r>
        <w:rPr>
          <w:rFonts w:hint="eastAsia"/>
          <w:color w:val="000000"/>
          <w:sz w:val="24"/>
          <w:lang w:val="en-US" w:eastAsia="zh-CN"/>
        </w:rPr>
        <w:t>四</w:t>
      </w:r>
      <w:r>
        <w:rPr>
          <w:color w:val="000000"/>
          <w:sz w:val="24"/>
        </w:rPr>
        <w:t>章    环境</w:t>
      </w:r>
      <w:r>
        <w:rPr>
          <w:bCs/>
          <w:color w:val="000000"/>
          <w:sz w:val="24"/>
        </w:rPr>
        <w:t>影响预测与评价</w:t>
      </w:r>
    </w:p>
    <w:p>
      <w:pPr>
        <w:spacing w:line="520" w:lineRule="exact"/>
        <w:ind w:firstLine="480" w:firstLineChars="200"/>
        <w:rPr>
          <w:color w:val="000000"/>
          <w:sz w:val="24"/>
        </w:rPr>
      </w:pPr>
      <w:r>
        <w:rPr>
          <w:color w:val="000000"/>
          <w:sz w:val="24"/>
        </w:rPr>
        <w:t>第</w:t>
      </w:r>
      <w:r>
        <w:rPr>
          <w:rFonts w:hint="eastAsia"/>
          <w:color w:val="000000"/>
          <w:sz w:val="24"/>
          <w:lang w:val="en-US" w:eastAsia="zh-CN"/>
        </w:rPr>
        <w:t>五</w:t>
      </w:r>
      <w:r>
        <w:rPr>
          <w:color w:val="000000"/>
          <w:sz w:val="24"/>
        </w:rPr>
        <w:t xml:space="preserve">章    </w:t>
      </w:r>
      <w:r>
        <w:rPr>
          <w:bCs/>
          <w:color w:val="000000"/>
          <w:sz w:val="24"/>
        </w:rPr>
        <w:t>环保措施及其可行性论证</w:t>
      </w:r>
    </w:p>
    <w:p>
      <w:pPr>
        <w:spacing w:line="520" w:lineRule="exact"/>
        <w:ind w:firstLine="480" w:firstLineChars="200"/>
        <w:rPr>
          <w:bCs/>
          <w:color w:val="000000"/>
          <w:sz w:val="24"/>
        </w:rPr>
      </w:pPr>
      <w:r>
        <w:rPr>
          <w:color w:val="000000"/>
          <w:sz w:val="24"/>
        </w:rPr>
        <w:t>第</w:t>
      </w:r>
      <w:r>
        <w:rPr>
          <w:rFonts w:hint="eastAsia"/>
          <w:color w:val="000000"/>
          <w:sz w:val="24"/>
          <w:lang w:val="en-US" w:eastAsia="zh-CN"/>
        </w:rPr>
        <w:t>六</w:t>
      </w:r>
      <w:r>
        <w:rPr>
          <w:color w:val="000000"/>
          <w:sz w:val="24"/>
        </w:rPr>
        <w:t xml:space="preserve">章    </w:t>
      </w:r>
      <w:r>
        <w:rPr>
          <w:bCs/>
          <w:color w:val="000000"/>
          <w:sz w:val="24"/>
        </w:rPr>
        <w:t>环境管理与监测计划</w:t>
      </w:r>
    </w:p>
    <w:p>
      <w:pPr>
        <w:spacing w:line="520" w:lineRule="exact"/>
        <w:ind w:firstLine="480" w:firstLineChars="200"/>
        <w:rPr>
          <w:color w:val="000000"/>
          <w:sz w:val="24"/>
        </w:rPr>
      </w:pPr>
      <w:r>
        <w:rPr>
          <w:color w:val="000000"/>
          <w:sz w:val="24"/>
        </w:rPr>
        <w:t>第</w:t>
      </w:r>
      <w:r>
        <w:rPr>
          <w:rFonts w:hint="eastAsia"/>
          <w:color w:val="000000"/>
          <w:sz w:val="24"/>
          <w:lang w:val="en-US" w:eastAsia="zh-CN"/>
        </w:rPr>
        <w:t>七</w:t>
      </w:r>
      <w:r>
        <w:rPr>
          <w:color w:val="000000"/>
          <w:sz w:val="24"/>
        </w:rPr>
        <w:t>章    环境经济损益分析</w:t>
      </w:r>
    </w:p>
    <w:p>
      <w:pPr>
        <w:spacing w:line="520" w:lineRule="exact"/>
        <w:ind w:firstLine="480" w:firstLineChars="200"/>
        <w:rPr>
          <w:color w:val="000000"/>
          <w:sz w:val="24"/>
        </w:rPr>
      </w:pPr>
      <w:r>
        <w:rPr>
          <w:color w:val="000000"/>
          <w:sz w:val="24"/>
        </w:rPr>
        <w:t>第</w:t>
      </w:r>
      <w:r>
        <w:rPr>
          <w:rFonts w:hint="eastAsia"/>
          <w:color w:val="000000"/>
          <w:sz w:val="24"/>
          <w:lang w:val="en-US" w:eastAsia="zh-CN"/>
        </w:rPr>
        <w:t>八</w:t>
      </w:r>
      <w:r>
        <w:rPr>
          <w:color w:val="000000"/>
          <w:sz w:val="24"/>
        </w:rPr>
        <w:t>章    厂址选择及平面布置合理性分析</w:t>
      </w:r>
    </w:p>
    <w:p>
      <w:pPr>
        <w:spacing w:line="520" w:lineRule="exact"/>
        <w:ind w:firstLine="480" w:firstLineChars="200"/>
        <w:rPr>
          <w:bCs/>
          <w:color w:val="000000"/>
          <w:sz w:val="24"/>
        </w:rPr>
      </w:pPr>
      <w:r>
        <w:rPr>
          <w:color w:val="000000"/>
          <w:sz w:val="24"/>
        </w:rPr>
        <w:t>第</w:t>
      </w:r>
      <w:r>
        <w:rPr>
          <w:rFonts w:hint="eastAsia"/>
          <w:color w:val="000000"/>
          <w:sz w:val="24"/>
          <w:lang w:val="en-US" w:eastAsia="zh-CN"/>
        </w:rPr>
        <w:t>九</w:t>
      </w:r>
      <w:r>
        <w:rPr>
          <w:color w:val="000000"/>
          <w:sz w:val="24"/>
        </w:rPr>
        <w:t>章    评价</w:t>
      </w:r>
      <w:r>
        <w:rPr>
          <w:bCs/>
          <w:color w:val="000000"/>
          <w:sz w:val="24"/>
        </w:rPr>
        <w:t>结论与建议</w:t>
      </w:r>
    </w:p>
    <w:bookmarkEnd w:id="36"/>
    <w:p>
      <w:pPr>
        <w:pStyle w:val="5"/>
        <w:spacing w:before="156" w:after="156"/>
        <w:rPr>
          <w:rFonts w:hAnsi="Times New Roman"/>
          <w:color w:val="000000"/>
        </w:rPr>
      </w:pPr>
      <w:bookmarkStart w:id="38" w:name="_Toc375206156"/>
      <w:bookmarkStart w:id="39" w:name="_Toc22060"/>
      <w:r>
        <w:rPr>
          <w:rFonts w:hAnsi="Times New Roman"/>
          <w:color w:val="000000"/>
        </w:rPr>
        <w:t>1.13 评</w:t>
      </w:r>
      <w:r>
        <w:rPr>
          <w:rFonts w:hAnsi="Times New Roman"/>
          <w:bCs w:val="0"/>
          <w:color w:val="000000"/>
        </w:rPr>
        <w:t>价方法及</w:t>
      </w:r>
      <w:r>
        <w:rPr>
          <w:rFonts w:hAnsi="Times New Roman"/>
          <w:color w:val="000000"/>
        </w:rPr>
        <w:t>工作程序</w:t>
      </w:r>
      <w:bookmarkEnd w:id="38"/>
      <w:bookmarkEnd w:id="39"/>
    </w:p>
    <w:p>
      <w:pPr>
        <w:spacing w:line="520" w:lineRule="exact"/>
        <w:ind w:firstLine="480" w:firstLineChars="200"/>
        <w:rPr>
          <w:bCs/>
          <w:color w:val="000000"/>
          <w:sz w:val="24"/>
        </w:rPr>
      </w:pPr>
      <w:r>
        <w:rPr>
          <w:bCs/>
          <w:color w:val="000000"/>
          <w:sz w:val="24"/>
        </w:rPr>
        <w:t>以国家法律、法规为依据，征询有关主管部门对工程建设工作的意见；考察、踏勘、监测本工程所选场址及运输线路周围的环境现状；以</w:t>
      </w:r>
      <w:r>
        <w:rPr>
          <w:rFonts w:hint="eastAsia"/>
          <w:bCs/>
          <w:color w:val="000000"/>
          <w:sz w:val="24"/>
          <w:lang w:val="en-US" w:eastAsia="zh-CN"/>
        </w:rPr>
        <w:t>同类项目</w:t>
      </w:r>
      <w:r>
        <w:rPr>
          <w:bCs/>
          <w:color w:val="000000"/>
          <w:sz w:val="24"/>
        </w:rPr>
        <w:t>为参考依据，分析该项目建设可能带来的环境问题；结合当地实际，确定主要影响因素，运用合适的预测模式预测环境影响程度、范围，以清洁生产、循环经济为原则，分析工程污染治理措施的可行性，提出相应的对策、措施、建议，在以上工作的基础上做出项目建设可行与否的评价结论。本次评价工作程序见图1</w:t>
      </w:r>
      <w:r>
        <w:rPr>
          <w:rFonts w:hint="eastAsia"/>
          <w:bCs/>
          <w:color w:val="000000"/>
          <w:sz w:val="24"/>
          <w:lang w:val="en-US" w:eastAsia="zh-CN"/>
        </w:rPr>
        <w:t>.13</w:t>
      </w:r>
      <w:r>
        <w:rPr>
          <w:bCs/>
          <w:color w:val="000000"/>
          <w:sz w:val="24"/>
        </w:rPr>
        <w:t>-1。</w:t>
      </w:r>
    </w:p>
    <w:p>
      <w:pPr>
        <w:widowControl/>
        <w:jc w:val="left"/>
        <w:rPr>
          <w:bCs/>
          <w:color w:val="000000"/>
          <w:sz w:val="24"/>
        </w:rPr>
      </w:pPr>
      <w:r>
        <w:rPr>
          <w:bCs/>
          <w:color w:val="000000"/>
          <w:sz w:val="24"/>
        </w:rPr>
        <w:br w:type="page"/>
      </w:r>
    </w:p>
    <w:p>
      <w:pPr>
        <w:spacing w:line="520" w:lineRule="exact"/>
        <w:ind w:firstLine="422" w:firstLineChars="200"/>
        <w:jc w:val="center"/>
        <w:rPr>
          <w:b/>
          <w:bCs/>
          <w:color w:val="000000"/>
          <w:szCs w:val="21"/>
        </w:rPr>
      </w:pPr>
      <w:r>
        <w:rPr>
          <w:b/>
          <w:bCs/>
          <w:color w:val="000000"/>
          <w:szCs w:val="21"/>
        </w:rPr>
        <w:drawing>
          <wp:anchor distT="0" distB="0" distL="114300" distR="114300" simplePos="0" relativeHeight="251678720" behindDoc="0" locked="0" layoutInCell="1" allowOverlap="0">
            <wp:simplePos x="0" y="0"/>
            <wp:positionH relativeFrom="column">
              <wp:posOffset>-514350</wp:posOffset>
            </wp:positionH>
            <wp:positionV relativeFrom="paragraph">
              <wp:posOffset>86360</wp:posOffset>
            </wp:positionV>
            <wp:extent cx="6345555" cy="6705600"/>
            <wp:effectExtent l="19050" t="0" r="0" b="0"/>
            <wp:wrapNone/>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1582"/>
                    <pic:cNvPicPr>
                      <a:picLocks noChangeAspect="1" noChangeArrowheads="1"/>
                    </pic:cNvPicPr>
                  </pic:nvPicPr>
                  <pic:blipFill>
                    <a:blip r:embed="rId8" cstate="print"/>
                    <a:srcRect l="1767" r="1767" b="1538"/>
                    <a:stretch>
                      <a:fillRect/>
                    </a:stretch>
                  </pic:blipFill>
                  <pic:spPr>
                    <a:xfrm>
                      <a:off x="0" y="0"/>
                      <a:ext cx="6355365" cy="6715954"/>
                    </a:xfrm>
                    <a:prstGeom prst="rect">
                      <a:avLst/>
                    </a:prstGeom>
                    <a:noFill/>
                    <a:ln w="9525">
                      <a:noFill/>
                      <a:miter lim="800000"/>
                      <a:headEnd/>
                      <a:tailEnd/>
                    </a:ln>
                  </pic:spPr>
                </pic:pic>
              </a:graphicData>
            </a:graphic>
          </wp:anchor>
        </w:drawing>
      </w: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883" w:firstLineChars="200"/>
        <w:jc w:val="center"/>
        <w:rPr>
          <w:b/>
          <w:bCs/>
          <w:color w:val="000000"/>
          <w:szCs w:val="21"/>
        </w:rPr>
      </w:pPr>
      <w:r>
        <w:rPr>
          <w:b/>
          <w:sz w:val="44"/>
          <w:szCs w:val="44"/>
        </w:rPr>
        <w:pict>
          <v:shape id="_x0000_s2050" o:spid="_x0000_s2050" o:spt="202" type="#_x0000_t202" style="position:absolute;left:0pt;margin-left:73.6pt;margin-top:25pt;height:22.75pt;width:241.4pt;z-index:251685888;mso-width-relative:margin;mso-height-relative:margin;mso-height-percent:200;" stroked="f" coordsize="21600,21600">
            <v:path/>
            <v:fill focussize="0,0"/>
            <v:stroke on="f" joinstyle="miter"/>
            <v:imagedata o:title=""/>
            <o:lock v:ext="edit"/>
            <v:textbox style="mso-fit-shape-to-text:t;">
              <w:txbxContent>
                <w:p>
                  <w:pPr>
                    <w:rPr>
                      <w:b/>
                    </w:rPr>
                  </w:pPr>
                  <w:r>
                    <w:rPr>
                      <w:rFonts w:hint="eastAsia"/>
                      <w:b/>
                      <w:bCs/>
                      <w:color w:val="000000"/>
                      <w:sz w:val="24"/>
                    </w:rPr>
                    <w:t>图1</w:t>
                  </w:r>
                  <w:r>
                    <w:rPr>
                      <w:rFonts w:hint="eastAsia"/>
                      <w:b/>
                      <w:bCs/>
                      <w:color w:val="000000"/>
                      <w:sz w:val="24"/>
                      <w:lang w:val="en-US" w:eastAsia="zh-CN"/>
                    </w:rPr>
                    <w:t>.13</w:t>
                  </w:r>
                  <w:r>
                    <w:rPr>
                      <w:rFonts w:hint="eastAsia"/>
                      <w:b/>
                      <w:bCs/>
                      <w:color w:val="000000"/>
                      <w:sz w:val="24"/>
                    </w:rPr>
                    <w:t>-1       本次</w:t>
                  </w:r>
                  <w:r>
                    <w:rPr>
                      <w:b/>
                      <w:bCs/>
                      <w:color w:val="000000"/>
                      <w:sz w:val="24"/>
                    </w:rPr>
                    <w:t>评价工作</w:t>
                  </w:r>
                  <w:r>
                    <w:rPr>
                      <w:rFonts w:hint="eastAsia"/>
                      <w:b/>
                      <w:bCs/>
                      <w:color w:val="000000"/>
                      <w:sz w:val="24"/>
                    </w:rPr>
                    <w:t>流程图</w:t>
                  </w:r>
                </w:p>
              </w:txbxContent>
            </v:textbox>
          </v:shape>
        </w:pict>
      </w:r>
    </w:p>
    <w:p>
      <w:pPr>
        <w:widowControl/>
        <w:jc w:val="left"/>
        <w:rPr>
          <w:b/>
          <w:sz w:val="44"/>
          <w:szCs w:val="44"/>
        </w:rPr>
      </w:pPr>
      <w:r>
        <w:rPr>
          <w:b/>
          <w:sz w:val="44"/>
          <w:szCs w:val="44"/>
        </w:rPr>
        <w:br w:type="page"/>
      </w:r>
    </w:p>
    <w:p>
      <w:pPr>
        <w:keepNext/>
        <w:keepLines/>
        <w:spacing w:before="100" w:beforeAutospacing="1" w:after="100" w:afterAutospacing="1"/>
        <w:jc w:val="center"/>
        <w:outlineLvl w:val="0"/>
        <w:rPr>
          <w:b/>
          <w:sz w:val="44"/>
          <w:szCs w:val="44"/>
        </w:rPr>
      </w:pPr>
      <w:bookmarkStart w:id="40" w:name="_Toc28096"/>
      <w:r>
        <w:rPr>
          <w:b/>
          <w:sz w:val="44"/>
          <w:szCs w:val="44"/>
        </w:rPr>
        <w:t>第</w:t>
      </w:r>
      <w:r>
        <w:rPr>
          <w:rFonts w:hint="eastAsia"/>
          <w:b/>
          <w:sz w:val="44"/>
          <w:szCs w:val="44"/>
          <w:lang w:val="en-US" w:eastAsia="zh-CN"/>
        </w:rPr>
        <w:t>二</w:t>
      </w:r>
      <w:r>
        <w:rPr>
          <w:b/>
          <w:sz w:val="44"/>
          <w:szCs w:val="44"/>
        </w:rPr>
        <w:t>章  工程分析</w:t>
      </w:r>
      <w:bookmarkEnd w:id="1"/>
      <w:bookmarkEnd w:id="2"/>
      <w:bookmarkEnd w:id="3"/>
      <w:bookmarkEnd w:id="4"/>
      <w:bookmarkEnd w:id="40"/>
    </w:p>
    <w:p>
      <w:pPr>
        <w:pStyle w:val="5"/>
        <w:spacing w:before="156" w:after="156"/>
        <w:rPr>
          <w:rFonts w:hAnsi="Times New Roman"/>
          <w:color w:val="000000"/>
        </w:rPr>
      </w:pPr>
      <w:bookmarkStart w:id="41" w:name="_Toc3256"/>
      <w:bookmarkStart w:id="42" w:name="_Toc311979838"/>
      <w:bookmarkStart w:id="43" w:name="_Toc311979792"/>
      <w:bookmarkStart w:id="44" w:name="_Toc19309"/>
      <w:bookmarkStart w:id="45" w:name="_Toc388881894"/>
      <w:bookmarkStart w:id="46" w:name="_Toc10904"/>
      <w:bookmarkStart w:id="47" w:name="_Toc406847391"/>
      <w:bookmarkStart w:id="48" w:name="_Toc407001384"/>
      <w:bookmarkStart w:id="49" w:name="_Toc413166111"/>
      <w:bookmarkStart w:id="50" w:name="_Toc443924633"/>
      <w:bookmarkStart w:id="51" w:name="_Toc485996375"/>
      <w:bookmarkStart w:id="52" w:name="_Toc311979906"/>
      <w:r>
        <w:rPr>
          <w:rFonts w:hint="eastAsia" w:hAnsi="Times New Roman"/>
          <w:color w:val="000000"/>
          <w:lang w:val="en-US" w:eastAsia="zh-CN"/>
        </w:rPr>
        <w:t>2</w:t>
      </w:r>
      <w:r>
        <w:rPr>
          <w:rFonts w:hAnsi="Times New Roman"/>
          <w:color w:val="000000"/>
        </w:rPr>
        <w:t xml:space="preserve">.1 </w:t>
      </w:r>
      <w:r>
        <w:rPr>
          <w:rFonts w:hint="eastAsia" w:hAnsi="Times New Roman"/>
          <w:color w:val="000000"/>
          <w:lang w:val="en-US" w:eastAsia="zh-CN"/>
        </w:rPr>
        <w:t>建设项目</w:t>
      </w:r>
      <w:r>
        <w:rPr>
          <w:rFonts w:hAnsi="Times New Roman"/>
          <w:color w:val="000000"/>
        </w:rPr>
        <w:t>概况</w:t>
      </w:r>
      <w:bookmarkEnd w:id="41"/>
      <w:bookmarkEnd w:id="42"/>
      <w:bookmarkEnd w:id="43"/>
      <w:bookmarkEnd w:id="44"/>
      <w:bookmarkEnd w:id="45"/>
      <w:bookmarkEnd w:id="46"/>
      <w:bookmarkEnd w:id="47"/>
      <w:bookmarkEnd w:id="48"/>
      <w:bookmarkEnd w:id="49"/>
      <w:bookmarkEnd w:id="50"/>
      <w:bookmarkEnd w:id="51"/>
      <w:bookmarkEnd w:id="52"/>
    </w:p>
    <w:p>
      <w:pPr>
        <w:pStyle w:val="6"/>
        <w:snapToGrid w:val="0"/>
        <w:spacing w:before="0" w:after="0" w:line="520" w:lineRule="exact"/>
        <w:rPr>
          <w:rFonts w:eastAsia="黑体"/>
          <w:b w:val="0"/>
          <w:bCs w:val="0"/>
          <w:sz w:val="24"/>
          <w:szCs w:val="24"/>
        </w:rPr>
      </w:pPr>
      <w:bookmarkStart w:id="53" w:name="_Toc388881895"/>
      <w:bookmarkStart w:id="54" w:name="_Toc407001385"/>
      <w:bookmarkStart w:id="55" w:name="_Toc311979907"/>
      <w:bookmarkStart w:id="56" w:name="_Toc413166112"/>
      <w:bookmarkStart w:id="57" w:name="_Toc406847392"/>
      <w:bookmarkStart w:id="58" w:name="_Toc311979793"/>
      <w:bookmarkStart w:id="59" w:name="_Toc311979839"/>
      <w:r>
        <w:rPr>
          <w:rFonts w:hint="eastAsia" w:eastAsia="黑体"/>
          <w:b w:val="0"/>
          <w:bCs w:val="0"/>
          <w:sz w:val="24"/>
          <w:szCs w:val="24"/>
          <w:lang w:val="en-US" w:eastAsia="zh-CN"/>
        </w:rPr>
        <w:t>2</w:t>
      </w:r>
      <w:r>
        <w:rPr>
          <w:rFonts w:eastAsia="黑体"/>
          <w:b w:val="0"/>
          <w:bCs w:val="0"/>
          <w:sz w:val="24"/>
          <w:szCs w:val="24"/>
        </w:rPr>
        <w:t>.1.1</w:t>
      </w:r>
      <w:bookmarkEnd w:id="53"/>
      <w:bookmarkEnd w:id="54"/>
      <w:bookmarkEnd w:id="55"/>
      <w:bookmarkEnd w:id="56"/>
      <w:bookmarkEnd w:id="57"/>
      <w:bookmarkEnd w:id="58"/>
      <w:bookmarkEnd w:id="59"/>
      <w:r>
        <w:rPr>
          <w:rFonts w:eastAsia="黑体"/>
          <w:b w:val="0"/>
          <w:bCs w:val="0"/>
          <w:sz w:val="24"/>
          <w:szCs w:val="24"/>
        </w:rPr>
        <w:t>工程基本概况</w:t>
      </w:r>
    </w:p>
    <w:p>
      <w:pPr>
        <w:tabs>
          <w:tab w:val="left" w:pos="0"/>
        </w:tabs>
        <w:snapToGrid w:val="0"/>
        <w:spacing w:line="500" w:lineRule="exact"/>
        <w:ind w:firstLine="480" w:firstLineChars="200"/>
        <w:rPr>
          <w:kern w:val="0"/>
          <w:sz w:val="24"/>
        </w:rPr>
      </w:pPr>
      <w:r>
        <w:rPr>
          <w:kern w:val="0"/>
          <w:sz w:val="24"/>
        </w:rPr>
        <w:t>项目工程基本情况一览表</w:t>
      </w:r>
      <w:r>
        <w:rPr>
          <w:rFonts w:hint="eastAsia"/>
          <w:kern w:val="0"/>
          <w:sz w:val="24"/>
          <w:lang w:val="en-US" w:eastAsia="zh-CN"/>
        </w:rPr>
        <w:t>2</w:t>
      </w:r>
      <w:r>
        <w:rPr>
          <w:kern w:val="0"/>
          <w:sz w:val="24"/>
        </w:rPr>
        <w:t>.1-1。</w:t>
      </w:r>
    </w:p>
    <w:p>
      <w:pPr>
        <w:spacing w:line="500" w:lineRule="exact"/>
        <w:jc w:val="center"/>
        <w:rPr>
          <w:b/>
          <w:sz w:val="24"/>
        </w:rPr>
      </w:pPr>
      <w:r>
        <w:rPr>
          <w:b/>
          <w:sz w:val="24"/>
        </w:rPr>
        <w:t>表</w:t>
      </w:r>
      <w:r>
        <w:rPr>
          <w:rFonts w:hint="eastAsia"/>
          <w:b/>
          <w:sz w:val="24"/>
          <w:lang w:val="en-US" w:eastAsia="zh-CN"/>
        </w:rPr>
        <w:t>2</w:t>
      </w:r>
      <w:r>
        <w:rPr>
          <w:b/>
          <w:sz w:val="24"/>
        </w:rPr>
        <w:t>.1-1   项目基本信息一览表</w:t>
      </w:r>
    </w:p>
    <w:tbl>
      <w:tblPr>
        <w:tblStyle w:val="45"/>
        <w:tblW w:w="8962" w:type="dxa"/>
        <w:tblInd w:w="-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8"/>
        <w:gridCol w:w="1952"/>
        <w:gridCol w:w="6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b/>
                <w:szCs w:val="21"/>
              </w:rPr>
            </w:pPr>
            <w:r>
              <w:rPr>
                <w:b/>
                <w:szCs w:val="21"/>
              </w:rPr>
              <w:t>序号</w:t>
            </w:r>
          </w:p>
        </w:tc>
        <w:tc>
          <w:tcPr>
            <w:tcW w:w="1952" w:type="dxa"/>
            <w:tcMar>
              <w:top w:w="0" w:type="dxa"/>
              <w:left w:w="57" w:type="dxa"/>
              <w:bottom w:w="0" w:type="dxa"/>
              <w:right w:w="57" w:type="dxa"/>
            </w:tcMar>
            <w:vAlign w:val="center"/>
          </w:tcPr>
          <w:p>
            <w:pPr>
              <w:adjustRightInd w:val="0"/>
              <w:snapToGrid w:val="0"/>
              <w:spacing w:line="360" w:lineRule="exact"/>
              <w:jc w:val="center"/>
              <w:rPr>
                <w:b/>
                <w:szCs w:val="21"/>
              </w:rPr>
            </w:pPr>
            <w:r>
              <w:rPr>
                <w:b/>
                <w:szCs w:val="21"/>
              </w:rPr>
              <w:t>项    目</w:t>
            </w:r>
          </w:p>
        </w:tc>
        <w:tc>
          <w:tcPr>
            <w:tcW w:w="6472" w:type="dxa"/>
            <w:tcMar>
              <w:top w:w="0" w:type="dxa"/>
              <w:left w:w="57" w:type="dxa"/>
              <w:bottom w:w="0" w:type="dxa"/>
              <w:right w:w="57" w:type="dxa"/>
            </w:tcMar>
            <w:vAlign w:val="center"/>
          </w:tcPr>
          <w:p>
            <w:pPr>
              <w:adjustRightInd w:val="0"/>
              <w:snapToGrid w:val="0"/>
              <w:spacing w:line="360" w:lineRule="exact"/>
              <w:jc w:val="center"/>
              <w:rPr>
                <w:b/>
                <w:szCs w:val="21"/>
              </w:rPr>
            </w:pPr>
            <w:r>
              <w:rPr>
                <w:b/>
                <w:szCs w:val="21"/>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工程名称</w:t>
            </w:r>
          </w:p>
        </w:tc>
        <w:tc>
          <w:tcPr>
            <w:tcW w:w="6472" w:type="dxa"/>
            <w:tcMar>
              <w:top w:w="0" w:type="dxa"/>
              <w:left w:w="57" w:type="dxa"/>
              <w:bottom w:w="0" w:type="dxa"/>
              <w:right w:w="57" w:type="dxa"/>
            </w:tcMar>
            <w:vAlign w:val="center"/>
          </w:tcPr>
          <w:p>
            <w:pPr>
              <w:adjustRightInd w:val="0"/>
              <w:snapToGrid w:val="0"/>
              <w:spacing w:line="360" w:lineRule="exact"/>
              <w:rPr>
                <w:rFonts w:hint="default" w:eastAsia="宋体"/>
                <w:b w:val="0"/>
                <w:bCs/>
                <w:szCs w:val="21"/>
                <w:u w:val="none"/>
                <w:lang w:val="en-US" w:eastAsia="zh-CN"/>
              </w:rPr>
            </w:pPr>
            <w:r>
              <w:rPr>
                <w:rFonts w:hint="eastAsia"/>
                <w:b w:val="0"/>
                <w:bCs/>
                <w:szCs w:val="21"/>
                <w:u w:val="none"/>
                <w:lang w:eastAsia="zh-CN"/>
              </w:rPr>
              <w:t>正阳县辉鸿农牧有限公司</w:t>
            </w:r>
            <w:r>
              <w:rPr>
                <w:rFonts w:hint="eastAsia"/>
                <w:b w:val="0"/>
                <w:bCs/>
                <w:szCs w:val="21"/>
                <w:u w:val="none"/>
                <w:lang w:val="en-US" w:eastAsia="zh-CN"/>
              </w:rPr>
              <w:t>新建年出栏生猪一万头生产项目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2</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工程建设单位</w:t>
            </w:r>
          </w:p>
        </w:tc>
        <w:tc>
          <w:tcPr>
            <w:tcW w:w="6472" w:type="dxa"/>
            <w:tcMar>
              <w:top w:w="0" w:type="dxa"/>
              <w:left w:w="57" w:type="dxa"/>
              <w:bottom w:w="0" w:type="dxa"/>
              <w:right w:w="57" w:type="dxa"/>
            </w:tcMar>
            <w:vAlign w:val="center"/>
          </w:tcPr>
          <w:p>
            <w:pPr>
              <w:adjustRightInd w:val="0"/>
              <w:snapToGrid w:val="0"/>
              <w:spacing w:line="360" w:lineRule="exact"/>
              <w:rPr>
                <w:rFonts w:hint="eastAsia" w:eastAsia="宋体"/>
                <w:b w:val="0"/>
                <w:bCs/>
                <w:szCs w:val="21"/>
                <w:u w:val="none"/>
                <w:lang w:eastAsia="zh-CN"/>
              </w:rPr>
            </w:pPr>
            <w:r>
              <w:rPr>
                <w:rFonts w:hint="eastAsia"/>
                <w:b w:val="0"/>
                <w:bCs/>
                <w:szCs w:val="21"/>
                <w:u w:val="none"/>
                <w:lang w:eastAsia="zh-CN"/>
              </w:rPr>
              <w:t>正阳县辉鸿农牧有限公司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3</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建设性质</w:t>
            </w:r>
          </w:p>
        </w:tc>
        <w:tc>
          <w:tcPr>
            <w:tcW w:w="6472" w:type="dxa"/>
            <w:tcMar>
              <w:top w:w="0" w:type="dxa"/>
              <w:left w:w="57" w:type="dxa"/>
              <w:bottom w:w="0" w:type="dxa"/>
              <w:right w:w="57" w:type="dxa"/>
            </w:tcMar>
            <w:vAlign w:val="center"/>
          </w:tcPr>
          <w:p>
            <w:pPr>
              <w:adjustRightInd w:val="0"/>
              <w:snapToGrid w:val="0"/>
              <w:spacing w:line="360" w:lineRule="exact"/>
              <w:rPr>
                <w:b w:val="0"/>
                <w:bCs/>
                <w:szCs w:val="21"/>
                <w:u w:val="none"/>
              </w:rPr>
            </w:pPr>
            <w:r>
              <w:rPr>
                <w:rFonts w:hint="eastAsia"/>
                <w:b w:val="0"/>
                <w:bCs/>
                <w:szCs w:val="21"/>
                <w:u w:val="none"/>
                <w:lang w:val="en-US" w:eastAsia="zh-CN"/>
              </w:rPr>
              <w:t>新</w:t>
            </w:r>
            <w:r>
              <w:rPr>
                <w:b w:val="0"/>
                <w:bCs/>
                <w:szCs w:val="21"/>
                <w:u w:val="none"/>
              </w:rPr>
              <w:t>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4</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行业类别</w:t>
            </w:r>
          </w:p>
        </w:tc>
        <w:tc>
          <w:tcPr>
            <w:tcW w:w="6472" w:type="dxa"/>
            <w:tcMar>
              <w:top w:w="0" w:type="dxa"/>
              <w:left w:w="57" w:type="dxa"/>
              <w:bottom w:w="0" w:type="dxa"/>
              <w:right w:w="57" w:type="dxa"/>
            </w:tcMar>
            <w:vAlign w:val="center"/>
          </w:tcPr>
          <w:p>
            <w:pPr>
              <w:adjustRightInd w:val="0"/>
              <w:snapToGrid w:val="0"/>
              <w:spacing w:line="360" w:lineRule="exact"/>
              <w:rPr>
                <w:b w:val="0"/>
                <w:bCs/>
                <w:szCs w:val="21"/>
                <w:u w:val="none"/>
              </w:rPr>
            </w:pPr>
            <w:r>
              <w:rPr>
                <w:b w:val="0"/>
                <w:bCs/>
                <w:szCs w:val="21"/>
                <w:u w:val="none"/>
              </w:rPr>
              <w:t>畜牧业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5</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建设地点</w:t>
            </w:r>
          </w:p>
        </w:tc>
        <w:tc>
          <w:tcPr>
            <w:tcW w:w="6472" w:type="dxa"/>
            <w:tcMar>
              <w:top w:w="0" w:type="dxa"/>
              <w:left w:w="57" w:type="dxa"/>
              <w:bottom w:w="0" w:type="dxa"/>
              <w:right w:w="57" w:type="dxa"/>
            </w:tcMar>
            <w:vAlign w:val="center"/>
          </w:tcPr>
          <w:p>
            <w:pPr>
              <w:adjustRightInd w:val="0"/>
              <w:snapToGrid w:val="0"/>
              <w:spacing w:line="360" w:lineRule="exact"/>
              <w:rPr>
                <w:rFonts w:hint="default"/>
                <w:b w:val="0"/>
                <w:bCs/>
                <w:szCs w:val="21"/>
                <w:u w:val="none"/>
                <w:lang w:val="en-US"/>
              </w:rPr>
            </w:pPr>
            <w:r>
              <w:rPr>
                <w:b w:val="0"/>
                <w:bCs/>
                <w:u w:val="none"/>
              </w:rPr>
              <w:t>驻马店市</w:t>
            </w:r>
            <w:r>
              <w:rPr>
                <w:rFonts w:hint="eastAsia"/>
                <w:b w:val="0"/>
                <w:bCs/>
                <w:szCs w:val="21"/>
                <w:u w:val="none"/>
                <w:lang w:eastAsia="zh-CN"/>
              </w:rPr>
              <w:t>正阳县</w:t>
            </w:r>
            <w:r>
              <w:rPr>
                <w:rFonts w:hint="eastAsia"/>
                <w:b w:val="0"/>
                <w:bCs/>
                <w:szCs w:val="21"/>
                <w:u w:val="none"/>
                <w:lang w:val="en-US" w:eastAsia="zh-CN"/>
              </w:rPr>
              <w:t>青年农场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6</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占地</w:t>
            </w:r>
          </w:p>
        </w:tc>
        <w:tc>
          <w:tcPr>
            <w:tcW w:w="6472" w:type="dxa"/>
            <w:tcMar>
              <w:top w:w="0" w:type="dxa"/>
              <w:left w:w="57" w:type="dxa"/>
              <w:bottom w:w="0" w:type="dxa"/>
              <w:right w:w="57" w:type="dxa"/>
            </w:tcMar>
            <w:vAlign w:val="center"/>
          </w:tcPr>
          <w:p>
            <w:pPr>
              <w:adjustRightInd w:val="0"/>
              <w:snapToGrid w:val="0"/>
              <w:spacing w:line="360" w:lineRule="exact"/>
              <w:rPr>
                <w:rFonts w:hint="default" w:eastAsia="宋体"/>
                <w:b w:val="0"/>
                <w:bCs/>
                <w:color w:val="000000"/>
                <w:szCs w:val="21"/>
                <w:highlight w:val="yellow"/>
                <w:u w:val="none"/>
                <w:lang w:val="en-US" w:eastAsia="zh-CN"/>
              </w:rPr>
            </w:pPr>
            <w:r>
              <w:rPr>
                <w:rFonts w:hint="eastAsia"/>
                <w:b w:val="0"/>
                <w:bCs/>
                <w:color w:val="000000" w:themeColor="text1"/>
                <w:u w:val="none"/>
                <w:lang w:val="en-US" w:eastAsia="zh-CN"/>
              </w:rPr>
              <w:t>67.4999</w:t>
            </w:r>
            <w:r>
              <w:rPr>
                <w:b w:val="0"/>
                <w:bCs/>
                <w:color w:val="000000" w:themeColor="text1"/>
                <w:u w:val="none"/>
              </w:rPr>
              <w:t>亩</w:t>
            </w:r>
            <w:r>
              <w:rPr>
                <w:b w:val="0"/>
                <w:bCs/>
                <w:color w:val="000000" w:themeColor="text1"/>
                <w:szCs w:val="21"/>
                <w:u w:val="none"/>
              </w:rPr>
              <w:t>，约</w:t>
            </w:r>
            <w:r>
              <w:rPr>
                <w:rFonts w:hint="eastAsia"/>
                <w:b w:val="0"/>
                <w:bCs/>
                <w:color w:val="000000" w:themeColor="text1"/>
                <w:szCs w:val="21"/>
                <w:u w:val="none"/>
                <w:lang w:val="en-US" w:eastAsia="zh-CN"/>
              </w:rPr>
              <w:t>44999.92</w:t>
            </w:r>
            <w:r>
              <w:rPr>
                <w:b w:val="0"/>
                <w:bCs/>
                <w:color w:val="000000" w:themeColor="text1"/>
                <w:szCs w:val="21"/>
                <w:u w:val="none"/>
              </w:rPr>
              <w:t>m</w:t>
            </w:r>
            <w:r>
              <w:rPr>
                <w:b w:val="0"/>
                <w:bCs/>
                <w:color w:val="000000" w:themeColor="text1"/>
                <w:szCs w:val="21"/>
                <w:u w:val="none"/>
                <w:vertAlign w:val="superscript"/>
              </w:rPr>
              <w:t>2</w:t>
            </w:r>
            <w:r>
              <w:rPr>
                <w:b w:val="0"/>
                <w:bCs/>
                <w:color w:val="000000"/>
                <w:szCs w:val="21"/>
                <w:u w:val="none"/>
              </w:rPr>
              <w:t>，</w:t>
            </w:r>
            <w:r>
              <w:rPr>
                <w:rFonts w:hint="eastAsia"/>
                <w:b w:val="0"/>
                <w:bCs/>
                <w:color w:val="000000"/>
                <w:szCs w:val="21"/>
                <w:u w:val="none"/>
                <w:lang w:val="en-US" w:eastAsia="zh-CN"/>
              </w:rPr>
              <w:t>林地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7</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建筑面积</w:t>
            </w:r>
          </w:p>
        </w:tc>
        <w:tc>
          <w:tcPr>
            <w:tcW w:w="6472" w:type="dxa"/>
            <w:tcMar>
              <w:top w:w="0" w:type="dxa"/>
              <w:left w:w="57" w:type="dxa"/>
              <w:bottom w:w="0" w:type="dxa"/>
              <w:right w:w="57" w:type="dxa"/>
            </w:tcMar>
            <w:vAlign w:val="center"/>
          </w:tcPr>
          <w:p>
            <w:pPr>
              <w:adjustRightInd w:val="0"/>
              <w:snapToGrid w:val="0"/>
              <w:spacing w:line="360" w:lineRule="exact"/>
              <w:rPr>
                <w:b w:val="0"/>
                <w:bCs/>
                <w:color w:val="000000" w:themeColor="text1"/>
                <w:szCs w:val="21"/>
                <w:highlight w:val="yellow"/>
                <w:u w:val="none"/>
              </w:rPr>
            </w:pPr>
            <w:r>
              <w:rPr>
                <w:rFonts w:hint="eastAsia"/>
                <w:b w:val="0"/>
                <w:bCs/>
                <w:color w:val="000000" w:themeColor="text1"/>
                <w:szCs w:val="21"/>
                <w:u w:val="none"/>
                <w:lang w:val="en-US" w:eastAsia="zh-CN"/>
              </w:rPr>
              <w:t>11330</w:t>
            </w:r>
            <w:r>
              <w:rPr>
                <w:b w:val="0"/>
                <w:bCs/>
                <w:color w:val="000000" w:themeColor="text1"/>
                <w:szCs w:val="21"/>
                <w:u w:val="none"/>
              </w:rPr>
              <w:t>m</w:t>
            </w:r>
            <w:r>
              <w:rPr>
                <w:b w:val="0"/>
                <w:bCs/>
                <w:color w:val="000000" w:themeColor="text1"/>
                <w:szCs w:val="21"/>
                <w:u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8</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投资</w:t>
            </w:r>
          </w:p>
        </w:tc>
        <w:tc>
          <w:tcPr>
            <w:tcW w:w="6472" w:type="dxa"/>
            <w:tcMar>
              <w:top w:w="0" w:type="dxa"/>
              <w:left w:w="57" w:type="dxa"/>
              <w:bottom w:w="0" w:type="dxa"/>
              <w:right w:w="57" w:type="dxa"/>
            </w:tcMar>
            <w:vAlign w:val="center"/>
          </w:tcPr>
          <w:p>
            <w:pPr>
              <w:adjustRightInd w:val="0"/>
              <w:snapToGrid w:val="0"/>
              <w:spacing w:line="360" w:lineRule="exact"/>
              <w:rPr>
                <w:b w:val="0"/>
                <w:bCs/>
                <w:color w:val="000000" w:themeColor="text1"/>
                <w:szCs w:val="21"/>
                <w:u w:val="none"/>
              </w:rPr>
            </w:pPr>
            <w:r>
              <w:rPr>
                <w:rFonts w:hint="eastAsia" w:eastAsia="仿宋"/>
                <w:b w:val="0"/>
                <w:bCs/>
                <w:color w:val="000000" w:themeColor="text1"/>
                <w:szCs w:val="21"/>
                <w:u w:val="none"/>
                <w:lang w:val="en-US" w:eastAsia="zh-CN"/>
              </w:rPr>
              <w:t>2000</w:t>
            </w:r>
            <w:r>
              <w:rPr>
                <w:rFonts w:hint="eastAsia" w:asciiTheme="minorEastAsia" w:hAnsiTheme="minorEastAsia" w:eastAsiaTheme="minorEastAsia" w:cstheme="minorEastAsia"/>
                <w:b w:val="0"/>
                <w:bCs/>
                <w:color w:val="000000" w:themeColor="text1"/>
                <w:szCs w:val="21"/>
                <w:u w:val="none"/>
              </w:rPr>
              <w:t>万元</w:t>
            </w:r>
            <w:r>
              <w:rPr>
                <w:rFonts w:eastAsiaTheme="minorEastAsia"/>
                <w:b w:val="0"/>
                <w:bCs/>
                <w:color w:val="000000" w:themeColor="text1"/>
                <w:szCs w:val="21"/>
                <w:u w:val="none"/>
              </w:rPr>
              <w:t>，</w:t>
            </w:r>
            <w:r>
              <w:rPr>
                <w:b w:val="0"/>
                <w:bCs/>
                <w:color w:val="000000" w:themeColor="text1"/>
                <w:szCs w:val="21"/>
                <w:u w:val="none"/>
              </w:rPr>
              <w:t>企业自筹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9</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规模</w:t>
            </w:r>
          </w:p>
        </w:tc>
        <w:tc>
          <w:tcPr>
            <w:tcW w:w="6472" w:type="dxa"/>
            <w:tcMar>
              <w:top w:w="0" w:type="dxa"/>
              <w:left w:w="57" w:type="dxa"/>
              <w:bottom w:w="0" w:type="dxa"/>
              <w:right w:w="57" w:type="dxa"/>
            </w:tcMar>
            <w:vAlign w:val="center"/>
          </w:tcPr>
          <w:p>
            <w:pPr>
              <w:adjustRightInd w:val="0"/>
              <w:snapToGrid w:val="0"/>
              <w:spacing w:line="360" w:lineRule="exact"/>
              <w:rPr>
                <w:rFonts w:hint="eastAsia" w:eastAsia="宋体"/>
                <w:b w:val="0"/>
                <w:bCs/>
                <w:szCs w:val="21"/>
                <w:u w:val="none"/>
                <w:lang w:eastAsia="zh-CN"/>
              </w:rPr>
            </w:pPr>
            <w:r>
              <w:rPr>
                <w:rFonts w:hint="eastAsia"/>
                <w:b w:val="0"/>
                <w:bCs/>
                <w:szCs w:val="21"/>
                <w:u w:val="none"/>
                <w:lang w:val="en-US" w:eastAsia="zh-CN"/>
              </w:rPr>
              <w:t>年出栏生猪一万头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10</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劳动定员及工作制度</w:t>
            </w:r>
          </w:p>
        </w:tc>
        <w:tc>
          <w:tcPr>
            <w:tcW w:w="6472" w:type="dxa"/>
            <w:tcMar>
              <w:top w:w="0" w:type="dxa"/>
              <w:left w:w="57" w:type="dxa"/>
              <w:bottom w:w="0" w:type="dxa"/>
              <w:right w:w="57" w:type="dxa"/>
            </w:tcMar>
            <w:vAlign w:val="center"/>
          </w:tcPr>
          <w:p>
            <w:pPr>
              <w:adjustRightInd w:val="0"/>
              <w:snapToGrid w:val="0"/>
              <w:spacing w:line="360" w:lineRule="exact"/>
              <w:rPr>
                <w:b w:val="0"/>
                <w:bCs/>
                <w:color w:val="FF0000"/>
                <w:szCs w:val="21"/>
                <w:u w:val="none"/>
              </w:rPr>
            </w:pPr>
            <w:r>
              <w:rPr>
                <w:b w:val="0"/>
                <w:bCs/>
                <w:szCs w:val="21"/>
                <w:u w:val="none"/>
              </w:rPr>
              <w:t>年工作日365天，8小时白班工作制，劳动定员</w:t>
            </w:r>
            <w:r>
              <w:rPr>
                <w:rFonts w:hint="eastAsia"/>
                <w:b w:val="0"/>
                <w:bCs/>
                <w:szCs w:val="21"/>
                <w:u w:val="none"/>
                <w:lang w:val="en-US" w:eastAsia="zh-CN"/>
              </w:rPr>
              <w:t>2</w:t>
            </w:r>
            <w:r>
              <w:rPr>
                <w:b w:val="0"/>
                <w:bCs/>
                <w:szCs w:val="21"/>
                <w:u w:val="none"/>
              </w:rPr>
              <w:t>0人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11</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选址及周边环境现状</w:t>
            </w:r>
          </w:p>
        </w:tc>
        <w:tc>
          <w:tcPr>
            <w:tcW w:w="6472" w:type="dxa"/>
            <w:tcMar>
              <w:top w:w="0" w:type="dxa"/>
              <w:left w:w="57" w:type="dxa"/>
              <w:bottom w:w="0" w:type="dxa"/>
              <w:right w:w="57" w:type="dxa"/>
            </w:tcMar>
            <w:vAlign w:val="center"/>
          </w:tcPr>
          <w:p>
            <w:pPr>
              <w:adjustRightInd w:val="0"/>
              <w:snapToGrid w:val="0"/>
              <w:spacing w:line="360" w:lineRule="exact"/>
              <w:rPr>
                <w:b w:val="0"/>
                <w:bCs/>
                <w:szCs w:val="21"/>
                <w:u w:val="none"/>
              </w:rPr>
            </w:pPr>
            <w:r>
              <w:rPr>
                <w:b w:val="0"/>
                <w:bCs/>
                <w:szCs w:val="21"/>
                <w:u w:val="none"/>
                <w:lang w:val="zh-CN"/>
              </w:rPr>
              <w:t>项目位于</w:t>
            </w:r>
            <w:r>
              <w:rPr>
                <w:rFonts w:hint="eastAsia"/>
                <w:b w:val="0"/>
                <w:bCs/>
                <w:szCs w:val="21"/>
                <w:u w:val="none"/>
                <w:lang w:val="en-US" w:eastAsia="zh-CN"/>
              </w:rPr>
              <w:t>正阳县青年农场</w:t>
            </w:r>
            <w:r>
              <w:rPr>
                <w:b w:val="0"/>
                <w:bCs/>
                <w:szCs w:val="21"/>
                <w:u w:val="none"/>
                <w:lang w:val="zh-CN"/>
              </w:rPr>
              <w:t>，场区四周农田围绕。种植作物有玉米、小麦等；场址周围敏感点有：</w:t>
            </w:r>
            <w:r>
              <w:rPr>
                <w:rFonts w:hint="eastAsia"/>
                <w:b w:val="0"/>
                <w:bCs/>
                <w:szCs w:val="21"/>
                <w:u w:val="none"/>
                <w:lang w:val="en-US" w:eastAsia="zh-CN"/>
              </w:rPr>
              <w:t>东</w:t>
            </w:r>
            <w:r>
              <w:rPr>
                <w:b w:val="0"/>
                <w:bCs/>
                <w:szCs w:val="21"/>
                <w:u w:val="none"/>
                <w:lang w:val="zh-CN"/>
              </w:rPr>
              <w:t>侧5</w:t>
            </w:r>
            <w:r>
              <w:rPr>
                <w:rFonts w:hint="eastAsia"/>
                <w:b w:val="0"/>
                <w:bCs/>
                <w:szCs w:val="21"/>
                <w:u w:val="none"/>
                <w:lang w:val="en-US" w:eastAsia="zh-CN"/>
              </w:rPr>
              <w:t>01</w:t>
            </w:r>
            <w:r>
              <w:rPr>
                <w:b w:val="0"/>
                <w:bCs/>
                <w:szCs w:val="21"/>
                <w:u w:val="none"/>
                <w:lang w:val="zh-CN"/>
              </w:rPr>
              <w:t>m处为</w:t>
            </w:r>
            <w:r>
              <w:rPr>
                <w:rFonts w:hint="eastAsia"/>
                <w:b w:val="0"/>
                <w:bCs/>
                <w:szCs w:val="21"/>
                <w:u w:val="none"/>
                <w:lang w:val="en-US" w:eastAsia="zh-CN"/>
              </w:rPr>
              <w:t>前周庄</w:t>
            </w:r>
            <w:r>
              <w:rPr>
                <w:b w:val="0"/>
                <w:bCs/>
                <w:szCs w:val="21"/>
                <w:u w:val="none"/>
                <w:lang w:val="zh-CN"/>
              </w:rPr>
              <w:t>，</w:t>
            </w:r>
            <w:r>
              <w:rPr>
                <w:rFonts w:hint="eastAsia"/>
                <w:b w:val="0"/>
                <w:bCs/>
                <w:szCs w:val="21"/>
                <w:u w:val="none"/>
                <w:lang w:val="en-US" w:eastAsia="zh-CN"/>
              </w:rPr>
              <w:t>西</w:t>
            </w:r>
            <w:r>
              <w:rPr>
                <w:b w:val="0"/>
                <w:bCs/>
                <w:szCs w:val="21"/>
                <w:u w:val="none"/>
                <w:lang w:val="zh-CN"/>
              </w:rPr>
              <w:t>侧6</w:t>
            </w:r>
            <w:r>
              <w:rPr>
                <w:rFonts w:hint="eastAsia"/>
                <w:b w:val="0"/>
                <w:bCs/>
                <w:szCs w:val="21"/>
                <w:u w:val="none"/>
                <w:lang w:val="en-US" w:eastAsia="zh-CN"/>
              </w:rPr>
              <w:t>20</w:t>
            </w:r>
            <w:r>
              <w:rPr>
                <w:b w:val="0"/>
                <w:bCs/>
                <w:szCs w:val="21"/>
                <w:u w:val="none"/>
                <w:lang w:val="zh-CN"/>
              </w:rPr>
              <w:t>m处为</w:t>
            </w:r>
            <w:r>
              <w:rPr>
                <w:rFonts w:hint="eastAsia"/>
                <w:b w:val="0"/>
                <w:bCs/>
                <w:szCs w:val="21"/>
                <w:u w:val="none"/>
                <w:lang w:val="en-US" w:eastAsia="zh-CN"/>
              </w:rPr>
              <w:t>姜庄</w:t>
            </w:r>
            <w:r>
              <w:rPr>
                <w:b w:val="0"/>
                <w:bCs/>
                <w:szCs w:val="21"/>
                <w:u w:val="none"/>
                <w:lang w:val="zh-CN"/>
              </w:rPr>
              <w:t>，</w:t>
            </w:r>
            <w:r>
              <w:rPr>
                <w:rFonts w:hint="eastAsia"/>
                <w:b w:val="0"/>
                <w:bCs/>
                <w:szCs w:val="21"/>
                <w:u w:val="none"/>
                <w:lang w:val="en-US" w:eastAsia="zh-CN"/>
              </w:rPr>
              <w:t>东</w:t>
            </w:r>
            <w:r>
              <w:rPr>
                <w:b w:val="0"/>
                <w:bCs/>
                <w:szCs w:val="21"/>
                <w:u w:val="none"/>
                <w:lang w:val="zh-CN"/>
              </w:rPr>
              <w:t>侧</w:t>
            </w:r>
            <w:r>
              <w:rPr>
                <w:rFonts w:hint="eastAsia"/>
                <w:b w:val="0"/>
                <w:bCs/>
                <w:szCs w:val="21"/>
                <w:u w:val="none"/>
                <w:lang w:val="en-US" w:eastAsia="zh-CN"/>
              </w:rPr>
              <w:t>1000</w:t>
            </w:r>
            <w:r>
              <w:rPr>
                <w:b w:val="0"/>
                <w:bCs/>
                <w:szCs w:val="21"/>
                <w:u w:val="none"/>
                <w:lang w:val="zh-CN"/>
              </w:rPr>
              <w:t>m处为</w:t>
            </w:r>
            <w:r>
              <w:rPr>
                <w:rFonts w:hint="eastAsia"/>
                <w:b w:val="0"/>
                <w:bCs/>
                <w:szCs w:val="21"/>
                <w:u w:val="none"/>
                <w:lang w:val="en-US" w:eastAsia="zh-CN"/>
              </w:rPr>
              <w:t>西吴楼，西侧1220m处为新张庄，西南侧1252m处为小鲁庄，西南侧1030m处为后余庄，东南侧1397m处为董庄</w:t>
            </w:r>
            <w:r>
              <w:rPr>
                <w:b w:val="0"/>
                <w:bCs/>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12</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工程主要组成</w:t>
            </w:r>
          </w:p>
        </w:tc>
        <w:tc>
          <w:tcPr>
            <w:tcW w:w="6472" w:type="dxa"/>
            <w:tcMar>
              <w:top w:w="0" w:type="dxa"/>
              <w:left w:w="57" w:type="dxa"/>
              <w:bottom w:w="0" w:type="dxa"/>
              <w:right w:w="57" w:type="dxa"/>
            </w:tcMar>
            <w:vAlign w:val="center"/>
          </w:tcPr>
          <w:p>
            <w:pPr>
              <w:adjustRightInd w:val="0"/>
              <w:snapToGrid w:val="0"/>
              <w:spacing w:line="360" w:lineRule="exact"/>
              <w:rPr>
                <w:b w:val="0"/>
                <w:bCs/>
                <w:szCs w:val="21"/>
                <w:u w:val="none"/>
              </w:rPr>
            </w:pPr>
            <w:r>
              <w:rPr>
                <w:b w:val="0"/>
                <w:bCs/>
                <w:szCs w:val="21"/>
                <w:u w:val="none"/>
              </w:rPr>
              <w:t>建设</w:t>
            </w:r>
            <w:r>
              <w:rPr>
                <w:rFonts w:hint="eastAsia"/>
                <w:b w:val="0"/>
                <w:bCs/>
                <w:szCs w:val="21"/>
                <w:u w:val="none"/>
                <w:lang w:val="en-US" w:eastAsia="zh-CN"/>
              </w:rPr>
              <w:t>全封闭</w:t>
            </w:r>
            <w:r>
              <w:rPr>
                <w:b w:val="0"/>
                <w:bCs/>
                <w:szCs w:val="21"/>
                <w:u w:val="none"/>
              </w:rPr>
              <w:t>一体舍</w:t>
            </w:r>
            <w:r>
              <w:rPr>
                <w:rFonts w:hint="eastAsia"/>
                <w:b w:val="0"/>
                <w:bCs/>
                <w:szCs w:val="21"/>
                <w:u w:val="none"/>
                <w:lang w:val="en-US" w:eastAsia="zh-CN"/>
              </w:rPr>
              <w:t>30</w:t>
            </w:r>
            <w:r>
              <w:rPr>
                <w:b w:val="0"/>
                <w:bCs/>
                <w:szCs w:val="21"/>
                <w:u w:val="none"/>
              </w:rPr>
              <w:t>个，配套沼气工程；沼气的净化与利用设施；沼液综合利用设施；固粪处理区及其它辅助生产设施。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13</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排水去向</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本工程废水经沼气工程处理后，全部实现还田利用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14</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预计正式运行日期</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20</w:t>
            </w:r>
            <w:r>
              <w:rPr>
                <w:rFonts w:hint="eastAsia"/>
                <w:szCs w:val="21"/>
                <w:lang w:val="en-US" w:eastAsia="zh-CN"/>
              </w:rPr>
              <w:t>20</w:t>
            </w:r>
            <w:r>
              <w:rPr>
                <w:szCs w:val="21"/>
              </w:rPr>
              <w:t>年</w:t>
            </w:r>
            <w:r>
              <w:rPr>
                <w:rFonts w:hint="eastAsia"/>
                <w:szCs w:val="21"/>
                <w:lang w:val="en-US" w:eastAsia="zh-CN"/>
              </w:rPr>
              <w:t>12</w:t>
            </w:r>
            <w:r>
              <w:rPr>
                <w:szCs w:val="21"/>
              </w:rPr>
              <w:t>月</w:t>
            </w:r>
          </w:p>
        </w:tc>
      </w:tr>
    </w:tbl>
    <w:p>
      <w:pPr>
        <w:pStyle w:val="6"/>
        <w:snapToGrid w:val="0"/>
        <w:spacing w:before="0" w:after="0" w:line="520" w:lineRule="exact"/>
        <w:rPr>
          <w:rFonts w:eastAsia="黑体"/>
          <w:b w:val="0"/>
          <w:bCs w:val="0"/>
          <w:sz w:val="24"/>
          <w:szCs w:val="24"/>
        </w:rPr>
      </w:pPr>
      <w:bookmarkStart w:id="60" w:name="_Toc406847394"/>
      <w:bookmarkStart w:id="61" w:name="_Toc3029"/>
      <w:bookmarkStart w:id="62" w:name="_Toc407001387"/>
      <w:bookmarkStart w:id="63" w:name="_Toc413166114"/>
      <w:r>
        <w:rPr>
          <w:rFonts w:hint="eastAsia" w:eastAsia="黑体"/>
          <w:b w:val="0"/>
          <w:bCs w:val="0"/>
          <w:sz w:val="24"/>
          <w:szCs w:val="24"/>
          <w:lang w:val="en-US" w:eastAsia="zh-CN"/>
        </w:rPr>
        <w:t>2</w:t>
      </w:r>
      <w:r>
        <w:rPr>
          <w:rFonts w:eastAsia="黑体"/>
          <w:b w:val="0"/>
          <w:bCs w:val="0"/>
          <w:sz w:val="24"/>
          <w:szCs w:val="24"/>
        </w:rPr>
        <w:t>.1.2 项目主要建设内容</w:t>
      </w:r>
      <w:bookmarkEnd w:id="60"/>
      <w:bookmarkEnd w:id="61"/>
      <w:bookmarkEnd w:id="62"/>
      <w:bookmarkEnd w:id="63"/>
    </w:p>
    <w:p>
      <w:pPr>
        <w:pStyle w:val="38"/>
        <w:spacing w:after="0" w:line="520" w:lineRule="exact"/>
        <w:ind w:firstLine="480" w:firstLineChars="200"/>
        <w:rPr>
          <w:sz w:val="24"/>
        </w:rPr>
      </w:pPr>
      <w:r>
        <w:rPr>
          <w:sz w:val="24"/>
        </w:rPr>
        <w:t>拟建项目占地</w:t>
      </w:r>
      <w:r>
        <w:rPr>
          <w:rFonts w:hint="eastAsia"/>
          <w:color w:val="000000"/>
          <w:sz w:val="24"/>
          <w:lang w:val="en-US" w:eastAsia="zh-CN"/>
        </w:rPr>
        <w:t>67.4999亩</w:t>
      </w:r>
      <w:r>
        <w:rPr>
          <w:sz w:val="24"/>
        </w:rPr>
        <w:t>，拟建设</w:t>
      </w:r>
      <w:r>
        <w:rPr>
          <w:rFonts w:hint="eastAsia"/>
          <w:sz w:val="24"/>
          <w:lang w:eastAsia="zh-CN"/>
        </w:rPr>
        <w:t>年出栏10000头</w:t>
      </w:r>
      <w:r>
        <w:rPr>
          <w:rFonts w:hint="eastAsia"/>
          <w:sz w:val="24"/>
          <w:lang w:val="en-US" w:eastAsia="zh-CN"/>
        </w:rPr>
        <w:t>生</w:t>
      </w:r>
      <w:r>
        <w:rPr>
          <w:rFonts w:hint="eastAsia"/>
          <w:sz w:val="24"/>
          <w:lang w:eastAsia="zh-CN"/>
        </w:rPr>
        <w:t>猪</w:t>
      </w:r>
      <w:r>
        <w:rPr>
          <w:sz w:val="24"/>
        </w:rPr>
        <w:t>，</w:t>
      </w:r>
      <w:r>
        <w:rPr>
          <w:rFonts w:hint="eastAsia"/>
          <w:sz w:val="24"/>
          <w:lang w:val="en-US" w:eastAsia="zh-CN"/>
        </w:rPr>
        <w:t>年存栏量5100</w:t>
      </w:r>
      <w:r>
        <w:rPr>
          <w:color w:val="000000"/>
          <w:sz w:val="24"/>
        </w:rPr>
        <w:t>头</w:t>
      </w:r>
      <w:r>
        <w:rPr>
          <w:rFonts w:hint="eastAsia"/>
          <w:color w:val="000000"/>
          <w:sz w:val="24"/>
          <w:lang w:eastAsia="zh-CN"/>
        </w:rPr>
        <w:t>（</w:t>
      </w:r>
      <w:r>
        <w:rPr>
          <w:color w:val="000000"/>
          <w:sz w:val="24"/>
        </w:rPr>
        <w:t>其中保育猪</w:t>
      </w:r>
      <w:r>
        <w:rPr>
          <w:rFonts w:hint="eastAsia"/>
          <w:color w:val="000000"/>
          <w:sz w:val="24"/>
          <w:lang w:val="en-US" w:eastAsia="zh-CN"/>
        </w:rPr>
        <w:t>1750</w:t>
      </w:r>
      <w:r>
        <w:rPr>
          <w:color w:val="000000"/>
          <w:sz w:val="24"/>
        </w:rPr>
        <w:t>头，育肥猪</w:t>
      </w:r>
      <w:r>
        <w:rPr>
          <w:rFonts w:hint="eastAsia"/>
          <w:color w:val="000000"/>
          <w:sz w:val="24"/>
          <w:lang w:val="en-US" w:eastAsia="zh-CN"/>
        </w:rPr>
        <w:t>3250</w:t>
      </w:r>
      <w:r>
        <w:rPr>
          <w:color w:val="000000"/>
          <w:sz w:val="24"/>
        </w:rPr>
        <w:t>头</w:t>
      </w:r>
      <w:r>
        <w:rPr>
          <w:rFonts w:hint="eastAsia"/>
          <w:color w:val="000000"/>
          <w:sz w:val="24"/>
          <w:lang w:eastAsia="zh-CN"/>
        </w:rPr>
        <w:t>，</w:t>
      </w:r>
      <w:r>
        <w:rPr>
          <w:rFonts w:hint="eastAsia"/>
          <w:color w:val="000000"/>
          <w:sz w:val="24"/>
          <w:lang w:val="en-US" w:eastAsia="zh-CN"/>
        </w:rPr>
        <w:t>后备猪100头</w:t>
      </w:r>
      <w:r>
        <w:rPr>
          <w:rFonts w:hint="eastAsia"/>
          <w:color w:val="000000"/>
          <w:sz w:val="24"/>
          <w:lang w:eastAsia="zh-CN"/>
        </w:rPr>
        <w:t>）</w:t>
      </w:r>
      <w:r>
        <w:rPr>
          <w:sz w:val="24"/>
        </w:rPr>
        <w:t>，主要建设内容包括建设</w:t>
      </w:r>
      <w:r>
        <w:rPr>
          <w:rFonts w:hint="eastAsia"/>
          <w:b w:val="0"/>
          <w:bCs/>
          <w:sz w:val="24"/>
          <w:szCs w:val="24"/>
          <w:u w:val="none"/>
          <w:lang w:val="en-US" w:eastAsia="zh-CN"/>
        </w:rPr>
        <w:t>全封闭</w:t>
      </w:r>
      <w:r>
        <w:rPr>
          <w:b w:val="0"/>
          <w:bCs/>
          <w:sz w:val="24"/>
          <w:szCs w:val="24"/>
          <w:u w:val="none"/>
        </w:rPr>
        <w:t>一体舍</w:t>
      </w:r>
      <w:r>
        <w:rPr>
          <w:rFonts w:hint="eastAsia"/>
          <w:sz w:val="24"/>
          <w:lang w:val="en-US" w:eastAsia="zh-CN"/>
        </w:rPr>
        <w:t>3</w:t>
      </w:r>
      <w:r>
        <w:rPr>
          <w:sz w:val="24"/>
        </w:rPr>
        <w:t>0个</w:t>
      </w:r>
      <w:r>
        <w:rPr>
          <w:color w:val="000000"/>
          <w:sz w:val="24"/>
        </w:rPr>
        <w:t>，其建筑面积为</w:t>
      </w:r>
      <w:r>
        <w:rPr>
          <w:rFonts w:hint="eastAsia"/>
          <w:color w:val="auto"/>
          <w:sz w:val="24"/>
          <w:lang w:val="en-US" w:eastAsia="zh-CN"/>
        </w:rPr>
        <w:t>11330</w:t>
      </w:r>
      <w:r>
        <w:rPr>
          <w:color w:val="000000" w:themeColor="text1"/>
          <w:sz w:val="24"/>
        </w:rPr>
        <w:t>m</w:t>
      </w:r>
      <w:r>
        <w:rPr>
          <w:color w:val="000000" w:themeColor="text1"/>
          <w:sz w:val="24"/>
          <w:vertAlign w:val="superscript"/>
        </w:rPr>
        <w:t>2</w:t>
      </w:r>
      <w:r>
        <w:rPr>
          <w:color w:val="000000"/>
          <w:sz w:val="24"/>
        </w:rPr>
        <w:t>；</w:t>
      </w:r>
      <w:r>
        <w:rPr>
          <w:sz w:val="24"/>
        </w:rPr>
        <w:t>配套建设粪污处理设施等辅助工程及公用工程，项目主要建设内容见表</w:t>
      </w:r>
      <w:r>
        <w:rPr>
          <w:rFonts w:hint="eastAsia"/>
          <w:sz w:val="24"/>
          <w:lang w:val="en-US" w:eastAsia="zh-CN"/>
        </w:rPr>
        <w:t>2</w:t>
      </w:r>
      <w:r>
        <w:rPr>
          <w:sz w:val="24"/>
        </w:rPr>
        <w:t>.1-2。</w:t>
      </w:r>
    </w:p>
    <w:p>
      <w:pPr>
        <w:spacing w:line="520" w:lineRule="exact"/>
        <w:jc w:val="center"/>
        <w:rPr>
          <w:b/>
          <w:sz w:val="24"/>
        </w:rPr>
      </w:pPr>
      <w:r>
        <w:rPr>
          <w:b/>
          <w:sz w:val="24"/>
        </w:rPr>
        <w:t>表</w:t>
      </w:r>
      <w:r>
        <w:rPr>
          <w:rFonts w:hint="eastAsia"/>
          <w:b/>
          <w:sz w:val="24"/>
          <w:lang w:val="en-US" w:eastAsia="zh-CN"/>
        </w:rPr>
        <w:t>2</w:t>
      </w:r>
      <w:r>
        <w:rPr>
          <w:b/>
          <w:sz w:val="24"/>
        </w:rPr>
        <w:t>.1-2    项目主要建设内容</w:t>
      </w:r>
    </w:p>
    <w:tbl>
      <w:tblPr>
        <w:tblStyle w:val="4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1"/>
        <w:gridCol w:w="266"/>
        <w:gridCol w:w="1147"/>
        <w:gridCol w:w="5547"/>
        <w:gridCol w:w="12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54" w:type="pct"/>
            <w:tcMar>
              <w:top w:w="0" w:type="dxa"/>
              <w:left w:w="28" w:type="dxa"/>
              <w:bottom w:w="0" w:type="dxa"/>
              <w:right w:w="28" w:type="dxa"/>
            </w:tcMar>
            <w:vAlign w:val="center"/>
          </w:tcPr>
          <w:p>
            <w:pPr>
              <w:spacing w:line="360" w:lineRule="exact"/>
              <w:jc w:val="center"/>
              <w:rPr>
                <w:b/>
                <w:bCs/>
                <w:szCs w:val="21"/>
              </w:rPr>
            </w:pPr>
            <w:r>
              <w:rPr>
                <w:b/>
                <w:bCs/>
                <w:szCs w:val="21"/>
              </w:rPr>
              <w:t>项目组成</w:t>
            </w:r>
          </w:p>
        </w:tc>
        <w:tc>
          <w:tcPr>
            <w:tcW w:w="3961" w:type="pct"/>
            <w:gridSpan w:val="3"/>
            <w:tcMar>
              <w:top w:w="0" w:type="dxa"/>
              <w:left w:w="28" w:type="dxa"/>
              <w:bottom w:w="0" w:type="dxa"/>
              <w:right w:w="28" w:type="dxa"/>
            </w:tcMar>
            <w:vAlign w:val="center"/>
          </w:tcPr>
          <w:p>
            <w:pPr>
              <w:spacing w:line="360" w:lineRule="exact"/>
              <w:jc w:val="center"/>
              <w:rPr>
                <w:b/>
                <w:bCs/>
                <w:szCs w:val="21"/>
              </w:rPr>
            </w:pPr>
            <w:r>
              <w:rPr>
                <w:b/>
                <w:bCs/>
                <w:szCs w:val="21"/>
              </w:rPr>
              <w:t>工程内容</w:t>
            </w:r>
          </w:p>
          <w:p>
            <w:pPr>
              <w:spacing w:line="360" w:lineRule="exact"/>
              <w:jc w:val="center"/>
              <w:rPr>
                <w:rFonts w:hint="eastAsia" w:eastAsia="宋体"/>
                <w:b/>
                <w:bCs/>
                <w:szCs w:val="21"/>
                <w:lang w:val="en-US" w:eastAsia="zh-CN"/>
              </w:rPr>
            </w:pPr>
            <w:r>
              <w:rPr>
                <w:rFonts w:hint="eastAsia"/>
                <w:b/>
                <w:bCs/>
                <w:szCs w:val="21"/>
                <w:lang w:val="en-US" w:eastAsia="zh-CN"/>
              </w:rPr>
              <w:t xml:space="preserve"> </w:t>
            </w:r>
          </w:p>
        </w:tc>
        <w:tc>
          <w:tcPr>
            <w:tcW w:w="684" w:type="pct"/>
            <w:tcMar>
              <w:top w:w="0" w:type="dxa"/>
              <w:left w:w="28" w:type="dxa"/>
              <w:bottom w:w="0" w:type="dxa"/>
              <w:right w:w="28" w:type="dxa"/>
            </w:tcMar>
            <w:vAlign w:val="center"/>
          </w:tcPr>
          <w:p>
            <w:pPr>
              <w:spacing w:line="360" w:lineRule="exact"/>
              <w:jc w:val="center"/>
              <w:rPr>
                <w:rFonts w:hint="default"/>
                <w:b/>
                <w:bCs/>
                <w:szCs w:val="21"/>
                <w:lang w:val="en-US" w:eastAsia="zh-CN"/>
              </w:rPr>
            </w:pPr>
            <w:r>
              <w:rPr>
                <w:rFonts w:hint="eastAsia"/>
                <w:b/>
                <w:bCs/>
                <w:szCs w:val="21"/>
                <w:lang w:val="en-US" w:eastAsia="zh-CN"/>
              </w:rPr>
              <w:t>依托关系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tcMar>
              <w:top w:w="0" w:type="dxa"/>
              <w:left w:w="28" w:type="dxa"/>
              <w:bottom w:w="0" w:type="dxa"/>
              <w:right w:w="28" w:type="dxa"/>
            </w:tcMar>
            <w:vAlign w:val="center"/>
          </w:tcPr>
          <w:p>
            <w:pPr>
              <w:spacing w:line="360" w:lineRule="exact"/>
              <w:jc w:val="center"/>
              <w:rPr>
                <w:bCs/>
                <w:szCs w:val="21"/>
              </w:rPr>
            </w:pPr>
            <w:r>
              <w:rPr>
                <w:bCs/>
                <w:szCs w:val="21"/>
              </w:rPr>
              <w:t>主体工程</w:t>
            </w:r>
          </w:p>
        </w:tc>
        <w:tc>
          <w:tcPr>
            <w:tcW w:w="804" w:type="pct"/>
            <w:gridSpan w:val="2"/>
            <w:tcMar>
              <w:top w:w="0" w:type="dxa"/>
              <w:left w:w="28" w:type="dxa"/>
              <w:bottom w:w="0" w:type="dxa"/>
              <w:right w:w="28" w:type="dxa"/>
            </w:tcMar>
            <w:vAlign w:val="center"/>
          </w:tcPr>
          <w:p>
            <w:pPr>
              <w:jc w:val="center"/>
              <w:rPr>
                <w:bCs/>
                <w:szCs w:val="21"/>
              </w:rPr>
            </w:pPr>
            <w:r>
              <w:rPr>
                <w:bCs/>
                <w:szCs w:val="21"/>
              </w:rPr>
              <w:t>保育育肥一体舍</w:t>
            </w:r>
          </w:p>
        </w:tc>
        <w:tc>
          <w:tcPr>
            <w:tcW w:w="3156" w:type="pct"/>
            <w:tcMar>
              <w:top w:w="0" w:type="dxa"/>
              <w:left w:w="28" w:type="dxa"/>
              <w:bottom w:w="0" w:type="dxa"/>
              <w:right w:w="28" w:type="dxa"/>
            </w:tcMar>
            <w:vAlign w:val="center"/>
          </w:tcPr>
          <w:p>
            <w:pPr>
              <w:kinsoku w:val="0"/>
              <w:overflowPunct w:val="0"/>
              <w:spacing w:line="300" w:lineRule="exact"/>
              <w:jc w:val="left"/>
              <w:rPr>
                <w:bCs/>
                <w:szCs w:val="21"/>
              </w:rPr>
            </w:pPr>
            <w:r>
              <w:rPr>
                <w:bCs/>
                <w:szCs w:val="21"/>
              </w:rPr>
              <w:t>新建：</w:t>
            </w:r>
            <w:r>
              <w:rPr>
                <w:rFonts w:hint="eastAsia"/>
                <w:bCs/>
                <w:szCs w:val="21"/>
                <w:lang w:val="en-US" w:eastAsia="zh-CN"/>
              </w:rPr>
              <w:t>30</w:t>
            </w:r>
            <w:r>
              <w:rPr>
                <w:bCs/>
                <w:szCs w:val="21"/>
              </w:rPr>
              <w:t>座，规格为3</w:t>
            </w:r>
            <w:r>
              <w:rPr>
                <w:rFonts w:hint="eastAsia"/>
                <w:bCs/>
                <w:szCs w:val="21"/>
                <w:lang w:val="en-US" w:eastAsia="zh-CN"/>
              </w:rPr>
              <w:t>0</w:t>
            </w:r>
            <w:r>
              <w:rPr>
                <w:bCs/>
                <w:szCs w:val="21"/>
              </w:rPr>
              <w:t>m×1</w:t>
            </w:r>
            <w:r>
              <w:rPr>
                <w:rFonts w:hint="eastAsia"/>
                <w:bCs/>
                <w:szCs w:val="21"/>
                <w:lang w:val="en-US" w:eastAsia="zh-CN"/>
              </w:rPr>
              <w:t>0</w:t>
            </w:r>
            <w:r>
              <w:rPr>
                <w:bCs/>
                <w:szCs w:val="21"/>
              </w:rPr>
              <w:t>m，总建筑面积</w:t>
            </w:r>
            <w:r>
              <w:rPr>
                <w:rFonts w:hint="eastAsia"/>
                <w:bCs/>
                <w:szCs w:val="21"/>
                <w:lang w:val="en-US" w:eastAsia="zh-CN"/>
              </w:rPr>
              <w:t>9000</w:t>
            </w:r>
            <w:r>
              <w:rPr>
                <w:bCs/>
                <w:szCs w:val="21"/>
              </w:rPr>
              <w:t>m</w:t>
            </w:r>
            <w:r>
              <w:rPr>
                <w:bCs/>
                <w:szCs w:val="21"/>
                <w:vertAlign w:val="superscript"/>
              </w:rPr>
              <w:t>2</w:t>
            </w:r>
          </w:p>
        </w:tc>
        <w:tc>
          <w:tcPr>
            <w:tcW w:w="684" w:type="pct"/>
            <w:tcMar>
              <w:top w:w="0" w:type="dxa"/>
              <w:left w:w="28" w:type="dxa"/>
              <w:bottom w:w="0" w:type="dxa"/>
              <w:right w:w="28" w:type="dxa"/>
            </w:tcMar>
            <w:vAlign w:val="center"/>
          </w:tcPr>
          <w:p>
            <w:pPr>
              <w:kinsoku w:val="0"/>
              <w:overflowPunct w:val="0"/>
              <w:spacing w:line="300" w:lineRule="exact"/>
              <w:jc w:val="center"/>
              <w:rPr>
                <w:rFonts w:hint="eastAsia" w:eastAsia="宋体"/>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restart"/>
            <w:tcMar>
              <w:top w:w="0" w:type="dxa"/>
              <w:left w:w="28" w:type="dxa"/>
              <w:bottom w:w="0" w:type="dxa"/>
              <w:right w:w="28" w:type="dxa"/>
            </w:tcMar>
            <w:vAlign w:val="center"/>
          </w:tcPr>
          <w:p>
            <w:pPr>
              <w:spacing w:line="360" w:lineRule="exact"/>
              <w:jc w:val="center"/>
              <w:rPr>
                <w:bCs/>
                <w:szCs w:val="21"/>
              </w:rPr>
            </w:pPr>
            <w:r>
              <w:rPr>
                <w:bCs/>
                <w:szCs w:val="21"/>
              </w:rPr>
              <w:t>辅助工程</w:t>
            </w: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办公宿舍楼（含食堂）</w:t>
            </w:r>
          </w:p>
        </w:tc>
        <w:tc>
          <w:tcPr>
            <w:tcW w:w="3156" w:type="pct"/>
            <w:tcMar>
              <w:top w:w="0" w:type="dxa"/>
              <w:left w:w="28" w:type="dxa"/>
              <w:bottom w:w="0" w:type="dxa"/>
              <w:right w:w="28" w:type="dxa"/>
            </w:tcMar>
            <w:vAlign w:val="center"/>
          </w:tcPr>
          <w:p>
            <w:pPr>
              <w:spacing w:line="360" w:lineRule="exact"/>
              <w:jc w:val="center"/>
              <w:rPr>
                <w:rFonts w:hint="eastAsia" w:eastAsia="宋体"/>
                <w:bCs/>
                <w:szCs w:val="21"/>
                <w:lang w:val="en-US" w:eastAsia="zh-CN"/>
              </w:rPr>
            </w:pPr>
            <w:r>
              <w:rPr>
                <w:rFonts w:hint="eastAsia"/>
                <w:bCs/>
                <w:szCs w:val="21"/>
                <w:lang w:val="en-US" w:eastAsia="zh-CN"/>
              </w:rPr>
              <w:t>新建：1栋，总占地面积1000</w:t>
            </w:r>
            <w:r>
              <w:rPr>
                <w:bCs/>
                <w:szCs w:val="21"/>
              </w:rPr>
              <w:t>m</w:t>
            </w:r>
            <w:r>
              <w:rPr>
                <w:bCs/>
                <w:szCs w:val="21"/>
                <w:vertAlign w:val="superscript"/>
              </w:rPr>
              <w:t>2</w:t>
            </w:r>
            <w:r>
              <w:rPr>
                <w:rFonts w:hint="eastAsia"/>
                <w:bCs/>
                <w:szCs w:val="21"/>
                <w:vertAlign w:val="baseline"/>
                <w:lang w:eastAsia="zh-CN"/>
              </w:rPr>
              <w:t>，</w:t>
            </w:r>
            <w:r>
              <w:rPr>
                <w:bCs/>
                <w:szCs w:val="21"/>
              </w:rPr>
              <w:t>员工冬季取暖采用空调</w:t>
            </w:r>
          </w:p>
        </w:tc>
        <w:tc>
          <w:tcPr>
            <w:tcW w:w="684" w:type="pct"/>
            <w:tcMar>
              <w:top w:w="0" w:type="dxa"/>
              <w:left w:w="28" w:type="dxa"/>
              <w:bottom w:w="0" w:type="dxa"/>
              <w:right w:w="28" w:type="dxa"/>
            </w:tcMar>
            <w:vAlign w:val="center"/>
          </w:tcPr>
          <w:p>
            <w:pPr>
              <w:spacing w:line="360" w:lineRule="exact"/>
              <w:jc w:val="center"/>
              <w:rPr>
                <w:rFonts w:hint="default"/>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休息间</w:t>
            </w:r>
          </w:p>
        </w:tc>
        <w:tc>
          <w:tcPr>
            <w:tcW w:w="3156" w:type="pct"/>
            <w:tcMar>
              <w:top w:w="0" w:type="dxa"/>
              <w:left w:w="28" w:type="dxa"/>
              <w:bottom w:w="0" w:type="dxa"/>
              <w:right w:w="28" w:type="dxa"/>
            </w:tcMar>
            <w:vAlign w:val="center"/>
          </w:tcPr>
          <w:p>
            <w:pPr>
              <w:spacing w:line="360" w:lineRule="exact"/>
              <w:jc w:val="center"/>
              <w:rPr>
                <w:rFonts w:hint="eastAsia"/>
                <w:bCs/>
                <w:szCs w:val="21"/>
                <w:lang w:val="en-US" w:eastAsia="zh-CN"/>
              </w:rPr>
            </w:pPr>
            <w:r>
              <w:rPr>
                <w:bCs/>
                <w:szCs w:val="21"/>
              </w:rPr>
              <w:t>新建：1个，建筑面积共</w:t>
            </w:r>
            <w:r>
              <w:rPr>
                <w:rFonts w:hint="eastAsia"/>
                <w:bCs/>
                <w:szCs w:val="21"/>
                <w:lang w:val="en-US" w:eastAsia="zh-CN"/>
              </w:rPr>
              <w:t>200</w:t>
            </w:r>
            <w:r>
              <w:rPr>
                <w:bCs/>
                <w:szCs w:val="21"/>
              </w:rPr>
              <w:t>m</w:t>
            </w:r>
            <w:r>
              <w:rPr>
                <w:bCs/>
                <w:szCs w:val="21"/>
                <w:vertAlign w:val="superscript"/>
              </w:rPr>
              <w:t>2</w:t>
            </w:r>
          </w:p>
        </w:tc>
        <w:tc>
          <w:tcPr>
            <w:tcW w:w="684" w:type="pct"/>
            <w:tcMar>
              <w:top w:w="0" w:type="dxa"/>
              <w:left w:w="28" w:type="dxa"/>
              <w:bottom w:w="0" w:type="dxa"/>
              <w:right w:w="28" w:type="dxa"/>
            </w:tcMar>
            <w:vAlign w:val="center"/>
          </w:tcPr>
          <w:p>
            <w:pPr>
              <w:spacing w:line="360" w:lineRule="exact"/>
              <w:jc w:val="center"/>
              <w:rPr>
                <w:rFonts w:hint="default"/>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szCs w:val="21"/>
              </w:rPr>
            </w:pPr>
          </w:p>
        </w:tc>
        <w:tc>
          <w:tcPr>
            <w:tcW w:w="804" w:type="pct"/>
            <w:gridSpan w:val="2"/>
            <w:tcMar>
              <w:top w:w="0" w:type="dxa"/>
              <w:left w:w="28" w:type="dxa"/>
              <w:bottom w:w="0" w:type="dxa"/>
              <w:right w:w="28" w:type="dxa"/>
            </w:tcMar>
            <w:vAlign w:val="center"/>
          </w:tcPr>
          <w:p>
            <w:pPr>
              <w:spacing w:line="360" w:lineRule="exact"/>
              <w:jc w:val="center"/>
              <w:rPr>
                <w:rFonts w:hint="eastAsia" w:eastAsia="宋体"/>
                <w:bCs/>
                <w:szCs w:val="21"/>
                <w:lang w:val="en-US" w:eastAsia="zh-CN"/>
              </w:rPr>
            </w:pPr>
            <w:r>
              <w:rPr>
                <w:rFonts w:hint="eastAsia"/>
                <w:bCs/>
                <w:szCs w:val="21"/>
                <w:lang w:val="en-US" w:eastAsia="zh-CN"/>
              </w:rPr>
              <w:t>仓库</w:t>
            </w:r>
          </w:p>
        </w:tc>
        <w:tc>
          <w:tcPr>
            <w:tcW w:w="3156" w:type="pct"/>
            <w:tcMar>
              <w:top w:w="0" w:type="dxa"/>
              <w:left w:w="28" w:type="dxa"/>
              <w:bottom w:w="0" w:type="dxa"/>
              <w:right w:w="28" w:type="dxa"/>
            </w:tcMar>
            <w:vAlign w:val="center"/>
          </w:tcPr>
          <w:p>
            <w:pPr>
              <w:spacing w:line="360" w:lineRule="exact"/>
              <w:jc w:val="center"/>
              <w:rPr>
                <w:rFonts w:hint="default"/>
                <w:bCs/>
                <w:szCs w:val="21"/>
                <w:lang w:val="en-US" w:eastAsia="zh-CN"/>
              </w:rPr>
            </w:pPr>
            <w:r>
              <w:rPr>
                <w:rFonts w:hint="eastAsia"/>
                <w:bCs/>
                <w:szCs w:val="21"/>
                <w:lang w:val="en-US" w:eastAsia="zh-CN"/>
              </w:rPr>
              <w:t>新建：1栋，总占地面积500</w:t>
            </w:r>
            <w:r>
              <w:rPr>
                <w:bCs/>
                <w:szCs w:val="21"/>
              </w:rPr>
              <w:t>m</w:t>
            </w:r>
            <w:r>
              <w:rPr>
                <w:bCs/>
                <w:szCs w:val="21"/>
                <w:vertAlign w:val="superscript"/>
              </w:rPr>
              <w:t>2</w:t>
            </w:r>
          </w:p>
        </w:tc>
        <w:tc>
          <w:tcPr>
            <w:tcW w:w="684" w:type="pct"/>
            <w:tcMar>
              <w:top w:w="0" w:type="dxa"/>
              <w:left w:w="28" w:type="dxa"/>
              <w:bottom w:w="0" w:type="dxa"/>
              <w:right w:w="28" w:type="dxa"/>
            </w:tcMar>
            <w:vAlign w:val="center"/>
          </w:tcPr>
          <w:p>
            <w:pPr>
              <w:spacing w:line="360" w:lineRule="exact"/>
              <w:jc w:val="center"/>
              <w:rPr>
                <w:rFonts w:hint="default"/>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病死猪暂存间</w:t>
            </w:r>
          </w:p>
        </w:tc>
        <w:tc>
          <w:tcPr>
            <w:tcW w:w="3156" w:type="pct"/>
            <w:tcMar>
              <w:top w:w="0" w:type="dxa"/>
              <w:left w:w="28" w:type="dxa"/>
              <w:bottom w:w="0" w:type="dxa"/>
              <w:right w:w="28" w:type="dxa"/>
            </w:tcMar>
            <w:vAlign w:val="center"/>
          </w:tcPr>
          <w:p>
            <w:pPr>
              <w:spacing w:line="360" w:lineRule="exact"/>
              <w:jc w:val="center"/>
              <w:rPr>
                <w:bCs/>
                <w:szCs w:val="21"/>
              </w:rPr>
            </w:pPr>
            <w:r>
              <w:rPr>
                <w:bCs/>
                <w:szCs w:val="21"/>
              </w:rPr>
              <w:t>规格为</w:t>
            </w:r>
            <w:r>
              <w:rPr>
                <w:rFonts w:hint="eastAsia"/>
                <w:bCs/>
                <w:szCs w:val="21"/>
                <w:lang w:val="en-US" w:eastAsia="zh-CN"/>
              </w:rPr>
              <w:t>8</w:t>
            </w:r>
            <w:r>
              <w:rPr>
                <w:bCs/>
                <w:szCs w:val="21"/>
              </w:rPr>
              <w:t>m×1</w:t>
            </w:r>
            <w:r>
              <w:rPr>
                <w:rFonts w:hint="eastAsia"/>
                <w:bCs/>
                <w:szCs w:val="21"/>
                <w:lang w:val="en-US" w:eastAsia="zh-CN"/>
              </w:rPr>
              <w:t>0</w:t>
            </w:r>
            <w:r>
              <w:rPr>
                <w:bCs/>
                <w:szCs w:val="21"/>
              </w:rPr>
              <w:t>m，总建筑面积</w:t>
            </w:r>
            <w:r>
              <w:rPr>
                <w:rFonts w:hint="eastAsia"/>
                <w:bCs/>
                <w:szCs w:val="21"/>
                <w:lang w:val="en-US" w:eastAsia="zh-CN"/>
              </w:rPr>
              <w:t>80</w:t>
            </w:r>
            <w:r>
              <w:rPr>
                <w:bCs/>
                <w:szCs w:val="21"/>
              </w:rPr>
              <w:t xml:space="preserve"> m</w:t>
            </w:r>
            <w:r>
              <w:rPr>
                <w:bCs/>
                <w:szCs w:val="21"/>
                <w:vertAlign w:val="superscript"/>
              </w:rPr>
              <w:t>2</w:t>
            </w:r>
          </w:p>
        </w:tc>
        <w:tc>
          <w:tcPr>
            <w:tcW w:w="684" w:type="pct"/>
            <w:tcMar>
              <w:top w:w="0" w:type="dxa"/>
              <w:left w:w="28" w:type="dxa"/>
              <w:bottom w:w="0" w:type="dxa"/>
              <w:right w:w="28" w:type="dxa"/>
            </w:tcMar>
            <w:vAlign w:val="center"/>
          </w:tcPr>
          <w:p>
            <w:pPr>
              <w:spacing w:line="360" w:lineRule="exact"/>
              <w:jc w:val="center"/>
              <w:rPr>
                <w:rFonts w:hint="default"/>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门卫室</w:t>
            </w:r>
          </w:p>
        </w:tc>
        <w:tc>
          <w:tcPr>
            <w:tcW w:w="3156" w:type="pct"/>
            <w:tcMar>
              <w:top w:w="0" w:type="dxa"/>
              <w:left w:w="28" w:type="dxa"/>
              <w:bottom w:w="0" w:type="dxa"/>
              <w:right w:w="28" w:type="dxa"/>
            </w:tcMar>
            <w:vAlign w:val="center"/>
          </w:tcPr>
          <w:p>
            <w:pPr>
              <w:spacing w:line="360" w:lineRule="exact"/>
              <w:jc w:val="center"/>
              <w:rPr>
                <w:rFonts w:hint="eastAsia" w:eastAsia="宋体"/>
                <w:bCs/>
                <w:szCs w:val="21"/>
                <w:lang w:eastAsia="zh-CN"/>
              </w:rPr>
            </w:pPr>
            <w:r>
              <w:rPr>
                <w:rFonts w:hint="eastAsia"/>
                <w:bCs/>
                <w:szCs w:val="21"/>
                <w:lang w:val="en-US" w:eastAsia="zh-CN"/>
              </w:rPr>
              <w:t>新建：1栋，总占地面积50</w:t>
            </w:r>
            <w:r>
              <w:rPr>
                <w:bCs/>
                <w:szCs w:val="21"/>
              </w:rPr>
              <w:t>m</w:t>
            </w:r>
            <w:r>
              <w:rPr>
                <w:bCs/>
                <w:szCs w:val="21"/>
                <w:vertAlign w:val="superscript"/>
              </w:rPr>
              <w:t>2</w:t>
            </w:r>
          </w:p>
        </w:tc>
        <w:tc>
          <w:tcPr>
            <w:tcW w:w="684" w:type="pct"/>
            <w:tcMar>
              <w:top w:w="0" w:type="dxa"/>
              <w:left w:w="28" w:type="dxa"/>
              <w:bottom w:w="0" w:type="dxa"/>
              <w:right w:w="28" w:type="dxa"/>
            </w:tcMar>
            <w:vAlign w:val="center"/>
          </w:tcPr>
          <w:p>
            <w:pPr>
              <w:spacing w:line="360" w:lineRule="exact"/>
              <w:jc w:val="center"/>
              <w:rPr>
                <w:rFonts w:hint="eastAsia"/>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集中供料站</w:t>
            </w:r>
          </w:p>
        </w:tc>
        <w:tc>
          <w:tcPr>
            <w:tcW w:w="3156" w:type="pct"/>
            <w:tcMar>
              <w:top w:w="0" w:type="dxa"/>
              <w:left w:w="28" w:type="dxa"/>
              <w:bottom w:w="0" w:type="dxa"/>
              <w:right w:w="28" w:type="dxa"/>
            </w:tcMar>
            <w:vAlign w:val="center"/>
          </w:tcPr>
          <w:p>
            <w:pPr>
              <w:spacing w:line="360" w:lineRule="exact"/>
              <w:jc w:val="center"/>
              <w:rPr>
                <w:rFonts w:hint="eastAsia"/>
                <w:bCs/>
                <w:szCs w:val="21"/>
                <w:lang w:val="en-US" w:eastAsia="zh-CN"/>
              </w:rPr>
            </w:pPr>
            <w:r>
              <w:rPr>
                <w:bCs/>
                <w:szCs w:val="21"/>
              </w:rPr>
              <w:t>新建：1个，建筑面积共1</w:t>
            </w:r>
            <w:r>
              <w:rPr>
                <w:rFonts w:hint="eastAsia"/>
                <w:bCs/>
                <w:szCs w:val="21"/>
                <w:lang w:val="en-US" w:eastAsia="zh-CN"/>
              </w:rPr>
              <w:t>00</w:t>
            </w:r>
            <w:r>
              <w:rPr>
                <w:bCs/>
                <w:szCs w:val="21"/>
              </w:rPr>
              <w:t>m</w:t>
            </w:r>
            <w:r>
              <w:rPr>
                <w:bCs/>
                <w:szCs w:val="21"/>
                <w:vertAlign w:val="superscript"/>
              </w:rPr>
              <w:t>2</w:t>
            </w:r>
          </w:p>
        </w:tc>
        <w:tc>
          <w:tcPr>
            <w:tcW w:w="684" w:type="pct"/>
            <w:tcMar>
              <w:top w:w="0" w:type="dxa"/>
              <w:left w:w="28" w:type="dxa"/>
              <w:bottom w:w="0" w:type="dxa"/>
              <w:right w:w="28" w:type="dxa"/>
            </w:tcMar>
            <w:vAlign w:val="center"/>
          </w:tcPr>
          <w:p>
            <w:pPr>
              <w:spacing w:line="360" w:lineRule="exact"/>
              <w:jc w:val="center"/>
              <w:rPr>
                <w:rFonts w:hint="eastAsia"/>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装猪台</w:t>
            </w:r>
          </w:p>
        </w:tc>
        <w:tc>
          <w:tcPr>
            <w:tcW w:w="3156" w:type="pct"/>
            <w:tcMar>
              <w:top w:w="0" w:type="dxa"/>
              <w:left w:w="28" w:type="dxa"/>
              <w:bottom w:w="0" w:type="dxa"/>
              <w:right w:w="28" w:type="dxa"/>
            </w:tcMar>
            <w:vAlign w:val="center"/>
          </w:tcPr>
          <w:p>
            <w:pPr>
              <w:spacing w:line="360" w:lineRule="exact"/>
              <w:jc w:val="center"/>
              <w:rPr>
                <w:rFonts w:hint="eastAsia"/>
                <w:bCs/>
                <w:szCs w:val="21"/>
                <w:lang w:val="en-US" w:eastAsia="zh-CN"/>
              </w:rPr>
            </w:pPr>
            <w:r>
              <w:rPr>
                <w:bCs/>
                <w:szCs w:val="21"/>
              </w:rPr>
              <w:t>新建：1个，建筑面积4</w:t>
            </w:r>
            <w:r>
              <w:rPr>
                <w:rFonts w:hint="eastAsia"/>
                <w:bCs/>
                <w:szCs w:val="21"/>
                <w:lang w:val="en-US" w:eastAsia="zh-CN"/>
              </w:rPr>
              <w:t>00</w:t>
            </w:r>
            <w:r>
              <w:rPr>
                <w:bCs/>
                <w:szCs w:val="21"/>
              </w:rPr>
              <w:t>m</w:t>
            </w:r>
            <w:r>
              <w:rPr>
                <w:bCs/>
                <w:szCs w:val="21"/>
                <w:vertAlign w:val="superscript"/>
              </w:rPr>
              <w:t>2</w:t>
            </w:r>
          </w:p>
        </w:tc>
        <w:tc>
          <w:tcPr>
            <w:tcW w:w="684" w:type="pct"/>
            <w:tcMar>
              <w:top w:w="0" w:type="dxa"/>
              <w:left w:w="28" w:type="dxa"/>
              <w:bottom w:w="0" w:type="dxa"/>
              <w:right w:w="28" w:type="dxa"/>
            </w:tcMar>
            <w:vAlign w:val="center"/>
          </w:tcPr>
          <w:p>
            <w:pPr>
              <w:spacing w:line="360" w:lineRule="exact"/>
              <w:jc w:val="center"/>
              <w:rPr>
                <w:rFonts w:hint="eastAsia"/>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restart"/>
            <w:tcMar>
              <w:top w:w="0" w:type="dxa"/>
              <w:left w:w="28" w:type="dxa"/>
              <w:bottom w:w="0" w:type="dxa"/>
              <w:right w:w="28" w:type="dxa"/>
            </w:tcMar>
            <w:vAlign w:val="center"/>
          </w:tcPr>
          <w:p>
            <w:pPr>
              <w:spacing w:line="360" w:lineRule="exact"/>
              <w:jc w:val="center"/>
              <w:rPr>
                <w:bCs/>
                <w:szCs w:val="21"/>
              </w:rPr>
            </w:pPr>
            <w:r>
              <w:rPr>
                <w:bCs/>
                <w:szCs w:val="21"/>
              </w:rPr>
              <w:t>公用工程</w:t>
            </w:r>
          </w:p>
        </w:tc>
        <w:tc>
          <w:tcPr>
            <w:tcW w:w="804" w:type="pct"/>
            <w:gridSpan w:val="2"/>
            <w:tcMar>
              <w:top w:w="0" w:type="dxa"/>
              <w:left w:w="28" w:type="dxa"/>
              <w:bottom w:w="0" w:type="dxa"/>
              <w:right w:w="28" w:type="dxa"/>
            </w:tcMar>
            <w:vAlign w:val="center"/>
          </w:tcPr>
          <w:p>
            <w:pPr>
              <w:spacing w:line="360" w:lineRule="exact"/>
              <w:jc w:val="center"/>
              <w:rPr>
                <w:bCs/>
                <w:color w:val="000000"/>
                <w:szCs w:val="21"/>
              </w:rPr>
            </w:pPr>
            <w:r>
              <w:rPr>
                <w:bCs/>
                <w:color w:val="000000"/>
                <w:szCs w:val="21"/>
              </w:rPr>
              <w:t>给水工程</w:t>
            </w:r>
          </w:p>
        </w:tc>
        <w:tc>
          <w:tcPr>
            <w:tcW w:w="3156" w:type="pct"/>
            <w:tcMar>
              <w:top w:w="0" w:type="dxa"/>
              <w:left w:w="28" w:type="dxa"/>
              <w:bottom w:w="0" w:type="dxa"/>
              <w:right w:w="28" w:type="dxa"/>
            </w:tcMar>
            <w:vAlign w:val="center"/>
          </w:tcPr>
          <w:p>
            <w:pPr>
              <w:spacing w:line="360" w:lineRule="exact"/>
              <w:jc w:val="left"/>
              <w:rPr>
                <w:bCs/>
                <w:color w:val="000000"/>
                <w:szCs w:val="21"/>
              </w:rPr>
            </w:pPr>
            <w:r>
              <w:rPr>
                <w:bCs/>
                <w:color w:val="000000"/>
                <w:szCs w:val="21"/>
              </w:rPr>
              <w:t>本项目用水由自备井供给，场区内拟建设1眼自备井，深200m，单井出水约为50m</w:t>
            </w:r>
            <w:r>
              <w:rPr>
                <w:bCs/>
                <w:color w:val="000000"/>
                <w:szCs w:val="21"/>
                <w:vertAlign w:val="superscript"/>
              </w:rPr>
              <w:t>3</w:t>
            </w:r>
            <w:r>
              <w:rPr>
                <w:bCs/>
                <w:color w:val="000000"/>
                <w:szCs w:val="21"/>
              </w:rPr>
              <w:t>/h</w:t>
            </w:r>
          </w:p>
        </w:tc>
        <w:tc>
          <w:tcPr>
            <w:tcW w:w="684" w:type="pct"/>
            <w:tcMar>
              <w:top w:w="0" w:type="dxa"/>
              <w:left w:w="28" w:type="dxa"/>
              <w:bottom w:w="0" w:type="dxa"/>
              <w:right w:w="28" w:type="dxa"/>
            </w:tcMar>
            <w:vAlign w:val="center"/>
          </w:tcPr>
          <w:p>
            <w:pPr>
              <w:spacing w:line="360" w:lineRule="exact"/>
              <w:jc w:val="center"/>
              <w:rPr>
                <w:rFonts w:hint="default" w:eastAsia="宋体"/>
                <w:bCs/>
                <w:color w:val="000000"/>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排水工程</w:t>
            </w:r>
          </w:p>
        </w:tc>
        <w:tc>
          <w:tcPr>
            <w:tcW w:w="3156" w:type="pct"/>
            <w:tcMar>
              <w:top w:w="0" w:type="dxa"/>
              <w:left w:w="28" w:type="dxa"/>
              <w:bottom w:w="0" w:type="dxa"/>
              <w:right w:w="28" w:type="dxa"/>
            </w:tcMar>
            <w:vAlign w:val="center"/>
          </w:tcPr>
          <w:p>
            <w:pPr>
              <w:spacing w:line="360" w:lineRule="exact"/>
              <w:rPr>
                <w:bCs/>
                <w:szCs w:val="21"/>
              </w:rPr>
            </w:pPr>
            <w:r>
              <w:rPr>
                <w:bCs/>
                <w:szCs w:val="21"/>
              </w:rPr>
              <w:t>本项目排水采用雨污分流，雨水经雨水管道排到厂区外部，养殖废水和生活污水经场区内</w:t>
            </w:r>
            <w:r>
              <w:rPr>
                <w:rFonts w:hint="eastAsia"/>
                <w:bCs/>
                <w:szCs w:val="21"/>
                <w:lang w:val="en-US" w:eastAsia="zh-CN"/>
              </w:rPr>
              <w:t>黑膜</w:t>
            </w:r>
            <w:r>
              <w:rPr>
                <w:bCs/>
                <w:szCs w:val="21"/>
              </w:rPr>
              <w:t>沼气池处理后，生成沼液作为农肥综合利用，不外排。</w:t>
            </w:r>
          </w:p>
        </w:tc>
        <w:tc>
          <w:tcPr>
            <w:tcW w:w="684" w:type="pct"/>
            <w:tcMar>
              <w:top w:w="0" w:type="dxa"/>
              <w:left w:w="28" w:type="dxa"/>
              <w:bottom w:w="0" w:type="dxa"/>
              <w:right w:w="28" w:type="dxa"/>
            </w:tcMar>
            <w:vAlign w:val="center"/>
          </w:tcPr>
          <w:p>
            <w:pPr>
              <w:spacing w:line="360" w:lineRule="exact"/>
              <w:jc w:val="center"/>
              <w:rPr>
                <w:rFonts w:hint="default" w:eastAsia="宋体"/>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Cs w:val="21"/>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供电系统</w:t>
            </w:r>
          </w:p>
        </w:tc>
        <w:tc>
          <w:tcPr>
            <w:tcW w:w="3156" w:type="pct"/>
            <w:tcMar>
              <w:top w:w="0" w:type="dxa"/>
              <w:left w:w="28" w:type="dxa"/>
              <w:bottom w:w="0" w:type="dxa"/>
              <w:right w:w="28" w:type="dxa"/>
            </w:tcMar>
            <w:vAlign w:val="center"/>
          </w:tcPr>
          <w:p>
            <w:pPr>
              <w:spacing w:line="360" w:lineRule="exact"/>
              <w:jc w:val="left"/>
              <w:rPr>
                <w:bCs/>
                <w:szCs w:val="21"/>
              </w:rPr>
            </w:pPr>
            <w:r>
              <w:rPr>
                <w:bCs/>
                <w:szCs w:val="21"/>
              </w:rPr>
              <w:t>本项目电源由</w:t>
            </w:r>
            <w:r>
              <w:rPr>
                <w:rFonts w:hint="eastAsia"/>
                <w:bCs/>
                <w:color w:val="000000"/>
                <w:szCs w:val="21"/>
                <w:lang w:val="en-US" w:eastAsia="zh-CN"/>
              </w:rPr>
              <w:t>区域</w:t>
            </w:r>
            <w:r>
              <w:rPr>
                <w:bCs/>
                <w:szCs w:val="21"/>
              </w:rPr>
              <w:t>供电所专线供电</w:t>
            </w:r>
          </w:p>
        </w:tc>
        <w:tc>
          <w:tcPr>
            <w:tcW w:w="684" w:type="pct"/>
            <w:tcMar>
              <w:top w:w="0" w:type="dxa"/>
              <w:left w:w="28" w:type="dxa"/>
              <w:bottom w:w="0" w:type="dxa"/>
              <w:right w:w="28" w:type="dxa"/>
            </w:tcMar>
            <w:vAlign w:val="center"/>
          </w:tcPr>
          <w:p>
            <w:pPr>
              <w:spacing w:line="360" w:lineRule="exact"/>
              <w:jc w:val="center"/>
              <w:rPr>
                <w:rFonts w:hint="default" w:eastAsia="宋体"/>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供热工程</w:t>
            </w:r>
          </w:p>
        </w:tc>
        <w:tc>
          <w:tcPr>
            <w:tcW w:w="3156" w:type="pct"/>
            <w:tcMar>
              <w:top w:w="0" w:type="dxa"/>
              <w:left w:w="28" w:type="dxa"/>
              <w:bottom w:w="0" w:type="dxa"/>
              <w:right w:w="28" w:type="dxa"/>
            </w:tcMar>
            <w:vAlign w:val="center"/>
          </w:tcPr>
          <w:p>
            <w:pPr>
              <w:spacing w:line="360" w:lineRule="exact"/>
              <w:rPr>
                <w:bCs/>
                <w:szCs w:val="21"/>
              </w:rPr>
            </w:pPr>
            <w:r>
              <w:rPr>
                <w:bCs/>
                <w:szCs w:val="21"/>
              </w:rPr>
              <w:t>养殖舍：猪舍墙体为保温材料，可以减少猪舍热量损失，项目采用热交换系统用于冬季猪舍取暖。</w:t>
            </w:r>
          </w:p>
          <w:p>
            <w:pPr>
              <w:spacing w:line="360" w:lineRule="exact"/>
              <w:jc w:val="left"/>
              <w:rPr>
                <w:bCs/>
                <w:szCs w:val="21"/>
              </w:rPr>
            </w:pPr>
            <w:r>
              <w:rPr>
                <w:bCs/>
                <w:szCs w:val="21"/>
              </w:rPr>
              <w:t>办公生活区：本项目人员冬季取暖采用空调</w:t>
            </w:r>
          </w:p>
        </w:tc>
        <w:tc>
          <w:tcPr>
            <w:tcW w:w="684" w:type="pct"/>
            <w:tcMar>
              <w:top w:w="0" w:type="dxa"/>
              <w:left w:w="28" w:type="dxa"/>
              <w:bottom w:w="0" w:type="dxa"/>
              <w:right w:w="28" w:type="dxa"/>
            </w:tcMar>
            <w:vAlign w:val="center"/>
          </w:tcPr>
          <w:p>
            <w:pPr>
              <w:spacing w:line="360" w:lineRule="exact"/>
              <w:jc w:val="center"/>
              <w:rPr>
                <w:rFonts w:hint="default" w:eastAsia="宋体"/>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沼气综合利用系统</w:t>
            </w:r>
          </w:p>
        </w:tc>
        <w:tc>
          <w:tcPr>
            <w:tcW w:w="3156" w:type="pct"/>
            <w:tcMar>
              <w:top w:w="0" w:type="dxa"/>
              <w:left w:w="28" w:type="dxa"/>
              <w:bottom w:w="0" w:type="dxa"/>
              <w:right w:w="28" w:type="dxa"/>
            </w:tcMar>
            <w:vAlign w:val="center"/>
          </w:tcPr>
          <w:p>
            <w:pPr>
              <w:spacing w:line="360" w:lineRule="exact"/>
              <w:jc w:val="left"/>
              <w:rPr>
                <w:bCs/>
                <w:szCs w:val="21"/>
              </w:rPr>
            </w:pPr>
            <w:r>
              <w:rPr>
                <w:bCs/>
                <w:szCs w:val="21"/>
              </w:rPr>
              <w:t>新建：本项目</w:t>
            </w:r>
            <w:r>
              <w:rPr>
                <w:rFonts w:hint="eastAsia"/>
                <w:bCs/>
                <w:szCs w:val="21"/>
                <w:lang w:val="en-US" w:eastAsia="zh-CN"/>
              </w:rPr>
              <w:t>黑膜</w:t>
            </w:r>
            <w:r>
              <w:rPr>
                <w:bCs/>
                <w:szCs w:val="21"/>
              </w:rPr>
              <w:t>沼气池产生的沼气经配套的沼气净化装置净化后用于职工食堂用作炊事燃料</w:t>
            </w:r>
            <w:r>
              <w:rPr>
                <w:rFonts w:hint="eastAsia"/>
                <w:bCs/>
                <w:szCs w:val="21"/>
                <w:lang w:eastAsia="zh-CN"/>
              </w:rPr>
              <w:t>，</w:t>
            </w:r>
            <w:r>
              <w:rPr>
                <w:rFonts w:hint="eastAsia"/>
                <w:bCs/>
                <w:szCs w:val="21"/>
                <w:lang w:val="en-US" w:eastAsia="zh-CN"/>
              </w:rPr>
              <w:t>其余部分经火炬燃烧器燃烧</w:t>
            </w:r>
            <w:r>
              <w:rPr>
                <w:bCs/>
                <w:szCs w:val="21"/>
              </w:rPr>
              <w:t>。场区配套沼气净化装置1套</w:t>
            </w:r>
          </w:p>
        </w:tc>
        <w:tc>
          <w:tcPr>
            <w:tcW w:w="684" w:type="pct"/>
            <w:tcMar>
              <w:top w:w="0" w:type="dxa"/>
              <w:left w:w="28" w:type="dxa"/>
              <w:bottom w:w="0" w:type="dxa"/>
              <w:right w:w="28" w:type="dxa"/>
            </w:tcMar>
            <w:vAlign w:val="center"/>
          </w:tcPr>
          <w:p>
            <w:pPr>
              <w:spacing w:line="360" w:lineRule="exact"/>
              <w:jc w:val="center"/>
              <w:rPr>
                <w:rFonts w:hint="default" w:eastAsia="宋体"/>
                <w:bCs/>
                <w:szCs w:val="21"/>
                <w:lang w:val="en-US" w:eastAsia="zh-CN"/>
              </w:rPr>
            </w:pPr>
            <w:r>
              <w:rPr>
                <w:rFonts w:hint="eastAsia"/>
                <w:bCs/>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804" w:type="pct"/>
            <w:gridSpan w:val="2"/>
            <w:vMerge w:val="restart"/>
            <w:tcMar>
              <w:top w:w="0" w:type="dxa"/>
              <w:left w:w="28" w:type="dxa"/>
              <w:bottom w:w="0" w:type="dxa"/>
              <w:right w:w="28" w:type="dxa"/>
            </w:tcMar>
            <w:vAlign w:val="center"/>
          </w:tcPr>
          <w:p>
            <w:pPr>
              <w:spacing w:line="360" w:lineRule="exact"/>
              <w:jc w:val="center"/>
              <w:rPr>
                <w:bCs/>
                <w:szCs w:val="21"/>
              </w:rPr>
            </w:pPr>
            <w:r>
              <w:rPr>
                <w:bCs/>
                <w:szCs w:val="21"/>
              </w:rPr>
              <w:t>沼液利用管网系统</w:t>
            </w:r>
          </w:p>
        </w:tc>
        <w:tc>
          <w:tcPr>
            <w:tcW w:w="3156" w:type="pct"/>
            <w:tcMar>
              <w:top w:w="0" w:type="dxa"/>
              <w:left w:w="28" w:type="dxa"/>
              <w:bottom w:w="0" w:type="dxa"/>
              <w:right w:w="28" w:type="dxa"/>
            </w:tcMar>
            <w:vAlign w:val="center"/>
          </w:tcPr>
          <w:p>
            <w:pPr>
              <w:spacing w:line="360" w:lineRule="exact"/>
              <w:jc w:val="left"/>
              <w:rPr>
                <w:rFonts w:hint="default" w:eastAsia="宋体"/>
                <w:bCs/>
                <w:color w:val="000000" w:themeColor="text1"/>
                <w:szCs w:val="21"/>
                <w:vertAlign w:val="superscript"/>
                <w:lang w:val="en-US" w:eastAsia="zh-CN"/>
              </w:rPr>
            </w:pPr>
            <w:r>
              <w:rPr>
                <w:bCs/>
                <w:color w:val="000000" w:themeColor="text1"/>
                <w:szCs w:val="21"/>
              </w:rPr>
              <w:t>沼液储存池</w:t>
            </w:r>
            <w:r>
              <w:rPr>
                <w:rFonts w:hint="eastAsia"/>
                <w:bCs/>
                <w:color w:val="000000" w:themeColor="text1"/>
                <w:szCs w:val="21"/>
                <w:lang w:val="en-US" w:eastAsia="zh-CN"/>
              </w:rPr>
              <w:t>1座，5000m</w:t>
            </w:r>
            <w:r>
              <w:rPr>
                <w:rFonts w:hint="eastAsia"/>
                <w:bCs/>
                <w:color w:val="000000" w:themeColor="text1"/>
                <w:szCs w:val="21"/>
                <w:vertAlign w:val="superscript"/>
                <w:lang w:val="en-US" w:eastAsia="zh-CN"/>
              </w:rPr>
              <w:t>3</w:t>
            </w:r>
          </w:p>
          <w:p>
            <w:pPr>
              <w:spacing w:line="360" w:lineRule="exact"/>
              <w:jc w:val="left"/>
              <w:rPr>
                <w:rFonts w:hint="eastAsia" w:eastAsia="宋体"/>
                <w:bCs/>
                <w:color w:val="000000" w:themeColor="text1"/>
                <w:szCs w:val="21"/>
                <w:lang w:eastAsia="zh-CN"/>
              </w:rPr>
            </w:pPr>
            <w:r>
              <w:rPr>
                <w:bCs/>
                <w:color w:val="000000" w:themeColor="text1"/>
                <w:szCs w:val="21"/>
              </w:rPr>
              <w:t>沼液由沼液储存池引至施肥</w:t>
            </w:r>
            <w:r>
              <w:rPr>
                <w:rFonts w:hint="eastAsia"/>
                <w:bCs/>
                <w:color w:val="000000" w:themeColor="text1"/>
                <w:szCs w:val="21"/>
                <w:lang w:val="en-US" w:eastAsia="zh-CN"/>
              </w:rPr>
              <w:t>林地</w:t>
            </w:r>
          </w:p>
        </w:tc>
        <w:tc>
          <w:tcPr>
            <w:tcW w:w="684" w:type="pct"/>
            <w:tcMar>
              <w:top w:w="0" w:type="dxa"/>
              <w:left w:w="28" w:type="dxa"/>
              <w:bottom w:w="0" w:type="dxa"/>
              <w:right w:w="28" w:type="dxa"/>
            </w:tcMar>
            <w:vAlign w:val="center"/>
          </w:tcPr>
          <w:p>
            <w:pPr>
              <w:spacing w:line="360" w:lineRule="exact"/>
              <w:jc w:val="center"/>
              <w:rPr>
                <w:rFonts w:hint="eastAsia" w:eastAsia="宋体"/>
                <w:bCs/>
                <w:color w:val="000000" w:themeColor="text1"/>
                <w:szCs w:val="21"/>
                <w:lang w:val="en-US" w:eastAsia="zh-CN"/>
              </w:rPr>
            </w:pPr>
            <w:r>
              <w:rPr>
                <w:rFonts w:hint="eastAsia"/>
                <w:bCs/>
                <w:color w:val="000000" w:themeColor="text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804" w:type="pct"/>
            <w:gridSpan w:val="2"/>
            <w:vMerge w:val="continue"/>
            <w:tcMar>
              <w:top w:w="0" w:type="dxa"/>
              <w:left w:w="28" w:type="dxa"/>
              <w:bottom w:w="0" w:type="dxa"/>
              <w:right w:w="28" w:type="dxa"/>
            </w:tcMar>
            <w:vAlign w:val="center"/>
          </w:tcPr>
          <w:p>
            <w:pPr>
              <w:spacing w:line="360" w:lineRule="exact"/>
              <w:jc w:val="center"/>
              <w:rPr>
                <w:bCs/>
                <w:szCs w:val="21"/>
              </w:rPr>
            </w:pPr>
          </w:p>
        </w:tc>
        <w:tc>
          <w:tcPr>
            <w:tcW w:w="3156" w:type="pct"/>
            <w:tcMar>
              <w:top w:w="0" w:type="dxa"/>
              <w:left w:w="28" w:type="dxa"/>
              <w:bottom w:w="0" w:type="dxa"/>
              <w:right w:w="28" w:type="dxa"/>
            </w:tcMar>
            <w:vAlign w:val="center"/>
          </w:tcPr>
          <w:p>
            <w:pPr>
              <w:spacing w:line="360" w:lineRule="exact"/>
              <w:jc w:val="left"/>
              <w:rPr>
                <w:rFonts w:hint="eastAsia" w:eastAsia="宋体"/>
                <w:bCs/>
                <w:color w:val="000000" w:themeColor="text1"/>
                <w:szCs w:val="21"/>
                <w:lang w:eastAsia="zh-CN"/>
              </w:rPr>
            </w:pPr>
            <w:r>
              <w:rPr>
                <w:bCs/>
                <w:color w:val="000000" w:themeColor="text1"/>
                <w:szCs w:val="21"/>
              </w:rPr>
              <w:t>沼液消纳地</w:t>
            </w:r>
            <w:r>
              <w:rPr>
                <w:rFonts w:hint="eastAsia"/>
                <w:bCs/>
                <w:color w:val="000000" w:themeColor="text1"/>
                <w:szCs w:val="21"/>
                <w:lang w:val="en-US" w:eastAsia="zh-CN"/>
              </w:rPr>
              <w:t>93380m</w:t>
            </w:r>
            <w:r>
              <w:rPr>
                <w:rFonts w:hint="eastAsia"/>
                <w:bCs/>
                <w:color w:val="000000" w:themeColor="text1"/>
                <w:szCs w:val="21"/>
                <w:vertAlign w:val="superscript"/>
                <w:lang w:val="en-US" w:eastAsia="zh-CN"/>
              </w:rPr>
              <w:t>2</w:t>
            </w:r>
            <w:r>
              <w:rPr>
                <w:bCs/>
                <w:color w:val="000000" w:themeColor="text1"/>
                <w:szCs w:val="21"/>
              </w:rPr>
              <w:t>，主要分布于养殖场</w:t>
            </w:r>
            <w:r>
              <w:rPr>
                <w:rFonts w:hint="eastAsia"/>
                <w:bCs/>
                <w:color w:val="000000" w:themeColor="text1"/>
                <w:szCs w:val="21"/>
                <w:lang w:val="en-US" w:eastAsia="zh-CN"/>
              </w:rPr>
              <w:t>四周</w:t>
            </w:r>
          </w:p>
        </w:tc>
        <w:tc>
          <w:tcPr>
            <w:tcW w:w="684" w:type="pct"/>
            <w:tcMar>
              <w:top w:w="0" w:type="dxa"/>
              <w:left w:w="28" w:type="dxa"/>
              <w:bottom w:w="0" w:type="dxa"/>
              <w:right w:w="28" w:type="dxa"/>
            </w:tcMar>
            <w:vAlign w:val="center"/>
          </w:tcPr>
          <w:p>
            <w:pPr>
              <w:spacing w:line="360" w:lineRule="exact"/>
              <w:jc w:val="center"/>
              <w:rPr>
                <w:rFonts w:hint="default"/>
                <w:bCs/>
                <w:color w:val="000000" w:themeColor="text1"/>
                <w:szCs w:val="21"/>
                <w:lang w:val="en-US" w:eastAsia="zh-CN"/>
              </w:rPr>
            </w:pPr>
            <w:r>
              <w:rPr>
                <w:rFonts w:hint="eastAsia"/>
                <w:bCs/>
                <w:color w:val="000000" w:themeColor="text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restart"/>
            <w:tcMar>
              <w:top w:w="0" w:type="dxa"/>
              <w:left w:w="28" w:type="dxa"/>
              <w:bottom w:w="0" w:type="dxa"/>
              <w:right w:w="28" w:type="dxa"/>
            </w:tcMar>
            <w:vAlign w:val="center"/>
          </w:tcPr>
          <w:p>
            <w:pPr>
              <w:spacing w:line="360" w:lineRule="exact"/>
              <w:jc w:val="center"/>
              <w:rPr>
                <w:bCs/>
                <w:sz w:val="24"/>
              </w:rPr>
            </w:pPr>
            <w:r>
              <w:rPr>
                <w:bCs/>
                <w:sz w:val="24"/>
              </w:rPr>
              <w:t>环保工程</w:t>
            </w:r>
          </w:p>
        </w:tc>
        <w:tc>
          <w:tcPr>
            <w:tcW w:w="804" w:type="pct"/>
            <w:gridSpan w:val="2"/>
            <w:tcMar>
              <w:top w:w="0" w:type="dxa"/>
              <w:left w:w="28" w:type="dxa"/>
              <w:bottom w:w="0" w:type="dxa"/>
              <w:right w:w="28" w:type="dxa"/>
            </w:tcMar>
            <w:vAlign w:val="center"/>
          </w:tcPr>
          <w:p>
            <w:pPr>
              <w:spacing w:line="360" w:lineRule="exact"/>
              <w:jc w:val="center"/>
              <w:rPr>
                <w:bCs/>
                <w:szCs w:val="21"/>
              </w:rPr>
            </w:pPr>
            <w:r>
              <w:rPr>
                <w:bCs/>
                <w:szCs w:val="21"/>
              </w:rPr>
              <w:t>废水处理</w:t>
            </w:r>
          </w:p>
        </w:tc>
        <w:tc>
          <w:tcPr>
            <w:tcW w:w="3156" w:type="pct"/>
            <w:tcMar>
              <w:top w:w="0" w:type="dxa"/>
              <w:left w:w="28" w:type="dxa"/>
              <w:bottom w:w="0" w:type="dxa"/>
              <w:right w:w="28" w:type="dxa"/>
            </w:tcMar>
            <w:vAlign w:val="center"/>
          </w:tcPr>
          <w:p>
            <w:pPr>
              <w:spacing w:line="360" w:lineRule="exact"/>
              <w:jc w:val="left"/>
              <w:rPr>
                <w:bCs/>
                <w:color w:val="000000"/>
                <w:szCs w:val="21"/>
              </w:rPr>
            </w:pPr>
            <w:r>
              <w:rPr>
                <w:bCs/>
                <w:color w:val="000000"/>
                <w:szCs w:val="21"/>
              </w:rPr>
              <w:t>污水处理系统1套，黑膜沼气池1座，容积</w:t>
            </w:r>
            <w:r>
              <w:rPr>
                <w:rFonts w:hint="eastAsia"/>
                <w:bCs/>
                <w:color w:val="000000"/>
                <w:szCs w:val="21"/>
                <w:lang w:val="en-US" w:eastAsia="zh-CN"/>
              </w:rPr>
              <w:t>1000</w:t>
            </w:r>
            <w:r>
              <w:rPr>
                <w:bCs/>
                <w:color w:val="000000"/>
                <w:szCs w:val="21"/>
              </w:rPr>
              <w:t xml:space="preserve"> m</w:t>
            </w:r>
            <w:r>
              <w:rPr>
                <w:bCs/>
                <w:color w:val="000000"/>
                <w:szCs w:val="21"/>
                <w:vertAlign w:val="superscript"/>
              </w:rPr>
              <w:t>3</w:t>
            </w:r>
            <w:r>
              <w:rPr>
                <w:bCs/>
                <w:color w:val="000000"/>
                <w:szCs w:val="21"/>
              </w:rPr>
              <w:t>，沼液储存池1个，总容积</w:t>
            </w:r>
            <w:r>
              <w:rPr>
                <w:rFonts w:hint="eastAsia"/>
                <w:bCs/>
                <w:color w:val="000000"/>
                <w:szCs w:val="21"/>
                <w:lang w:val="en-US" w:eastAsia="zh-CN"/>
              </w:rPr>
              <w:t>5</w:t>
            </w:r>
            <w:r>
              <w:rPr>
                <w:bCs/>
                <w:color w:val="000000"/>
                <w:szCs w:val="21"/>
              </w:rPr>
              <w:t>000m</w:t>
            </w:r>
            <w:r>
              <w:rPr>
                <w:bCs/>
                <w:color w:val="000000"/>
                <w:szCs w:val="21"/>
                <w:vertAlign w:val="superscript"/>
              </w:rPr>
              <w:t>3</w:t>
            </w:r>
          </w:p>
        </w:tc>
        <w:tc>
          <w:tcPr>
            <w:tcW w:w="684" w:type="pct"/>
            <w:tcMar>
              <w:top w:w="0" w:type="dxa"/>
              <w:left w:w="28" w:type="dxa"/>
              <w:bottom w:w="0" w:type="dxa"/>
              <w:right w:w="28" w:type="dxa"/>
            </w:tcMar>
            <w:vAlign w:val="center"/>
          </w:tcPr>
          <w:p>
            <w:pPr>
              <w:spacing w:line="360" w:lineRule="exact"/>
              <w:jc w:val="center"/>
              <w:rPr>
                <w:rFonts w:hint="default" w:eastAsia="宋体"/>
                <w:bCs/>
                <w:color w:val="000000"/>
                <w:szCs w:val="21"/>
                <w:lang w:val="en-US" w:eastAsia="zh-CN"/>
              </w:rPr>
            </w:pPr>
            <w:r>
              <w:rPr>
                <w:rFonts w:hint="eastAsia"/>
                <w:bCs/>
                <w:color w:val="000000"/>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151" w:type="pct"/>
            <w:vMerge w:val="restart"/>
            <w:tcMar>
              <w:top w:w="0" w:type="dxa"/>
              <w:left w:w="28" w:type="dxa"/>
              <w:bottom w:w="0" w:type="dxa"/>
              <w:right w:w="28" w:type="dxa"/>
            </w:tcMar>
            <w:vAlign w:val="center"/>
          </w:tcPr>
          <w:p>
            <w:pPr>
              <w:spacing w:line="360" w:lineRule="exact"/>
              <w:jc w:val="center"/>
              <w:rPr>
                <w:bCs/>
                <w:szCs w:val="21"/>
              </w:rPr>
            </w:pPr>
            <w:r>
              <w:rPr>
                <w:bCs/>
                <w:szCs w:val="21"/>
              </w:rPr>
              <w:t>固废</w:t>
            </w:r>
          </w:p>
        </w:tc>
        <w:tc>
          <w:tcPr>
            <w:tcW w:w="652" w:type="pct"/>
            <w:tcMar>
              <w:top w:w="0" w:type="dxa"/>
              <w:left w:w="28" w:type="dxa"/>
              <w:bottom w:w="0" w:type="dxa"/>
              <w:right w:w="28" w:type="dxa"/>
            </w:tcMar>
            <w:vAlign w:val="center"/>
          </w:tcPr>
          <w:p>
            <w:pPr>
              <w:spacing w:line="360" w:lineRule="exact"/>
              <w:jc w:val="center"/>
              <w:rPr>
                <w:bCs/>
                <w:color w:val="000000"/>
                <w:szCs w:val="21"/>
              </w:rPr>
            </w:pPr>
            <w:r>
              <w:rPr>
                <w:bCs/>
                <w:color w:val="000000"/>
                <w:szCs w:val="21"/>
              </w:rPr>
              <w:t>医疗废物</w:t>
            </w:r>
          </w:p>
        </w:tc>
        <w:tc>
          <w:tcPr>
            <w:tcW w:w="3156" w:type="pct"/>
            <w:tcMar>
              <w:top w:w="0" w:type="dxa"/>
              <w:left w:w="28" w:type="dxa"/>
              <w:bottom w:w="0" w:type="dxa"/>
              <w:right w:w="28" w:type="dxa"/>
            </w:tcMar>
            <w:vAlign w:val="center"/>
          </w:tcPr>
          <w:p>
            <w:pPr>
              <w:spacing w:line="360" w:lineRule="exact"/>
              <w:jc w:val="left"/>
              <w:rPr>
                <w:rFonts w:hint="default" w:eastAsia="宋体"/>
                <w:bCs/>
                <w:color w:val="000000"/>
                <w:szCs w:val="21"/>
                <w:lang w:val="en-US" w:eastAsia="zh-CN"/>
              </w:rPr>
            </w:pPr>
            <w:r>
              <w:rPr>
                <w:bCs/>
                <w:color w:val="000000"/>
                <w:szCs w:val="21"/>
              </w:rPr>
              <w:t>危废暂存间1个，占地面积6m</w:t>
            </w:r>
            <w:r>
              <w:rPr>
                <w:bCs/>
                <w:color w:val="000000"/>
                <w:szCs w:val="21"/>
                <w:vertAlign w:val="superscript"/>
              </w:rPr>
              <w:t>2</w:t>
            </w:r>
            <w:r>
              <w:rPr>
                <w:bCs/>
                <w:color w:val="000000"/>
                <w:szCs w:val="21"/>
              </w:rPr>
              <w:t>，并按照危废贮存的要求设计，危废暂存间符合《危险废物贮存污染控制标准》（GB18597-2001）要求</w:t>
            </w:r>
          </w:p>
        </w:tc>
        <w:tc>
          <w:tcPr>
            <w:tcW w:w="684" w:type="pct"/>
            <w:tcMar>
              <w:top w:w="0" w:type="dxa"/>
              <w:left w:w="28" w:type="dxa"/>
              <w:bottom w:w="0" w:type="dxa"/>
              <w:right w:w="28" w:type="dxa"/>
            </w:tcMar>
            <w:vAlign w:val="center"/>
          </w:tcPr>
          <w:p>
            <w:pPr>
              <w:spacing w:line="360" w:lineRule="exact"/>
              <w:jc w:val="center"/>
              <w:rPr>
                <w:rFonts w:hint="default"/>
                <w:bCs/>
                <w:color w:val="000000"/>
                <w:szCs w:val="21"/>
                <w:lang w:val="en-US" w:eastAsia="zh-CN"/>
              </w:rPr>
            </w:pPr>
            <w:r>
              <w:rPr>
                <w:rFonts w:hint="eastAsia"/>
                <w:bCs/>
                <w:color w:val="000000"/>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151" w:type="pct"/>
            <w:vMerge w:val="continue"/>
            <w:tcMar>
              <w:top w:w="0" w:type="dxa"/>
              <w:left w:w="28" w:type="dxa"/>
              <w:bottom w:w="0" w:type="dxa"/>
              <w:right w:w="28" w:type="dxa"/>
            </w:tcMar>
            <w:vAlign w:val="center"/>
          </w:tcPr>
          <w:p>
            <w:pPr>
              <w:spacing w:line="360" w:lineRule="exact"/>
              <w:jc w:val="center"/>
              <w:rPr>
                <w:bCs/>
                <w:szCs w:val="21"/>
              </w:rPr>
            </w:pPr>
          </w:p>
        </w:tc>
        <w:tc>
          <w:tcPr>
            <w:tcW w:w="652" w:type="pct"/>
            <w:tcMar>
              <w:top w:w="0" w:type="dxa"/>
              <w:left w:w="28" w:type="dxa"/>
              <w:bottom w:w="0" w:type="dxa"/>
              <w:right w:w="28" w:type="dxa"/>
            </w:tcMar>
            <w:vAlign w:val="center"/>
          </w:tcPr>
          <w:p>
            <w:pPr>
              <w:spacing w:line="360" w:lineRule="exact"/>
              <w:jc w:val="center"/>
              <w:rPr>
                <w:bCs/>
                <w:color w:val="000000"/>
                <w:szCs w:val="21"/>
              </w:rPr>
            </w:pPr>
            <w:r>
              <w:rPr>
                <w:bCs/>
                <w:color w:val="000000"/>
                <w:szCs w:val="21"/>
              </w:rPr>
              <w:t>病死猪</w:t>
            </w:r>
          </w:p>
        </w:tc>
        <w:tc>
          <w:tcPr>
            <w:tcW w:w="3156" w:type="pct"/>
            <w:tcMar>
              <w:top w:w="0" w:type="dxa"/>
              <w:left w:w="28" w:type="dxa"/>
              <w:bottom w:w="0" w:type="dxa"/>
              <w:right w:w="28" w:type="dxa"/>
            </w:tcMar>
            <w:vAlign w:val="center"/>
          </w:tcPr>
          <w:p>
            <w:pPr>
              <w:spacing w:line="360" w:lineRule="exact"/>
              <w:jc w:val="left"/>
              <w:rPr>
                <w:bCs/>
                <w:color w:val="000000"/>
                <w:szCs w:val="21"/>
              </w:rPr>
            </w:pPr>
            <w:r>
              <w:rPr>
                <w:szCs w:val="21"/>
              </w:rPr>
              <w:t>病死猪送至</w:t>
            </w:r>
            <w:r>
              <w:rPr>
                <w:rFonts w:hint="eastAsia"/>
                <w:szCs w:val="21"/>
                <w:lang w:val="en-US" w:eastAsia="zh-CN"/>
              </w:rPr>
              <w:t>正阳县畜禽无害化处理中心处理</w:t>
            </w:r>
            <w:r>
              <w:rPr>
                <w:szCs w:val="21"/>
              </w:rPr>
              <w:t>。</w:t>
            </w:r>
          </w:p>
        </w:tc>
        <w:tc>
          <w:tcPr>
            <w:tcW w:w="684" w:type="pct"/>
            <w:tcMar>
              <w:top w:w="0" w:type="dxa"/>
              <w:left w:w="28" w:type="dxa"/>
              <w:bottom w:w="0" w:type="dxa"/>
              <w:right w:w="28" w:type="dxa"/>
            </w:tcMar>
            <w:vAlign w:val="center"/>
          </w:tcPr>
          <w:p>
            <w:pPr>
              <w:spacing w:line="360" w:lineRule="exact"/>
              <w:jc w:val="center"/>
              <w:rPr>
                <w:rFonts w:hint="eastAsia" w:eastAsia="宋体"/>
                <w:szCs w:val="21"/>
                <w:lang w:val="en-US" w:eastAsia="zh-CN"/>
              </w:rPr>
            </w:pPr>
            <w:r>
              <w:rPr>
                <w:rFonts w:hint="eastAsia"/>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54" w:type="pct"/>
            <w:vMerge w:val="continue"/>
            <w:tcMar>
              <w:top w:w="0" w:type="dxa"/>
              <w:left w:w="28" w:type="dxa"/>
              <w:bottom w:w="0" w:type="dxa"/>
              <w:right w:w="28" w:type="dxa"/>
            </w:tcMar>
            <w:vAlign w:val="center"/>
          </w:tcPr>
          <w:p>
            <w:pPr>
              <w:spacing w:line="360" w:lineRule="exact"/>
              <w:jc w:val="center"/>
              <w:rPr>
                <w:bCs/>
                <w:color w:val="FF0000"/>
                <w:sz w:val="24"/>
              </w:rPr>
            </w:pPr>
          </w:p>
        </w:tc>
        <w:tc>
          <w:tcPr>
            <w:tcW w:w="151" w:type="pct"/>
            <w:vMerge w:val="continue"/>
            <w:tcMar>
              <w:top w:w="0" w:type="dxa"/>
              <w:left w:w="28" w:type="dxa"/>
              <w:bottom w:w="0" w:type="dxa"/>
              <w:right w:w="28" w:type="dxa"/>
            </w:tcMar>
            <w:vAlign w:val="center"/>
          </w:tcPr>
          <w:p>
            <w:pPr>
              <w:spacing w:line="360" w:lineRule="exact"/>
              <w:jc w:val="center"/>
              <w:rPr>
                <w:bCs/>
                <w:szCs w:val="21"/>
              </w:rPr>
            </w:pPr>
          </w:p>
        </w:tc>
        <w:tc>
          <w:tcPr>
            <w:tcW w:w="652" w:type="pct"/>
            <w:tcMar>
              <w:top w:w="0" w:type="dxa"/>
              <w:left w:w="28" w:type="dxa"/>
              <w:bottom w:w="0" w:type="dxa"/>
              <w:right w:w="28" w:type="dxa"/>
            </w:tcMar>
            <w:vAlign w:val="center"/>
          </w:tcPr>
          <w:p>
            <w:pPr>
              <w:jc w:val="center"/>
              <w:rPr>
                <w:bCs/>
                <w:szCs w:val="21"/>
              </w:rPr>
            </w:pPr>
            <w:r>
              <w:rPr>
                <w:bCs/>
                <w:szCs w:val="21"/>
              </w:rPr>
              <w:t>猪粪及沼渣</w:t>
            </w:r>
          </w:p>
        </w:tc>
        <w:tc>
          <w:tcPr>
            <w:tcW w:w="3156" w:type="pct"/>
            <w:tcMar>
              <w:top w:w="0" w:type="dxa"/>
              <w:left w:w="28" w:type="dxa"/>
              <w:bottom w:w="0" w:type="dxa"/>
              <w:right w:w="28" w:type="dxa"/>
            </w:tcMar>
            <w:vAlign w:val="center"/>
          </w:tcPr>
          <w:p>
            <w:pPr>
              <w:kinsoku w:val="0"/>
              <w:overflowPunct w:val="0"/>
              <w:spacing w:line="300" w:lineRule="exact"/>
              <w:jc w:val="left"/>
              <w:rPr>
                <w:bCs/>
                <w:szCs w:val="21"/>
              </w:rPr>
            </w:pPr>
            <w:r>
              <w:rPr>
                <w:bCs/>
                <w:color w:val="000000"/>
                <w:szCs w:val="21"/>
              </w:rPr>
              <w:t>固粪处理区1座，按“三防”要求设计，设置顶棚，底部防渗，四周有围挡，占地面积</w:t>
            </w:r>
            <w:r>
              <w:rPr>
                <w:rFonts w:hint="eastAsia"/>
                <w:bCs/>
                <w:color w:val="000000"/>
                <w:szCs w:val="21"/>
                <w:lang w:val="en-US" w:eastAsia="zh-CN"/>
              </w:rPr>
              <w:t>360</w:t>
            </w:r>
            <w:r>
              <w:rPr>
                <w:bCs/>
                <w:color w:val="000000"/>
                <w:szCs w:val="21"/>
              </w:rPr>
              <w:t>m</w:t>
            </w:r>
            <w:r>
              <w:rPr>
                <w:bCs/>
                <w:color w:val="000000"/>
                <w:szCs w:val="21"/>
                <w:vertAlign w:val="superscript"/>
              </w:rPr>
              <w:t>2</w:t>
            </w:r>
          </w:p>
        </w:tc>
        <w:tc>
          <w:tcPr>
            <w:tcW w:w="684" w:type="pct"/>
            <w:tcMar>
              <w:top w:w="0" w:type="dxa"/>
              <w:left w:w="28" w:type="dxa"/>
              <w:bottom w:w="0" w:type="dxa"/>
              <w:right w:w="28" w:type="dxa"/>
            </w:tcMar>
            <w:vAlign w:val="center"/>
          </w:tcPr>
          <w:p>
            <w:pPr>
              <w:kinsoku w:val="0"/>
              <w:overflowPunct w:val="0"/>
              <w:spacing w:line="300" w:lineRule="exact"/>
              <w:jc w:val="center"/>
              <w:rPr>
                <w:rFonts w:hint="eastAsia" w:eastAsia="宋体"/>
                <w:bCs/>
                <w:color w:val="000000"/>
                <w:szCs w:val="21"/>
                <w:lang w:val="en-US" w:eastAsia="zh-CN"/>
              </w:rPr>
            </w:pPr>
            <w:r>
              <w:rPr>
                <w:rFonts w:hint="eastAsia"/>
                <w:bCs/>
                <w:color w:val="000000"/>
                <w:szCs w:val="21"/>
                <w:lang w:val="en-US" w:eastAsia="zh-CN"/>
              </w:rPr>
              <w:t>新建</w:t>
            </w:r>
          </w:p>
        </w:tc>
      </w:tr>
    </w:tbl>
    <w:p>
      <w:pPr>
        <w:pStyle w:val="6"/>
        <w:snapToGrid w:val="0"/>
        <w:spacing w:before="0" w:after="0" w:line="520" w:lineRule="exact"/>
        <w:rPr>
          <w:rFonts w:eastAsia="黑体"/>
          <w:b w:val="0"/>
          <w:bCs w:val="0"/>
          <w:sz w:val="24"/>
          <w:szCs w:val="24"/>
        </w:rPr>
      </w:pPr>
      <w:bookmarkStart w:id="64" w:name="_Toc406847399"/>
      <w:bookmarkStart w:id="65" w:name="_Toc388881900"/>
      <w:bookmarkStart w:id="66" w:name="_Toc311979913"/>
      <w:bookmarkStart w:id="67" w:name="_Toc413166119"/>
      <w:bookmarkStart w:id="68" w:name="_Toc23842"/>
      <w:bookmarkStart w:id="69" w:name="_Toc311979845"/>
      <w:bookmarkStart w:id="70" w:name="_Toc311979799"/>
      <w:bookmarkStart w:id="71" w:name="_Toc269400661"/>
      <w:bookmarkStart w:id="72" w:name="_Toc407001392"/>
      <w:r>
        <w:rPr>
          <w:rFonts w:hint="eastAsia" w:eastAsia="黑体"/>
          <w:b w:val="0"/>
          <w:bCs w:val="0"/>
          <w:sz w:val="24"/>
          <w:szCs w:val="24"/>
          <w:lang w:val="en-US" w:eastAsia="zh-CN"/>
        </w:rPr>
        <w:t>2</w:t>
      </w:r>
      <w:r>
        <w:rPr>
          <w:rFonts w:eastAsia="黑体"/>
          <w:b w:val="0"/>
          <w:bCs w:val="0"/>
          <w:sz w:val="24"/>
          <w:szCs w:val="24"/>
        </w:rPr>
        <w:t>.1.3 项目主要生产设备</w:t>
      </w:r>
      <w:bookmarkEnd w:id="64"/>
      <w:bookmarkEnd w:id="65"/>
      <w:bookmarkEnd w:id="66"/>
      <w:bookmarkEnd w:id="67"/>
      <w:bookmarkEnd w:id="68"/>
      <w:bookmarkEnd w:id="69"/>
      <w:bookmarkEnd w:id="70"/>
      <w:bookmarkEnd w:id="71"/>
      <w:bookmarkEnd w:id="72"/>
    </w:p>
    <w:p>
      <w:pPr>
        <w:pStyle w:val="7"/>
        <w:spacing w:before="0" w:after="0" w:line="520" w:lineRule="exact"/>
        <w:rPr>
          <w:rFonts w:hAnsi="Times New Roman" w:eastAsia="宋体"/>
          <w:sz w:val="24"/>
          <w:szCs w:val="24"/>
        </w:rPr>
      </w:pPr>
      <w:r>
        <w:rPr>
          <w:rFonts w:hint="eastAsia" w:hAnsi="Times New Roman" w:eastAsia="宋体"/>
          <w:sz w:val="24"/>
          <w:szCs w:val="24"/>
          <w:lang w:val="en-US" w:eastAsia="zh-CN"/>
        </w:rPr>
        <w:t>2</w:t>
      </w:r>
      <w:r>
        <w:rPr>
          <w:rFonts w:hAnsi="Times New Roman" w:eastAsia="宋体"/>
          <w:sz w:val="24"/>
          <w:szCs w:val="24"/>
        </w:rPr>
        <w:t>.1.3.1 养殖设备</w:t>
      </w:r>
    </w:p>
    <w:p>
      <w:pPr>
        <w:spacing w:line="520" w:lineRule="exact"/>
        <w:jc w:val="center"/>
        <w:rPr>
          <w:sz w:val="24"/>
        </w:rPr>
      </w:pPr>
      <w:r>
        <w:rPr>
          <w:sz w:val="24"/>
        </w:rPr>
        <w:t>本项目生产设备主要包括主体工程及辅助工程的设备，详细见表2.1-3。</w:t>
      </w:r>
    </w:p>
    <w:p>
      <w:pPr>
        <w:spacing w:afterLines="30" w:line="500" w:lineRule="exact"/>
        <w:jc w:val="center"/>
        <w:rPr>
          <w:b/>
          <w:color w:val="000000"/>
          <w:sz w:val="24"/>
        </w:rPr>
      </w:pPr>
      <w:r>
        <w:rPr>
          <w:b/>
          <w:color w:val="000000"/>
          <w:sz w:val="24"/>
        </w:rPr>
        <w:t>表2.1-3      项目主要设备一览表</w:t>
      </w:r>
    </w:p>
    <w:tbl>
      <w:tblPr>
        <w:tblStyle w:val="45"/>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40"/>
        <w:gridCol w:w="1705"/>
        <w:gridCol w:w="1047"/>
        <w:gridCol w:w="911"/>
        <w:gridCol w:w="913"/>
        <w:gridCol w:w="909"/>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Merge w:val="restart"/>
            <w:shd w:val="clear" w:color="auto" w:fill="auto"/>
            <w:vAlign w:val="center"/>
          </w:tcPr>
          <w:p>
            <w:pPr>
              <w:pStyle w:val="107"/>
              <w:rPr>
                <w:b/>
              </w:rPr>
            </w:pPr>
            <w:r>
              <w:rPr>
                <w:b/>
              </w:rPr>
              <w:t>名称</w:t>
            </w:r>
          </w:p>
        </w:tc>
        <w:tc>
          <w:tcPr>
            <w:tcW w:w="740" w:type="dxa"/>
            <w:vMerge w:val="restart"/>
            <w:shd w:val="clear" w:color="auto" w:fill="auto"/>
            <w:vAlign w:val="center"/>
          </w:tcPr>
          <w:p>
            <w:pPr>
              <w:pStyle w:val="107"/>
              <w:rPr>
                <w:b/>
              </w:rPr>
            </w:pPr>
            <w:r>
              <w:rPr>
                <w:b/>
              </w:rPr>
              <w:t>数量</w:t>
            </w:r>
          </w:p>
        </w:tc>
        <w:tc>
          <w:tcPr>
            <w:tcW w:w="2752" w:type="dxa"/>
            <w:gridSpan w:val="2"/>
            <w:shd w:val="clear" w:color="auto" w:fill="auto"/>
            <w:vAlign w:val="center"/>
          </w:tcPr>
          <w:p>
            <w:pPr>
              <w:pStyle w:val="107"/>
              <w:rPr>
                <w:b/>
              </w:rPr>
            </w:pPr>
            <w:r>
              <w:rPr>
                <w:b/>
              </w:rPr>
              <w:t>饲料罐（个）</w:t>
            </w:r>
          </w:p>
        </w:tc>
        <w:tc>
          <w:tcPr>
            <w:tcW w:w="1824" w:type="dxa"/>
            <w:gridSpan w:val="2"/>
            <w:shd w:val="clear" w:color="auto" w:fill="auto"/>
            <w:vAlign w:val="center"/>
          </w:tcPr>
          <w:p>
            <w:pPr>
              <w:pStyle w:val="107"/>
              <w:rPr>
                <w:b/>
              </w:rPr>
            </w:pPr>
            <w:r>
              <w:rPr>
                <w:b/>
              </w:rPr>
              <w:t>风机（个）</w:t>
            </w:r>
          </w:p>
        </w:tc>
        <w:tc>
          <w:tcPr>
            <w:tcW w:w="1823" w:type="dxa"/>
            <w:gridSpan w:val="2"/>
            <w:shd w:val="clear" w:color="auto" w:fill="auto"/>
            <w:vAlign w:val="center"/>
          </w:tcPr>
          <w:p>
            <w:pPr>
              <w:pStyle w:val="107"/>
              <w:rPr>
                <w:b/>
              </w:rPr>
            </w:pPr>
            <w:r>
              <w:rPr>
                <w:b/>
              </w:rPr>
              <w:t>饮水器（个）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09" w:type="dxa"/>
            <w:vMerge w:val="continue"/>
            <w:vAlign w:val="center"/>
          </w:tcPr>
          <w:p>
            <w:pPr>
              <w:pStyle w:val="107"/>
              <w:rPr>
                <w:b/>
              </w:rPr>
            </w:pPr>
          </w:p>
        </w:tc>
        <w:tc>
          <w:tcPr>
            <w:tcW w:w="740" w:type="dxa"/>
            <w:vMerge w:val="continue"/>
            <w:vAlign w:val="center"/>
          </w:tcPr>
          <w:p>
            <w:pPr>
              <w:pStyle w:val="107"/>
              <w:rPr>
                <w:b/>
              </w:rPr>
            </w:pPr>
          </w:p>
        </w:tc>
        <w:tc>
          <w:tcPr>
            <w:tcW w:w="1705" w:type="dxa"/>
            <w:shd w:val="clear" w:color="auto" w:fill="auto"/>
            <w:vAlign w:val="center"/>
          </w:tcPr>
          <w:p>
            <w:pPr>
              <w:pStyle w:val="107"/>
              <w:rPr>
                <w:b/>
              </w:rPr>
            </w:pPr>
            <w:r>
              <w:rPr>
                <w:b/>
              </w:rPr>
              <w:t>每舍</w:t>
            </w:r>
          </w:p>
        </w:tc>
        <w:tc>
          <w:tcPr>
            <w:tcW w:w="1047" w:type="dxa"/>
            <w:shd w:val="clear" w:color="auto" w:fill="auto"/>
            <w:vAlign w:val="center"/>
          </w:tcPr>
          <w:p>
            <w:pPr>
              <w:pStyle w:val="107"/>
              <w:rPr>
                <w:b/>
              </w:rPr>
            </w:pPr>
            <w:r>
              <w:rPr>
                <w:b/>
              </w:rPr>
              <w:t>总数</w:t>
            </w:r>
          </w:p>
        </w:tc>
        <w:tc>
          <w:tcPr>
            <w:tcW w:w="911" w:type="dxa"/>
            <w:shd w:val="clear" w:color="auto" w:fill="auto"/>
            <w:vAlign w:val="center"/>
          </w:tcPr>
          <w:p>
            <w:pPr>
              <w:pStyle w:val="107"/>
              <w:rPr>
                <w:b/>
              </w:rPr>
            </w:pPr>
            <w:r>
              <w:rPr>
                <w:b/>
              </w:rPr>
              <w:t>每舍</w:t>
            </w:r>
          </w:p>
        </w:tc>
        <w:tc>
          <w:tcPr>
            <w:tcW w:w="913" w:type="dxa"/>
            <w:shd w:val="clear" w:color="auto" w:fill="auto"/>
            <w:vAlign w:val="center"/>
          </w:tcPr>
          <w:p>
            <w:pPr>
              <w:pStyle w:val="107"/>
              <w:rPr>
                <w:b/>
              </w:rPr>
            </w:pPr>
            <w:r>
              <w:rPr>
                <w:b/>
              </w:rPr>
              <w:t>总数</w:t>
            </w:r>
          </w:p>
        </w:tc>
        <w:tc>
          <w:tcPr>
            <w:tcW w:w="909" w:type="dxa"/>
            <w:shd w:val="clear" w:color="auto" w:fill="auto"/>
            <w:vAlign w:val="center"/>
          </w:tcPr>
          <w:p>
            <w:pPr>
              <w:pStyle w:val="107"/>
              <w:rPr>
                <w:b/>
              </w:rPr>
            </w:pPr>
            <w:r>
              <w:rPr>
                <w:b/>
              </w:rPr>
              <w:t>每舍</w:t>
            </w:r>
          </w:p>
        </w:tc>
        <w:tc>
          <w:tcPr>
            <w:tcW w:w="914" w:type="dxa"/>
            <w:shd w:val="clear" w:color="auto" w:fill="auto"/>
            <w:vAlign w:val="center"/>
          </w:tcPr>
          <w:p>
            <w:pPr>
              <w:pStyle w:val="107"/>
              <w:rPr>
                <w:b/>
              </w:rPr>
            </w:pPr>
            <w:r>
              <w:rPr>
                <w:b/>
              </w:rPr>
              <w:t>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09" w:type="dxa"/>
            <w:shd w:val="clear" w:color="auto" w:fill="auto"/>
            <w:vAlign w:val="center"/>
          </w:tcPr>
          <w:p>
            <w:pPr>
              <w:widowControl/>
              <w:jc w:val="center"/>
              <w:rPr>
                <w:kern w:val="0"/>
                <w:szCs w:val="21"/>
              </w:rPr>
            </w:pPr>
            <w:r>
              <w:rPr>
                <w:kern w:val="0"/>
                <w:szCs w:val="21"/>
              </w:rPr>
              <w:t>保育</w:t>
            </w:r>
            <w:r>
              <w:rPr>
                <w:color w:val="000000" w:themeColor="text1"/>
                <w:kern w:val="0"/>
                <w:szCs w:val="21"/>
              </w:rPr>
              <w:t>育肥一体</w:t>
            </w:r>
            <w:r>
              <w:rPr>
                <w:kern w:val="0"/>
                <w:szCs w:val="21"/>
              </w:rPr>
              <w:t>舍</w:t>
            </w:r>
          </w:p>
        </w:tc>
        <w:tc>
          <w:tcPr>
            <w:tcW w:w="740" w:type="dxa"/>
            <w:shd w:val="clear" w:color="auto" w:fill="auto"/>
            <w:vAlign w:val="center"/>
          </w:tcPr>
          <w:p>
            <w:pPr>
              <w:widowControl/>
              <w:jc w:val="center"/>
              <w:rPr>
                <w:rFonts w:hint="default" w:eastAsia="宋体"/>
                <w:kern w:val="0"/>
                <w:szCs w:val="21"/>
                <w:lang w:val="en-US" w:eastAsia="zh-CN"/>
              </w:rPr>
            </w:pPr>
            <w:r>
              <w:rPr>
                <w:rFonts w:hint="eastAsia"/>
                <w:kern w:val="0"/>
                <w:szCs w:val="21"/>
                <w:lang w:val="en-US" w:eastAsia="zh-CN"/>
              </w:rPr>
              <w:t>30</w:t>
            </w:r>
          </w:p>
        </w:tc>
        <w:tc>
          <w:tcPr>
            <w:tcW w:w="1705" w:type="dxa"/>
            <w:shd w:val="clear" w:color="auto" w:fill="auto"/>
            <w:vAlign w:val="center"/>
          </w:tcPr>
          <w:p>
            <w:pPr>
              <w:widowControl/>
              <w:jc w:val="center"/>
              <w:rPr>
                <w:kern w:val="0"/>
                <w:szCs w:val="21"/>
              </w:rPr>
            </w:pPr>
            <w:r>
              <w:rPr>
                <w:kern w:val="0"/>
                <w:szCs w:val="21"/>
              </w:rPr>
              <w:t>集中饲喂</w:t>
            </w:r>
          </w:p>
        </w:tc>
        <w:tc>
          <w:tcPr>
            <w:tcW w:w="1047" w:type="dxa"/>
            <w:shd w:val="clear" w:color="auto" w:fill="auto"/>
            <w:vAlign w:val="center"/>
          </w:tcPr>
          <w:p>
            <w:pPr>
              <w:widowControl/>
              <w:jc w:val="center"/>
              <w:rPr>
                <w:rFonts w:hint="default" w:eastAsia="宋体"/>
                <w:kern w:val="0"/>
                <w:szCs w:val="21"/>
                <w:lang w:val="en-US" w:eastAsia="zh-CN"/>
              </w:rPr>
            </w:pPr>
            <w:r>
              <w:rPr>
                <w:rFonts w:hint="eastAsia"/>
                <w:kern w:val="0"/>
                <w:szCs w:val="21"/>
                <w:lang w:val="en-US" w:eastAsia="zh-CN"/>
              </w:rPr>
              <w:t>30</w:t>
            </w:r>
          </w:p>
        </w:tc>
        <w:tc>
          <w:tcPr>
            <w:tcW w:w="911" w:type="dxa"/>
            <w:shd w:val="clear" w:color="auto" w:fill="auto"/>
            <w:vAlign w:val="center"/>
          </w:tcPr>
          <w:p>
            <w:pPr>
              <w:widowControl/>
              <w:jc w:val="center"/>
              <w:rPr>
                <w:kern w:val="0"/>
                <w:szCs w:val="21"/>
              </w:rPr>
            </w:pPr>
            <w:r>
              <w:rPr>
                <w:kern w:val="0"/>
                <w:szCs w:val="21"/>
              </w:rPr>
              <w:t>5</w:t>
            </w:r>
          </w:p>
        </w:tc>
        <w:tc>
          <w:tcPr>
            <w:tcW w:w="913" w:type="dxa"/>
            <w:shd w:val="clear" w:color="auto" w:fill="auto"/>
            <w:vAlign w:val="center"/>
          </w:tcPr>
          <w:p>
            <w:pPr>
              <w:widowControl/>
              <w:jc w:val="center"/>
              <w:rPr>
                <w:rFonts w:hint="default" w:eastAsia="宋体"/>
                <w:kern w:val="0"/>
                <w:szCs w:val="21"/>
                <w:lang w:val="en-US" w:eastAsia="zh-CN"/>
              </w:rPr>
            </w:pPr>
            <w:r>
              <w:rPr>
                <w:rFonts w:hint="eastAsia"/>
                <w:kern w:val="0"/>
                <w:szCs w:val="21"/>
                <w:lang w:val="en-US" w:eastAsia="zh-CN"/>
              </w:rPr>
              <w:t>150</w:t>
            </w:r>
          </w:p>
        </w:tc>
        <w:tc>
          <w:tcPr>
            <w:tcW w:w="909" w:type="dxa"/>
            <w:shd w:val="clear" w:color="auto" w:fill="auto"/>
            <w:vAlign w:val="center"/>
          </w:tcPr>
          <w:p>
            <w:pPr>
              <w:widowControl/>
              <w:jc w:val="center"/>
              <w:rPr>
                <w:kern w:val="0"/>
                <w:szCs w:val="21"/>
              </w:rPr>
            </w:pPr>
            <w:r>
              <w:rPr>
                <w:kern w:val="0"/>
                <w:szCs w:val="21"/>
              </w:rPr>
              <w:t>14</w:t>
            </w:r>
          </w:p>
        </w:tc>
        <w:tc>
          <w:tcPr>
            <w:tcW w:w="914" w:type="dxa"/>
            <w:shd w:val="clear" w:color="auto" w:fill="auto"/>
            <w:vAlign w:val="center"/>
          </w:tcPr>
          <w:p>
            <w:pPr>
              <w:widowControl/>
              <w:jc w:val="center"/>
              <w:rPr>
                <w:rFonts w:hint="default" w:eastAsia="宋体"/>
                <w:kern w:val="0"/>
                <w:szCs w:val="21"/>
                <w:lang w:val="en-US" w:eastAsia="zh-CN"/>
              </w:rPr>
            </w:pPr>
            <w:r>
              <w:rPr>
                <w:rFonts w:hint="eastAsia"/>
                <w:kern w:val="0"/>
                <w:szCs w:val="21"/>
                <w:lang w:val="en-US" w:eastAsia="zh-CN"/>
              </w:rPr>
              <w:t>420</w:t>
            </w:r>
          </w:p>
        </w:tc>
      </w:tr>
    </w:tbl>
    <w:p>
      <w:pPr>
        <w:pStyle w:val="7"/>
        <w:spacing w:before="0" w:after="0" w:line="520" w:lineRule="exact"/>
        <w:rPr>
          <w:rFonts w:hAnsi="Times New Roman" w:eastAsia="宋体"/>
          <w:sz w:val="24"/>
          <w:szCs w:val="24"/>
        </w:rPr>
      </w:pPr>
      <w:r>
        <w:rPr>
          <w:rFonts w:hint="eastAsia" w:hAnsi="Times New Roman" w:eastAsia="宋体"/>
          <w:sz w:val="24"/>
          <w:szCs w:val="24"/>
          <w:lang w:val="en-US" w:eastAsia="zh-CN"/>
        </w:rPr>
        <w:t>2</w:t>
      </w:r>
      <w:r>
        <w:rPr>
          <w:rFonts w:hAnsi="Times New Roman" w:eastAsia="宋体"/>
          <w:sz w:val="24"/>
          <w:szCs w:val="24"/>
        </w:rPr>
        <w:t>.1.3.2 治污设备</w:t>
      </w:r>
    </w:p>
    <w:p>
      <w:pPr>
        <w:pStyle w:val="99"/>
        <w:spacing w:line="520" w:lineRule="exact"/>
        <w:ind w:firstLine="480"/>
      </w:pPr>
      <w:r>
        <w:t>项目拟在场内设置1套污水处理系统，用于处理猪尿、猪舍冲洗水及生活废水等。项目治污设备见表2.1-4。</w:t>
      </w:r>
    </w:p>
    <w:p>
      <w:pPr>
        <w:spacing w:afterLines="30" w:line="500" w:lineRule="exact"/>
        <w:jc w:val="center"/>
        <w:rPr>
          <w:b/>
          <w:sz w:val="24"/>
        </w:rPr>
      </w:pPr>
      <w:r>
        <w:rPr>
          <w:b/>
          <w:sz w:val="24"/>
        </w:rPr>
        <w:t>表2.1-4项目治污设备一览表</w:t>
      </w:r>
    </w:p>
    <w:tbl>
      <w:tblPr>
        <w:tblStyle w:val="45"/>
        <w:tblW w:w="85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53"/>
        <w:gridCol w:w="2205"/>
        <w:gridCol w:w="825"/>
        <w:gridCol w:w="881"/>
        <w:gridCol w:w="394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653" w:type="dxa"/>
            <w:vAlign w:val="center"/>
          </w:tcPr>
          <w:p>
            <w:pPr>
              <w:jc w:val="center"/>
              <w:rPr>
                <w:b/>
                <w:color w:val="000000"/>
                <w:szCs w:val="21"/>
              </w:rPr>
            </w:pPr>
            <w:r>
              <w:rPr>
                <w:b/>
                <w:color w:val="000000"/>
                <w:szCs w:val="21"/>
              </w:rPr>
              <w:t>序号</w:t>
            </w:r>
          </w:p>
        </w:tc>
        <w:tc>
          <w:tcPr>
            <w:tcW w:w="2205" w:type="dxa"/>
            <w:vAlign w:val="center"/>
          </w:tcPr>
          <w:p>
            <w:pPr>
              <w:autoSpaceDN w:val="0"/>
              <w:jc w:val="center"/>
              <w:textAlignment w:val="center"/>
              <w:rPr>
                <w:b/>
                <w:color w:val="000000"/>
                <w:szCs w:val="21"/>
              </w:rPr>
            </w:pPr>
            <w:r>
              <w:rPr>
                <w:b/>
                <w:color w:val="000000"/>
                <w:szCs w:val="21"/>
              </w:rPr>
              <w:t>名称</w:t>
            </w:r>
          </w:p>
        </w:tc>
        <w:tc>
          <w:tcPr>
            <w:tcW w:w="825" w:type="dxa"/>
            <w:vAlign w:val="center"/>
          </w:tcPr>
          <w:p>
            <w:pPr>
              <w:autoSpaceDN w:val="0"/>
              <w:jc w:val="center"/>
              <w:textAlignment w:val="center"/>
              <w:rPr>
                <w:b/>
                <w:color w:val="000000"/>
                <w:szCs w:val="21"/>
              </w:rPr>
            </w:pPr>
            <w:r>
              <w:rPr>
                <w:b/>
                <w:color w:val="000000"/>
                <w:szCs w:val="21"/>
              </w:rPr>
              <w:t>单位</w:t>
            </w:r>
          </w:p>
        </w:tc>
        <w:tc>
          <w:tcPr>
            <w:tcW w:w="881" w:type="dxa"/>
            <w:vAlign w:val="center"/>
          </w:tcPr>
          <w:p>
            <w:pPr>
              <w:autoSpaceDN w:val="0"/>
              <w:jc w:val="center"/>
              <w:textAlignment w:val="center"/>
              <w:rPr>
                <w:b/>
                <w:color w:val="000000"/>
                <w:szCs w:val="21"/>
              </w:rPr>
            </w:pPr>
            <w:r>
              <w:rPr>
                <w:b/>
                <w:color w:val="000000"/>
                <w:szCs w:val="21"/>
              </w:rPr>
              <w:t>数量</w:t>
            </w:r>
          </w:p>
        </w:tc>
        <w:tc>
          <w:tcPr>
            <w:tcW w:w="3940" w:type="dxa"/>
            <w:vAlign w:val="center"/>
          </w:tcPr>
          <w:p>
            <w:pPr>
              <w:autoSpaceDN w:val="0"/>
              <w:jc w:val="center"/>
              <w:textAlignment w:val="center"/>
              <w:rPr>
                <w:b/>
                <w:color w:val="000000"/>
                <w:szCs w:val="21"/>
              </w:rPr>
            </w:pPr>
            <w:r>
              <w:rPr>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一</w:t>
            </w:r>
          </w:p>
        </w:tc>
        <w:tc>
          <w:tcPr>
            <w:tcW w:w="7851" w:type="dxa"/>
            <w:gridSpan w:val="4"/>
            <w:vAlign w:val="center"/>
          </w:tcPr>
          <w:p>
            <w:pPr>
              <w:autoSpaceDN w:val="0"/>
              <w:jc w:val="center"/>
              <w:textAlignment w:val="center"/>
              <w:rPr>
                <w:color w:val="000000"/>
                <w:szCs w:val="21"/>
              </w:rPr>
            </w:pPr>
            <w:r>
              <w:rPr>
                <w:b/>
                <w:color w:val="000000"/>
                <w:szCs w:val="21"/>
              </w:rPr>
              <w:t>粪尿收集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1</w:t>
            </w:r>
          </w:p>
        </w:tc>
        <w:tc>
          <w:tcPr>
            <w:tcW w:w="2205" w:type="dxa"/>
            <w:vAlign w:val="center"/>
          </w:tcPr>
          <w:p>
            <w:pPr>
              <w:autoSpaceDN w:val="0"/>
              <w:jc w:val="center"/>
              <w:textAlignment w:val="center"/>
              <w:rPr>
                <w:color w:val="000000"/>
                <w:szCs w:val="21"/>
              </w:rPr>
            </w:pPr>
            <w:r>
              <w:rPr>
                <w:color w:val="000000"/>
                <w:szCs w:val="21"/>
              </w:rPr>
              <w:t>猪舍漏粪板</w:t>
            </w:r>
          </w:p>
        </w:tc>
        <w:tc>
          <w:tcPr>
            <w:tcW w:w="825" w:type="dxa"/>
            <w:vAlign w:val="center"/>
          </w:tcPr>
          <w:p>
            <w:pPr>
              <w:autoSpaceDN w:val="0"/>
              <w:jc w:val="center"/>
              <w:textAlignment w:val="center"/>
              <w:rPr>
                <w:color w:val="000000"/>
                <w:szCs w:val="21"/>
              </w:rPr>
            </w:pPr>
            <w:r>
              <w:rPr>
                <w:color w:val="000000"/>
                <w:szCs w:val="21"/>
              </w:rPr>
              <w:t>个</w:t>
            </w:r>
          </w:p>
        </w:tc>
        <w:tc>
          <w:tcPr>
            <w:tcW w:w="881" w:type="dxa"/>
            <w:vAlign w:val="center"/>
          </w:tcPr>
          <w:p>
            <w:pPr>
              <w:autoSpaceDN w:val="0"/>
              <w:jc w:val="center"/>
              <w:textAlignment w:val="center"/>
              <w:rPr>
                <w:color w:val="000000"/>
                <w:szCs w:val="21"/>
              </w:rPr>
            </w:pPr>
          </w:p>
        </w:tc>
        <w:tc>
          <w:tcPr>
            <w:tcW w:w="3940" w:type="dxa"/>
            <w:vAlign w:val="center"/>
          </w:tcPr>
          <w:p>
            <w:pPr>
              <w:autoSpaceDN w:val="0"/>
              <w:jc w:val="center"/>
              <w:textAlignment w:val="center"/>
              <w:rPr>
                <w:color w:val="000000"/>
                <w:szCs w:val="21"/>
              </w:rPr>
            </w:pPr>
            <w:r>
              <w:rPr>
                <w:rFonts w:hint="eastAsia"/>
                <w:color w:val="000000"/>
                <w:szCs w:val="21"/>
                <w:lang w:val="en-US" w:eastAsia="zh-CN"/>
              </w:rPr>
              <w:t>干清粪</w:t>
            </w:r>
            <w:r>
              <w:rPr>
                <w:color w:val="000000"/>
                <w:szCs w:val="21"/>
              </w:rPr>
              <w:t>专用漏粪板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color w:val="000000"/>
                <w:szCs w:val="21"/>
              </w:rPr>
            </w:pPr>
            <w:r>
              <w:rPr>
                <w:b/>
                <w:color w:val="000000"/>
                <w:szCs w:val="21"/>
              </w:rPr>
              <w:t>二</w:t>
            </w:r>
          </w:p>
        </w:tc>
        <w:tc>
          <w:tcPr>
            <w:tcW w:w="7851" w:type="dxa"/>
            <w:gridSpan w:val="4"/>
            <w:vAlign w:val="center"/>
          </w:tcPr>
          <w:p>
            <w:pPr>
              <w:autoSpaceDN w:val="0"/>
              <w:jc w:val="center"/>
              <w:textAlignment w:val="center"/>
              <w:rPr>
                <w:b/>
                <w:color w:val="000000"/>
                <w:szCs w:val="21"/>
              </w:rPr>
            </w:pPr>
            <w:r>
              <w:rPr>
                <w:b/>
                <w:color w:val="000000"/>
                <w:szCs w:val="21"/>
              </w:rPr>
              <w:t>污水处理工程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1</w:t>
            </w:r>
          </w:p>
        </w:tc>
        <w:tc>
          <w:tcPr>
            <w:tcW w:w="2205" w:type="dxa"/>
            <w:vAlign w:val="center"/>
          </w:tcPr>
          <w:p>
            <w:pPr>
              <w:autoSpaceDN w:val="0"/>
              <w:jc w:val="center"/>
              <w:textAlignment w:val="center"/>
              <w:rPr>
                <w:color w:val="000000"/>
                <w:szCs w:val="21"/>
              </w:rPr>
            </w:pPr>
            <w:r>
              <w:rPr>
                <w:color w:val="000000"/>
                <w:szCs w:val="21"/>
              </w:rPr>
              <w:t>收集池</w:t>
            </w:r>
          </w:p>
        </w:tc>
        <w:tc>
          <w:tcPr>
            <w:tcW w:w="825" w:type="dxa"/>
            <w:vAlign w:val="center"/>
          </w:tcPr>
          <w:p>
            <w:pPr>
              <w:autoSpaceDN w:val="0"/>
              <w:jc w:val="center"/>
              <w:textAlignment w:val="center"/>
              <w:rPr>
                <w:color w:val="000000"/>
                <w:szCs w:val="21"/>
              </w:rPr>
            </w:pPr>
            <w:r>
              <w:rPr>
                <w:color w:val="000000"/>
                <w:szCs w:val="21"/>
              </w:rPr>
              <w:t>个</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rPr>
            </w:pPr>
            <w:r>
              <w:rPr>
                <w:color w:val="000000"/>
                <w:szCs w:val="21"/>
              </w:rPr>
              <w:t>规格为直径12m，深3.5m，容积395.64m</w:t>
            </w:r>
            <w:r>
              <w:rPr>
                <w:color w:val="00000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2</w:t>
            </w:r>
          </w:p>
        </w:tc>
        <w:tc>
          <w:tcPr>
            <w:tcW w:w="2205" w:type="dxa"/>
            <w:vAlign w:val="center"/>
          </w:tcPr>
          <w:p>
            <w:pPr>
              <w:autoSpaceDN w:val="0"/>
              <w:jc w:val="center"/>
              <w:textAlignment w:val="center"/>
              <w:rPr>
                <w:color w:val="000000"/>
                <w:szCs w:val="21"/>
              </w:rPr>
            </w:pPr>
            <w:r>
              <w:rPr>
                <w:color w:val="000000"/>
                <w:szCs w:val="21"/>
              </w:rPr>
              <w:t>固液分离机</w:t>
            </w:r>
          </w:p>
        </w:tc>
        <w:tc>
          <w:tcPr>
            <w:tcW w:w="825" w:type="dxa"/>
            <w:vAlign w:val="center"/>
          </w:tcPr>
          <w:p>
            <w:pPr>
              <w:autoSpaceDN w:val="0"/>
              <w:jc w:val="center"/>
              <w:textAlignment w:val="center"/>
              <w:rPr>
                <w:color w:val="000000"/>
                <w:szCs w:val="21"/>
              </w:rPr>
            </w:pPr>
            <w:r>
              <w:rPr>
                <w:color w:val="000000"/>
                <w:szCs w:val="21"/>
              </w:rPr>
              <w:t>台</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3</w:t>
            </w:r>
          </w:p>
        </w:tc>
        <w:tc>
          <w:tcPr>
            <w:tcW w:w="2205" w:type="dxa"/>
            <w:vAlign w:val="center"/>
          </w:tcPr>
          <w:p>
            <w:pPr>
              <w:autoSpaceDN w:val="0"/>
              <w:jc w:val="center"/>
              <w:textAlignment w:val="center"/>
              <w:rPr>
                <w:color w:val="000000"/>
                <w:szCs w:val="21"/>
              </w:rPr>
            </w:pPr>
            <w:r>
              <w:rPr>
                <w:rFonts w:hint="eastAsia"/>
                <w:color w:val="000000"/>
                <w:szCs w:val="21"/>
                <w:lang w:val="en-US" w:eastAsia="zh-CN"/>
              </w:rPr>
              <w:t>黑膜</w:t>
            </w:r>
            <w:r>
              <w:rPr>
                <w:color w:val="000000"/>
                <w:szCs w:val="21"/>
              </w:rPr>
              <w:t>沼气池</w:t>
            </w:r>
          </w:p>
        </w:tc>
        <w:tc>
          <w:tcPr>
            <w:tcW w:w="825" w:type="dxa"/>
            <w:vAlign w:val="center"/>
          </w:tcPr>
          <w:p>
            <w:pPr>
              <w:autoSpaceDN w:val="0"/>
              <w:jc w:val="center"/>
              <w:textAlignment w:val="center"/>
              <w:rPr>
                <w:color w:val="000000"/>
                <w:szCs w:val="21"/>
              </w:rPr>
            </w:pPr>
            <w:r>
              <w:rPr>
                <w:color w:val="000000"/>
                <w:szCs w:val="21"/>
              </w:rPr>
              <w:t>个</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rPr>
            </w:pPr>
            <w:r>
              <w:rPr>
                <w:color w:val="000000"/>
                <w:szCs w:val="21"/>
              </w:rPr>
              <w:t>容积为</w:t>
            </w:r>
            <w:r>
              <w:rPr>
                <w:rFonts w:hint="eastAsia"/>
                <w:color w:val="000000"/>
                <w:szCs w:val="21"/>
                <w:lang w:val="en-US" w:eastAsia="zh-CN"/>
              </w:rPr>
              <w:t>1000</w:t>
            </w:r>
            <w:r>
              <w:rPr>
                <w:color w:val="000000"/>
                <w:szCs w:val="21"/>
              </w:rPr>
              <w:t>m</w:t>
            </w:r>
            <w:r>
              <w:rPr>
                <w:color w:val="00000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4</w:t>
            </w:r>
          </w:p>
        </w:tc>
        <w:tc>
          <w:tcPr>
            <w:tcW w:w="2205" w:type="dxa"/>
            <w:vAlign w:val="center"/>
          </w:tcPr>
          <w:p>
            <w:pPr>
              <w:autoSpaceDN w:val="0"/>
              <w:jc w:val="center"/>
              <w:textAlignment w:val="center"/>
              <w:rPr>
                <w:color w:val="000000"/>
                <w:szCs w:val="21"/>
              </w:rPr>
            </w:pPr>
            <w:r>
              <w:rPr>
                <w:color w:val="000000"/>
                <w:szCs w:val="21"/>
              </w:rPr>
              <w:t>沼液储存池</w:t>
            </w:r>
          </w:p>
        </w:tc>
        <w:tc>
          <w:tcPr>
            <w:tcW w:w="825" w:type="dxa"/>
            <w:vAlign w:val="center"/>
          </w:tcPr>
          <w:p>
            <w:pPr>
              <w:autoSpaceDN w:val="0"/>
              <w:jc w:val="center"/>
              <w:textAlignment w:val="center"/>
              <w:rPr>
                <w:color w:val="000000"/>
                <w:szCs w:val="21"/>
              </w:rPr>
            </w:pPr>
            <w:r>
              <w:rPr>
                <w:color w:val="000000"/>
                <w:szCs w:val="21"/>
              </w:rPr>
              <w:t>个</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rPr>
            </w:pPr>
            <w:r>
              <w:rPr>
                <w:color w:val="000000"/>
                <w:szCs w:val="21"/>
              </w:rPr>
              <w:t>容积</w:t>
            </w:r>
            <w:r>
              <w:rPr>
                <w:rFonts w:hint="eastAsia"/>
                <w:color w:val="000000"/>
                <w:szCs w:val="21"/>
                <w:lang w:val="en-US" w:eastAsia="zh-CN"/>
              </w:rPr>
              <w:t>5</w:t>
            </w:r>
            <w:r>
              <w:rPr>
                <w:color w:val="000000"/>
                <w:szCs w:val="21"/>
              </w:rPr>
              <w:t>000m</w:t>
            </w:r>
            <w:r>
              <w:rPr>
                <w:color w:val="00000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color w:val="000000"/>
                <w:szCs w:val="21"/>
              </w:rPr>
            </w:pPr>
            <w:r>
              <w:rPr>
                <w:b/>
                <w:color w:val="000000"/>
                <w:szCs w:val="21"/>
              </w:rPr>
              <w:t>三</w:t>
            </w:r>
          </w:p>
        </w:tc>
        <w:tc>
          <w:tcPr>
            <w:tcW w:w="7851" w:type="dxa"/>
            <w:gridSpan w:val="4"/>
            <w:vAlign w:val="center"/>
          </w:tcPr>
          <w:p>
            <w:pPr>
              <w:autoSpaceDN w:val="0"/>
              <w:jc w:val="center"/>
              <w:textAlignment w:val="center"/>
              <w:rPr>
                <w:b/>
                <w:color w:val="000000"/>
                <w:szCs w:val="21"/>
              </w:rPr>
            </w:pPr>
            <w:r>
              <w:rPr>
                <w:b/>
                <w:color w:val="000000"/>
                <w:szCs w:val="21"/>
              </w:rPr>
              <w:t>沼气工程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1</w:t>
            </w:r>
          </w:p>
        </w:tc>
        <w:tc>
          <w:tcPr>
            <w:tcW w:w="2205" w:type="dxa"/>
            <w:vAlign w:val="center"/>
          </w:tcPr>
          <w:p>
            <w:pPr>
              <w:autoSpaceDN w:val="0"/>
              <w:jc w:val="center"/>
              <w:textAlignment w:val="center"/>
              <w:rPr>
                <w:color w:val="000000"/>
                <w:szCs w:val="21"/>
              </w:rPr>
            </w:pPr>
            <w:r>
              <w:rPr>
                <w:color w:val="000000"/>
                <w:szCs w:val="21"/>
              </w:rPr>
              <w:t>沼气脱硫器</w:t>
            </w:r>
          </w:p>
        </w:tc>
        <w:tc>
          <w:tcPr>
            <w:tcW w:w="825" w:type="dxa"/>
          </w:tcPr>
          <w:p>
            <w:pPr>
              <w:jc w:val="center"/>
              <w:rPr>
                <w:color w:val="000000"/>
                <w:szCs w:val="21"/>
              </w:rPr>
            </w:pPr>
            <w:r>
              <w:rPr>
                <w:color w:val="000000"/>
                <w:szCs w:val="21"/>
              </w:rPr>
              <w:t>台</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highlight w:val="yellow"/>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2</w:t>
            </w:r>
          </w:p>
        </w:tc>
        <w:tc>
          <w:tcPr>
            <w:tcW w:w="2205" w:type="dxa"/>
            <w:vAlign w:val="center"/>
          </w:tcPr>
          <w:p>
            <w:pPr>
              <w:autoSpaceDN w:val="0"/>
              <w:jc w:val="center"/>
              <w:textAlignment w:val="center"/>
              <w:rPr>
                <w:color w:val="000000"/>
                <w:szCs w:val="21"/>
              </w:rPr>
            </w:pPr>
            <w:r>
              <w:rPr>
                <w:color w:val="000000"/>
                <w:szCs w:val="21"/>
              </w:rPr>
              <w:t>沼气除水器</w:t>
            </w:r>
          </w:p>
        </w:tc>
        <w:tc>
          <w:tcPr>
            <w:tcW w:w="825" w:type="dxa"/>
          </w:tcPr>
          <w:p>
            <w:pPr>
              <w:jc w:val="center"/>
              <w:rPr>
                <w:color w:val="000000"/>
                <w:szCs w:val="21"/>
              </w:rPr>
            </w:pPr>
            <w:r>
              <w:rPr>
                <w:color w:val="000000"/>
                <w:szCs w:val="21"/>
              </w:rPr>
              <w:t>台</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highlight w:val="yellow"/>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53" w:type="dxa"/>
            <w:vAlign w:val="center"/>
          </w:tcPr>
          <w:p>
            <w:pPr>
              <w:jc w:val="center"/>
              <w:rPr>
                <w:color w:val="000000"/>
                <w:szCs w:val="21"/>
              </w:rPr>
            </w:pPr>
            <w:r>
              <w:rPr>
                <w:color w:val="000000"/>
                <w:szCs w:val="21"/>
              </w:rPr>
              <w:t>3</w:t>
            </w:r>
          </w:p>
        </w:tc>
        <w:tc>
          <w:tcPr>
            <w:tcW w:w="2205" w:type="dxa"/>
            <w:vAlign w:val="center"/>
          </w:tcPr>
          <w:p>
            <w:pPr>
              <w:autoSpaceDN w:val="0"/>
              <w:jc w:val="center"/>
              <w:textAlignment w:val="center"/>
              <w:rPr>
                <w:color w:val="000000"/>
                <w:szCs w:val="21"/>
              </w:rPr>
            </w:pPr>
            <w:r>
              <w:rPr>
                <w:color w:val="000000"/>
                <w:szCs w:val="21"/>
              </w:rPr>
              <w:t>阻火器</w:t>
            </w:r>
          </w:p>
        </w:tc>
        <w:tc>
          <w:tcPr>
            <w:tcW w:w="825" w:type="dxa"/>
          </w:tcPr>
          <w:p>
            <w:pPr>
              <w:jc w:val="center"/>
              <w:rPr>
                <w:color w:val="000000"/>
                <w:szCs w:val="21"/>
              </w:rPr>
            </w:pPr>
            <w:r>
              <w:rPr>
                <w:color w:val="000000"/>
                <w:szCs w:val="21"/>
              </w:rPr>
              <w:t>台</w:t>
            </w:r>
          </w:p>
        </w:tc>
        <w:tc>
          <w:tcPr>
            <w:tcW w:w="881" w:type="dxa"/>
            <w:vAlign w:val="center"/>
          </w:tcPr>
          <w:p>
            <w:pPr>
              <w:autoSpaceDN w:val="0"/>
              <w:jc w:val="center"/>
              <w:textAlignment w:val="center"/>
              <w:rPr>
                <w:color w:val="000000"/>
                <w:szCs w:val="21"/>
              </w:rPr>
            </w:pPr>
            <w:r>
              <w:rPr>
                <w:color w:val="000000"/>
                <w:szCs w:val="21"/>
              </w:rPr>
              <w:t>1</w:t>
            </w:r>
          </w:p>
        </w:tc>
        <w:tc>
          <w:tcPr>
            <w:tcW w:w="3940" w:type="dxa"/>
            <w:vAlign w:val="center"/>
          </w:tcPr>
          <w:p>
            <w:pPr>
              <w:autoSpaceDN w:val="0"/>
              <w:jc w:val="center"/>
              <w:textAlignment w:val="center"/>
              <w:rPr>
                <w:color w:val="000000"/>
                <w:szCs w:val="21"/>
                <w:highlight w:val="yellow"/>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color w:val="000000"/>
                <w:szCs w:val="21"/>
              </w:rPr>
            </w:pPr>
            <w:r>
              <w:rPr>
                <w:color w:val="000000"/>
                <w:szCs w:val="21"/>
              </w:rPr>
              <w:t>4</w:t>
            </w:r>
          </w:p>
        </w:tc>
        <w:tc>
          <w:tcPr>
            <w:tcW w:w="2205" w:type="dxa"/>
            <w:vAlign w:val="center"/>
          </w:tcPr>
          <w:p>
            <w:pPr>
              <w:autoSpaceDN w:val="0"/>
              <w:jc w:val="center"/>
              <w:textAlignment w:val="center"/>
              <w:rPr>
                <w:rFonts w:hint="default" w:eastAsia="宋体"/>
                <w:color w:val="000000"/>
                <w:szCs w:val="21"/>
                <w:highlight w:val="none"/>
                <w:lang w:val="en-US" w:eastAsia="zh-CN"/>
              </w:rPr>
            </w:pPr>
            <w:r>
              <w:rPr>
                <w:rFonts w:hint="eastAsia"/>
                <w:color w:val="000000"/>
                <w:szCs w:val="21"/>
                <w:highlight w:val="none"/>
                <w:lang w:val="en-US" w:eastAsia="zh-CN"/>
              </w:rPr>
              <w:t>沼气火炬燃烧器</w:t>
            </w:r>
          </w:p>
        </w:tc>
        <w:tc>
          <w:tcPr>
            <w:tcW w:w="825" w:type="dxa"/>
          </w:tcPr>
          <w:p>
            <w:pPr>
              <w:jc w:val="center"/>
              <w:rPr>
                <w:color w:val="000000"/>
                <w:szCs w:val="21"/>
                <w:highlight w:val="none"/>
              </w:rPr>
            </w:pPr>
            <w:r>
              <w:rPr>
                <w:color w:val="000000"/>
                <w:szCs w:val="21"/>
                <w:highlight w:val="none"/>
              </w:rPr>
              <w:t>台</w:t>
            </w:r>
          </w:p>
        </w:tc>
        <w:tc>
          <w:tcPr>
            <w:tcW w:w="881" w:type="dxa"/>
            <w:vAlign w:val="center"/>
          </w:tcPr>
          <w:p>
            <w:pPr>
              <w:autoSpaceDN w:val="0"/>
              <w:jc w:val="center"/>
              <w:textAlignment w:val="center"/>
              <w:rPr>
                <w:color w:val="000000"/>
                <w:szCs w:val="21"/>
                <w:highlight w:val="none"/>
              </w:rPr>
            </w:pPr>
            <w:r>
              <w:rPr>
                <w:color w:val="000000"/>
                <w:szCs w:val="21"/>
                <w:highlight w:val="none"/>
              </w:rPr>
              <w:t>1</w:t>
            </w:r>
          </w:p>
        </w:tc>
        <w:tc>
          <w:tcPr>
            <w:tcW w:w="3940" w:type="dxa"/>
            <w:vAlign w:val="center"/>
          </w:tcPr>
          <w:p>
            <w:pPr>
              <w:autoSpaceDN w:val="0"/>
              <w:jc w:val="center"/>
              <w:textAlignment w:val="center"/>
              <w:rPr>
                <w:color w:val="000000"/>
                <w:szCs w:val="21"/>
                <w:highlight w:val="none"/>
              </w:rPr>
            </w:pPr>
            <w:r>
              <w:rPr>
                <w:color w:val="00000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szCs w:val="21"/>
              </w:rPr>
            </w:pPr>
            <w:r>
              <w:rPr>
                <w:b/>
                <w:szCs w:val="21"/>
              </w:rPr>
              <w:t>四</w:t>
            </w:r>
          </w:p>
        </w:tc>
        <w:tc>
          <w:tcPr>
            <w:tcW w:w="7851" w:type="dxa"/>
            <w:gridSpan w:val="4"/>
            <w:vAlign w:val="center"/>
          </w:tcPr>
          <w:p>
            <w:pPr>
              <w:autoSpaceDN w:val="0"/>
              <w:jc w:val="center"/>
              <w:textAlignment w:val="center"/>
              <w:rPr>
                <w:szCs w:val="21"/>
              </w:rPr>
            </w:pPr>
            <w:r>
              <w:rPr>
                <w:b/>
                <w:szCs w:val="21"/>
              </w:rPr>
              <w:t>有机肥发酵工程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 w:hRule="atLeast"/>
          <w:jc w:val="center"/>
        </w:trPr>
        <w:tc>
          <w:tcPr>
            <w:tcW w:w="653" w:type="dxa"/>
            <w:vAlign w:val="center"/>
          </w:tcPr>
          <w:p>
            <w:pPr>
              <w:spacing w:beforeLines="20" w:afterLines="10" w:line="420" w:lineRule="exact"/>
              <w:jc w:val="center"/>
              <w:rPr>
                <w:szCs w:val="21"/>
              </w:rPr>
            </w:pPr>
            <w:r>
              <w:rPr>
                <w:bCs/>
                <w:szCs w:val="21"/>
              </w:rPr>
              <w:t>1</w:t>
            </w:r>
          </w:p>
        </w:tc>
        <w:tc>
          <w:tcPr>
            <w:tcW w:w="2205" w:type="dxa"/>
            <w:vAlign w:val="center"/>
          </w:tcPr>
          <w:p>
            <w:pPr>
              <w:spacing w:beforeLines="20" w:afterLines="10" w:line="420" w:lineRule="exact"/>
              <w:jc w:val="center"/>
              <w:rPr>
                <w:szCs w:val="21"/>
              </w:rPr>
            </w:pPr>
            <w:r>
              <w:rPr>
                <w:bCs/>
                <w:szCs w:val="21"/>
              </w:rPr>
              <w:t>铲车翻堆机</w:t>
            </w:r>
          </w:p>
        </w:tc>
        <w:tc>
          <w:tcPr>
            <w:tcW w:w="825" w:type="dxa"/>
          </w:tcPr>
          <w:p>
            <w:pPr>
              <w:spacing w:beforeLines="20" w:afterLines="10" w:line="420" w:lineRule="exact"/>
              <w:jc w:val="center"/>
              <w:rPr>
                <w:szCs w:val="21"/>
              </w:rPr>
            </w:pPr>
            <w:r>
              <w:rPr>
                <w:bCs/>
                <w:szCs w:val="21"/>
              </w:rPr>
              <w:t>台</w:t>
            </w:r>
          </w:p>
        </w:tc>
        <w:tc>
          <w:tcPr>
            <w:tcW w:w="881" w:type="dxa"/>
          </w:tcPr>
          <w:p>
            <w:pPr>
              <w:spacing w:beforeLines="20" w:afterLines="10" w:line="420" w:lineRule="exact"/>
              <w:jc w:val="center"/>
              <w:rPr>
                <w:szCs w:val="21"/>
              </w:rPr>
            </w:pPr>
            <w:r>
              <w:rPr>
                <w:bCs/>
                <w:szCs w:val="21"/>
              </w:rPr>
              <w:t>1</w:t>
            </w:r>
          </w:p>
        </w:tc>
        <w:tc>
          <w:tcPr>
            <w:tcW w:w="3940" w:type="dxa"/>
          </w:tcPr>
          <w:p>
            <w:pPr>
              <w:jc w:val="center"/>
              <w:rPr>
                <w:b/>
                <w:szCs w:val="21"/>
                <w:u w:val="single"/>
              </w:rPr>
            </w:pPr>
            <w:r>
              <w:rPr>
                <w:b/>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color w:val="000000"/>
                <w:szCs w:val="21"/>
              </w:rPr>
            </w:pPr>
            <w:r>
              <w:rPr>
                <w:b/>
                <w:color w:val="000000"/>
                <w:szCs w:val="21"/>
              </w:rPr>
              <w:t>五</w:t>
            </w:r>
          </w:p>
        </w:tc>
        <w:tc>
          <w:tcPr>
            <w:tcW w:w="7851" w:type="dxa"/>
            <w:gridSpan w:val="4"/>
            <w:vAlign w:val="center"/>
          </w:tcPr>
          <w:p>
            <w:pPr>
              <w:autoSpaceDN w:val="0"/>
              <w:jc w:val="center"/>
              <w:textAlignment w:val="center"/>
              <w:rPr>
                <w:color w:val="000000"/>
                <w:szCs w:val="21"/>
              </w:rPr>
            </w:pPr>
            <w:r>
              <w:rPr>
                <w:b/>
                <w:color w:val="000000"/>
                <w:szCs w:val="21"/>
              </w:rPr>
              <w:t>食堂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szCs w:val="21"/>
              </w:rPr>
            </w:pPr>
            <w:r>
              <w:rPr>
                <w:szCs w:val="21"/>
              </w:rPr>
              <w:t>1</w:t>
            </w:r>
          </w:p>
        </w:tc>
        <w:tc>
          <w:tcPr>
            <w:tcW w:w="2205" w:type="dxa"/>
            <w:vAlign w:val="center"/>
          </w:tcPr>
          <w:p>
            <w:pPr>
              <w:autoSpaceDN w:val="0"/>
              <w:jc w:val="center"/>
              <w:textAlignment w:val="center"/>
              <w:rPr>
                <w:szCs w:val="21"/>
              </w:rPr>
            </w:pPr>
            <w:r>
              <w:rPr>
                <w:bCs/>
                <w:szCs w:val="21"/>
              </w:rPr>
              <w:t>食堂油烟净化器</w:t>
            </w:r>
          </w:p>
        </w:tc>
        <w:tc>
          <w:tcPr>
            <w:tcW w:w="825" w:type="dxa"/>
          </w:tcPr>
          <w:p>
            <w:pPr>
              <w:jc w:val="center"/>
              <w:rPr>
                <w:szCs w:val="21"/>
              </w:rPr>
            </w:pPr>
            <w:r>
              <w:rPr>
                <w:szCs w:val="21"/>
              </w:rPr>
              <w:t>台</w:t>
            </w:r>
          </w:p>
        </w:tc>
        <w:tc>
          <w:tcPr>
            <w:tcW w:w="881" w:type="dxa"/>
            <w:vAlign w:val="center"/>
          </w:tcPr>
          <w:p>
            <w:pPr>
              <w:autoSpaceDN w:val="0"/>
              <w:jc w:val="center"/>
              <w:textAlignment w:val="center"/>
              <w:rPr>
                <w:szCs w:val="21"/>
              </w:rPr>
            </w:pPr>
            <w:r>
              <w:rPr>
                <w:szCs w:val="21"/>
              </w:rPr>
              <w:t>1</w:t>
            </w:r>
          </w:p>
        </w:tc>
        <w:tc>
          <w:tcPr>
            <w:tcW w:w="3940" w:type="dxa"/>
            <w:vAlign w:val="center"/>
          </w:tcPr>
          <w:p>
            <w:pPr>
              <w:autoSpaceDN w:val="0"/>
              <w:jc w:val="center"/>
              <w:textAlignment w:val="center"/>
              <w:rPr>
                <w:szCs w:val="21"/>
              </w:rPr>
            </w:pPr>
            <w:r>
              <w:rPr>
                <w:bCs/>
                <w:szCs w:val="21"/>
              </w:rPr>
              <w:t>用于净化食堂油烟</w:t>
            </w:r>
          </w:p>
        </w:tc>
      </w:tr>
    </w:tbl>
    <w:p>
      <w:pPr>
        <w:pStyle w:val="6"/>
        <w:snapToGrid w:val="0"/>
        <w:spacing w:before="0" w:after="0" w:line="520" w:lineRule="exact"/>
        <w:rPr>
          <w:rFonts w:eastAsia="黑体"/>
          <w:b w:val="0"/>
          <w:bCs w:val="0"/>
          <w:sz w:val="24"/>
          <w:szCs w:val="24"/>
        </w:rPr>
      </w:pPr>
      <w:bookmarkStart w:id="73" w:name="_Toc388881898"/>
      <w:bookmarkStart w:id="74" w:name="_Toc311979910"/>
      <w:bookmarkStart w:id="75" w:name="_Toc311979842"/>
      <w:bookmarkStart w:id="76" w:name="_Toc311979796"/>
      <w:bookmarkStart w:id="77" w:name="_Toc407001390"/>
      <w:bookmarkStart w:id="78" w:name="_Toc406847397"/>
      <w:bookmarkStart w:id="79" w:name="_Toc413166117"/>
      <w:bookmarkStart w:id="80" w:name="_Toc18756"/>
      <w:r>
        <w:rPr>
          <w:rFonts w:hint="eastAsia" w:eastAsia="黑体"/>
          <w:b w:val="0"/>
          <w:bCs w:val="0"/>
          <w:sz w:val="24"/>
          <w:szCs w:val="24"/>
          <w:lang w:val="en-US" w:eastAsia="zh-CN"/>
        </w:rPr>
        <w:t>2</w:t>
      </w:r>
      <w:r>
        <w:rPr>
          <w:rFonts w:eastAsia="黑体"/>
          <w:b w:val="0"/>
          <w:bCs w:val="0"/>
          <w:sz w:val="24"/>
          <w:szCs w:val="24"/>
        </w:rPr>
        <w:t>.1.4 项目</w:t>
      </w:r>
      <w:bookmarkEnd w:id="73"/>
      <w:bookmarkEnd w:id="74"/>
      <w:bookmarkEnd w:id="75"/>
      <w:bookmarkEnd w:id="76"/>
      <w:r>
        <w:rPr>
          <w:rFonts w:eastAsia="黑体"/>
          <w:b w:val="0"/>
          <w:bCs w:val="0"/>
          <w:sz w:val="24"/>
          <w:szCs w:val="24"/>
        </w:rPr>
        <w:t>主要产品方案、养殖规模</w:t>
      </w:r>
      <w:bookmarkEnd w:id="77"/>
      <w:bookmarkEnd w:id="78"/>
      <w:bookmarkEnd w:id="79"/>
      <w:bookmarkEnd w:id="80"/>
    </w:p>
    <w:p>
      <w:pPr>
        <w:pStyle w:val="99"/>
        <w:spacing w:line="520" w:lineRule="exact"/>
        <w:ind w:firstLine="482"/>
        <w:rPr>
          <w:b w:val="0"/>
          <w:bCs/>
          <w:u w:val="none"/>
        </w:rPr>
      </w:pPr>
      <w:r>
        <w:rPr>
          <w:b w:val="0"/>
          <w:bCs/>
          <w:u w:val="none"/>
        </w:rPr>
        <w:t>本项目包括保育猪、育肥猪，规划建设规模为常年存栏量种生猪</w:t>
      </w:r>
      <w:r>
        <w:rPr>
          <w:rFonts w:hint="eastAsia"/>
          <w:b w:val="0"/>
          <w:bCs/>
          <w:u w:val="none"/>
          <w:lang w:val="en-US" w:eastAsia="zh-CN"/>
        </w:rPr>
        <w:t>5100</w:t>
      </w:r>
      <w:r>
        <w:rPr>
          <w:b w:val="0"/>
          <w:bCs/>
          <w:u w:val="none"/>
        </w:rPr>
        <w:t>头，其中包括保育猪</w:t>
      </w:r>
      <w:r>
        <w:rPr>
          <w:rFonts w:hint="eastAsia"/>
          <w:b w:val="0"/>
          <w:bCs/>
          <w:u w:val="none"/>
          <w:lang w:val="en-US" w:eastAsia="zh-CN"/>
        </w:rPr>
        <w:t>1750</w:t>
      </w:r>
      <w:r>
        <w:rPr>
          <w:b w:val="0"/>
          <w:bCs/>
          <w:u w:val="none"/>
        </w:rPr>
        <w:t>头，育肥猪</w:t>
      </w:r>
      <w:r>
        <w:rPr>
          <w:rFonts w:hint="eastAsia"/>
          <w:b w:val="0"/>
          <w:bCs/>
          <w:u w:val="none"/>
          <w:lang w:val="en-US" w:eastAsia="zh-CN"/>
        </w:rPr>
        <w:t>3250</w:t>
      </w:r>
      <w:r>
        <w:rPr>
          <w:b w:val="0"/>
          <w:bCs/>
          <w:u w:val="none"/>
        </w:rPr>
        <w:t>头</w:t>
      </w:r>
      <w:r>
        <w:rPr>
          <w:rFonts w:hint="eastAsia"/>
          <w:b w:val="0"/>
          <w:bCs/>
          <w:u w:val="none"/>
          <w:lang w:eastAsia="zh-CN"/>
        </w:rPr>
        <w:t>，</w:t>
      </w:r>
      <w:r>
        <w:rPr>
          <w:rFonts w:hint="eastAsia"/>
          <w:b w:val="0"/>
          <w:bCs/>
          <w:u w:val="none"/>
          <w:lang w:val="en-US" w:eastAsia="zh-CN"/>
        </w:rPr>
        <w:t>后备猪100头。</w:t>
      </w:r>
      <w:r>
        <w:rPr>
          <w:b w:val="0"/>
          <w:bCs/>
          <w:u w:val="none"/>
        </w:rPr>
        <w:t>项目产品方案及养殖规模见表2.1-6。</w:t>
      </w:r>
    </w:p>
    <w:p>
      <w:pPr>
        <w:spacing w:line="500" w:lineRule="exact"/>
        <w:jc w:val="center"/>
        <w:rPr>
          <w:b w:val="0"/>
          <w:bCs/>
          <w:sz w:val="24"/>
          <w:u w:val="none"/>
        </w:rPr>
      </w:pPr>
      <w:r>
        <w:rPr>
          <w:b w:val="0"/>
          <w:bCs/>
          <w:sz w:val="24"/>
          <w:u w:val="none"/>
        </w:rPr>
        <w:t>表2.1-6     项目养殖规模一览表</w:t>
      </w:r>
    </w:p>
    <w:tbl>
      <w:tblPr>
        <w:tblStyle w:val="45"/>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2040"/>
        <w:gridCol w:w="1612"/>
        <w:gridCol w:w="1538"/>
        <w:gridCol w:w="3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tblHeader/>
          <w:jc w:val="center"/>
        </w:trPr>
        <w:tc>
          <w:tcPr>
            <w:tcW w:w="2040" w:type="dxa"/>
            <w:vAlign w:val="center"/>
          </w:tcPr>
          <w:p>
            <w:pPr>
              <w:widowControl/>
              <w:adjustRightInd w:val="0"/>
              <w:snapToGrid w:val="0"/>
              <w:jc w:val="center"/>
              <w:textAlignment w:val="center"/>
              <w:rPr>
                <w:b w:val="0"/>
                <w:bCs/>
                <w:kern w:val="0"/>
                <w:szCs w:val="21"/>
                <w:u w:val="none"/>
              </w:rPr>
            </w:pPr>
            <w:r>
              <w:rPr>
                <w:b w:val="0"/>
                <w:bCs/>
                <w:kern w:val="0"/>
                <w:szCs w:val="21"/>
                <w:u w:val="none"/>
              </w:rPr>
              <w:t>猪舍类型</w:t>
            </w:r>
          </w:p>
        </w:tc>
        <w:tc>
          <w:tcPr>
            <w:tcW w:w="1612" w:type="dxa"/>
            <w:vAlign w:val="center"/>
          </w:tcPr>
          <w:p>
            <w:pPr>
              <w:widowControl/>
              <w:adjustRightInd w:val="0"/>
              <w:snapToGrid w:val="0"/>
              <w:jc w:val="center"/>
              <w:textAlignment w:val="center"/>
              <w:rPr>
                <w:b w:val="0"/>
                <w:bCs/>
                <w:kern w:val="0"/>
                <w:szCs w:val="21"/>
                <w:u w:val="none"/>
              </w:rPr>
            </w:pPr>
            <w:r>
              <w:rPr>
                <w:b w:val="0"/>
                <w:bCs/>
                <w:kern w:val="0"/>
                <w:szCs w:val="21"/>
                <w:u w:val="none"/>
              </w:rPr>
              <w:t>单元数（舍）</w:t>
            </w:r>
          </w:p>
        </w:tc>
        <w:tc>
          <w:tcPr>
            <w:tcW w:w="1538" w:type="dxa"/>
            <w:vAlign w:val="center"/>
          </w:tcPr>
          <w:p>
            <w:pPr>
              <w:widowControl/>
              <w:adjustRightInd w:val="0"/>
              <w:snapToGrid w:val="0"/>
              <w:jc w:val="center"/>
              <w:textAlignment w:val="center"/>
              <w:rPr>
                <w:b w:val="0"/>
                <w:bCs/>
                <w:kern w:val="0"/>
                <w:szCs w:val="21"/>
                <w:u w:val="none"/>
              </w:rPr>
            </w:pPr>
            <w:r>
              <w:rPr>
                <w:b w:val="0"/>
                <w:bCs/>
                <w:kern w:val="0"/>
                <w:szCs w:val="21"/>
                <w:u w:val="none"/>
              </w:rPr>
              <w:t>存栏数（头）</w:t>
            </w:r>
          </w:p>
        </w:tc>
        <w:tc>
          <w:tcPr>
            <w:tcW w:w="3758" w:type="dxa"/>
            <w:vAlign w:val="center"/>
          </w:tcPr>
          <w:p>
            <w:pPr>
              <w:widowControl/>
              <w:adjustRightInd w:val="0"/>
              <w:snapToGrid w:val="0"/>
              <w:jc w:val="center"/>
              <w:textAlignment w:val="center"/>
              <w:rPr>
                <w:b w:val="0"/>
                <w:bCs/>
                <w:kern w:val="0"/>
                <w:szCs w:val="21"/>
                <w:u w:val="none"/>
              </w:rPr>
            </w:pPr>
            <w:r>
              <w:rPr>
                <w:b w:val="0"/>
                <w:bCs/>
                <w:kern w:val="0"/>
                <w:szCs w:val="21"/>
                <w:u w:val="none"/>
              </w:rPr>
              <w:t>养殖规模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2040" w:type="dxa"/>
            <w:vAlign w:val="center"/>
          </w:tcPr>
          <w:p>
            <w:pPr>
              <w:jc w:val="center"/>
              <w:rPr>
                <w:b w:val="0"/>
                <w:bCs/>
                <w:szCs w:val="21"/>
                <w:u w:val="none"/>
              </w:rPr>
            </w:pPr>
            <w:r>
              <w:rPr>
                <w:b w:val="0"/>
                <w:bCs/>
                <w:szCs w:val="21"/>
                <w:u w:val="none"/>
              </w:rPr>
              <w:t>保育舍肥舍一体舍</w:t>
            </w:r>
          </w:p>
        </w:tc>
        <w:tc>
          <w:tcPr>
            <w:tcW w:w="1612" w:type="dxa"/>
            <w:vAlign w:val="center"/>
          </w:tcPr>
          <w:p>
            <w:pPr>
              <w:widowControl/>
              <w:jc w:val="center"/>
              <w:rPr>
                <w:rFonts w:hint="default" w:eastAsia="宋体"/>
                <w:b w:val="0"/>
                <w:bCs/>
                <w:kern w:val="0"/>
                <w:szCs w:val="21"/>
                <w:u w:val="none"/>
                <w:lang w:val="en-US" w:eastAsia="zh-CN"/>
              </w:rPr>
            </w:pPr>
            <w:r>
              <w:rPr>
                <w:rFonts w:hint="eastAsia"/>
                <w:b w:val="0"/>
                <w:bCs/>
                <w:szCs w:val="21"/>
                <w:u w:val="none"/>
                <w:lang w:val="en-US" w:eastAsia="zh-CN"/>
              </w:rPr>
              <w:t>30</w:t>
            </w:r>
          </w:p>
        </w:tc>
        <w:tc>
          <w:tcPr>
            <w:tcW w:w="1538" w:type="dxa"/>
            <w:vAlign w:val="center"/>
          </w:tcPr>
          <w:p>
            <w:pPr>
              <w:widowControl/>
              <w:adjustRightInd w:val="0"/>
              <w:snapToGrid w:val="0"/>
              <w:jc w:val="center"/>
              <w:textAlignment w:val="center"/>
              <w:rPr>
                <w:rFonts w:hint="default" w:eastAsia="宋体"/>
                <w:b w:val="0"/>
                <w:bCs/>
                <w:kern w:val="0"/>
                <w:szCs w:val="21"/>
                <w:u w:val="none"/>
                <w:lang w:val="en-US" w:eastAsia="zh-CN"/>
              </w:rPr>
            </w:pPr>
            <w:r>
              <w:rPr>
                <w:rFonts w:hint="eastAsia"/>
                <w:b w:val="0"/>
                <w:bCs/>
                <w:kern w:val="0"/>
                <w:szCs w:val="21"/>
                <w:u w:val="none"/>
                <w:lang w:val="en-US" w:eastAsia="zh-CN"/>
              </w:rPr>
              <w:t>5100</w:t>
            </w:r>
          </w:p>
        </w:tc>
        <w:tc>
          <w:tcPr>
            <w:tcW w:w="3758" w:type="dxa"/>
            <w:vAlign w:val="center"/>
          </w:tcPr>
          <w:p>
            <w:pPr>
              <w:widowControl/>
              <w:adjustRightInd w:val="0"/>
              <w:snapToGrid w:val="0"/>
              <w:jc w:val="center"/>
              <w:textAlignment w:val="center"/>
              <w:rPr>
                <w:b w:val="0"/>
                <w:bCs/>
                <w:kern w:val="0"/>
                <w:szCs w:val="21"/>
                <w:u w:val="none"/>
              </w:rPr>
            </w:pPr>
            <w:r>
              <w:rPr>
                <w:b w:val="0"/>
                <w:bCs/>
                <w:kern w:val="0"/>
                <w:szCs w:val="21"/>
                <w:u w:val="none"/>
              </w:rPr>
              <w:t>出栏</w:t>
            </w:r>
            <w:r>
              <w:rPr>
                <w:rFonts w:hint="eastAsia"/>
                <w:b w:val="0"/>
                <w:bCs/>
                <w:kern w:val="0"/>
                <w:szCs w:val="21"/>
                <w:u w:val="none"/>
                <w:lang w:val="en-US" w:eastAsia="zh-CN"/>
              </w:rPr>
              <w:t>10000头生</w:t>
            </w:r>
            <w:r>
              <w:rPr>
                <w:b w:val="0"/>
                <w:bCs/>
                <w:kern w:val="0"/>
                <w:szCs w:val="21"/>
                <w:u w:val="none"/>
              </w:rPr>
              <w:t>猪，存栏</w:t>
            </w:r>
            <w:r>
              <w:rPr>
                <w:rFonts w:hint="eastAsia"/>
                <w:b w:val="0"/>
                <w:bCs/>
                <w:kern w:val="0"/>
                <w:szCs w:val="21"/>
                <w:u w:val="none"/>
                <w:lang w:val="en-US" w:eastAsia="zh-CN"/>
              </w:rPr>
              <w:t>51</w:t>
            </w:r>
            <w:r>
              <w:rPr>
                <w:b w:val="0"/>
                <w:bCs/>
                <w:kern w:val="0"/>
                <w:szCs w:val="21"/>
                <w:u w:val="none"/>
              </w:rPr>
              <w:t>00头</w:t>
            </w:r>
          </w:p>
        </w:tc>
      </w:tr>
    </w:tbl>
    <w:p>
      <w:pPr>
        <w:pStyle w:val="6"/>
        <w:snapToGrid w:val="0"/>
        <w:spacing w:before="0" w:after="0" w:line="520" w:lineRule="exact"/>
        <w:rPr>
          <w:rFonts w:eastAsia="黑体"/>
          <w:b w:val="0"/>
          <w:bCs w:val="0"/>
          <w:sz w:val="24"/>
          <w:szCs w:val="24"/>
        </w:rPr>
      </w:pPr>
      <w:bookmarkStart w:id="81" w:name="_Toc16625"/>
      <w:bookmarkStart w:id="82" w:name="_Toc269400662"/>
      <w:r>
        <w:rPr>
          <w:rFonts w:hint="eastAsia" w:eastAsia="黑体"/>
          <w:b w:val="0"/>
          <w:bCs w:val="0"/>
          <w:sz w:val="24"/>
          <w:szCs w:val="24"/>
          <w:lang w:val="en-US" w:eastAsia="zh-CN"/>
        </w:rPr>
        <w:t>2</w:t>
      </w:r>
      <w:r>
        <w:rPr>
          <w:rFonts w:eastAsia="黑体"/>
          <w:b w:val="0"/>
          <w:bCs w:val="0"/>
          <w:sz w:val="24"/>
          <w:szCs w:val="24"/>
        </w:rPr>
        <w:t>.1.5 主要原辅材料及动力消耗</w:t>
      </w:r>
      <w:bookmarkEnd w:id="81"/>
    </w:p>
    <w:p>
      <w:pPr>
        <w:pStyle w:val="157"/>
        <w:rPr>
          <w:bCs/>
        </w:rPr>
      </w:pPr>
      <w:r>
        <w:rPr>
          <w:bCs/>
        </w:rPr>
        <w:t>（1）饲料来源及储存方式</w:t>
      </w:r>
    </w:p>
    <w:p>
      <w:pPr>
        <w:spacing w:line="520" w:lineRule="exact"/>
        <w:ind w:firstLine="470" w:firstLineChars="196"/>
        <w:rPr>
          <w:sz w:val="24"/>
        </w:rPr>
      </w:pPr>
      <w:r>
        <w:rPr>
          <w:sz w:val="24"/>
        </w:rPr>
        <w:t>本项目场区内不设饲料制作车间，全部饲料均</w:t>
      </w:r>
      <w:r>
        <w:rPr>
          <w:rFonts w:hint="eastAsia"/>
          <w:sz w:val="24"/>
          <w:lang w:val="en-US" w:eastAsia="zh-CN"/>
        </w:rPr>
        <w:t>外购</w:t>
      </w:r>
      <w:r>
        <w:rPr>
          <w:sz w:val="24"/>
        </w:rPr>
        <w:t>，采用全自动配送上料系统和限位猪槽，机械化操作，定时定量供应饲料，保证生猪饮食需求。</w:t>
      </w:r>
    </w:p>
    <w:p>
      <w:pPr>
        <w:pStyle w:val="99"/>
        <w:spacing w:line="520" w:lineRule="exact"/>
        <w:ind w:firstLine="480"/>
      </w:pPr>
      <w:r>
        <w:t>项目饲料用量见表2.1-7。</w:t>
      </w:r>
    </w:p>
    <w:p>
      <w:pPr>
        <w:spacing w:afterLines="30" w:line="520" w:lineRule="exact"/>
        <w:jc w:val="center"/>
        <w:rPr>
          <w:b/>
          <w:sz w:val="24"/>
        </w:rPr>
      </w:pPr>
      <w:r>
        <w:rPr>
          <w:b/>
          <w:sz w:val="24"/>
        </w:rPr>
        <w:t>表2.1-7   项目饲料用量一览表</w:t>
      </w:r>
    </w:p>
    <w:tbl>
      <w:tblPr>
        <w:tblStyle w:val="45"/>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841"/>
        <w:gridCol w:w="1921"/>
        <w:gridCol w:w="1798"/>
        <w:gridCol w:w="1831"/>
        <w:gridCol w:w="1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1841" w:type="dxa"/>
            <w:vAlign w:val="center"/>
          </w:tcPr>
          <w:p>
            <w:pPr>
              <w:jc w:val="center"/>
              <w:rPr>
                <w:b/>
                <w:szCs w:val="21"/>
              </w:rPr>
            </w:pPr>
            <w:r>
              <w:rPr>
                <w:b/>
                <w:szCs w:val="21"/>
              </w:rPr>
              <w:t>猪只类型</w:t>
            </w:r>
          </w:p>
        </w:tc>
        <w:tc>
          <w:tcPr>
            <w:tcW w:w="1921" w:type="dxa"/>
            <w:vAlign w:val="center"/>
          </w:tcPr>
          <w:p>
            <w:pPr>
              <w:jc w:val="center"/>
              <w:rPr>
                <w:b/>
                <w:szCs w:val="21"/>
              </w:rPr>
            </w:pPr>
            <w:r>
              <w:rPr>
                <w:b/>
                <w:szCs w:val="21"/>
              </w:rPr>
              <w:t>存栏规模（头）</w:t>
            </w:r>
          </w:p>
        </w:tc>
        <w:tc>
          <w:tcPr>
            <w:tcW w:w="1798" w:type="dxa"/>
            <w:vAlign w:val="center"/>
          </w:tcPr>
          <w:p>
            <w:pPr>
              <w:jc w:val="center"/>
              <w:rPr>
                <w:b/>
                <w:szCs w:val="21"/>
              </w:rPr>
            </w:pPr>
            <w:r>
              <w:rPr>
                <w:b/>
                <w:szCs w:val="21"/>
              </w:rPr>
              <w:t>消耗定额</w:t>
            </w:r>
          </w:p>
          <w:p>
            <w:pPr>
              <w:jc w:val="center"/>
              <w:rPr>
                <w:b/>
                <w:szCs w:val="21"/>
              </w:rPr>
            </w:pPr>
            <w:r>
              <w:rPr>
                <w:b/>
                <w:szCs w:val="21"/>
              </w:rPr>
              <w:t>（kg/d·头）</w:t>
            </w:r>
          </w:p>
        </w:tc>
        <w:tc>
          <w:tcPr>
            <w:tcW w:w="1831" w:type="dxa"/>
            <w:vAlign w:val="center"/>
          </w:tcPr>
          <w:p>
            <w:pPr>
              <w:jc w:val="center"/>
              <w:rPr>
                <w:b/>
                <w:szCs w:val="21"/>
              </w:rPr>
            </w:pPr>
            <w:r>
              <w:rPr>
                <w:b/>
                <w:szCs w:val="21"/>
              </w:rPr>
              <w:t>日消耗量（t/d）</w:t>
            </w:r>
          </w:p>
        </w:tc>
        <w:tc>
          <w:tcPr>
            <w:tcW w:w="1557" w:type="dxa"/>
            <w:vAlign w:val="center"/>
          </w:tcPr>
          <w:p>
            <w:pPr>
              <w:jc w:val="center"/>
              <w:rPr>
                <w:b/>
                <w:szCs w:val="21"/>
              </w:rPr>
            </w:pPr>
            <w:r>
              <w:rPr>
                <w:b/>
                <w:szCs w:val="21"/>
              </w:rPr>
              <w:t>年消耗量（t/a）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2" w:hRule="atLeast"/>
          <w:jc w:val="center"/>
        </w:trPr>
        <w:tc>
          <w:tcPr>
            <w:tcW w:w="1841" w:type="dxa"/>
            <w:vAlign w:val="center"/>
          </w:tcPr>
          <w:p>
            <w:pPr>
              <w:jc w:val="center"/>
              <w:rPr>
                <w:szCs w:val="21"/>
              </w:rPr>
            </w:pPr>
            <w:r>
              <w:rPr>
                <w:szCs w:val="21"/>
              </w:rPr>
              <w:t>保育猪</w:t>
            </w:r>
          </w:p>
        </w:tc>
        <w:tc>
          <w:tcPr>
            <w:tcW w:w="1921" w:type="dxa"/>
            <w:vAlign w:val="center"/>
          </w:tcPr>
          <w:p>
            <w:pPr>
              <w:jc w:val="center"/>
              <w:rPr>
                <w:rFonts w:hint="default" w:eastAsia="宋体"/>
                <w:szCs w:val="21"/>
                <w:lang w:val="en-US" w:eastAsia="zh-CN"/>
              </w:rPr>
            </w:pPr>
            <w:r>
              <w:rPr>
                <w:rFonts w:hint="eastAsia"/>
                <w:szCs w:val="21"/>
                <w:lang w:val="en-US" w:eastAsia="zh-CN"/>
              </w:rPr>
              <w:t>1750</w:t>
            </w:r>
          </w:p>
        </w:tc>
        <w:tc>
          <w:tcPr>
            <w:tcW w:w="1798" w:type="dxa"/>
            <w:vAlign w:val="center"/>
          </w:tcPr>
          <w:p>
            <w:pPr>
              <w:jc w:val="center"/>
              <w:rPr>
                <w:szCs w:val="21"/>
              </w:rPr>
            </w:pPr>
            <w:r>
              <w:rPr>
                <w:szCs w:val="21"/>
              </w:rPr>
              <w:t>0.8</w:t>
            </w:r>
          </w:p>
        </w:tc>
        <w:tc>
          <w:tcPr>
            <w:tcW w:w="1831" w:type="dxa"/>
            <w:vAlign w:val="bottom"/>
          </w:tcPr>
          <w:p>
            <w:pPr>
              <w:jc w:val="center"/>
              <w:rPr>
                <w:rFonts w:hint="default" w:eastAsia="宋体"/>
                <w:szCs w:val="21"/>
                <w:lang w:val="en-US" w:eastAsia="zh-CN"/>
              </w:rPr>
            </w:pPr>
            <w:r>
              <w:rPr>
                <w:rFonts w:hint="eastAsia"/>
                <w:szCs w:val="21"/>
                <w:lang w:val="en-US" w:eastAsia="zh-CN"/>
              </w:rPr>
              <w:t>1.4</w:t>
            </w:r>
          </w:p>
        </w:tc>
        <w:tc>
          <w:tcPr>
            <w:tcW w:w="1557" w:type="dxa"/>
            <w:vAlign w:val="bottom"/>
          </w:tcPr>
          <w:p>
            <w:pPr>
              <w:jc w:val="center"/>
              <w:rPr>
                <w:rFonts w:hint="default" w:eastAsia="宋体"/>
                <w:sz w:val="22"/>
                <w:szCs w:val="22"/>
                <w:lang w:val="en-US" w:eastAsia="zh-CN"/>
              </w:rPr>
            </w:pPr>
            <w:r>
              <w:rPr>
                <w:rFonts w:hint="eastAsia"/>
                <w:sz w:val="22"/>
                <w:szCs w:val="22"/>
                <w:lang w:val="en-US" w:eastAsia="zh-CN"/>
              </w:rPr>
              <w:t>511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1841" w:type="dxa"/>
            <w:vAlign w:val="center"/>
          </w:tcPr>
          <w:p>
            <w:pPr>
              <w:jc w:val="center"/>
              <w:rPr>
                <w:szCs w:val="21"/>
              </w:rPr>
            </w:pPr>
            <w:r>
              <w:rPr>
                <w:szCs w:val="21"/>
              </w:rPr>
              <w:t>育肥猪</w:t>
            </w:r>
          </w:p>
        </w:tc>
        <w:tc>
          <w:tcPr>
            <w:tcW w:w="1921" w:type="dxa"/>
            <w:vAlign w:val="center"/>
          </w:tcPr>
          <w:p>
            <w:pPr>
              <w:jc w:val="center"/>
              <w:rPr>
                <w:rFonts w:hint="default" w:eastAsia="宋体"/>
                <w:szCs w:val="21"/>
                <w:lang w:val="en-US" w:eastAsia="zh-CN"/>
              </w:rPr>
            </w:pPr>
            <w:r>
              <w:rPr>
                <w:rFonts w:hint="eastAsia"/>
                <w:szCs w:val="21"/>
                <w:lang w:val="en-US" w:eastAsia="zh-CN"/>
              </w:rPr>
              <w:t>3250</w:t>
            </w:r>
          </w:p>
        </w:tc>
        <w:tc>
          <w:tcPr>
            <w:tcW w:w="1798" w:type="dxa"/>
            <w:vAlign w:val="center"/>
          </w:tcPr>
          <w:p>
            <w:pPr>
              <w:jc w:val="center"/>
              <w:rPr>
                <w:szCs w:val="21"/>
              </w:rPr>
            </w:pPr>
            <w:r>
              <w:rPr>
                <w:szCs w:val="21"/>
              </w:rPr>
              <w:t>2</w:t>
            </w:r>
          </w:p>
        </w:tc>
        <w:tc>
          <w:tcPr>
            <w:tcW w:w="1831" w:type="dxa"/>
            <w:vAlign w:val="bottom"/>
          </w:tcPr>
          <w:p>
            <w:pPr>
              <w:jc w:val="center"/>
              <w:rPr>
                <w:rFonts w:hint="default" w:eastAsia="宋体"/>
                <w:szCs w:val="21"/>
                <w:lang w:val="en-US" w:eastAsia="zh-CN"/>
              </w:rPr>
            </w:pPr>
            <w:r>
              <w:rPr>
                <w:rFonts w:hint="eastAsia"/>
                <w:szCs w:val="21"/>
                <w:lang w:val="en-US" w:eastAsia="zh-CN"/>
              </w:rPr>
              <w:t>6.5</w:t>
            </w:r>
          </w:p>
        </w:tc>
        <w:tc>
          <w:tcPr>
            <w:tcW w:w="1557" w:type="dxa"/>
            <w:vAlign w:val="bottom"/>
          </w:tcPr>
          <w:p>
            <w:pPr>
              <w:jc w:val="center"/>
              <w:rPr>
                <w:rFonts w:hint="default" w:eastAsia="宋体"/>
                <w:sz w:val="22"/>
                <w:szCs w:val="22"/>
                <w:lang w:val="en-US" w:eastAsia="zh-CN"/>
              </w:rPr>
            </w:pPr>
            <w:r>
              <w:rPr>
                <w:rFonts w:hint="eastAsia"/>
                <w:sz w:val="22"/>
                <w:szCs w:val="22"/>
                <w:lang w:val="en-US" w:eastAsia="zh-CN"/>
              </w:rPr>
              <w:t>2372.5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1841" w:type="dxa"/>
            <w:vAlign w:val="center"/>
          </w:tcPr>
          <w:p>
            <w:pPr>
              <w:jc w:val="center"/>
              <w:rPr>
                <w:rFonts w:hint="eastAsia" w:eastAsia="宋体"/>
                <w:szCs w:val="21"/>
                <w:lang w:val="en-US" w:eastAsia="zh-CN"/>
              </w:rPr>
            </w:pPr>
            <w:r>
              <w:rPr>
                <w:rFonts w:hint="eastAsia"/>
                <w:szCs w:val="21"/>
                <w:lang w:val="en-US" w:eastAsia="zh-CN"/>
              </w:rPr>
              <w:t>后备猪</w:t>
            </w:r>
          </w:p>
        </w:tc>
        <w:tc>
          <w:tcPr>
            <w:tcW w:w="1921" w:type="dxa"/>
            <w:vAlign w:val="center"/>
          </w:tcPr>
          <w:p>
            <w:pPr>
              <w:jc w:val="center"/>
              <w:rPr>
                <w:rFonts w:hint="default" w:eastAsia="宋体"/>
                <w:szCs w:val="21"/>
                <w:lang w:val="en-US" w:eastAsia="zh-CN"/>
              </w:rPr>
            </w:pPr>
            <w:r>
              <w:rPr>
                <w:rFonts w:hint="eastAsia"/>
                <w:szCs w:val="21"/>
                <w:lang w:val="en-US" w:eastAsia="zh-CN"/>
              </w:rPr>
              <w:t>100</w:t>
            </w:r>
          </w:p>
        </w:tc>
        <w:tc>
          <w:tcPr>
            <w:tcW w:w="1798" w:type="dxa"/>
            <w:vAlign w:val="center"/>
          </w:tcPr>
          <w:p>
            <w:pPr>
              <w:jc w:val="center"/>
              <w:rPr>
                <w:rFonts w:hint="eastAsia" w:eastAsia="宋体"/>
                <w:szCs w:val="21"/>
                <w:lang w:val="en-US" w:eastAsia="zh-CN"/>
              </w:rPr>
            </w:pPr>
            <w:r>
              <w:rPr>
                <w:rFonts w:hint="eastAsia"/>
                <w:szCs w:val="21"/>
                <w:lang w:val="en-US" w:eastAsia="zh-CN"/>
              </w:rPr>
              <w:t>2</w:t>
            </w:r>
          </w:p>
        </w:tc>
        <w:tc>
          <w:tcPr>
            <w:tcW w:w="1831" w:type="dxa"/>
            <w:vAlign w:val="bottom"/>
          </w:tcPr>
          <w:p>
            <w:pPr>
              <w:jc w:val="center"/>
              <w:rPr>
                <w:rFonts w:hint="default" w:eastAsia="宋体"/>
                <w:szCs w:val="21"/>
                <w:lang w:val="en-US" w:eastAsia="zh-CN"/>
              </w:rPr>
            </w:pPr>
            <w:r>
              <w:rPr>
                <w:rFonts w:hint="eastAsia"/>
                <w:szCs w:val="21"/>
                <w:lang w:val="en-US" w:eastAsia="zh-CN"/>
              </w:rPr>
              <w:t>0.2</w:t>
            </w:r>
          </w:p>
        </w:tc>
        <w:tc>
          <w:tcPr>
            <w:tcW w:w="1557" w:type="dxa"/>
            <w:vAlign w:val="bottom"/>
          </w:tcPr>
          <w:p>
            <w:pPr>
              <w:jc w:val="center"/>
              <w:rPr>
                <w:rFonts w:hint="default" w:eastAsia="宋体"/>
                <w:sz w:val="22"/>
                <w:szCs w:val="22"/>
                <w:lang w:val="en-US" w:eastAsia="zh-CN"/>
              </w:rPr>
            </w:pPr>
            <w:r>
              <w:rPr>
                <w:rFonts w:hint="eastAsia"/>
                <w:sz w:val="22"/>
                <w:szCs w:val="22"/>
                <w:lang w:val="en-US" w:eastAsia="zh-CN"/>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9" w:hRule="atLeast"/>
          <w:jc w:val="center"/>
        </w:trPr>
        <w:tc>
          <w:tcPr>
            <w:tcW w:w="5560" w:type="dxa"/>
            <w:gridSpan w:val="3"/>
            <w:vAlign w:val="center"/>
          </w:tcPr>
          <w:p>
            <w:pPr>
              <w:jc w:val="center"/>
              <w:rPr>
                <w:szCs w:val="21"/>
              </w:rPr>
            </w:pPr>
            <w:r>
              <w:rPr>
                <w:szCs w:val="21"/>
              </w:rPr>
              <w:t>合计</w:t>
            </w:r>
          </w:p>
        </w:tc>
        <w:tc>
          <w:tcPr>
            <w:tcW w:w="1831" w:type="dxa"/>
            <w:vAlign w:val="bottom"/>
          </w:tcPr>
          <w:p>
            <w:pPr>
              <w:jc w:val="center"/>
              <w:rPr>
                <w:rFonts w:hint="default" w:eastAsia="宋体"/>
                <w:sz w:val="22"/>
                <w:szCs w:val="22"/>
                <w:lang w:val="en-US" w:eastAsia="zh-CN"/>
              </w:rPr>
            </w:pPr>
            <w:r>
              <w:rPr>
                <w:rFonts w:hint="eastAsia"/>
                <w:sz w:val="22"/>
                <w:szCs w:val="22"/>
                <w:lang w:val="en-US" w:eastAsia="zh-CN"/>
              </w:rPr>
              <w:t>8.1</w:t>
            </w:r>
          </w:p>
        </w:tc>
        <w:tc>
          <w:tcPr>
            <w:tcW w:w="1557" w:type="dxa"/>
            <w:vAlign w:val="bottom"/>
          </w:tcPr>
          <w:p>
            <w:pPr>
              <w:jc w:val="center"/>
              <w:rPr>
                <w:rFonts w:hint="default" w:eastAsia="宋体"/>
                <w:sz w:val="22"/>
                <w:szCs w:val="22"/>
                <w:lang w:val="en-US" w:eastAsia="zh-CN"/>
              </w:rPr>
            </w:pPr>
            <w:r>
              <w:rPr>
                <w:rFonts w:hint="eastAsia"/>
                <w:sz w:val="22"/>
                <w:szCs w:val="22"/>
                <w:lang w:val="en-US" w:eastAsia="zh-CN"/>
              </w:rPr>
              <w:t>2956.5</w:t>
            </w:r>
          </w:p>
        </w:tc>
      </w:tr>
    </w:tbl>
    <w:p>
      <w:pPr>
        <w:pStyle w:val="99"/>
        <w:spacing w:line="520" w:lineRule="exact"/>
        <w:ind w:firstLine="480"/>
      </w:pPr>
      <w:r>
        <w:t>（2）辅助材料消耗</w:t>
      </w:r>
    </w:p>
    <w:p>
      <w:pPr>
        <w:pStyle w:val="99"/>
        <w:spacing w:line="520" w:lineRule="exact"/>
        <w:ind w:firstLine="480"/>
      </w:pPr>
      <w:r>
        <w:t>项目辅助材料主要包括植物除臭剂、脱硫剂、消毒药品及防疫药品。其中植物除臭剂为喷洒在猪舍、堆肥区和沼液暂存池等区域，用来抑制恶臭的产生，植物除臭剂1kg可喷洒500m</w:t>
      </w:r>
      <w:r>
        <w:rPr>
          <w:vertAlign w:val="superscript"/>
        </w:rPr>
        <w:t>2</w:t>
      </w:r>
      <w:r>
        <w:t>，项目植物除臭剂总用量约0.</w:t>
      </w:r>
      <w:r>
        <w:rPr>
          <w:rFonts w:hint="eastAsia"/>
          <w:lang w:val="en-US" w:eastAsia="zh-CN"/>
        </w:rPr>
        <w:t>02</w:t>
      </w:r>
      <w:r>
        <w:t>t/a</w:t>
      </w:r>
      <w:r>
        <w:rPr>
          <w:bCs/>
        </w:rPr>
        <w:t>；脱硫剂为氧化铁，用来对沼气净化脱硫，项目脱硫剂总用量为0.</w:t>
      </w:r>
      <w:r>
        <w:rPr>
          <w:rFonts w:hint="eastAsia"/>
          <w:bCs/>
          <w:lang w:val="en-US" w:eastAsia="zh-CN"/>
        </w:rPr>
        <w:t>14</w:t>
      </w:r>
      <w:r>
        <w:rPr>
          <w:bCs/>
        </w:rPr>
        <w:t>t/a；消毒剂主要用于公司日常对人员、猪舍及进出场区的车辆消毒，总用量约为</w:t>
      </w:r>
      <w:r>
        <w:rPr>
          <w:rFonts w:hint="eastAsia"/>
          <w:bCs/>
          <w:lang w:val="en-US" w:eastAsia="zh-CN"/>
        </w:rPr>
        <w:t>0.3</w:t>
      </w:r>
      <w:r>
        <w:rPr>
          <w:bCs/>
        </w:rPr>
        <w:t>t/a；项目防疫药品的种类为伪狂犬疫苗、猪瘟疫苗、口蹄疫疫苗、蓝耳病疫苗4种，本项目年共需防疫药品约0.</w:t>
      </w:r>
      <w:r>
        <w:rPr>
          <w:rFonts w:hint="eastAsia"/>
          <w:bCs/>
          <w:lang w:val="en-US" w:eastAsia="zh-CN"/>
        </w:rPr>
        <w:t>025</w:t>
      </w:r>
      <w:r>
        <w:rPr>
          <w:bCs/>
        </w:rPr>
        <w:t>t/a。</w:t>
      </w:r>
    </w:p>
    <w:p>
      <w:pPr>
        <w:pStyle w:val="99"/>
        <w:spacing w:line="520" w:lineRule="exact"/>
        <w:ind w:firstLine="480"/>
      </w:pPr>
      <w:r>
        <w:t>（3）项目主要辅助材料及资源能源消耗汇总</w:t>
      </w:r>
    </w:p>
    <w:p>
      <w:pPr>
        <w:pStyle w:val="99"/>
        <w:spacing w:line="520" w:lineRule="exact"/>
        <w:ind w:firstLine="480"/>
      </w:pPr>
      <w:r>
        <w:t>项目建成后，主要辅助材料及资源能源消耗汇总见下表</w:t>
      </w:r>
      <w:r>
        <w:rPr>
          <w:rFonts w:hint="eastAsia"/>
          <w:lang w:val="en-US" w:eastAsia="zh-CN"/>
        </w:rPr>
        <w:t>2</w:t>
      </w:r>
      <w:r>
        <w:t>.1-8。</w:t>
      </w:r>
    </w:p>
    <w:p>
      <w:pPr>
        <w:spacing w:afterLines="30" w:line="520" w:lineRule="exact"/>
        <w:jc w:val="center"/>
        <w:rPr>
          <w:b/>
          <w:sz w:val="24"/>
        </w:rPr>
      </w:pPr>
      <w:r>
        <w:rPr>
          <w:b/>
          <w:sz w:val="24"/>
        </w:rPr>
        <w:t>表</w:t>
      </w:r>
      <w:r>
        <w:rPr>
          <w:rFonts w:hint="eastAsia"/>
          <w:b/>
          <w:sz w:val="24"/>
          <w:lang w:val="en-US" w:eastAsia="zh-CN"/>
        </w:rPr>
        <w:t>2</w:t>
      </w:r>
      <w:r>
        <w:rPr>
          <w:b/>
          <w:sz w:val="24"/>
        </w:rPr>
        <w:t>.1-8   项目主要辅助材料及资源能源消耗一览表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808"/>
        <w:gridCol w:w="1134"/>
        <w:gridCol w:w="1560"/>
        <w:gridCol w:w="4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1808" w:type="dxa"/>
            <w:vAlign w:val="center"/>
          </w:tcPr>
          <w:p>
            <w:pPr>
              <w:jc w:val="center"/>
              <w:rPr>
                <w:szCs w:val="21"/>
              </w:rPr>
            </w:pPr>
            <w:r>
              <w:rPr>
                <w:szCs w:val="21"/>
              </w:rPr>
              <w:t>资源能源名称</w:t>
            </w:r>
          </w:p>
        </w:tc>
        <w:tc>
          <w:tcPr>
            <w:tcW w:w="1134" w:type="dxa"/>
            <w:vAlign w:val="center"/>
          </w:tcPr>
          <w:p>
            <w:pPr>
              <w:jc w:val="center"/>
              <w:rPr>
                <w:szCs w:val="21"/>
              </w:rPr>
            </w:pPr>
            <w:r>
              <w:rPr>
                <w:szCs w:val="21"/>
              </w:rPr>
              <w:t>单位</w:t>
            </w:r>
          </w:p>
        </w:tc>
        <w:tc>
          <w:tcPr>
            <w:tcW w:w="1560" w:type="dxa"/>
            <w:vAlign w:val="center"/>
          </w:tcPr>
          <w:p>
            <w:pPr>
              <w:jc w:val="center"/>
              <w:rPr>
                <w:szCs w:val="21"/>
              </w:rPr>
            </w:pPr>
            <w:r>
              <w:rPr>
                <w:szCs w:val="21"/>
              </w:rPr>
              <w:t>数量</w:t>
            </w:r>
          </w:p>
        </w:tc>
        <w:tc>
          <w:tcPr>
            <w:tcW w:w="4444" w:type="dxa"/>
            <w:vAlign w:val="center"/>
          </w:tcPr>
          <w:p>
            <w:pPr>
              <w:jc w:val="center"/>
              <w:rPr>
                <w:szCs w:val="21"/>
              </w:rPr>
            </w:pPr>
            <w:r>
              <w:rPr>
                <w:szCs w:val="21"/>
              </w:rPr>
              <w:t>储存方式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64" w:hRule="atLeast"/>
          <w:jc w:val="center"/>
        </w:trPr>
        <w:tc>
          <w:tcPr>
            <w:tcW w:w="1808" w:type="dxa"/>
            <w:vAlign w:val="center"/>
          </w:tcPr>
          <w:p>
            <w:pPr>
              <w:jc w:val="center"/>
              <w:rPr>
                <w:szCs w:val="21"/>
              </w:rPr>
            </w:pPr>
            <w:r>
              <w:rPr>
                <w:szCs w:val="21"/>
              </w:rPr>
              <w:t>电</w:t>
            </w:r>
          </w:p>
        </w:tc>
        <w:tc>
          <w:tcPr>
            <w:tcW w:w="1134" w:type="dxa"/>
            <w:vAlign w:val="center"/>
          </w:tcPr>
          <w:p>
            <w:pPr>
              <w:jc w:val="center"/>
              <w:rPr>
                <w:szCs w:val="21"/>
              </w:rPr>
            </w:pPr>
            <w:r>
              <w:rPr>
                <w:szCs w:val="21"/>
              </w:rPr>
              <w:t>万度/年</w:t>
            </w:r>
          </w:p>
        </w:tc>
        <w:tc>
          <w:tcPr>
            <w:tcW w:w="1560" w:type="dxa"/>
            <w:vAlign w:val="center"/>
          </w:tcPr>
          <w:p>
            <w:pPr>
              <w:jc w:val="center"/>
              <w:rPr>
                <w:rFonts w:hint="default" w:eastAsia="宋体"/>
                <w:szCs w:val="21"/>
                <w:lang w:val="en-US" w:eastAsia="zh-CN"/>
              </w:rPr>
            </w:pPr>
            <w:r>
              <w:rPr>
                <w:rFonts w:hint="eastAsia"/>
                <w:kern w:val="0"/>
                <w:szCs w:val="21"/>
                <w:lang w:val="en-US" w:eastAsia="zh-CN"/>
              </w:rPr>
              <w:t>50</w:t>
            </w:r>
          </w:p>
        </w:tc>
        <w:tc>
          <w:tcPr>
            <w:tcW w:w="4444" w:type="dxa"/>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73" w:hRule="atLeast"/>
          <w:jc w:val="center"/>
        </w:trPr>
        <w:tc>
          <w:tcPr>
            <w:tcW w:w="1808" w:type="dxa"/>
            <w:vAlign w:val="center"/>
          </w:tcPr>
          <w:p>
            <w:pPr>
              <w:jc w:val="center"/>
              <w:rPr>
                <w:szCs w:val="21"/>
              </w:rPr>
            </w:pPr>
            <w:r>
              <w:rPr>
                <w:szCs w:val="21"/>
              </w:rPr>
              <w:t>水</w:t>
            </w:r>
          </w:p>
        </w:tc>
        <w:tc>
          <w:tcPr>
            <w:tcW w:w="1134" w:type="dxa"/>
            <w:vAlign w:val="center"/>
          </w:tcPr>
          <w:p>
            <w:pPr>
              <w:jc w:val="center"/>
              <w:rPr>
                <w:szCs w:val="21"/>
              </w:rPr>
            </w:pPr>
            <w:r>
              <w:rPr>
                <w:szCs w:val="21"/>
              </w:rPr>
              <w:t>m</w:t>
            </w:r>
            <w:r>
              <w:rPr>
                <w:szCs w:val="21"/>
                <w:vertAlign w:val="superscript"/>
              </w:rPr>
              <w:t>3</w:t>
            </w:r>
            <w:r>
              <w:rPr>
                <w:szCs w:val="21"/>
              </w:rPr>
              <w:t>/a</w:t>
            </w:r>
          </w:p>
        </w:tc>
        <w:tc>
          <w:tcPr>
            <w:tcW w:w="1560" w:type="dxa"/>
            <w:vAlign w:val="center"/>
          </w:tcPr>
          <w:p>
            <w:pPr>
              <w:jc w:val="center"/>
              <w:rPr>
                <w:szCs w:val="21"/>
              </w:rPr>
            </w:pPr>
            <w:r>
              <w:rPr>
                <w:rFonts w:hint="eastAsia"/>
                <w:b w:val="0"/>
                <w:bCs/>
                <w:color w:val="000000" w:themeColor="text1"/>
                <w:spacing w:val="-2"/>
                <w:sz w:val="21"/>
                <w:szCs w:val="21"/>
                <w:u w:val="none"/>
                <w:lang w:val="en-US" w:eastAsia="zh-CN"/>
              </w:rPr>
              <w:t>15713.025</w:t>
            </w:r>
          </w:p>
        </w:tc>
        <w:tc>
          <w:tcPr>
            <w:tcW w:w="4444" w:type="dxa"/>
            <w:vAlign w:val="center"/>
          </w:tcPr>
          <w:p>
            <w:pPr>
              <w:jc w:val="center"/>
              <w:rPr>
                <w:color w:val="FF0000"/>
                <w:szCs w:val="21"/>
              </w:rPr>
            </w:pPr>
            <w:r>
              <w:rPr>
                <w:color w:val="FF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88" w:hRule="atLeast"/>
          <w:jc w:val="center"/>
        </w:trPr>
        <w:tc>
          <w:tcPr>
            <w:tcW w:w="1808" w:type="dxa"/>
            <w:vAlign w:val="center"/>
          </w:tcPr>
          <w:p>
            <w:pPr>
              <w:jc w:val="center"/>
              <w:rPr>
                <w:szCs w:val="21"/>
              </w:rPr>
            </w:pPr>
            <w:r>
              <w:rPr>
                <w:szCs w:val="21"/>
              </w:rPr>
              <w:t>植物除臭剂</w:t>
            </w:r>
          </w:p>
        </w:tc>
        <w:tc>
          <w:tcPr>
            <w:tcW w:w="1134" w:type="dxa"/>
            <w:vAlign w:val="center"/>
          </w:tcPr>
          <w:p>
            <w:pPr>
              <w:jc w:val="center"/>
              <w:rPr>
                <w:szCs w:val="21"/>
              </w:rPr>
            </w:pPr>
            <w:r>
              <w:rPr>
                <w:szCs w:val="21"/>
              </w:rPr>
              <w:t>t/a</w:t>
            </w:r>
          </w:p>
        </w:tc>
        <w:tc>
          <w:tcPr>
            <w:tcW w:w="1560" w:type="dxa"/>
            <w:vAlign w:val="center"/>
          </w:tcPr>
          <w:p>
            <w:pPr>
              <w:jc w:val="center"/>
              <w:rPr>
                <w:rFonts w:hint="default" w:eastAsia="宋体"/>
                <w:szCs w:val="21"/>
                <w:lang w:val="en-US" w:eastAsia="zh-CN"/>
              </w:rPr>
            </w:pPr>
            <w:r>
              <w:rPr>
                <w:szCs w:val="21"/>
              </w:rPr>
              <w:t>0.</w:t>
            </w:r>
            <w:r>
              <w:rPr>
                <w:rFonts w:hint="eastAsia"/>
                <w:szCs w:val="21"/>
                <w:lang w:val="en-US" w:eastAsia="zh-CN"/>
              </w:rPr>
              <w:t>02</w:t>
            </w:r>
          </w:p>
        </w:tc>
        <w:tc>
          <w:tcPr>
            <w:tcW w:w="4444" w:type="dxa"/>
            <w:vAlign w:val="center"/>
          </w:tcPr>
          <w:p>
            <w:pPr>
              <w:jc w:val="center"/>
              <w:rPr>
                <w:szCs w:val="21"/>
              </w:rPr>
            </w:pPr>
            <w:r>
              <w:rPr>
                <w:szCs w:val="21"/>
              </w:rPr>
              <w:t>主要为丝兰、银杏叶、茶多酚、葡萄籽、樟科植物、桉叶油、松油等多种植物提取物，储存于项目仓库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808" w:type="dxa"/>
            <w:vAlign w:val="center"/>
          </w:tcPr>
          <w:p>
            <w:pPr>
              <w:jc w:val="center"/>
              <w:rPr>
                <w:szCs w:val="21"/>
              </w:rPr>
            </w:pPr>
            <w:r>
              <w:rPr>
                <w:szCs w:val="21"/>
              </w:rPr>
              <w:t>脱硫剂</w:t>
            </w:r>
          </w:p>
        </w:tc>
        <w:tc>
          <w:tcPr>
            <w:tcW w:w="1134" w:type="dxa"/>
            <w:vAlign w:val="center"/>
          </w:tcPr>
          <w:p>
            <w:pPr>
              <w:jc w:val="center"/>
              <w:rPr>
                <w:szCs w:val="21"/>
              </w:rPr>
            </w:pPr>
            <w:r>
              <w:rPr>
                <w:szCs w:val="21"/>
              </w:rPr>
              <w:t>t/a</w:t>
            </w:r>
          </w:p>
        </w:tc>
        <w:tc>
          <w:tcPr>
            <w:tcW w:w="1560" w:type="dxa"/>
            <w:vAlign w:val="center"/>
          </w:tcPr>
          <w:p>
            <w:pPr>
              <w:jc w:val="center"/>
              <w:rPr>
                <w:rFonts w:hint="default" w:eastAsia="宋体"/>
                <w:szCs w:val="21"/>
                <w:lang w:val="en-US" w:eastAsia="zh-CN"/>
              </w:rPr>
            </w:pPr>
            <w:r>
              <w:rPr>
                <w:szCs w:val="21"/>
              </w:rPr>
              <w:t>0.</w:t>
            </w:r>
            <w:r>
              <w:rPr>
                <w:rFonts w:hint="eastAsia"/>
                <w:szCs w:val="21"/>
                <w:lang w:val="en-US" w:eastAsia="zh-CN"/>
              </w:rPr>
              <w:t>14</w:t>
            </w:r>
          </w:p>
        </w:tc>
        <w:tc>
          <w:tcPr>
            <w:tcW w:w="4444" w:type="dxa"/>
            <w:vAlign w:val="center"/>
          </w:tcPr>
          <w:p>
            <w:pPr>
              <w:jc w:val="center"/>
              <w:rPr>
                <w:szCs w:val="21"/>
              </w:rPr>
            </w:pPr>
            <w:r>
              <w:rPr>
                <w:szCs w:val="21"/>
              </w:rPr>
              <w:t>主要成分为氧化铁，需要时由负责项目环保工程的施工单位安装，不在厂内暂存。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808" w:type="dxa"/>
            <w:vAlign w:val="center"/>
          </w:tcPr>
          <w:p>
            <w:pPr>
              <w:jc w:val="center"/>
              <w:rPr>
                <w:szCs w:val="21"/>
              </w:rPr>
            </w:pPr>
            <w:r>
              <w:rPr>
                <w:szCs w:val="21"/>
              </w:rPr>
              <w:t>消毒剂</w:t>
            </w:r>
          </w:p>
        </w:tc>
        <w:tc>
          <w:tcPr>
            <w:tcW w:w="1134" w:type="dxa"/>
            <w:vAlign w:val="center"/>
          </w:tcPr>
          <w:p>
            <w:pPr>
              <w:jc w:val="center"/>
              <w:rPr>
                <w:szCs w:val="21"/>
              </w:rPr>
            </w:pPr>
            <w:r>
              <w:rPr>
                <w:szCs w:val="21"/>
              </w:rPr>
              <w:t>t/a</w:t>
            </w:r>
          </w:p>
        </w:tc>
        <w:tc>
          <w:tcPr>
            <w:tcW w:w="1560" w:type="dxa"/>
            <w:vAlign w:val="center"/>
          </w:tcPr>
          <w:p>
            <w:pPr>
              <w:jc w:val="center"/>
              <w:rPr>
                <w:rFonts w:hint="default" w:eastAsia="宋体"/>
                <w:szCs w:val="21"/>
                <w:lang w:val="en-US" w:eastAsia="zh-CN"/>
              </w:rPr>
            </w:pPr>
            <w:r>
              <w:rPr>
                <w:rFonts w:hint="eastAsia"/>
                <w:szCs w:val="21"/>
                <w:lang w:val="en-US" w:eastAsia="zh-CN"/>
              </w:rPr>
              <w:t>0.3</w:t>
            </w:r>
          </w:p>
        </w:tc>
        <w:tc>
          <w:tcPr>
            <w:tcW w:w="4444" w:type="dxa"/>
            <w:vAlign w:val="center"/>
          </w:tcPr>
          <w:p>
            <w:pPr>
              <w:jc w:val="center"/>
              <w:rPr>
                <w:szCs w:val="21"/>
              </w:rPr>
            </w:pPr>
            <w:r>
              <w:rPr>
                <w:szCs w:val="21"/>
              </w:rPr>
              <w:t>储存于项目仓库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808" w:type="dxa"/>
            <w:vAlign w:val="center"/>
          </w:tcPr>
          <w:p>
            <w:pPr>
              <w:jc w:val="center"/>
              <w:rPr>
                <w:szCs w:val="21"/>
              </w:rPr>
            </w:pPr>
            <w:r>
              <w:rPr>
                <w:szCs w:val="21"/>
              </w:rPr>
              <w:t>防疫药品</w:t>
            </w:r>
          </w:p>
        </w:tc>
        <w:tc>
          <w:tcPr>
            <w:tcW w:w="1134" w:type="dxa"/>
            <w:vAlign w:val="center"/>
          </w:tcPr>
          <w:p>
            <w:pPr>
              <w:jc w:val="center"/>
              <w:rPr>
                <w:szCs w:val="21"/>
              </w:rPr>
            </w:pPr>
            <w:r>
              <w:rPr>
                <w:szCs w:val="21"/>
              </w:rPr>
              <w:t>t/a</w:t>
            </w:r>
          </w:p>
        </w:tc>
        <w:tc>
          <w:tcPr>
            <w:tcW w:w="1560" w:type="dxa"/>
            <w:vAlign w:val="center"/>
          </w:tcPr>
          <w:p>
            <w:pPr>
              <w:jc w:val="center"/>
              <w:rPr>
                <w:rFonts w:hint="default" w:eastAsia="宋体"/>
                <w:szCs w:val="21"/>
                <w:lang w:val="en-US" w:eastAsia="zh-CN"/>
              </w:rPr>
            </w:pPr>
            <w:r>
              <w:rPr>
                <w:szCs w:val="21"/>
              </w:rPr>
              <w:t>0.</w:t>
            </w:r>
            <w:r>
              <w:rPr>
                <w:rFonts w:hint="eastAsia"/>
                <w:szCs w:val="21"/>
                <w:lang w:val="en-US" w:eastAsia="zh-CN"/>
              </w:rPr>
              <w:t>025</w:t>
            </w:r>
          </w:p>
        </w:tc>
        <w:tc>
          <w:tcPr>
            <w:tcW w:w="4444" w:type="dxa"/>
            <w:vAlign w:val="center"/>
          </w:tcPr>
          <w:p>
            <w:pPr>
              <w:jc w:val="center"/>
              <w:rPr>
                <w:szCs w:val="21"/>
              </w:rPr>
            </w:pPr>
            <w:r>
              <w:rPr>
                <w:szCs w:val="21"/>
              </w:rPr>
              <w:t>储存于专门设置的仓库中的疫苗专用冰柜</w:t>
            </w:r>
          </w:p>
        </w:tc>
      </w:tr>
      <w:bookmarkEnd w:id="82"/>
    </w:tbl>
    <w:p>
      <w:pPr>
        <w:pStyle w:val="6"/>
        <w:snapToGrid w:val="0"/>
        <w:spacing w:before="0" w:after="0" w:line="520" w:lineRule="exact"/>
        <w:rPr>
          <w:rFonts w:eastAsia="黑体"/>
          <w:b w:val="0"/>
          <w:bCs w:val="0"/>
          <w:sz w:val="24"/>
          <w:szCs w:val="24"/>
        </w:rPr>
      </w:pPr>
      <w:bookmarkStart w:id="83" w:name="_Toc20766"/>
      <w:r>
        <w:rPr>
          <w:rFonts w:hint="eastAsia" w:eastAsia="黑体"/>
          <w:b w:val="0"/>
          <w:bCs w:val="0"/>
          <w:sz w:val="24"/>
          <w:szCs w:val="24"/>
          <w:lang w:val="en-US" w:eastAsia="zh-CN"/>
        </w:rPr>
        <w:t>2</w:t>
      </w:r>
      <w:r>
        <w:rPr>
          <w:rFonts w:eastAsia="黑体"/>
          <w:b w:val="0"/>
          <w:bCs w:val="0"/>
          <w:sz w:val="24"/>
          <w:szCs w:val="24"/>
        </w:rPr>
        <w:t>.1.6配套工程</w:t>
      </w:r>
      <w:bookmarkEnd w:id="83"/>
    </w:p>
    <w:p>
      <w:pPr>
        <w:pStyle w:val="7"/>
        <w:spacing w:before="0" w:after="0" w:line="520" w:lineRule="exact"/>
        <w:rPr>
          <w:rFonts w:hAnsi="Times New Roman" w:eastAsia="宋体"/>
          <w:sz w:val="24"/>
          <w:szCs w:val="24"/>
        </w:rPr>
      </w:pPr>
      <w:r>
        <w:rPr>
          <w:rFonts w:hint="eastAsia" w:hAnsi="Times New Roman" w:eastAsia="宋体"/>
          <w:sz w:val="24"/>
          <w:szCs w:val="24"/>
          <w:lang w:val="en-US" w:eastAsia="zh-CN"/>
        </w:rPr>
        <w:t>2</w:t>
      </w:r>
      <w:r>
        <w:rPr>
          <w:rFonts w:hAnsi="Times New Roman" w:eastAsia="宋体"/>
          <w:sz w:val="24"/>
          <w:szCs w:val="24"/>
        </w:rPr>
        <w:t>.1.6.1项目用水情况</w:t>
      </w:r>
    </w:p>
    <w:p>
      <w:pPr>
        <w:spacing w:line="520" w:lineRule="exact"/>
        <w:ind w:firstLine="480" w:firstLineChars="200"/>
        <w:rPr>
          <w:b w:val="0"/>
          <w:bCs/>
          <w:color w:val="FF0000"/>
          <w:sz w:val="24"/>
          <w:u w:val="none"/>
        </w:rPr>
      </w:pPr>
      <w:r>
        <w:rPr>
          <w:b w:val="0"/>
          <w:bCs/>
          <w:sz w:val="24"/>
          <w:u w:val="none"/>
        </w:rPr>
        <w:t>项目完成后全场新鲜水总用水量为</w:t>
      </w:r>
      <w:r>
        <w:rPr>
          <w:rFonts w:hint="eastAsia"/>
          <w:b w:val="0"/>
          <w:bCs/>
          <w:color w:val="000000" w:themeColor="text1"/>
          <w:spacing w:val="-2"/>
          <w:sz w:val="24"/>
          <w:szCs w:val="24"/>
          <w:u w:val="none"/>
          <w:lang w:val="en-US" w:eastAsia="zh-CN"/>
        </w:rPr>
        <w:t>15713.025</w:t>
      </w:r>
      <w:r>
        <w:rPr>
          <w:b w:val="0"/>
          <w:bCs/>
          <w:kern w:val="0"/>
          <w:sz w:val="24"/>
          <w:u w:val="none"/>
        </w:rPr>
        <w:t>m</w:t>
      </w:r>
      <w:r>
        <w:rPr>
          <w:b w:val="0"/>
          <w:bCs/>
          <w:kern w:val="0"/>
          <w:sz w:val="24"/>
          <w:u w:val="none"/>
          <w:vertAlign w:val="superscript"/>
        </w:rPr>
        <w:t>3</w:t>
      </w:r>
      <w:r>
        <w:rPr>
          <w:b w:val="0"/>
          <w:bCs/>
          <w:kern w:val="0"/>
          <w:sz w:val="24"/>
          <w:u w:val="none"/>
        </w:rPr>
        <w:t>/a</w:t>
      </w:r>
      <w:r>
        <w:rPr>
          <w:b w:val="0"/>
          <w:bCs/>
          <w:sz w:val="24"/>
          <w:u w:val="none"/>
        </w:rPr>
        <w:t>，用水方向主要为生活用水、猪只饮用水、猪舍冲洗水、降温用水、消毒用水等。项目用水全部由场区自备井供应，本项目拟建1眼供水井，井深200m，单井出水量约为50m</w:t>
      </w:r>
      <w:r>
        <w:rPr>
          <w:b w:val="0"/>
          <w:bCs/>
          <w:sz w:val="24"/>
          <w:u w:val="none"/>
          <w:vertAlign w:val="superscript"/>
        </w:rPr>
        <w:t>3</w:t>
      </w:r>
      <w:r>
        <w:rPr>
          <w:b w:val="0"/>
          <w:bCs/>
          <w:sz w:val="24"/>
          <w:u w:val="none"/>
        </w:rPr>
        <w:t>/h，则年出水规模为438000m</w:t>
      </w:r>
      <w:r>
        <w:rPr>
          <w:b w:val="0"/>
          <w:bCs/>
          <w:sz w:val="24"/>
          <w:u w:val="none"/>
          <w:vertAlign w:val="superscript"/>
        </w:rPr>
        <w:t>3</w:t>
      </w:r>
      <w:r>
        <w:rPr>
          <w:b w:val="0"/>
          <w:bCs/>
          <w:sz w:val="24"/>
          <w:u w:val="none"/>
        </w:rPr>
        <w:t>，</w:t>
      </w:r>
      <w:r>
        <w:rPr>
          <w:b w:val="0"/>
          <w:bCs/>
          <w:color w:val="000000"/>
          <w:sz w:val="24"/>
          <w:u w:val="none"/>
        </w:rPr>
        <w:t>可满足项目用水需求。</w:t>
      </w:r>
    </w:p>
    <w:p>
      <w:pPr>
        <w:spacing w:line="520" w:lineRule="exact"/>
        <w:ind w:firstLine="480" w:firstLineChars="200"/>
        <w:rPr>
          <w:b w:val="0"/>
          <w:bCs/>
          <w:sz w:val="24"/>
          <w:u w:val="none"/>
        </w:rPr>
      </w:pPr>
      <w:r>
        <w:rPr>
          <w:b w:val="0"/>
          <w:bCs/>
          <w:sz w:val="24"/>
          <w:u w:val="none"/>
        </w:rPr>
        <w:t>1、猪只饮用水及猪舍冲洗水</w:t>
      </w:r>
    </w:p>
    <w:p>
      <w:pPr>
        <w:pStyle w:val="99"/>
        <w:spacing w:line="520" w:lineRule="exact"/>
        <w:ind w:firstLine="482"/>
        <w:rPr>
          <w:b w:val="0"/>
          <w:bCs/>
          <w:u w:val="none"/>
        </w:rPr>
      </w:pPr>
      <w:r>
        <w:rPr>
          <w:b w:val="0"/>
          <w:bCs/>
          <w:u w:val="none"/>
        </w:rPr>
        <w:t>本项目投入运营后常年存栏量种生猪</w:t>
      </w:r>
      <w:r>
        <w:rPr>
          <w:rFonts w:hint="eastAsia"/>
          <w:b w:val="0"/>
          <w:bCs/>
          <w:u w:val="none"/>
          <w:lang w:val="en-US" w:eastAsia="zh-CN"/>
        </w:rPr>
        <w:t>5100</w:t>
      </w:r>
      <w:r>
        <w:rPr>
          <w:b w:val="0"/>
          <w:bCs/>
          <w:u w:val="none"/>
        </w:rPr>
        <w:t>头，其中包括保育猪</w:t>
      </w:r>
      <w:r>
        <w:rPr>
          <w:rFonts w:hint="eastAsia"/>
          <w:b w:val="0"/>
          <w:bCs/>
          <w:u w:val="none"/>
          <w:lang w:val="en-US" w:eastAsia="zh-CN"/>
        </w:rPr>
        <w:t>1750</w:t>
      </w:r>
      <w:r>
        <w:rPr>
          <w:b w:val="0"/>
          <w:bCs/>
          <w:u w:val="none"/>
        </w:rPr>
        <w:t>头，育肥猪</w:t>
      </w:r>
      <w:r>
        <w:rPr>
          <w:rFonts w:hint="eastAsia"/>
          <w:b w:val="0"/>
          <w:bCs/>
          <w:u w:val="none"/>
          <w:lang w:val="en-US" w:eastAsia="zh-CN"/>
        </w:rPr>
        <w:t>3250</w:t>
      </w:r>
      <w:r>
        <w:rPr>
          <w:b w:val="0"/>
          <w:bCs/>
          <w:u w:val="none"/>
        </w:rPr>
        <w:t>头</w:t>
      </w:r>
      <w:r>
        <w:rPr>
          <w:rFonts w:hint="eastAsia"/>
          <w:b w:val="0"/>
          <w:bCs/>
          <w:u w:val="none"/>
          <w:lang w:eastAsia="zh-CN"/>
        </w:rPr>
        <w:t>，</w:t>
      </w:r>
      <w:r>
        <w:rPr>
          <w:rFonts w:hint="eastAsia"/>
          <w:b w:val="0"/>
          <w:bCs/>
          <w:u w:val="none"/>
          <w:lang w:val="en-US" w:eastAsia="zh-CN"/>
        </w:rPr>
        <w:t>后备猪100头。</w:t>
      </w:r>
      <w:r>
        <w:rPr>
          <w:b w:val="0"/>
          <w:bCs/>
          <w:u w:val="none"/>
        </w:rPr>
        <w:t>猪的饮水量以及猪舍冲洗水排放量</w:t>
      </w:r>
      <w:r>
        <w:rPr>
          <w:rFonts w:hint="eastAsia"/>
          <w:b w:val="0"/>
          <w:bCs/>
          <w:u w:val="none"/>
          <w:lang w:val="en-US" w:eastAsia="zh-CN"/>
        </w:rPr>
        <w:t>参考</w:t>
      </w:r>
      <w:r>
        <w:rPr>
          <w:b w:val="0"/>
          <w:bCs/>
          <w:u w:val="none"/>
        </w:rPr>
        <w:t>其他已投入运营的生猪养猪场的实际运营情况统计确定，具体见表2.1-9。</w:t>
      </w:r>
    </w:p>
    <w:p>
      <w:pPr>
        <w:spacing w:afterLines="30" w:line="520" w:lineRule="exact"/>
        <w:jc w:val="center"/>
        <w:rPr>
          <w:b w:val="0"/>
          <w:bCs/>
          <w:sz w:val="24"/>
          <w:u w:val="none"/>
        </w:rPr>
      </w:pPr>
      <w:r>
        <w:rPr>
          <w:b w:val="0"/>
          <w:bCs/>
          <w:sz w:val="24"/>
          <w:u w:val="none"/>
        </w:rPr>
        <w:t>表2.1-9       工程生猪饮水参数表</w:t>
      </w:r>
    </w:p>
    <w:tbl>
      <w:tblPr>
        <w:tblStyle w:val="45"/>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84"/>
        <w:gridCol w:w="909"/>
        <w:gridCol w:w="1048"/>
        <w:gridCol w:w="1734"/>
        <w:gridCol w:w="1944"/>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jc w:val="center"/>
        </w:trPr>
        <w:tc>
          <w:tcPr>
            <w:tcW w:w="808" w:type="dxa"/>
            <w:vMerge w:val="restart"/>
            <w:tcMar>
              <w:top w:w="0" w:type="dxa"/>
              <w:left w:w="28" w:type="dxa"/>
              <w:bottom w:w="0" w:type="dxa"/>
              <w:right w:w="28" w:type="dxa"/>
            </w:tcMar>
            <w:vAlign w:val="center"/>
          </w:tcPr>
          <w:p>
            <w:pPr>
              <w:widowControl/>
              <w:snapToGrid w:val="0"/>
              <w:ind w:left="-15" w:leftChars="-51" w:right="-109" w:rightChars="-52" w:hanging="92" w:hangingChars="44"/>
              <w:jc w:val="center"/>
              <w:rPr>
                <w:b w:val="0"/>
                <w:bCs/>
                <w:iCs/>
                <w:kern w:val="0"/>
                <w:szCs w:val="21"/>
                <w:u w:val="none"/>
              </w:rPr>
            </w:pPr>
            <w:r>
              <w:rPr>
                <w:b w:val="0"/>
                <w:bCs/>
                <w:iCs/>
                <w:kern w:val="0"/>
                <w:szCs w:val="21"/>
                <w:u w:val="none"/>
              </w:rPr>
              <w:t>用水</w:t>
            </w:r>
          </w:p>
          <w:p>
            <w:pPr>
              <w:widowControl/>
              <w:snapToGrid w:val="0"/>
              <w:ind w:left="-15" w:leftChars="-51" w:right="-109" w:rightChars="-52" w:hanging="92" w:hangingChars="44"/>
              <w:jc w:val="center"/>
              <w:rPr>
                <w:b w:val="0"/>
                <w:bCs/>
                <w:iCs/>
                <w:kern w:val="0"/>
                <w:szCs w:val="21"/>
                <w:u w:val="none"/>
              </w:rPr>
            </w:pPr>
            <w:r>
              <w:rPr>
                <w:b w:val="0"/>
                <w:bCs/>
                <w:iCs/>
                <w:kern w:val="0"/>
                <w:szCs w:val="21"/>
                <w:u w:val="none"/>
              </w:rPr>
              <w:t>性质</w:t>
            </w:r>
          </w:p>
        </w:tc>
        <w:tc>
          <w:tcPr>
            <w:tcW w:w="1793" w:type="dxa"/>
            <w:gridSpan w:val="2"/>
            <w:tcMar>
              <w:top w:w="0" w:type="dxa"/>
              <w:left w:w="28" w:type="dxa"/>
              <w:bottom w:w="0" w:type="dxa"/>
              <w:right w:w="28" w:type="dxa"/>
            </w:tcMar>
            <w:vAlign w:val="center"/>
          </w:tcPr>
          <w:p>
            <w:pPr>
              <w:widowControl/>
              <w:snapToGrid w:val="0"/>
              <w:ind w:left="-15" w:leftChars="-51" w:right="-109" w:rightChars="-52" w:hanging="92" w:hangingChars="44"/>
              <w:jc w:val="center"/>
              <w:rPr>
                <w:b w:val="0"/>
                <w:bCs/>
                <w:iCs/>
                <w:kern w:val="0"/>
                <w:szCs w:val="21"/>
                <w:u w:val="none"/>
              </w:rPr>
            </w:pPr>
            <w:r>
              <w:rPr>
                <w:b w:val="0"/>
                <w:bCs/>
                <w:iCs/>
                <w:kern w:val="0"/>
                <w:szCs w:val="21"/>
                <w:u w:val="none"/>
              </w:rPr>
              <w:t>饮水量</w:t>
            </w:r>
            <w:r>
              <w:rPr>
                <w:b w:val="0"/>
                <w:bCs/>
                <w:iCs/>
                <w:szCs w:val="21"/>
                <w:u w:val="none"/>
              </w:rPr>
              <w:t>（L/头·d）</w:t>
            </w:r>
          </w:p>
        </w:tc>
        <w:tc>
          <w:tcPr>
            <w:tcW w:w="1048" w:type="dxa"/>
            <w:vMerge w:val="restart"/>
            <w:tcMar>
              <w:top w:w="0" w:type="dxa"/>
              <w:left w:w="28" w:type="dxa"/>
              <w:bottom w:w="0" w:type="dxa"/>
              <w:right w:w="28" w:type="dxa"/>
            </w:tcMar>
            <w:vAlign w:val="center"/>
          </w:tcPr>
          <w:p>
            <w:pPr>
              <w:widowControl/>
              <w:snapToGrid w:val="0"/>
              <w:ind w:left="-15" w:leftChars="-51" w:right="-109" w:rightChars="-52" w:hanging="92" w:hangingChars="44"/>
              <w:jc w:val="center"/>
              <w:rPr>
                <w:b w:val="0"/>
                <w:bCs/>
                <w:iCs/>
                <w:kern w:val="0"/>
                <w:szCs w:val="21"/>
                <w:u w:val="none"/>
              </w:rPr>
            </w:pPr>
            <w:r>
              <w:rPr>
                <w:b w:val="0"/>
                <w:bCs/>
                <w:iCs/>
                <w:kern w:val="0"/>
                <w:szCs w:val="21"/>
                <w:u w:val="none"/>
              </w:rPr>
              <w:t>用水单位</w:t>
            </w:r>
          </w:p>
          <w:p>
            <w:pPr>
              <w:snapToGrid w:val="0"/>
              <w:ind w:left="-15" w:leftChars="-51" w:right="-109" w:rightChars="-52" w:hanging="92" w:hangingChars="44"/>
              <w:jc w:val="center"/>
              <w:rPr>
                <w:b w:val="0"/>
                <w:bCs/>
                <w:iCs/>
                <w:kern w:val="0"/>
                <w:szCs w:val="21"/>
                <w:u w:val="none"/>
              </w:rPr>
            </w:pPr>
            <w:r>
              <w:rPr>
                <w:b w:val="0"/>
                <w:bCs/>
                <w:iCs/>
                <w:szCs w:val="21"/>
                <w:u w:val="none"/>
              </w:rPr>
              <w:t>（头）</w:t>
            </w:r>
          </w:p>
        </w:tc>
        <w:tc>
          <w:tcPr>
            <w:tcW w:w="5139" w:type="dxa"/>
            <w:gridSpan w:val="3"/>
            <w:tcMar>
              <w:top w:w="0" w:type="dxa"/>
              <w:left w:w="28" w:type="dxa"/>
              <w:bottom w:w="0" w:type="dxa"/>
              <w:right w:w="28" w:type="dxa"/>
            </w:tcMar>
            <w:vAlign w:val="center"/>
          </w:tcPr>
          <w:p>
            <w:pPr>
              <w:widowControl/>
              <w:snapToGrid w:val="0"/>
              <w:ind w:right="-109" w:rightChars="-52"/>
              <w:jc w:val="center"/>
              <w:rPr>
                <w:b w:val="0"/>
                <w:bCs/>
                <w:iCs/>
                <w:kern w:val="0"/>
                <w:szCs w:val="21"/>
                <w:u w:val="none"/>
              </w:rPr>
            </w:pPr>
            <w:r>
              <w:rPr>
                <w:b w:val="0"/>
                <w:bCs/>
                <w:iCs/>
                <w:kern w:val="0"/>
                <w:szCs w:val="21"/>
                <w:u w:val="none"/>
              </w:rPr>
              <w:t>饮水总量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8" w:type="dxa"/>
            <w:vMerge w:val="continue"/>
            <w:tcMar>
              <w:top w:w="0" w:type="dxa"/>
              <w:left w:w="28" w:type="dxa"/>
              <w:bottom w:w="0" w:type="dxa"/>
              <w:right w:w="28" w:type="dxa"/>
            </w:tcMar>
            <w:vAlign w:val="center"/>
          </w:tcPr>
          <w:p>
            <w:pPr>
              <w:widowControl/>
              <w:jc w:val="left"/>
              <w:rPr>
                <w:b w:val="0"/>
                <w:bCs/>
                <w:iCs/>
                <w:kern w:val="0"/>
                <w:szCs w:val="21"/>
                <w:u w:val="none"/>
              </w:rPr>
            </w:pPr>
          </w:p>
        </w:tc>
        <w:tc>
          <w:tcPr>
            <w:tcW w:w="884" w:type="dxa"/>
            <w:tcMar>
              <w:top w:w="0" w:type="dxa"/>
              <w:left w:w="28" w:type="dxa"/>
              <w:bottom w:w="0" w:type="dxa"/>
              <w:right w:w="28" w:type="dxa"/>
            </w:tcMar>
            <w:vAlign w:val="center"/>
          </w:tcPr>
          <w:p>
            <w:pPr>
              <w:widowControl/>
              <w:snapToGrid w:val="0"/>
              <w:ind w:left="-15" w:leftChars="-51" w:right="-109" w:rightChars="-52" w:hanging="92" w:hangingChars="44"/>
              <w:jc w:val="center"/>
              <w:rPr>
                <w:b w:val="0"/>
                <w:bCs/>
                <w:iCs/>
                <w:kern w:val="0"/>
                <w:szCs w:val="21"/>
                <w:u w:val="none"/>
              </w:rPr>
            </w:pPr>
            <w:r>
              <w:rPr>
                <w:b w:val="0"/>
                <w:bCs/>
                <w:iCs/>
                <w:kern w:val="0"/>
                <w:szCs w:val="21"/>
                <w:u w:val="none"/>
              </w:rPr>
              <w:t>夏季</w:t>
            </w:r>
          </w:p>
        </w:tc>
        <w:tc>
          <w:tcPr>
            <w:tcW w:w="909" w:type="dxa"/>
            <w:tcMar>
              <w:top w:w="0" w:type="dxa"/>
              <w:left w:w="28" w:type="dxa"/>
              <w:bottom w:w="0" w:type="dxa"/>
              <w:right w:w="28" w:type="dxa"/>
            </w:tcMar>
            <w:vAlign w:val="center"/>
          </w:tcPr>
          <w:p>
            <w:pPr>
              <w:widowControl/>
              <w:snapToGrid w:val="0"/>
              <w:ind w:left="-15" w:leftChars="-51" w:right="-109" w:rightChars="-52" w:hanging="92" w:hangingChars="44"/>
              <w:jc w:val="center"/>
              <w:rPr>
                <w:b w:val="0"/>
                <w:bCs/>
                <w:iCs/>
                <w:kern w:val="0"/>
                <w:szCs w:val="21"/>
                <w:u w:val="none"/>
              </w:rPr>
            </w:pPr>
            <w:r>
              <w:rPr>
                <w:b w:val="0"/>
                <w:bCs/>
                <w:iCs/>
                <w:kern w:val="0"/>
                <w:szCs w:val="21"/>
                <w:u w:val="none"/>
              </w:rPr>
              <w:t>其他季节</w:t>
            </w:r>
          </w:p>
        </w:tc>
        <w:tc>
          <w:tcPr>
            <w:tcW w:w="1048" w:type="dxa"/>
            <w:vMerge w:val="continue"/>
            <w:tcMar>
              <w:top w:w="0" w:type="dxa"/>
              <w:left w:w="28" w:type="dxa"/>
              <w:bottom w:w="0" w:type="dxa"/>
              <w:right w:w="28" w:type="dxa"/>
            </w:tcMar>
            <w:vAlign w:val="center"/>
          </w:tcPr>
          <w:p>
            <w:pPr>
              <w:widowControl/>
              <w:jc w:val="left"/>
              <w:rPr>
                <w:b w:val="0"/>
                <w:bCs/>
                <w:iCs/>
                <w:kern w:val="0"/>
                <w:szCs w:val="21"/>
                <w:u w:val="none"/>
              </w:rPr>
            </w:pPr>
          </w:p>
        </w:tc>
        <w:tc>
          <w:tcPr>
            <w:tcW w:w="1734" w:type="dxa"/>
            <w:tcMar>
              <w:top w:w="0" w:type="dxa"/>
              <w:left w:w="28" w:type="dxa"/>
              <w:bottom w:w="0" w:type="dxa"/>
              <w:right w:w="28" w:type="dxa"/>
            </w:tcMar>
            <w:vAlign w:val="center"/>
          </w:tcPr>
          <w:p>
            <w:pPr>
              <w:widowControl/>
              <w:snapToGrid w:val="0"/>
              <w:ind w:left="-15" w:leftChars="-51" w:right="-109" w:rightChars="-52" w:hanging="92" w:hangingChars="44"/>
              <w:jc w:val="center"/>
              <w:rPr>
                <w:b w:val="0"/>
                <w:bCs/>
                <w:iCs/>
                <w:szCs w:val="21"/>
                <w:u w:val="none"/>
              </w:rPr>
            </w:pPr>
            <w:r>
              <w:rPr>
                <w:b w:val="0"/>
                <w:bCs/>
                <w:iCs/>
                <w:szCs w:val="21"/>
                <w:u w:val="none"/>
              </w:rPr>
              <w:t>夏季122d</w:t>
            </w:r>
          </w:p>
          <w:p>
            <w:pPr>
              <w:widowControl/>
              <w:snapToGrid w:val="0"/>
              <w:ind w:left="-15" w:leftChars="-51" w:right="-109" w:rightChars="-52" w:hanging="92" w:hangingChars="44"/>
              <w:jc w:val="center"/>
              <w:rPr>
                <w:b w:val="0"/>
                <w:bCs/>
                <w:iCs/>
                <w:szCs w:val="21"/>
                <w:u w:val="none"/>
              </w:rPr>
            </w:pPr>
            <w:r>
              <w:rPr>
                <w:b w:val="0"/>
                <w:bCs/>
                <w:iCs/>
                <w:kern w:val="0"/>
                <w:szCs w:val="21"/>
                <w:u w:val="none"/>
              </w:rPr>
              <w:t>（m</w:t>
            </w:r>
            <w:r>
              <w:rPr>
                <w:b w:val="0"/>
                <w:bCs/>
                <w:iCs/>
                <w:kern w:val="0"/>
                <w:szCs w:val="21"/>
                <w:u w:val="none"/>
                <w:vertAlign w:val="superscript"/>
              </w:rPr>
              <w:t>3</w:t>
            </w:r>
            <w:r>
              <w:rPr>
                <w:b w:val="0"/>
                <w:bCs/>
                <w:iCs/>
                <w:kern w:val="0"/>
                <w:szCs w:val="21"/>
                <w:u w:val="none"/>
              </w:rPr>
              <w:t>）</w:t>
            </w:r>
          </w:p>
        </w:tc>
        <w:tc>
          <w:tcPr>
            <w:tcW w:w="1944" w:type="dxa"/>
            <w:tcMar>
              <w:top w:w="0" w:type="dxa"/>
              <w:left w:w="28" w:type="dxa"/>
              <w:bottom w:w="0" w:type="dxa"/>
              <w:right w:w="28" w:type="dxa"/>
            </w:tcMar>
            <w:vAlign w:val="center"/>
          </w:tcPr>
          <w:p>
            <w:pPr>
              <w:widowControl/>
              <w:snapToGrid w:val="0"/>
              <w:ind w:left="-15" w:leftChars="-51" w:right="-109" w:rightChars="-52" w:hanging="92" w:hangingChars="44"/>
              <w:jc w:val="center"/>
              <w:rPr>
                <w:b w:val="0"/>
                <w:bCs/>
                <w:iCs/>
                <w:szCs w:val="21"/>
                <w:u w:val="none"/>
              </w:rPr>
            </w:pPr>
            <w:r>
              <w:rPr>
                <w:b w:val="0"/>
                <w:bCs/>
                <w:iCs/>
                <w:szCs w:val="21"/>
                <w:u w:val="none"/>
              </w:rPr>
              <w:t>其他季节243d</w:t>
            </w:r>
          </w:p>
          <w:p>
            <w:pPr>
              <w:widowControl/>
              <w:snapToGrid w:val="0"/>
              <w:ind w:left="-15" w:leftChars="-51" w:right="-109" w:rightChars="-52" w:hanging="92" w:hangingChars="44"/>
              <w:jc w:val="center"/>
              <w:rPr>
                <w:b w:val="0"/>
                <w:bCs/>
                <w:iCs/>
                <w:szCs w:val="21"/>
                <w:u w:val="none"/>
              </w:rPr>
            </w:pPr>
            <w:r>
              <w:rPr>
                <w:b w:val="0"/>
                <w:bCs/>
                <w:iCs/>
                <w:kern w:val="0"/>
                <w:szCs w:val="21"/>
                <w:u w:val="none"/>
              </w:rPr>
              <w:t>（m</w:t>
            </w:r>
            <w:r>
              <w:rPr>
                <w:b w:val="0"/>
                <w:bCs/>
                <w:iCs/>
                <w:kern w:val="0"/>
                <w:szCs w:val="21"/>
                <w:u w:val="none"/>
                <w:vertAlign w:val="superscript"/>
              </w:rPr>
              <w:t>3</w:t>
            </w:r>
            <w:r>
              <w:rPr>
                <w:b w:val="0"/>
                <w:bCs/>
                <w:iCs/>
                <w:kern w:val="0"/>
                <w:szCs w:val="21"/>
                <w:u w:val="none"/>
              </w:rPr>
              <w:t>）</w:t>
            </w:r>
          </w:p>
        </w:tc>
        <w:tc>
          <w:tcPr>
            <w:tcW w:w="1461" w:type="dxa"/>
            <w:tcMar>
              <w:top w:w="0" w:type="dxa"/>
              <w:left w:w="28" w:type="dxa"/>
              <w:bottom w:w="0" w:type="dxa"/>
              <w:right w:w="28" w:type="dxa"/>
            </w:tcMar>
            <w:vAlign w:val="center"/>
          </w:tcPr>
          <w:p>
            <w:pPr>
              <w:widowControl/>
              <w:snapToGrid w:val="0"/>
              <w:ind w:right="-109" w:rightChars="-52"/>
              <w:jc w:val="center"/>
              <w:rPr>
                <w:b w:val="0"/>
                <w:bCs/>
                <w:iCs/>
                <w:kern w:val="0"/>
                <w:szCs w:val="21"/>
                <w:u w:val="none"/>
              </w:rPr>
            </w:pPr>
            <w:r>
              <w:rPr>
                <w:b w:val="0"/>
                <w:bCs/>
                <w:iCs/>
                <w:kern w:val="0"/>
                <w:szCs w:val="21"/>
                <w:u w:val="none"/>
              </w:rPr>
              <w:t>（m</w:t>
            </w:r>
            <w:r>
              <w:rPr>
                <w:b w:val="0"/>
                <w:bCs/>
                <w:iCs/>
                <w:kern w:val="0"/>
                <w:szCs w:val="21"/>
                <w:u w:val="none"/>
                <w:vertAlign w:val="superscript"/>
              </w:rPr>
              <w:t>3</w:t>
            </w:r>
            <w:r>
              <w:rPr>
                <w:b w:val="0"/>
                <w:bCs/>
                <w:iCs/>
                <w:kern w:val="0"/>
                <w:szCs w:val="21"/>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dxa"/>
            <w:tcMar>
              <w:top w:w="0" w:type="dxa"/>
              <w:left w:w="28" w:type="dxa"/>
              <w:bottom w:w="0" w:type="dxa"/>
              <w:right w:w="28" w:type="dxa"/>
            </w:tcMar>
            <w:vAlign w:val="center"/>
          </w:tcPr>
          <w:p>
            <w:pPr>
              <w:jc w:val="center"/>
              <w:rPr>
                <w:b w:val="0"/>
                <w:bCs/>
                <w:szCs w:val="21"/>
                <w:u w:val="none"/>
              </w:rPr>
            </w:pPr>
            <w:r>
              <w:rPr>
                <w:b w:val="0"/>
                <w:bCs/>
                <w:szCs w:val="21"/>
                <w:u w:val="none"/>
              </w:rPr>
              <w:t>保育猪</w:t>
            </w:r>
          </w:p>
        </w:tc>
        <w:tc>
          <w:tcPr>
            <w:tcW w:w="884" w:type="dxa"/>
            <w:tcMar>
              <w:top w:w="0" w:type="dxa"/>
              <w:left w:w="28" w:type="dxa"/>
              <w:bottom w:w="0" w:type="dxa"/>
              <w:right w:w="28" w:type="dxa"/>
            </w:tcMar>
            <w:vAlign w:val="center"/>
          </w:tcPr>
          <w:p>
            <w:pPr>
              <w:adjustRightInd w:val="0"/>
              <w:snapToGrid w:val="0"/>
              <w:spacing w:before="156" w:after="156"/>
              <w:jc w:val="center"/>
              <w:rPr>
                <w:b w:val="0"/>
                <w:bCs/>
                <w:color w:val="000000"/>
                <w:szCs w:val="21"/>
                <w:u w:val="none"/>
              </w:rPr>
            </w:pPr>
            <w:r>
              <w:rPr>
                <w:b w:val="0"/>
                <w:bCs/>
                <w:color w:val="000000"/>
                <w:szCs w:val="21"/>
                <w:u w:val="none"/>
              </w:rPr>
              <w:t>5.5</w:t>
            </w:r>
          </w:p>
        </w:tc>
        <w:tc>
          <w:tcPr>
            <w:tcW w:w="909" w:type="dxa"/>
            <w:tcMar>
              <w:top w:w="0" w:type="dxa"/>
              <w:left w:w="28" w:type="dxa"/>
              <w:bottom w:w="0" w:type="dxa"/>
              <w:right w:w="28" w:type="dxa"/>
            </w:tcMar>
            <w:vAlign w:val="center"/>
          </w:tcPr>
          <w:p>
            <w:pPr>
              <w:adjustRightInd w:val="0"/>
              <w:snapToGrid w:val="0"/>
              <w:spacing w:before="156" w:after="156"/>
              <w:jc w:val="center"/>
              <w:rPr>
                <w:b w:val="0"/>
                <w:bCs/>
                <w:color w:val="000000"/>
                <w:szCs w:val="21"/>
                <w:u w:val="none"/>
              </w:rPr>
            </w:pPr>
            <w:r>
              <w:rPr>
                <w:b w:val="0"/>
                <w:bCs/>
                <w:color w:val="000000"/>
                <w:szCs w:val="21"/>
                <w:u w:val="none"/>
              </w:rPr>
              <w:t>3</w:t>
            </w:r>
          </w:p>
        </w:tc>
        <w:tc>
          <w:tcPr>
            <w:tcW w:w="1048" w:type="dxa"/>
            <w:tcMar>
              <w:top w:w="0" w:type="dxa"/>
              <w:left w:w="28" w:type="dxa"/>
              <w:bottom w:w="0" w:type="dxa"/>
              <w:right w:w="28" w:type="dxa"/>
            </w:tcMar>
            <w:vAlign w:val="center"/>
          </w:tcPr>
          <w:p>
            <w:pPr>
              <w:jc w:val="center"/>
              <w:rPr>
                <w:rFonts w:hint="default" w:eastAsia="宋体"/>
                <w:b w:val="0"/>
                <w:bCs/>
                <w:szCs w:val="21"/>
                <w:u w:val="none"/>
                <w:lang w:val="en-US" w:eastAsia="zh-CN"/>
              </w:rPr>
            </w:pPr>
            <w:r>
              <w:rPr>
                <w:rFonts w:hint="eastAsia"/>
                <w:b w:val="0"/>
                <w:bCs/>
                <w:szCs w:val="21"/>
                <w:u w:val="none"/>
                <w:lang w:val="en-US" w:eastAsia="zh-CN"/>
              </w:rPr>
              <w:t>1750</w:t>
            </w:r>
          </w:p>
        </w:tc>
        <w:tc>
          <w:tcPr>
            <w:tcW w:w="1734" w:type="dxa"/>
            <w:tcMar>
              <w:top w:w="0" w:type="dxa"/>
              <w:left w:w="28" w:type="dxa"/>
              <w:bottom w:w="0" w:type="dxa"/>
              <w:right w:w="28" w:type="dxa"/>
            </w:tcMar>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1174.25</w:t>
            </w:r>
          </w:p>
        </w:tc>
        <w:tc>
          <w:tcPr>
            <w:tcW w:w="1944" w:type="dxa"/>
            <w:tcMar>
              <w:top w:w="0" w:type="dxa"/>
              <w:left w:w="28" w:type="dxa"/>
              <w:bottom w:w="0" w:type="dxa"/>
              <w:right w:w="28" w:type="dxa"/>
            </w:tcMar>
            <w:vAlign w:val="center"/>
          </w:tcPr>
          <w:p>
            <w:pPr>
              <w:jc w:val="center"/>
              <w:rPr>
                <w:rFonts w:hint="default" w:eastAsia="宋体"/>
                <w:b w:val="0"/>
                <w:bCs/>
                <w:sz w:val="22"/>
                <w:szCs w:val="22"/>
                <w:u w:val="none"/>
                <w:lang w:val="en-US" w:eastAsia="zh-CN"/>
              </w:rPr>
            </w:pPr>
            <w:r>
              <w:rPr>
                <w:rFonts w:hint="eastAsia"/>
                <w:b w:val="0"/>
                <w:bCs/>
                <w:sz w:val="22"/>
                <w:szCs w:val="22"/>
                <w:u w:val="none"/>
                <w:lang w:val="en-US" w:eastAsia="zh-CN"/>
              </w:rPr>
              <w:t>1275.75</w:t>
            </w:r>
          </w:p>
        </w:tc>
        <w:tc>
          <w:tcPr>
            <w:tcW w:w="1461" w:type="dxa"/>
            <w:tcMar>
              <w:top w:w="0" w:type="dxa"/>
              <w:left w:w="28" w:type="dxa"/>
              <w:bottom w:w="0" w:type="dxa"/>
              <w:right w:w="28" w:type="dxa"/>
            </w:tcMar>
            <w:vAlign w:val="center"/>
          </w:tcPr>
          <w:p>
            <w:pPr>
              <w:jc w:val="center"/>
              <w:rPr>
                <w:rFonts w:hint="eastAsia"/>
                <w:b w:val="0"/>
                <w:bCs/>
                <w:color w:val="000000"/>
                <w:szCs w:val="21"/>
                <w:u w:val="none"/>
                <w:lang w:val="en-US" w:eastAsia="zh-CN"/>
              </w:rPr>
            </w:pPr>
            <w:r>
              <w:rPr>
                <w:rFonts w:hint="eastAsia"/>
                <w:b w:val="0"/>
                <w:bCs/>
                <w:color w:val="000000"/>
                <w:szCs w:val="21"/>
                <w:u w:val="none"/>
                <w:lang w:val="en-US" w:eastAsia="zh-CN"/>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dxa"/>
            <w:tcMar>
              <w:top w:w="0" w:type="dxa"/>
              <w:left w:w="28" w:type="dxa"/>
              <w:bottom w:w="0" w:type="dxa"/>
              <w:right w:w="28" w:type="dxa"/>
            </w:tcMar>
            <w:vAlign w:val="center"/>
          </w:tcPr>
          <w:p>
            <w:pPr>
              <w:jc w:val="center"/>
              <w:rPr>
                <w:b w:val="0"/>
                <w:bCs/>
                <w:szCs w:val="21"/>
                <w:u w:val="none"/>
              </w:rPr>
            </w:pPr>
            <w:r>
              <w:rPr>
                <w:b w:val="0"/>
                <w:bCs/>
                <w:szCs w:val="21"/>
                <w:u w:val="none"/>
              </w:rPr>
              <w:t>育肥猪</w:t>
            </w:r>
          </w:p>
        </w:tc>
        <w:tc>
          <w:tcPr>
            <w:tcW w:w="884" w:type="dxa"/>
            <w:tcMar>
              <w:top w:w="0" w:type="dxa"/>
              <w:left w:w="28" w:type="dxa"/>
              <w:bottom w:w="0" w:type="dxa"/>
              <w:right w:w="28" w:type="dxa"/>
            </w:tcMar>
            <w:vAlign w:val="center"/>
          </w:tcPr>
          <w:p>
            <w:pPr>
              <w:adjustRightInd w:val="0"/>
              <w:snapToGrid w:val="0"/>
              <w:spacing w:before="156" w:after="156"/>
              <w:jc w:val="center"/>
              <w:rPr>
                <w:b w:val="0"/>
                <w:bCs/>
                <w:color w:val="000000"/>
                <w:szCs w:val="21"/>
                <w:u w:val="none"/>
              </w:rPr>
            </w:pPr>
            <w:r>
              <w:rPr>
                <w:b w:val="0"/>
                <w:bCs/>
                <w:color w:val="000000"/>
                <w:szCs w:val="21"/>
                <w:u w:val="none"/>
              </w:rPr>
              <w:t>11</w:t>
            </w:r>
          </w:p>
        </w:tc>
        <w:tc>
          <w:tcPr>
            <w:tcW w:w="909" w:type="dxa"/>
            <w:tcMar>
              <w:top w:w="0" w:type="dxa"/>
              <w:left w:w="28" w:type="dxa"/>
              <w:bottom w:w="0" w:type="dxa"/>
              <w:right w:w="28" w:type="dxa"/>
            </w:tcMar>
            <w:vAlign w:val="center"/>
          </w:tcPr>
          <w:p>
            <w:pPr>
              <w:adjustRightInd w:val="0"/>
              <w:snapToGrid w:val="0"/>
              <w:spacing w:before="156" w:after="156"/>
              <w:jc w:val="center"/>
              <w:rPr>
                <w:b w:val="0"/>
                <w:bCs/>
                <w:color w:val="000000"/>
                <w:szCs w:val="21"/>
                <w:u w:val="none"/>
              </w:rPr>
            </w:pPr>
            <w:r>
              <w:rPr>
                <w:b w:val="0"/>
                <w:bCs/>
                <w:color w:val="000000"/>
                <w:szCs w:val="21"/>
                <w:u w:val="none"/>
              </w:rPr>
              <w:t>6.5</w:t>
            </w:r>
          </w:p>
        </w:tc>
        <w:tc>
          <w:tcPr>
            <w:tcW w:w="1048" w:type="dxa"/>
            <w:tcMar>
              <w:top w:w="0" w:type="dxa"/>
              <w:left w:w="28" w:type="dxa"/>
              <w:bottom w:w="0" w:type="dxa"/>
              <w:right w:w="28" w:type="dxa"/>
            </w:tcMar>
            <w:vAlign w:val="center"/>
          </w:tcPr>
          <w:p>
            <w:pPr>
              <w:jc w:val="center"/>
              <w:rPr>
                <w:rFonts w:hint="default" w:eastAsia="宋体"/>
                <w:b w:val="0"/>
                <w:bCs/>
                <w:szCs w:val="21"/>
                <w:u w:val="none"/>
                <w:lang w:val="en-US" w:eastAsia="zh-CN"/>
              </w:rPr>
            </w:pPr>
            <w:r>
              <w:rPr>
                <w:rFonts w:hint="eastAsia"/>
                <w:b w:val="0"/>
                <w:bCs/>
                <w:szCs w:val="21"/>
                <w:u w:val="none"/>
                <w:lang w:val="en-US" w:eastAsia="zh-CN"/>
              </w:rPr>
              <w:t>3250</w:t>
            </w:r>
          </w:p>
        </w:tc>
        <w:tc>
          <w:tcPr>
            <w:tcW w:w="1734" w:type="dxa"/>
            <w:tcMar>
              <w:top w:w="0" w:type="dxa"/>
              <w:left w:w="28" w:type="dxa"/>
              <w:bottom w:w="0" w:type="dxa"/>
              <w:right w:w="28" w:type="dxa"/>
            </w:tcMar>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4361.5</w:t>
            </w:r>
          </w:p>
        </w:tc>
        <w:tc>
          <w:tcPr>
            <w:tcW w:w="1944" w:type="dxa"/>
            <w:tcMar>
              <w:top w:w="0" w:type="dxa"/>
              <w:left w:w="28" w:type="dxa"/>
              <w:bottom w:w="0" w:type="dxa"/>
              <w:right w:w="28" w:type="dxa"/>
            </w:tcMar>
            <w:vAlign w:val="center"/>
          </w:tcPr>
          <w:p>
            <w:pPr>
              <w:jc w:val="center"/>
              <w:rPr>
                <w:rFonts w:hint="default" w:eastAsia="宋体"/>
                <w:b w:val="0"/>
                <w:bCs/>
                <w:sz w:val="22"/>
                <w:szCs w:val="22"/>
                <w:u w:val="none"/>
                <w:lang w:val="en-US" w:eastAsia="zh-CN"/>
              </w:rPr>
            </w:pPr>
            <w:r>
              <w:rPr>
                <w:rFonts w:hint="eastAsia"/>
                <w:b w:val="0"/>
                <w:bCs/>
                <w:sz w:val="22"/>
                <w:szCs w:val="22"/>
                <w:u w:val="none"/>
                <w:lang w:val="en-US" w:eastAsia="zh-CN"/>
              </w:rPr>
              <w:t>5133.375</w:t>
            </w:r>
          </w:p>
        </w:tc>
        <w:tc>
          <w:tcPr>
            <w:tcW w:w="1461" w:type="dxa"/>
            <w:tcMar>
              <w:top w:w="0" w:type="dxa"/>
              <w:left w:w="28" w:type="dxa"/>
              <w:bottom w:w="0" w:type="dxa"/>
              <w:right w:w="28" w:type="dxa"/>
            </w:tcMar>
            <w:vAlign w:val="center"/>
          </w:tcPr>
          <w:p>
            <w:pPr>
              <w:jc w:val="center"/>
              <w:rPr>
                <w:rFonts w:hint="eastAsia"/>
                <w:b w:val="0"/>
                <w:bCs/>
                <w:color w:val="000000"/>
                <w:szCs w:val="21"/>
                <w:u w:val="none"/>
                <w:lang w:val="en-US" w:eastAsia="zh-CN"/>
              </w:rPr>
            </w:pPr>
            <w:r>
              <w:rPr>
                <w:rFonts w:hint="eastAsia"/>
                <w:b w:val="0"/>
                <w:bCs/>
                <w:color w:val="000000"/>
                <w:szCs w:val="21"/>
                <w:u w:val="none"/>
                <w:lang w:val="en-US" w:eastAsia="zh-CN"/>
              </w:rPr>
              <w:t>9494.875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08" w:type="dxa"/>
            <w:tcMar>
              <w:top w:w="0" w:type="dxa"/>
              <w:left w:w="28" w:type="dxa"/>
              <w:bottom w:w="0" w:type="dxa"/>
              <w:right w:w="28" w:type="dxa"/>
            </w:tcMar>
            <w:vAlign w:val="center"/>
          </w:tcPr>
          <w:p>
            <w:pPr>
              <w:jc w:val="center"/>
              <w:rPr>
                <w:rFonts w:hint="eastAsia" w:eastAsia="宋体"/>
                <w:b w:val="0"/>
                <w:bCs/>
                <w:szCs w:val="21"/>
                <w:u w:val="none"/>
                <w:lang w:val="en-US" w:eastAsia="zh-CN"/>
              </w:rPr>
            </w:pPr>
            <w:r>
              <w:rPr>
                <w:rFonts w:hint="eastAsia"/>
                <w:b w:val="0"/>
                <w:bCs/>
                <w:szCs w:val="21"/>
                <w:u w:val="none"/>
                <w:lang w:val="en-US" w:eastAsia="zh-CN"/>
              </w:rPr>
              <w:t>后备猪</w:t>
            </w:r>
          </w:p>
        </w:tc>
        <w:tc>
          <w:tcPr>
            <w:tcW w:w="884" w:type="dxa"/>
            <w:tcMar>
              <w:top w:w="0" w:type="dxa"/>
              <w:left w:w="28" w:type="dxa"/>
              <w:bottom w:w="0" w:type="dxa"/>
              <w:right w:w="28" w:type="dxa"/>
            </w:tcMar>
            <w:vAlign w:val="center"/>
          </w:tcPr>
          <w:p>
            <w:pPr>
              <w:adjustRightInd w:val="0"/>
              <w:snapToGrid w:val="0"/>
              <w:spacing w:before="156" w:after="156"/>
              <w:jc w:val="center"/>
              <w:rPr>
                <w:b w:val="0"/>
                <w:bCs/>
                <w:color w:val="000000"/>
                <w:szCs w:val="21"/>
                <w:u w:val="none"/>
              </w:rPr>
            </w:pPr>
            <w:r>
              <w:rPr>
                <w:b w:val="0"/>
                <w:bCs/>
                <w:color w:val="000000"/>
                <w:szCs w:val="21"/>
                <w:u w:val="none"/>
              </w:rPr>
              <w:t>11</w:t>
            </w:r>
          </w:p>
        </w:tc>
        <w:tc>
          <w:tcPr>
            <w:tcW w:w="909" w:type="dxa"/>
            <w:tcMar>
              <w:top w:w="0" w:type="dxa"/>
              <w:left w:w="28" w:type="dxa"/>
              <w:bottom w:w="0" w:type="dxa"/>
              <w:right w:w="28" w:type="dxa"/>
            </w:tcMar>
            <w:vAlign w:val="center"/>
          </w:tcPr>
          <w:p>
            <w:pPr>
              <w:adjustRightInd w:val="0"/>
              <w:snapToGrid w:val="0"/>
              <w:spacing w:before="156" w:after="156"/>
              <w:jc w:val="center"/>
              <w:rPr>
                <w:b w:val="0"/>
                <w:bCs/>
                <w:color w:val="000000"/>
                <w:szCs w:val="21"/>
                <w:u w:val="none"/>
              </w:rPr>
            </w:pPr>
            <w:r>
              <w:rPr>
                <w:b w:val="0"/>
                <w:bCs/>
                <w:color w:val="000000"/>
                <w:szCs w:val="21"/>
                <w:u w:val="none"/>
              </w:rPr>
              <w:t>6.5</w:t>
            </w:r>
          </w:p>
        </w:tc>
        <w:tc>
          <w:tcPr>
            <w:tcW w:w="1048" w:type="dxa"/>
            <w:tcMar>
              <w:top w:w="0" w:type="dxa"/>
              <w:left w:w="28" w:type="dxa"/>
              <w:bottom w:w="0" w:type="dxa"/>
              <w:right w:w="28" w:type="dxa"/>
            </w:tcMar>
            <w:vAlign w:val="center"/>
          </w:tcPr>
          <w:p>
            <w:pPr>
              <w:jc w:val="center"/>
              <w:rPr>
                <w:rFonts w:hint="default" w:eastAsia="宋体"/>
                <w:b w:val="0"/>
                <w:bCs/>
                <w:szCs w:val="21"/>
                <w:u w:val="none"/>
                <w:lang w:val="en-US" w:eastAsia="zh-CN"/>
              </w:rPr>
            </w:pPr>
            <w:r>
              <w:rPr>
                <w:rFonts w:hint="eastAsia"/>
                <w:b w:val="0"/>
                <w:bCs/>
                <w:szCs w:val="21"/>
                <w:u w:val="none"/>
                <w:lang w:val="en-US" w:eastAsia="zh-CN"/>
              </w:rPr>
              <w:t>100</w:t>
            </w:r>
          </w:p>
        </w:tc>
        <w:tc>
          <w:tcPr>
            <w:tcW w:w="1734" w:type="dxa"/>
            <w:tcMar>
              <w:top w:w="0" w:type="dxa"/>
              <w:left w:w="28" w:type="dxa"/>
              <w:bottom w:w="0" w:type="dxa"/>
              <w:right w:w="28" w:type="dxa"/>
            </w:tcMar>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134.2</w:t>
            </w:r>
          </w:p>
        </w:tc>
        <w:tc>
          <w:tcPr>
            <w:tcW w:w="1944" w:type="dxa"/>
            <w:tcMar>
              <w:top w:w="0" w:type="dxa"/>
              <w:left w:w="28" w:type="dxa"/>
              <w:bottom w:w="0" w:type="dxa"/>
              <w:right w:w="28" w:type="dxa"/>
            </w:tcMar>
            <w:vAlign w:val="center"/>
          </w:tcPr>
          <w:p>
            <w:pPr>
              <w:jc w:val="center"/>
              <w:rPr>
                <w:rFonts w:hint="default" w:eastAsia="宋体"/>
                <w:b w:val="0"/>
                <w:bCs/>
                <w:sz w:val="22"/>
                <w:szCs w:val="22"/>
                <w:u w:val="none"/>
                <w:lang w:val="en-US" w:eastAsia="zh-CN"/>
              </w:rPr>
            </w:pPr>
            <w:r>
              <w:rPr>
                <w:rFonts w:hint="eastAsia"/>
                <w:b w:val="0"/>
                <w:bCs/>
                <w:sz w:val="22"/>
                <w:szCs w:val="22"/>
                <w:u w:val="none"/>
                <w:lang w:val="en-US" w:eastAsia="zh-CN"/>
              </w:rPr>
              <w:t>157.95</w:t>
            </w:r>
          </w:p>
        </w:tc>
        <w:tc>
          <w:tcPr>
            <w:tcW w:w="1461" w:type="dxa"/>
            <w:tcMar>
              <w:top w:w="0" w:type="dxa"/>
              <w:left w:w="28" w:type="dxa"/>
              <w:bottom w:w="0" w:type="dxa"/>
              <w:right w:w="28" w:type="dxa"/>
            </w:tcMar>
            <w:vAlign w:val="center"/>
          </w:tcPr>
          <w:p>
            <w:pPr>
              <w:jc w:val="center"/>
              <w:rPr>
                <w:rFonts w:hint="eastAsia"/>
                <w:b w:val="0"/>
                <w:bCs/>
                <w:color w:val="000000"/>
                <w:szCs w:val="21"/>
                <w:u w:val="none"/>
                <w:lang w:val="en-US" w:eastAsia="zh-CN"/>
              </w:rPr>
            </w:pPr>
            <w:r>
              <w:rPr>
                <w:rFonts w:hint="eastAsia"/>
                <w:b w:val="0"/>
                <w:bCs/>
                <w:color w:val="000000"/>
                <w:szCs w:val="21"/>
                <w:u w:val="none"/>
                <w:lang w:val="en-US" w:eastAsia="zh-CN"/>
              </w:rPr>
              <w:t>292.15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9" w:type="dxa"/>
            <w:gridSpan w:val="4"/>
            <w:tcMar>
              <w:top w:w="0" w:type="dxa"/>
              <w:left w:w="28" w:type="dxa"/>
              <w:bottom w:w="0" w:type="dxa"/>
              <w:right w:w="28" w:type="dxa"/>
            </w:tcMar>
            <w:vAlign w:val="center"/>
          </w:tcPr>
          <w:p>
            <w:pPr>
              <w:widowControl/>
              <w:snapToGrid w:val="0"/>
              <w:ind w:left="-15" w:leftChars="-51" w:right="-109" w:rightChars="-52" w:hanging="92" w:hangingChars="44"/>
              <w:jc w:val="center"/>
              <w:rPr>
                <w:b w:val="0"/>
                <w:bCs/>
                <w:iCs/>
                <w:kern w:val="0"/>
                <w:szCs w:val="21"/>
                <w:u w:val="none"/>
              </w:rPr>
            </w:pPr>
            <w:r>
              <w:rPr>
                <w:b w:val="0"/>
                <w:bCs/>
                <w:iCs/>
                <w:kern w:val="0"/>
                <w:szCs w:val="21"/>
                <w:u w:val="none"/>
              </w:rPr>
              <w:t>合    计</w:t>
            </w:r>
          </w:p>
        </w:tc>
        <w:tc>
          <w:tcPr>
            <w:tcW w:w="1734" w:type="dxa"/>
            <w:tcMar>
              <w:top w:w="0" w:type="dxa"/>
              <w:left w:w="28" w:type="dxa"/>
              <w:bottom w:w="0" w:type="dxa"/>
              <w:right w:w="28" w:type="dxa"/>
            </w:tcMar>
            <w:vAlign w:val="bottom"/>
          </w:tcPr>
          <w:p>
            <w:pPr>
              <w:jc w:val="center"/>
              <w:rPr>
                <w:rFonts w:hint="eastAsia"/>
                <w:b w:val="0"/>
                <w:bCs/>
                <w:color w:val="000000"/>
                <w:szCs w:val="21"/>
                <w:u w:val="none"/>
                <w:lang w:val="en-US" w:eastAsia="zh-CN"/>
              </w:rPr>
            </w:pPr>
            <w:r>
              <w:rPr>
                <w:rFonts w:hint="eastAsia"/>
                <w:b w:val="0"/>
                <w:bCs/>
                <w:color w:val="000000"/>
                <w:szCs w:val="21"/>
                <w:u w:val="none"/>
                <w:lang w:val="en-US" w:eastAsia="zh-CN"/>
              </w:rPr>
              <w:t>5669.95</w:t>
            </w:r>
          </w:p>
        </w:tc>
        <w:tc>
          <w:tcPr>
            <w:tcW w:w="1944" w:type="dxa"/>
            <w:tcMar>
              <w:top w:w="0" w:type="dxa"/>
              <w:left w:w="28" w:type="dxa"/>
              <w:bottom w:w="0" w:type="dxa"/>
              <w:right w:w="28" w:type="dxa"/>
            </w:tcMar>
            <w:vAlign w:val="center"/>
          </w:tcPr>
          <w:p>
            <w:pPr>
              <w:jc w:val="center"/>
              <w:rPr>
                <w:rFonts w:hint="eastAsia"/>
                <w:b w:val="0"/>
                <w:bCs/>
                <w:color w:val="000000"/>
                <w:szCs w:val="21"/>
                <w:u w:val="none"/>
                <w:lang w:val="en-US" w:eastAsia="zh-CN"/>
              </w:rPr>
            </w:pPr>
            <w:r>
              <w:rPr>
                <w:rFonts w:hint="eastAsia"/>
                <w:b w:val="0"/>
                <w:bCs/>
                <w:color w:val="000000"/>
                <w:szCs w:val="21"/>
                <w:u w:val="none"/>
                <w:lang w:val="en-US" w:eastAsia="zh-CN"/>
              </w:rPr>
              <w:t>6567.075</w:t>
            </w:r>
          </w:p>
        </w:tc>
        <w:tc>
          <w:tcPr>
            <w:tcW w:w="1461" w:type="dxa"/>
            <w:tcMar>
              <w:top w:w="0" w:type="dxa"/>
              <w:left w:w="28" w:type="dxa"/>
              <w:bottom w:w="0" w:type="dxa"/>
              <w:right w:w="28" w:type="dxa"/>
            </w:tcMar>
            <w:vAlign w:val="center"/>
          </w:tcPr>
          <w:p>
            <w:pPr>
              <w:jc w:val="center"/>
              <w:rPr>
                <w:rFonts w:hint="eastAsia"/>
                <w:b w:val="0"/>
                <w:bCs/>
                <w:color w:val="000000"/>
                <w:szCs w:val="21"/>
                <w:u w:val="none"/>
                <w:lang w:val="en-US" w:eastAsia="zh-CN"/>
              </w:rPr>
            </w:pPr>
            <w:r>
              <w:rPr>
                <w:rFonts w:hint="eastAsia"/>
                <w:b w:val="0"/>
                <w:bCs/>
                <w:color w:val="000000"/>
                <w:szCs w:val="21"/>
                <w:u w:val="none"/>
                <w:lang w:val="en-US" w:eastAsia="zh-CN"/>
              </w:rPr>
              <w:t>12237.025</w:t>
            </w:r>
          </w:p>
        </w:tc>
      </w:tr>
    </w:tbl>
    <w:p>
      <w:pPr>
        <w:spacing w:afterLines="30" w:line="520" w:lineRule="exact"/>
        <w:jc w:val="center"/>
        <w:rPr>
          <w:b w:val="0"/>
          <w:bCs/>
          <w:sz w:val="24"/>
          <w:u w:val="none"/>
        </w:rPr>
      </w:pPr>
      <w:r>
        <w:rPr>
          <w:b w:val="0"/>
          <w:bCs/>
          <w:sz w:val="24"/>
          <w:u w:val="none"/>
        </w:rPr>
        <w:t>表2.1-10     猪舍冲洗水用水一览表</w:t>
      </w:r>
    </w:p>
    <w:tbl>
      <w:tblPr>
        <w:tblStyle w:val="45"/>
        <w:tblW w:w="8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486"/>
        <w:gridCol w:w="3040"/>
        <w:gridCol w:w="1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3816" w:type="dxa"/>
            <w:gridSpan w:val="2"/>
            <w:tcMar>
              <w:top w:w="0" w:type="dxa"/>
              <w:left w:w="0" w:type="dxa"/>
              <w:bottom w:w="0" w:type="dxa"/>
              <w:right w:w="0" w:type="dxa"/>
            </w:tcMar>
            <w:vAlign w:val="center"/>
          </w:tcPr>
          <w:p>
            <w:pPr>
              <w:jc w:val="center"/>
              <w:rPr>
                <w:b w:val="0"/>
                <w:bCs/>
                <w:iCs/>
                <w:szCs w:val="21"/>
                <w:u w:val="none"/>
              </w:rPr>
            </w:pPr>
            <w:r>
              <w:rPr>
                <w:b w:val="0"/>
                <w:bCs/>
                <w:iCs/>
                <w:u w:val="none"/>
              </w:rPr>
              <w:t>种类</w:t>
            </w:r>
          </w:p>
        </w:tc>
        <w:tc>
          <w:tcPr>
            <w:tcW w:w="3040" w:type="dxa"/>
            <w:tcMar>
              <w:top w:w="0" w:type="dxa"/>
              <w:left w:w="0" w:type="dxa"/>
              <w:bottom w:w="0" w:type="dxa"/>
              <w:right w:w="0" w:type="dxa"/>
            </w:tcMar>
            <w:vAlign w:val="center"/>
          </w:tcPr>
          <w:p>
            <w:pPr>
              <w:jc w:val="center"/>
              <w:rPr>
                <w:b w:val="0"/>
                <w:bCs/>
                <w:iCs/>
                <w:szCs w:val="21"/>
                <w:u w:val="none"/>
              </w:rPr>
            </w:pPr>
            <w:r>
              <w:rPr>
                <w:b w:val="0"/>
                <w:bCs/>
                <w:iCs/>
                <w:u w:val="none"/>
              </w:rPr>
              <w:t>保育</w:t>
            </w:r>
            <w:r>
              <w:rPr>
                <w:b w:val="0"/>
                <w:bCs/>
                <w:iCs/>
                <w:szCs w:val="21"/>
                <w:u w:val="none"/>
              </w:rPr>
              <w:t>育肥一体舍</w:t>
            </w:r>
          </w:p>
        </w:tc>
        <w:tc>
          <w:tcPr>
            <w:tcW w:w="1999" w:type="dxa"/>
            <w:vAlign w:val="center"/>
          </w:tcPr>
          <w:p>
            <w:pPr>
              <w:jc w:val="center"/>
              <w:rPr>
                <w:b w:val="0"/>
                <w:bCs/>
                <w:iCs/>
                <w:szCs w:val="21"/>
                <w:u w:val="none"/>
              </w:rPr>
            </w:pPr>
            <w:r>
              <w:rPr>
                <w:b w:val="0"/>
                <w:bCs/>
                <w:iCs/>
                <w:u w:val="none"/>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816" w:type="dxa"/>
            <w:gridSpan w:val="2"/>
            <w:tcMar>
              <w:top w:w="0" w:type="dxa"/>
              <w:left w:w="0" w:type="dxa"/>
              <w:bottom w:w="0" w:type="dxa"/>
              <w:right w:w="0" w:type="dxa"/>
            </w:tcMar>
            <w:vAlign w:val="center"/>
          </w:tcPr>
          <w:p>
            <w:pPr>
              <w:jc w:val="center"/>
              <w:rPr>
                <w:b w:val="0"/>
                <w:bCs/>
                <w:iCs/>
                <w:szCs w:val="21"/>
                <w:u w:val="none"/>
              </w:rPr>
            </w:pPr>
            <w:r>
              <w:rPr>
                <w:b w:val="0"/>
                <w:bCs/>
                <w:iCs/>
                <w:u w:val="none"/>
              </w:rPr>
              <w:t>猪舍（单元）</w:t>
            </w:r>
          </w:p>
        </w:tc>
        <w:tc>
          <w:tcPr>
            <w:tcW w:w="3040" w:type="dxa"/>
            <w:tcMar>
              <w:top w:w="0" w:type="dxa"/>
              <w:left w:w="0" w:type="dxa"/>
              <w:bottom w:w="0" w:type="dxa"/>
              <w:right w:w="0" w:type="dxa"/>
            </w:tcMar>
            <w:vAlign w:val="center"/>
          </w:tcPr>
          <w:p>
            <w:pPr>
              <w:jc w:val="center"/>
              <w:rPr>
                <w:rFonts w:hint="default" w:eastAsia="宋体"/>
                <w:b w:val="0"/>
                <w:bCs/>
                <w:szCs w:val="21"/>
                <w:u w:val="none"/>
                <w:lang w:val="en-US" w:eastAsia="zh-CN"/>
              </w:rPr>
            </w:pPr>
            <w:r>
              <w:rPr>
                <w:rFonts w:hint="eastAsia"/>
                <w:b w:val="0"/>
                <w:bCs/>
                <w:szCs w:val="21"/>
                <w:u w:val="none"/>
                <w:lang w:val="en-US" w:eastAsia="zh-CN"/>
              </w:rPr>
              <w:t>30</w:t>
            </w:r>
          </w:p>
        </w:tc>
        <w:tc>
          <w:tcPr>
            <w:tcW w:w="1999" w:type="dxa"/>
            <w:vAlign w:val="center"/>
          </w:tcPr>
          <w:p>
            <w:pPr>
              <w:jc w:val="center"/>
              <w:rPr>
                <w:b w:val="0"/>
                <w:bCs/>
                <w:iCs/>
                <w:szCs w:val="21"/>
                <w:u w:val="none"/>
              </w:rPr>
            </w:pPr>
            <w:r>
              <w:rPr>
                <w:b w:val="0"/>
                <w:bCs/>
                <w:iCs/>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816" w:type="dxa"/>
            <w:gridSpan w:val="2"/>
            <w:tcMar>
              <w:top w:w="0" w:type="dxa"/>
              <w:left w:w="0" w:type="dxa"/>
              <w:bottom w:w="0" w:type="dxa"/>
              <w:right w:w="0" w:type="dxa"/>
            </w:tcMar>
            <w:vAlign w:val="center"/>
          </w:tcPr>
          <w:p>
            <w:pPr>
              <w:jc w:val="center"/>
              <w:rPr>
                <w:b w:val="0"/>
                <w:bCs/>
                <w:iCs/>
                <w:szCs w:val="21"/>
                <w:u w:val="none"/>
              </w:rPr>
            </w:pPr>
            <w:r>
              <w:rPr>
                <w:b w:val="0"/>
                <w:bCs/>
                <w:iCs/>
                <w:u w:val="none"/>
              </w:rPr>
              <w:t>清圈周期（d）</w:t>
            </w:r>
          </w:p>
        </w:tc>
        <w:tc>
          <w:tcPr>
            <w:tcW w:w="3040" w:type="dxa"/>
            <w:tcMar>
              <w:top w:w="0" w:type="dxa"/>
              <w:left w:w="0" w:type="dxa"/>
              <w:bottom w:w="0" w:type="dxa"/>
              <w:right w:w="0" w:type="dxa"/>
            </w:tcMar>
            <w:vAlign w:val="center"/>
          </w:tcPr>
          <w:p>
            <w:pPr>
              <w:jc w:val="center"/>
              <w:rPr>
                <w:b w:val="0"/>
                <w:bCs/>
                <w:szCs w:val="21"/>
                <w:u w:val="none"/>
              </w:rPr>
            </w:pPr>
            <w:r>
              <w:rPr>
                <w:b w:val="0"/>
                <w:bCs/>
                <w:szCs w:val="21"/>
                <w:u w:val="none"/>
              </w:rPr>
              <w:t>56+117</w:t>
            </w:r>
          </w:p>
        </w:tc>
        <w:tc>
          <w:tcPr>
            <w:tcW w:w="1999" w:type="dxa"/>
            <w:vAlign w:val="center"/>
          </w:tcPr>
          <w:p>
            <w:pPr>
              <w:jc w:val="center"/>
              <w:rPr>
                <w:b w:val="0"/>
                <w:bCs/>
                <w:iCs/>
                <w:szCs w:val="21"/>
                <w:u w:val="none"/>
              </w:rPr>
            </w:pPr>
            <w:r>
              <w:rPr>
                <w:b w:val="0"/>
                <w:bCs/>
                <w:iCs/>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16" w:type="dxa"/>
            <w:gridSpan w:val="2"/>
            <w:tcMar>
              <w:top w:w="0" w:type="dxa"/>
              <w:left w:w="0" w:type="dxa"/>
              <w:bottom w:w="0" w:type="dxa"/>
              <w:right w:w="0" w:type="dxa"/>
            </w:tcMar>
            <w:vAlign w:val="center"/>
          </w:tcPr>
          <w:p>
            <w:pPr>
              <w:jc w:val="center"/>
              <w:rPr>
                <w:b w:val="0"/>
                <w:bCs/>
                <w:iCs/>
                <w:szCs w:val="21"/>
                <w:u w:val="none"/>
              </w:rPr>
            </w:pPr>
            <w:r>
              <w:rPr>
                <w:b w:val="0"/>
                <w:bCs/>
                <w:iCs/>
                <w:u w:val="none"/>
              </w:rPr>
              <w:t>清圈次数（次/a）</w:t>
            </w:r>
          </w:p>
        </w:tc>
        <w:tc>
          <w:tcPr>
            <w:tcW w:w="3040" w:type="dxa"/>
            <w:tcMar>
              <w:top w:w="0" w:type="dxa"/>
              <w:left w:w="0" w:type="dxa"/>
              <w:bottom w:w="0" w:type="dxa"/>
              <w:right w:w="0" w:type="dxa"/>
            </w:tcMar>
            <w:vAlign w:val="center"/>
          </w:tcPr>
          <w:p>
            <w:pPr>
              <w:jc w:val="center"/>
              <w:rPr>
                <w:b w:val="0"/>
                <w:bCs/>
                <w:szCs w:val="21"/>
                <w:u w:val="none"/>
              </w:rPr>
            </w:pPr>
            <w:r>
              <w:rPr>
                <w:b w:val="0"/>
                <w:bCs/>
                <w:szCs w:val="21"/>
                <w:u w:val="none"/>
              </w:rPr>
              <w:t>2</w:t>
            </w:r>
          </w:p>
        </w:tc>
        <w:tc>
          <w:tcPr>
            <w:tcW w:w="1999" w:type="dxa"/>
            <w:vAlign w:val="center"/>
          </w:tcPr>
          <w:p>
            <w:pPr>
              <w:jc w:val="center"/>
              <w:rPr>
                <w:b w:val="0"/>
                <w:bCs/>
                <w:iCs/>
                <w:szCs w:val="21"/>
                <w:u w:val="none"/>
              </w:rPr>
            </w:pPr>
            <w:r>
              <w:rPr>
                <w:b w:val="0"/>
                <w:bCs/>
                <w:iCs/>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30" w:type="dxa"/>
            <w:vMerge w:val="restart"/>
            <w:tcMar>
              <w:top w:w="0" w:type="dxa"/>
              <w:left w:w="0" w:type="dxa"/>
              <w:bottom w:w="0" w:type="dxa"/>
              <w:right w:w="0" w:type="dxa"/>
            </w:tcMar>
            <w:vAlign w:val="center"/>
          </w:tcPr>
          <w:p>
            <w:pPr>
              <w:jc w:val="center"/>
              <w:rPr>
                <w:b w:val="0"/>
                <w:bCs/>
                <w:iCs/>
                <w:szCs w:val="21"/>
                <w:u w:val="none"/>
              </w:rPr>
            </w:pPr>
            <w:r>
              <w:rPr>
                <w:b w:val="0"/>
                <w:bCs/>
                <w:iCs/>
                <w:u w:val="none"/>
              </w:rPr>
              <w:t>猪舍冲洗水</w:t>
            </w:r>
          </w:p>
        </w:tc>
        <w:tc>
          <w:tcPr>
            <w:tcW w:w="1486" w:type="dxa"/>
            <w:vAlign w:val="center"/>
          </w:tcPr>
          <w:p>
            <w:pPr>
              <w:jc w:val="center"/>
              <w:rPr>
                <w:b w:val="0"/>
                <w:bCs/>
                <w:szCs w:val="21"/>
                <w:u w:val="none"/>
              </w:rPr>
            </w:pPr>
            <w:r>
              <w:rPr>
                <w:b w:val="0"/>
                <w:bCs/>
                <w:iCs/>
                <w:kern w:val="0"/>
                <w:szCs w:val="21"/>
                <w:u w:val="none"/>
              </w:rPr>
              <w:t>新鲜水m</w:t>
            </w:r>
            <w:r>
              <w:rPr>
                <w:b w:val="0"/>
                <w:bCs/>
                <w:iCs/>
                <w:kern w:val="0"/>
                <w:szCs w:val="21"/>
                <w:u w:val="none"/>
                <w:vertAlign w:val="superscript"/>
              </w:rPr>
              <w:t>3</w:t>
            </w:r>
            <w:r>
              <w:rPr>
                <w:b w:val="0"/>
                <w:bCs/>
                <w:iCs/>
                <w:kern w:val="0"/>
                <w:szCs w:val="21"/>
                <w:u w:val="none"/>
              </w:rPr>
              <w:t>/次</w:t>
            </w:r>
          </w:p>
        </w:tc>
        <w:tc>
          <w:tcPr>
            <w:tcW w:w="3040" w:type="dxa"/>
            <w:tcMar>
              <w:top w:w="0" w:type="dxa"/>
              <w:left w:w="0" w:type="dxa"/>
              <w:bottom w:w="0" w:type="dxa"/>
              <w:right w:w="0" w:type="dxa"/>
            </w:tcMar>
            <w:vAlign w:val="center"/>
          </w:tcPr>
          <w:p>
            <w:pPr>
              <w:jc w:val="center"/>
              <w:rPr>
                <w:b w:val="0"/>
                <w:bCs/>
                <w:color w:val="000000"/>
                <w:szCs w:val="21"/>
                <w:u w:val="none"/>
              </w:rPr>
            </w:pPr>
            <w:r>
              <w:rPr>
                <w:b w:val="0"/>
                <w:bCs/>
                <w:color w:val="000000"/>
                <w:szCs w:val="21"/>
                <w:u w:val="none"/>
              </w:rPr>
              <w:t>18</w:t>
            </w:r>
          </w:p>
        </w:tc>
        <w:tc>
          <w:tcPr>
            <w:tcW w:w="1999" w:type="dxa"/>
            <w:vAlign w:val="center"/>
          </w:tcPr>
          <w:p>
            <w:pPr>
              <w:jc w:val="center"/>
              <w:rPr>
                <w:b w:val="0"/>
                <w:bCs/>
                <w:iCs/>
                <w:szCs w:val="21"/>
                <w:u w:val="none"/>
              </w:rPr>
            </w:pPr>
            <w:r>
              <w:rPr>
                <w:b w:val="0"/>
                <w:bCs/>
                <w:iCs/>
                <w:u w:val="none"/>
              </w:rPr>
              <w:t>/</w:t>
            </w:r>
          </w:p>
        </w:tc>
      </w:tr>
      <w:tr>
        <w:tblPrEx>
          <w:tblCellMar>
            <w:top w:w="0" w:type="dxa"/>
            <w:left w:w="108" w:type="dxa"/>
            <w:bottom w:w="0" w:type="dxa"/>
            <w:right w:w="108" w:type="dxa"/>
          </w:tblCellMar>
        </w:tblPrEx>
        <w:trPr>
          <w:trHeight w:val="285" w:hRule="atLeast"/>
          <w:jc w:val="center"/>
        </w:trPr>
        <w:tc>
          <w:tcPr>
            <w:tcW w:w="2330" w:type="dxa"/>
            <w:vMerge w:val="continue"/>
            <w:tcMar>
              <w:top w:w="0" w:type="dxa"/>
              <w:left w:w="0" w:type="dxa"/>
              <w:bottom w:w="0" w:type="dxa"/>
              <w:right w:w="0" w:type="dxa"/>
            </w:tcMar>
            <w:vAlign w:val="center"/>
          </w:tcPr>
          <w:p>
            <w:pPr>
              <w:jc w:val="center"/>
              <w:rPr>
                <w:b w:val="0"/>
                <w:bCs/>
                <w:iCs/>
                <w:u w:val="none"/>
              </w:rPr>
            </w:pPr>
          </w:p>
        </w:tc>
        <w:tc>
          <w:tcPr>
            <w:tcW w:w="1486" w:type="dxa"/>
            <w:vAlign w:val="center"/>
          </w:tcPr>
          <w:p>
            <w:pPr>
              <w:jc w:val="center"/>
              <w:rPr>
                <w:b w:val="0"/>
                <w:bCs/>
                <w:iCs/>
                <w:kern w:val="0"/>
                <w:szCs w:val="21"/>
                <w:u w:val="none"/>
              </w:rPr>
            </w:pPr>
            <w:r>
              <w:rPr>
                <w:b w:val="0"/>
                <w:bCs/>
                <w:iCs/>
                <w:kern w:val="0"/>
                <w:szCs w:val="21"/>
                <w:u w:val="none"/>
              </w:rPr>
              <w:t>沼液m</w:t>
            </w:r>
            <w:r>
              <w:rPr>
                <w:b w:val="0"/>
                <w:bCs/>
                <w:iCs/>
                <w:kern w:val="0"/>
                <w:szCs w:val="21"/>
                <w:u w:val="none"/>
                <w:vertAlign w:val="superscript"/>
              </w:rPr>
              <w:t>3</w:t>
            </w:r>
            <w:r>
              <w:rPr>
                <w:b w:val="0"/>
                <w:bCs/>
                <w:iCs/>
                <w:kern w:val="0"/>
                <w:szCs w:val="21"/>
                <w:u w:val="none"/>
              </w:rPr>
              <w:t>/次</w:t>
            </w:r>
          </w:p>
        </w:tc>
        <w:tc>
          <w:tcPr>
            <w:tcW w:w="3040" w:type="dxa"/>
            <w:tcMar>
              <w:top w:w="0" w:type="dxa"/>
              <w:left w:w="0" w:type="dxa"/>
              <w:bottom w:w="0" w:type="dxa"/>
              <w:right w:w="0" w:type="dxa"/>
            </w:tcMar>
            <w:vAlign w:val="center"/>
          </w:tcPr>
          <w:p>
            <w:pPr>
              <w:jc w:val="center"/>
              <w:rPr>
                <w:b w:val="0"/>
                <w:bCs/>
                <w:color w:val="000000"/>
                <w:szCs w:val="21"/>
                <w:u w:val="none"/>
              </w:rPr>
            </w:pPr>
            <w:r>
              <w:rPr>
                <w:b w:val="0"/>
                <w:bCs/>
                <w:color w:val="000000"/>
                <w:szCs w:val="21"/>
                <w:u w:val="none"/>
              </w:rPr>
              <w:t>15</w:t>
            </w:r>
          </w:p>
        </w:tc>
        <w:tc>
          <w:tcPr>
            <w:tcW w:w="1999" w:type="dxa"/>
            <w:vAlign w:val="center"/>
          </w:tcPr>
          <w:p>
            <w:pPr>
              <w:jc w:val="center"/>
              <w:rPr>
                <w:b w:val="0"/>
                <w:bCs/>
                <w:iCs/>
                <w:u w:val="none"/>
              </w:rPr>
            </w:pPr>
            <w:r>
              <w:rPr>
                <w:b w:val="0"/>
                <w:bCs/>
                <w:iCs/>
                <w:u w:val="none"/>
              </w:rPr>
              <w:t>/</w:t>
            </w:r>
          </w:p>
        </w:tc>
      </w:tr>
      <w:tr>
        <w:tblPrEx>
          <w:tblCellMar>
            <w:top w:w="0" w:type="dxa"/>
            <w:left w:w="108" w:type="dxa"/>
            <w:bottom w:w="0" w:type="dxa"/>
            <w:right w:w="108" w:type="dxa"/>
          </w:tblCellMar>
        </w:tblPrEx>
        <w:trPr>
          <w:trHeight w:val="151" w:hRule="atLeast"/>
          <w:jc w:val="center"/>
        </w:trPr>
        <w:tc>
          <w:tcPr>
            <w:tcW w:w="2330" w:type="dxa"/>
            <w:vMerge w:val="continue"/>
            <w:vAlign w:val="center"/>
          </w:tcPr>
          <w:p>
            <w:pPr>
              <w:widowControl/>
              <w:jc w:val="left"/>
              <w:rPr>
                <w:b w:val="0"/>
                <w:bCs/>
                <w:iCs/>
                <w:szCs w:val="21"/>
                <w:u w:val="none"/>
              </w:rPr>
            </w:pPr>
          </w:p>
        </w:tc>
        <w:tc>
          <w:tcPr>
            <w:tcW w:w="1486" w:type="dxa"/>
            <w:vAlign w:val="center"/>
          </w:tcPr>
          <w:p>
            <w:pPr>
              <w:jc w:val="center"/>
              <w:rPr>
                <w:b w:val="0"/>
                <w:bCs/>
                <w:color w:val="000000"/>
                <w:szCs w:val="21"/>
                <w:u w:val="none"/>
              </w:rPr>
            </w:pPr>
            <w:r>
              <w:rPr>
                <w:b w:val="0"/>
                <w:bCs/>
                <w:iCs/>
                <w:kern w:val="0"/>
                <w:szCs w:val="21"/>
                <w:u w:val="none"/>
              </w:rPr>
              <w:t>新鲜水m</w:t>
            </w:r>
            <w:r>
              <w:rPr>
                <w:b w:val="0"/>
                <w:bCs/>
                <w:iCs/>
                <w:kern w:val="0"/>
                <w:szCs w:val="21"/>
                <w:u w:val="none"/>
                <w:vertAlign w:val="superscript"/>
              </w:rPr>
              <w:t>3</w:t>
            </w:r>
            <w:r>
              <w:rPr>
                <w:b w:val="0"/>
                <w:bCs/>
                <w:iCs/>
                <w:kern w:val="0"/>
                <w:szCs w:val="21"/>
                <w:u w:val="none"/>
              </w:rPr>
              <w:t>/a</w:t>
            </w:r>
          </w:p>
        </w:tc>
        <w:tc>
          <w:tcPr>
            <w:tcW w:w="3040" w:type="dxa"/>
            <w:tcMar>
              <w:top w:w="0" w:type="dxa"/>
              <w:left w:w="0" w:type="dxa"/>
              <w:bottom w:w="0" w:type="dxa"/>
              <w:right w:w="0" w:type="dxa"/>
            </w:tcMar>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1080</w:t>
            </w:r>
          </w:p>
        </w:tc>
        <w:tc>
          <w:tcPr>
            <w:tcW w:w="1999"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1080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30" w:type="dxa"/>
            <w:vMerge w:val="continue"/>
            <w:vAlign w:val="center"/>
          </w:tcPr>
          <w:p>
            <w:pPr>
              <w:widowControl/>
              <w:jc w:val="left"/>
              <w:rPr>
                <w:b w:val="0"/>
                <w:bCs/>
                <w:iCs/>
                <w:szCs w:val="21"/>
                <w:u w:val="none"/>
              </w:rPr>
            </w:pPr>
          </w:p>
        </w:tc>
        <w:tc>
          <w:tcPr>
            <w:tcW w:w="1486" w:type="dxa"/>
            <w:vAlign w:val="center"/>
          </w:tcPr>
          <w:p>
            <w:pPr>
              <w:jc w:val="center"/>
              <w:rPr>
                <w:b w:val="0"/>
                <w:bCs/>
                <w:iCs/>
                <w:kern w:val="0"/>
                <w:szCs w:val="21"/>
                <w:u w:val="none"/>
              </w:rPr>
            </w:pPr>
            <w:r>
              <w:rPr>
                <w:b w:val="0"/>
                <w:bCs/>
                <w:iCs/>
                <w:kern w:val="0"/>
                <w:szCs w:val="21"/>
                <w:u w:val="none"/>
              </w:rPr>
              <w:t>沼液m</w:t>
            </w:r>
            <w:r>
              <w:rPr>
                <w:b w:val="0"/>
                <w:bCs/>
                <w:iCs/>
                <w:kern w:val="0"/>
                <w:szCs w:val="21"/>
                <w:u w:val="none"/>
                <w:vertAlign w:val="superscript"/>
              </w:rPr>
              <w:t>3</w:t>
            </w:r>
            <w:r>
              <w:rPr>
                <w:b w:val="0"/>
                <w:bCs/>
                <w:iCs/>
                <w:kern w:val="0"/>
                <w:szCs w:val="21"/>
                <w:u w:val="none"/>
              </w:rPr>
              <w:t>/a</w:t>
            </w:r>
          </w:p>
        </w:tc>
        <w:tc>
          <w:tcPr>
            <w:tcW w:w="3040" w:type="dxa"/>
            <w:tcMar>
              <w:top w:w="0" w:type="dxa"/>
              <w:left w:w="0" w:type="dxa"/>
              <w:bottom w:w="0" w:type="dxa"/>
              <w:right w:w="0" w:type="dxa"/>
            </w:tcMar>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900</w:t>
            </w:r>
          </w:p>
        </w:tc>
        <w:tc>
          <w:tcPr>
            <w:tcW w:w="1999" w:type="dxa"/>
            <w:vAlign w:val="bottom"/>
          </w:tcPr>
          <w:p>
            <w:pPr>
              <w:jc w:val="center"/>
              <w:rPr>
                <w:rFonts w:hint="default" w:eastAsia="宋体"/>
                <w:b w:val="0"/>
                <w:bCs/>
                <w:szCs w:val="21"/>
                <w:u w:val="none"/>
                <w:lang w:val="en-US" w:eastAsia="zh-CN"/>
              </w:rPr>
            </w:pPr>
            <w:r>
              <w:rPr>
                <w:rFonts w:hint="eastAsia"/>
                <w:b w:val="0"/>
                <w:bCs/>
                <w:szCs w:val="21"/>
                <w:u w:val="none"/>
                <w:lang w:val="en-US" w:eastAsia="zh-CN"/>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30" w:type="dxa"/>
            <w:vMerge w:val="continue"/>
            <w:vAlign w:val="center"/>
          </w:tcPr>
          <w:p>
            <w:pPr>
              <w:widowControl/>
              <w:jc w:val="left"/>
              <w:rPr>
                <w:b w:val="0"/>
                <w:bCs/>
                <w:iCs/>
                <w:szCs w:val="21"/>
                <w:u w:val="none"/>
              </w:rPr>
            </w:pPr>
          </w:p>
        </w:tc>
        <w:tc>
          <w:tcPr>
            <w:tcW w:w="4526" w:type="dxa"/>
            <w:gridSpan w:val="2"/>
            <w:vAlign w:val="center"/>
          </w:tcPr>
          <w:p>
            <w:pPr>
              <w:jc w:val="center"/>
              <w:rPr>
                <w:b w:val="0"/>
                <w:bCs/>
                <w:color w:val="000000"/>
                <w:szCs w:val="21"/>
                <w:u w:val="none"/>
              </w:rPr>
            </w:pPr>
            <w:r>
              <w:rPr>
                <w:b w:val="0"/>
                <w:bCs/>
                <w:color w:val="000000"/>
                <w:szCs w:val="21"/>
                <w:u w:val="none"/>
              </w:rPr>
              <w:t>合计</w:t>
            </w:r>
          </w:p>
        </w:tc>
        <w:tc>
          <w:tcPr>
            <w:tcW w:w="1999" w:type="dxa"/>
            <w:vAlign w:val="center"/>
          </w:tcPr>
          <w:p>
            <w:pPr>
              <w:jc w:val="center"/>
              <w:rPr>
                <w:rFonts w:hint="default" w:eastAsia="宋体"/>
                <w:b w:val="0"/>
                <w:bCs/>
                <w:szCs w:val="21"/>
                <w:u w:val="none"/>
                <w:lang w:val="en-US" w:eastAsia="zh-CN"/>
              </w:rPr>
            </w:pPr>
            <w:r>
              <w:rPr>
                <w:rFonts w:hint="eastAsia"/>
                <w:b w:val="0"/>
                <w:bCs/>
                <w:szCs w:val="21"/>
                <w:u w:val="none"/>
                <w:lang w:val="en-US" w:eastAsia="zh-CN"/>
              </w:rPr>
              <w:t>1980</w:t>
            </w:r>
          </w:p>
        </w:tc>
      </w:tr>
    </w:tbl>
    <w:p>
      <w:pPr>
        <w:pStyle w:val="99"/>
        <w:spacing w:line="520" w:lineRule="exact"/>
        <w:ind w:firstLine="482"/>
        <w:rPr>
          <w:b w:val="0"/>
          <w:bCs/>
          <w:u w:val="none"/>
        </w:rPr>
      </w:pPr>
      <w:r>
        <w:rPr>
          <w:b w:val="0"/>
          <w:bCs/>
          <w:iCs/>
          <w:u w:val="none"/>
        </w:rPr>
        <w:t>猪舍冲洗水中新鲜水和沼液比例是6:5，猪舍冲洗用水总量为</w:t>
      </w:r>
      <w:r>
        <w:rPr>
          <w:rFonts w:hint="eastAsia"/>
          <w:b w:val="0"/>
          <w:bCs/>
          <w:iCs/>
          <w:u w:val="none"/>
          <w:lang w:val="en-US" w:eastAsia="zh-CN"/>
        </w:rPr>
        <w:t>1980</w:t>
      </w:r>
      <w:r>
        <w:rPr>
          <w:b w:val="0"/>
          <w:bCs/>
          <w:iCs/>
          <w:kern w:val="0"/>
          <w:szCs w:val="21"/>
          <w:u w:val="none"/>
        </w:rPr>
        <w:t xml:space="preserve"> m</w:t>
      </w:r>
      <w:r>
        <w:rPr>
          <w:b w:val="0"/>
          <w:bCs/>
          <w:iCs/>
          <w:kern w:val="0"/>
          <w:szCs w:val="21"/>
          <w:u w:val="none"/>
          <w:vertAlign w:val="superscript"/>
        </w:rPr>
        <w:t>3</w:t>
      </w:r>
      <w:r>
        <w:rPr>
          <w:b w:val="0"/>
          <w:bCs/>
          <w:iCs/>
          <w:kern w:val="0"/>
          <w:szCs w:val="21"/>
          <w:u w:val="none"/>
        </w:rPr>
        <w:t>/a，其中</w:t>
      </w:r>
      <w:r>
        <w:rPr>
          <w:b w:val="0"/>
          <w:bCs/>
          <w:iCs/>
          <w:u w:val="none"/>
        </w:rPr>
        <w:t>新鲜水用量为</w:t>
      </w:r>
      <w:r>
        <w:rPr>
          <w:rFonts w:hint="eastAsia"/>
          <w:b w:val="0"/>
          <w:bCs/>
          <w:iCs/>
          <w:u w:val="none"/>
          <w:lang w:val="en-US" w:eastAsia="zh-CN"/>
        </w:rPr>
        <w:t>1080</w:t>
      </w:r>
      <w:r>
        <w:rPr>
          <w:b w:val="0"/>
          <w:bCs/>
          <w:iCs/>
          <w:kern w:val="0"/>
          <w:szCs w:val="21"/>
          <w:u w:val="none"/>
        </w:rPr>
        <w:t>m</w:t>
      </w:r>
      <w:r>
        <w:rPr>
          <w:b w:val="0"/>
          <w:bCs/>
          <w:iCs/>
          <w:kern w:val="0"/>
          <w:szCs w:val="21"/>
          <w:u w:val="none"/>
          <w:vertAlign w:val="superscript"/>
        </w:rPr>
        <w:t>3</w:t>
      </w:r>
      <w:r>
        <w:rPr>
          <w:b w:val="0"/>
          <w:bCs/>
          <w:iCs/>
          <w:kern w:val="0"/>
          <w:szCs w:val="21"/>
          <w:u w:val="none"/>
        </w:rPr>
        <w:t>/a，沼液回用量为</w:t>
      </w:r>
      <w:r>
        <w:rPr>
          <w:rFonts w:hint="eastAsia"/>
          <w:b w:val="0"/>
          <w:bCs/>
          <w:iCs/>
          <w:kern w:val="0"/>
          <w:szCs w:val="21"/>
          <w:u w:val="none"/>
          <w:lang w:val="en-US" w:eastAsia="zh-CN"/>
        </w:rPr>
        <w:t>900</w:t>
      </w:r>
      <w:r>
        <w:rPr>
          <w:b w:val="0"/>
          <w:bCs/>
          <w:iCs/>
          <w:kern w:val="0"/>
          <w:szCs w:val="21"/>
          <w:u w:val="none"/>
        </w:rPr>
        <w:t xml:space="preserve"> m</w:t>
      </w:r>
      <w:r>
        <w:rPr>
          <w:b w:val="0"/>
          <w:bCs/>
          <w:iCs/>
          <w:kern w:val="0"/>
          <w:szCs w:val="21"/>
          <w:u w:val="none"/>
          <w:vertAlign w:val="superscript"/>
        </w:rPr>
        <w:t>3</w:t>
      </w:r>
      <w:r>
        <w:rPr>
          <w:b w:val="0"/>
          <w:bCs/>
          <w:iCs/>
          <w:kern w:val="0"/>
          <w:szCs w:val="21"/>
          <w:u w:val="none"/>
        </w:rPr>
        <w:t>/a。</w:t>
      </w:r>
    </w:p>
    <w:p>
      <w:pPr>
        <w:pStyle w:val="99"/>
        <w:ind w:firstLine="482"/>
        <w:rPr>
          <w:b w:val="0"/>
          <w:bCs/>
          <w:u w:val="none"/>
        </w:rPr>
      </w:pPr>
      <w:r>
        <w:rPr>
          <w:b w:val="0"/>
          <w:bCs/>
          <w:u w:val="none"/>
        </w:rPr>
        <w:t>2、猪舍降温用水</w:t>
      </w:r>
    </w:p>
    <w:p>
      <w:pPr>
        <w:spacing w:line="360" w:lineRule="auto"/>
        <w:ind w:firstLine="480" w:firstLineChars="200"/>
        <w:rPr>
          <w:b w:val="0"/>
          <w:bCs/>
          <w:sz w:val="24"/>
          <w:u w:val="none"/>
        </w:rPr>
      </w:pPr>
      <w:r>
        <w:rPr>
          <w:b w:val="0"/>
          <w:bCs/>
          <w:sz w:val="24"/>
          <w:u w:val="none"/>
        </w:rPr>
        <w:t>本项目夏季猪舍降温主要利用水帘降温，循环水量为210m</w:t>
      </w:r>
      <w:r>
        <w:rPr>
          <w:b w:val="0"/>
          <w:bCs/>
          <w:sz w:val="24"/>
          <w:u w:val="none"/>
          <w:vertAlign w:val="superscript"/>
        </w:rPr>
        <w:t>3</w:t>
      </w:r>
      <w:r>
        <w:rPr>
          <w:b w:val="0"/>
          <w:bCs/>
          <w:sz w:val="24"/>
          <w:u w:val="none"/>
        </w:rPr>
        <w:t>/d，损失部分主要是蒸发损失，损失量为12m</w:t>
      </w:r>
      <w:r>
        <w:rPr>
          <w:b w:val="0"/>
          <w:bCs/>
          <w:sz w:val="24"/>
          <w:u w:val="none"/>
          <w:vertAlign w:val="superscript"/>
        </w:rPr>
        <w:t>3</w:t>
      </w:r>
      <w:r>
        <w:rPr>
          <w:b w:val="0"/>
          <w:bCs/>
          <w:sz w:val="24"/>
          <w:u w:val="none"/>
        </w:rPr>
        <w:t>/d，损失的这部分水由新鲜水进行补充，</w:t>
      </w:r>
      <w:r>
        <w:rPr>
          <w:rFonts w:hint="eastAsia"/>
          <w:b w:val="0"/>
          <w:bCs/>
          <w:sz w:val="24"/>
          <w:u w:val="none"/>
          <w:lang w:val="en-US" w:eastAsia="zh-CN"/>
        </w:rPr>
        <w:t>降温喷淋时间</w:t>
      </w:r>
      <w:r>
        <w:rPr>
          <w:b w:val="0"/>
          <w:bCs/>
          <w:sz w:val="24"/>
          <w:u w:val="none"/>
        </w:rPr>
        <w:t>按</w:t>
      </w:r>
      <w:r>
        <w:rPr>
          <w:rFonts w:hint="eastAsia"/>
          <w:b w:val="0"/>
          <w:bCs/>
          <w:sz w:val="24"/>
          <w:u w:val="none"/>
          <w:lang w:val="en-US" w:eastAsia="zh-CN"/>
        </w:rPr>
        <w:t>60</w:t>
      </w:r>
      <w:r>
        <w:rPr>
          <w:b w:val="0"/>
          <w:bCs/>
          <w:sz w:val="24"/>
          <w:u w:val="none"/>
        </w:rPr>
        <w:t>天计算，则夏季猪舍降温用水为</w:t>
      </w:r>
      <w:r>
        <w:rPr>
          <w:rFonts w:hint="eastAsia"/>
          <w:b w:val="0"/>
          <w:bCs/>
          <w:sz w:val="24"/>
          <w:u w:val="none"/>
          <w:lang w:val="en-US" w:eastAsia="zh-CN"/>
        </w:rPr>
        <w:t>720</w:t>
      </w:r>
      <w:r>
        <w:rPr>
          <w:b w:val="0"/>
          <w:bCs/>
          <w:sz w:val="24"/>
          <w:u w:val="none"/>
        </w:rPr>
        <w:t>m</w:t>
      </w:r>
      <w:r>
        <w:rPr>
          <w:b w:val="0"/>
          <w:bCs/>
          <w:sz w:val="24"/>
          <w:u w:val="none"/>
          <w:vertAlign w:val="superscript"/>
        </w:rPr>
        <w:t>3</w:t>
      </w:r>
      <w:r>
        <w:rPr>
          <w:b w:val="0"/>
          <w:bCs/>
          <w:sz w:val="24"/>
          <w:u w:val="none"/>
        </w:rPr>
        <w:t>/</w:t>
      </w:r>
      <w:r>
        <w:rPr>
          <w:rFonts w:hint="eastAsia"/>
          <w:b w:val="0"/>
          <w:bCs/>
          <w:sz w:val="24"/>
          <w:u w:val="none"/>
          <w:lang w:val="en-US" w:eastAsia="zh-CN"/>
        </w:rPr>
        <w:t>60d、</w:t>
      </w:r>
      <w:r>
        <w:rPr>
          <w:b w:val="0"/>
          <w:bCs/>
          <w:sz w:val="24"/>
          <w:u w:val="none"/>
        </w:rPr>
        <w:t>1</w:t>
      </w:r>
      <w:r>
        <w:rPr>
          <w:rFonts w:hint="eastAsia"/>
          <w:b w:val="0"/>
          <w:bCs/>
          <w:sz w:val="24"/>
          <w:u w:val="none"/>
          <w:lang w:val="en-US" w:eastAsia="zh-CN"/>
        </w:rPr>
        <w:t>.97</w:t>
      </w:r>
      <w:r>
        <w:rPr>
          <w:b w:val="0"/>
          <w:bCs/>
          <w:sz w:val="24"/>
          <w:u w:val="none"/>
        </w:rPr>
        <w:t>m</w:t>
      </w:r>
      <w:r>
        <w:rPr>
          <w:b w:val="0"/>
          <w:bCs/>
          <w:sz w:val="24"/>
          <w:u w:val="none"/>
          <w:vertAlign w:val="superscript"/>
        </w:rPr>
        <w:t>3</w:t>
      </w:r>
      <w:r>
        <w:rPr>
          <w:b w:val="0"/>
          <w:bCs/>
          <w:sz w:val="24"/>
          <w:u w:val="none"/>
        </w:rPr>
        <w:t>/d。</w:t>
      </w:r>
    </w:p>
    <w:p>
      <w:pPr>
        <w:adjustRightInd w:val="0"/>
        <w:snapToGrid w:val="0"/>
        <w:spacing w:line="360" w:lineRule="auto"/>
        <w:ind w:firstLine="480" w:firstLineChars="200"/>
        <w:rPr>
          <w:b w:val="0"/>
          <w:bCs/>
          <w:color w:val="000000" w:themeColor="text1"/>
          <w:sz w:val="24"/>
          <w:szCs w:val="22"/>
          <w:u w:val="none"/>
        </w:rPr>
      </w:pPr>
      <w:r>
        <w:rPr>
          <w:b w:val="0"/>
          <w:bCs/>
          <w:color w:val="000000" w:themeColor="text1"/>
          <w:sz w:val="24"/>
          <w:u w:val="none"/>
        </w:rPr>
        <w:t>3、消毒用水</w:t>
      </w:r>
    </w:p>
    <w:p>
      <w:pPr>
        <w:adjustRightInd w:val="0"/>
        <w:snapToGrid w:val="0"/>
        <w:spacing w:line="360" w:lineRule="auto"/>
        <w:ind w:firstLine="472" w:firstLineChars="200"/>
        <w:rPr>
          <w:b w:val="0"/>
          <w:bCs/>
          <w:color w:val="000000" w:themeColor="text1"/>
          <w:u w:val="none"/>
        </w:rPr>
      </w:pPr>
      <w:r>
        <w:rPr>
          <w:b w:val="0"/>
          <w:bCs/>
          <w:color w:val="000000" w:themeColor="text1"/>
          <w:spacing w:val="-2"/>
          <w:sz w:val="24"/>
          <w:u w:val="none"/>
        </w:rPr>
        <w:t>主要是对人员及车辆消毒用水，用水量约为</w:t>
      </w:r>
      <w:r>
        <w:rPr>
          <w:rFonts w:hint="eastAsia"/>
          <w:b w:val="0"/>
          <w:bCs/>
          <w:color w:val="000000" w:themeColor="text1"/>
          <w:spacing w:val="-2"/>
          <w:sz w:val="24"/>
          <w:u w:val="none"/>
          <w:lang w:val="en-US" w:eastAsia="zh-CN"/>
        </w:rPr>
        <w:t>8</w:t>
      </w:r>
      <w:r>
        <w:rPr>
          <w:b w:val="0"/>
          <w:bCs/>
          <w:color w:val="000000" w:themeColor="text1"/>
          <w:spacing w:val="-2"/>
          <w:sz w:val="24"/>
          <w:u w:val="none"/>
        </w:rPr>
        <w:t>00m</w:t>
      </w:r>
      <w:r>
        <w:rPr>
          <w:b w:val="0"/>
          <w:bCs/>
          <w:color w:val="000000" w:themeColor="text1"/>
          <w:spacing w:val="-2"/>
          <w:sz w:val="24"/>
          <w:u w:val="none"/>
          <w:vertAlign w:val="superscript"/>
        </w:rPr>
        <w:t>3</w:t>
      </w:r>
      <w:r>
        <w:rPr>
          <w:b w:val="0"/>
          <w:bCs/>
          <w:color w:val="000000" w:themeColor="text1"/>
          <w:spacing w:val="-2"/>
          <w:sz w:val="24"/>
          <w:u w:val="none"/>
        </w:rPr>
        <w:t>/a，损耗蒸发或由汽车带走，不外排。</w:t>
      </w:r>
    </w:p>
    <w:p>
      <w:pPr>
        <w:pStyle w:val="99"/>
        <w:spacing w:line="520" w:lineRule="exact"/>
        <w:ind w:firstLine="482"/>
        <w:rPr>
          <w:b w:val="0"/>
          <w:bCs/>
          <w:u w:val="none"/>
        </w:rPr>
      </w:pPr>
      <w:r>
        <w:rPr>
          <w:rFonts w:hint="eastAsia"/>
          <w:b w:val="0"/>
          <w:bCs/>
          <w:u w:val="none"/>
          <w:lang w:val="en-US" w:eastAsia="zh-CN"/>
        </w:rPr>
        <w:t>4</w:t>
      </w:r>
      <w:r>
        <w:rPr>
          <w:b w:val="0"/>
          <w:bCs/>
          <w:u w:val="none"/>
        </w:rPr>
        <w:t>、员工生活用水</w:t>
      </w:r>
    </w:p>
    <w:p>
      <w:pPr>
        <w:pStyle w:val="99"/>
        <w:spacing w:line="520" w:lineRule="exact"/>
        <w:ind w:firstLine="482"/>
        <w:rPr>
          <w:b w:val="0"/>
          <w:bCs/>
          <w:color w:val="FF0000"/>
          <w:u w:val="none"/>
        </w:rPr>
      </w:pPr>
      <w:r>
        <w:rPr>
          <w:b w:val="0"/>
          <w:bCs/>
          <w:u w:val="none"/>
        </w:rPr>
        <w:t>项目设有员工食堂和宿舍，员工生活污水经内部管道引至</w:t>
      </w:r>
      <w:r>
        <w:rPr>
          <w:rFonts w:hint="eastAsia"/>
          <w:b w:val="0"/>
          <w:bCs/>
          <w:u w:val="none"/>
          <w:lang w:val="en-US" w:eastAsia="zh-CN"/>
        </w:rPr>
        <w:t>污水</w:t>
      </w:r>
      <w:r>
        <w:rPr>
          <w:b w:val="0"/>
          <w:bCs/>
          <w:u w:val="none"/>
        </w:rPr>
        <w:t>处理</w:t>
      </w:r>
      <w:r>
        <w:rPr>
          <w:rFonts w:hint="eastAsia"/>
          <w:b w:val="0"/>
          <w:bCs/>
          <w:u w:val="none"/>
          <w:lang w:val="en-US" w:eastAsia="zh-CN"/>
        </w:rPr>
        <w:t>工程</w:t>
      </w:r>
      <w:r>
        <w:rPr>
          <w:b w:val="0"/>
          <w:bCs/>
          <w:u w:val="none"/>
        </w:rPr>
        <w:t>，废水主要污染物为COD、BOD</w:t>
      </w:r>
      <w:r>
        <w:rPr>
          <w:b w:val="0"/>
          <w:bCs/>
          <w:u w:val="none"/>
          <w:vertAlign w:val="subscript"/>
        </w:rPr>
        <w:t>5</w:t>
      </w:r>
      <w:r>
        <w:rPr>
          <w:b w:val="0"/>
          <w:bCs/>
          <w:u w:val="none"/>
        </w:rPr>
        <w:t>、氨氮、动植物油等。本项目员工人数为</w:t>
      </w:r>
      <w:r>
        <w:rPr>
          <w:rFonts w:hint="eastAsia"/>
          <w:b w:val="0"/>
          <w:bCs/>
          <w:u w:val="none"/>
          <w:lang w:val="en-US" w:eastAsia="zh-CN"/>
        </w:rPr>
        <w:t>20</w:t>
      </w:r>
      <w:r>
        <w:rPr>
          <w:b w:val="0"/>
          <w:bCs/>
          <w:u w:val="none"/>
        </w:rPr>
        <w:t>人，年工作365天，用水量按120L/d·人，则生活用水量为</w:t>
      </w:r>
      <w:r>
        <w:rPr>
          <w:rFonts w:hint="eastAsia"/>
          <w:b w:val="0"/>
          <w:bCs/>
          <w:u w:val="none"/>
          <w:lang w:val="en-US" w:eastAsia="zh-CN"/>
        </w:rPr>
        <w:t>2.4</w:t>
      </w:r>
      <w:r>
        <w:rPr>
          <w:b w:val="0"/>
          <w:bCs/>
          <w:u w:val="none"/>
        </w:rPr>
        <w:t>m</w:t>
      </w:r>
      <w:r>
        <w:rPr>
          <w:b w:val="0"/>
          <w:bCs/>
          <w:u w:val="none"/>
          <w:vertAlign w:val="superscript"/>
        </w:rPr>
        <w:t>3</w:t>
      </w:r>
      <w:r>
        <w:rPr>
          <w:b w:val="0"/>
          <w:bCs/>
          <w:u w:val="none"/>
        </w:rPr>
        <w:t>/d、</w:t>
      </w:r>
      <w:r>
        <w:rPr>
          <w:rFonts w:hint="eastAsia"/>
          <w:b w:val="0"/>
          <w:bCs/>
          <w:u w:val="none"/>
          <w:lang w:val="en-US" w:eastAsia="zh-CN"/>
        </w:rPr>
        <w:t>876</w:t>
      </w:r>
      <w:r>
        <w:rPr>
          <w:b w:val="0"/>
          <w:bCs/>
          <w:u w:val="none"/>
        </w:rPr>
        <w:t>m</w:t>
      </w:r>
      <w:r>
        <w:rPr>
          <w:b w:val="0"/>
          <w:bCs/>
          <w:u w:val="none"/>
          <w:vertAlign w:val="superscript"/>
        </w:rPr>
        <w:t>3</w:t>
      </w:r>
      <w:r>
        <w:rPr>
          <w:b w:val="0"/>
          <w:bCs/>
          <w:u w:val="none"/>
        </w:rPr>
        <w:t>/a。废水排放量按用水量的80%计算，则生活污水产生量为</w:t>
      </w:r>
      <w:r>
        <w:rPr>
          <w:rFonts w:hint="eastAsia"/>
          <w:b w:val="0"/>
          <w:bCs/>
          <w:u w:val="none"/>
          <w:lang w:val="en-US" w:eastAsia="zh-CN"/>
        </w:rPr>
        <w:t>1.9</w:t>
      </w:r>
      <w:r>
        <w:rPr>
          <w:b w:val="0"/>
          <w:bCs/>
          <w:u w:val="none"/>
        </w:rPr>
        <w:t>2m</w:t>
      </w:r>
      <w:r>
        <w:rPr>
          <w:b w:val="0"/>
          <w:bCs/>
          <w:u w:val="none"/>
          <w:vertAlign w:val="superscript"/>
        </w:rPr>
        <w:t>3</w:t>
      </w:r>
      <w:r>
        <w:rPr>
          <w:b w:val="0"/>
          <w:bCs/>
          <w:u w:val="none"/>
        </w:rPr>
        <w:t>/d、</w:t>
      </w:r>
      <w:r>
        <w:rPr>
          <w:rFonts w:hint="eastAsia"/>
          <w:b w:val="0"/>
          <w:bCs/>
          <w:u w:val="none"/>
          <w:lang w:val="en-US" w:eastAsia="zh-CN"/>
        </w:rPr>
        <w:t>700</w:t>
      </w:r>
      <w:r>
        <w:rPr>
          <w:b w:val="0"/>
          <w:bCs/>
          <w:u w:val="none"/>
        </w:rPr>
        <w:t>.8m</w:t>
      </w:r>
      <w:r>
        <w:rPr>
          <w:b w:val="0"/>
          <w:bCs/>
          <w:u w:val="none"/>
          <w:vertAlign w:val="superscript"/>
        </w:rPr>
        <w:t>3</w:t>
      </w:r>
      <w:r>
        <w:rPr>
          <w:b w:val="0"/>
          <w:bCs/>
          <w:u w:val="none"/>
        </w:rPr>
        <w:t>/a。</w:t>
      </w:r>
    </w:p>
    <w:p>
      <w:pPr>
        <w:spacing w:line="520" w:lineRule="exact"/>
        <w:ind w:firstLine="480" w:firstLineChars="200"/>
        <w:rPr>
          <w:b w:val="0"/>
          <w:bCs/>
          <w:sz w:val="24"/>
          <w:u w:val="none"/>
        </w:rPr>
      </w:pPr>
      <w:r>
        <w:rPr>
          <w:b w:val="0"/>
          <w:bCs/>
          <w:sz w:val="24"/>
          <w:u w:val="none"/>
        </w:rPr>
        <w:t>项目新鲜用水消耗量一览表见表2.1-12。</w:t>
      </w:r>
    </w:p>
    <w:p>
      <w:pPr>
        <w:spacing w:line="500" w:lineRule="exact"/>
        <w:ind w:firstLine="480" w:firstLineChars="200"/>
        <w:jc w:val="center"/>
        <w:rPr>
          <w:b w:val="0"/>
          <w:bCs/>
          <w:sz w:val="24"/>
          <w:u w:val="none"/>
        </w:rPr>
      </w:pPr>
      <w:r>
        <w:rPr>
          <w:b w:val="0"/>
          <w:bCs/>
          <w:sz w:val="24"/>
          <w:u w:val="none"/>
        </w:rPr>
        <w:t>表2.1-12     项目新鲜水消耗量一览表</w:t>
      </w:r>
    </w:p>
    <w:tbl>
      <w:tblPr>
        <w:tblStyle w:val="45"/>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3581"/>
        <w:gridCol w:w="1789"/>
        <w:gridCol w:w="1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89" w:type="dxa"/>
            <w:vAlign w:val="center"/>
          </w:tcPr>
          <w:p>
            <w:pPr>
              <w:jc w:val="center"/>
              <w:rPr>
                <w:b w:val="0"/>
                <w:bCs/>
                <w:szCs w:val="21"/>
                <w:u w:val="none"/>
              </w:rPr>
            </w:pPr>
            <w:r>
              <w:rPr>
                <w:b w:val="0"/>
                <w:bCs/>
                <w:szCs w:val="21"/>
                <w:u w:val="none"/>
              </w:rPr>
              <w:t>序号</w:t>
            </w:r>
          </w:p>
        </w:tc>
        <w:tc>
          <w:tcPr>
            <w:tcW w:w="3581" w:type="dxa"/>
            <w:vAlign w:val="center"/>
          </w:tcPr>
          <w:p>
            <w:pPr>
              <w:jc w:val="center"/>
              <w:rPr>
                <w:b w:val="0"/>
                <w:bCs/>
                <w:szCs w:val="21"/>
                <w:u w:val="none"/>
              </w:rPr>
            </w:pPr>
            <w:r>
              <w:rPr>
                <w:b w:val="0"/>
                <w:bCs/>
                <w:szCs w:val="21"/>
                <w:u w:val="none"/>
              </w:rPr>
              <w:t>项目名称</w:t>
            </w:r>
          </w:p>
        </w:tc>
        <w:tc>
          <w:tcPr>
            <w:tcW w:w="1789" w:type="dxa"/>
            <w:vAlign w:val="center"/>
          </w:tcPr>
          <w:p>
            <w:pPr>
              <w:jc w:val="center"/>
              <w:rPr>
                <w:b w:val="0"/>
                <w:bCs/>
                <w:szCs w:val="21"/>
                <w:u w:val="none"/>
              </w:rPr>
            </w:pPr>
            <w:r>
              <w:rPr>
                <w:b w:val="0"/>
                <w:bCs/>
                <w:szCs w:val="21"/>
                <w:u w:val="none"/>
              </w:rPr>
              <w:t>单位</w:t>
            </w:r>
          </w:p>
        </w:tc>
        <w:tc>
          <w:tcPr>
            <w:tcW w:w="1789" w:type="dxa"/>
            <w:vAlign w:val="center"/>
          </w:tcPr>
          <w:p>
            <w:pPr>
              <w:jc w:val="center"/>
              <w:rPr>
                <w:b w:val="0"/>
                <w:bCs/>
                <w:szCs w:val="21"/>
                <w:u w:val="none"/>
              </w:rPr>
            </w:pPr>
            <w:r>
              <w:rPr>
                <w:b w:val="0"/>
                <w:bCs/>
                <w:szCs w:val="21"/>
                <w:u w:val="none"/>
              </w:rPr>
              <w:t>年消耗量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 w:val="0"/>
                <w:bCs/>
                <w:szCs w:val="21"/>
                <w:u w:val="none"/>
              </w:rPr>
            </w:pPr>
            <w:r>
              <w:rPr>
                <w:b w:val="0"/>
                <w:bCs/>
                <w:szCs w:val="21"/>
                <w:u w:val="none"/>
              </w:rPr>
              <w:t>1</w:t>
            </w:r>
          </w:p>
        </w:tc>
        <w:tc>
          <w:tcPr>
            <w:tcW w:w="3581" w:type="dxa"/>
            <w:vAlign w:val="center"/>
          </w:tcPr>
          <w:p>
            <w:pPr>
              <w:jc w:val="center"/>
              <w:rPr>
                <w:b w:val="0"/>
                <w:bCs/>
                <w:szCs w:val="21"/>
                <w:u w:val="none"/>
              </w:rPr>
            </w:pPr>
            <w:r>
              <w:rPr>
                <w:b w:val="0"/>
                <w:bCs/>
                <w:szCs w:val="21"/>
                <w:u w:val="none"/>
              </w:rPr>
              <w:t>猪只饮用水</w:t>
            </w:r>
          </w:p>
        </w:tc>
        <w:tc>
          <w:tcPr>
            <w:tcW w:w="1789" w:type="dxa"/>
            <w:vAlign w:val="center"/>
          </w:tcPr>
          <w:p>
            <w:pPr>
              <w:jc w:val="center"/>
              <w:rPr>
                <w:b w:val="0"/>
                <w:bCs/>
                <w:szCs w:val="21"/>
                <w:u w:val="none"/>
              </w:rPr>
            </w:pPr>
            <w:r>
              <w:rPr>
                <w:b w:val="0"/>
                <w:bCs/>
                <w:kern w:val="0"/>
                <w:szCs w:val="21"/>
                <w:u w:val="none"/>
              </w:rPr>
              <w:t>m</w:t>
            </w:r>
            <w:r>
              <w:rPr>
                <w:b w:val="0"/>
                <w:bCs/>
                <w:kern w:val="0"/>
                <w:szCs w:val="21"/>
                <w:u w:val="none"/>
                <w:vertAlign w:val="superscript"/>
              </w:rPr>
              <w:t>3</w:t>
            </w:r>
          </w:p>
        </w:tc>
        <w:tc>
          <w:tcPr>
            <w:tcW w:w="1789" w:type="dxa"/>
            <w:vAlign w:val="center"/>
          </w:tcPr>
          <w:p>
            <w:pPr>
              <w:jc w:val="center"/>
              <w:rPr>
                <w:b w:val="0"/>
                <w:bCs/>
                <w:iCs/>
                <w:color w:val="FF0000"/>
                <w:sz w:val="21"/>
                <w:szCs w:val="21"/>
                <w:u w:val="none"/>
              </w:rPr>
            </w:pPr>
            <w:r>
              <w:rPr>
                <w:rFonts w:hint="eastAsia"/>
                <w:b w:val="0"/>
                <w:bCs/>
                <w:color w:val="000000"/>
                <w:sz w:val="21"/>
                <w:szCs w:val="21"/>
                <w:u w:val="none"/>
                <w:lang w:val="en-US" w:eastAsia="zh-CN"/>
              </w:rPr>
              <w:t>12237.025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 w:val="0"/>
                <w:bCs/>
                <w:szCs w:val="21"/>
                <w:u w:val="none"/>
              </w:rPr>
            </w:pPr>
            <w:r>
              <w:rPr>
                <w:b w:val="0"/>
                <w:bCs/>
                <w:szCs w:val="21"/>
                <w:u w:val="none"/>
              </w:rPr>
              <w:t>2</w:t>
            </w:r>
          </w:p>
        </w:tc>
        <w:tc>
          <w:tcPr>
            <w:tcW w:w="3581" w:type="dxa"/>
            <w:vAlign w:val="center"/>
          </w:tcPr>
          <w:p>
            <w:pPr>
              <w:jc w:val="center"/>
              <w:rPr>
                <w:b w:val="0"/>
                <w:bCs/>
                <w:szCs w:val="21"/>
                <w:u w:val="none"/>
              </w:rPr>
            </w:pPr>
            <w:r>
              <w:rPr>
                <w:b w:val="0"/>
                <w:bCs/>
                <w:szCs w:val="21"/>
                <w:u w:val="none"/>
              </w:rPr>
              <w:t>猪舍冲洗水</w:t>
            </w:r>
          </w:p>
        </w:tc>
        <w:tc>
          <w:tcPr>
            <w:tcW w:w="1789" w:type="dxa"/>
            <w:vAlign w:val="center"/>
          </w:tcPr>
          <w:p>
            <w:pPr>
              <w:jc w:val="center"/>
              <w:rPr>
                <w:b w:val="0"/>
                <w:bCs/>
                <w:szCs w:val="21"/>
                <w:u w:val="none"/>
              </w:rPr>
            </w:pPr>
            <w:r>
              <w:rPr>
                <w:b w:val="0"/>
                <w:bCs/>
                <w:kern w:val="0"/>
                <w:szCs w:val="21"/>
                <w:u w:val="none"/>
              </w:rPr>
              <w:t>m</w:t>
            </w:r>
            <w:r>
              <w:rPr>
                <w:b w:val="0"/>
                <w:bCs/>
                <w:kern w:val="0"/>
                <w:szCs w:val="21"/>
                <w:u w:val="none"/>
                <w:vertAlign w:val="superscript"/>
              </w:rPr>
              <w:t>3</w:t>
            </w:r>
          </w:p>
        </w:tc>
        <w:tc>
          <w:tcPr>
            <w:tcW w:w="1789" w:type="dxa"/>
            <w:vAlign w:val="center"/>
          </w:tcPr>
          <w:p>
            <w:pPr>
              <w:jc w:val="center"/>
              <w:rPr>
                <w:b w:val="0"/>
                <w:bCs/>
                <w:iCs/>
                <w:color w:val="FF0000"/>
                <w:sz w:val="21"/>
                <w:szCs w:val="21"/>
                <w:u w:val="none"/>
              </w:rPr>
            </w:pPr>
            <w:r>
              <w:rPr>
                <w:rFonts w:hint="eastAsia"/>
                <w:b w:val="0"/>
                <w:bCs/>
                <w:iCs/>
                <w:sz w:val="21"/>
                <w:szCs w:val="21"/>
                <w:u w:val="none"/>
                <w:lang w:val="en-US" w:eastAsia="zh-CN"/>
              </w:rPr>
              <w:t>1080</w:t>
            </w:r>
            <w:r>
              <w:rPr>
                <w:b w:val="0"/>
                <w:bCs/>
                <w:iCs/>
                <w:sz w:val="21"/>
                <w:szCs w:val="21"/>
                <w:u w:val="none"/>
              </w:rPr>
              <w:t>（不含沼液）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 w:val="0"/>
                <w:bCs/>
                <w:szCs w:val="21"/>
                <w:u w:val="none"/>
              </w:rPr>
            </w:pPr>
            <w:r>
              <w:rPr>
                <w:b w:val="0"/>
                <w:bCs/>
                <w:szCs w:val="21"/>
                <w:u w:val="none"/>
              </w:rPr>
              <w:t>3</w:t>
            </w:r>
          </w:p>
        </w:tc>
        <w:tc>
          <w:tcPr>
            <w:tcW w:w="3581" w:type="dxa"/>
            <w:vAlign w:val="center"/>
          </w:tcPr>
          <w:p>
            <w:pPr>
              <w:jc w:val="center"/>
              <w:rPr>
                <w:b w:val="0"/>
                <w:bCs/>
                <w:szCs w:val="21"/>
                <w:u w:val="none"/>
              </w:rPr>
            </w:pPr>
            <w:r>
              <w:rPr>
                <w:b w:val="0"/>
                <w:bCs/>
                <w:szCs w:val="21"/>
                <w:u w:val="none"/>
              </w:rPr>
              <w:t>职工生活用水</w:t>
            </w:r>
          </w:p>
        </w:tc>
        <w:tc>
          <w:tcPr>
            <w:tcW w:w="1789" w:type="dxa"/>
            <w:vAlign w:val="center"/>
          </w:tcPr>
          <w:p>
            <w:pPr>
              <w:jc w:val="center"/>
              <w:rPr>
                <w:b w:val="0"/>
                <w:bCs/>
                <w:szCs w:val="21"/>
                <w:u w:val="none"/>
              </w:rPr>
            </w:pPr>
            <w:r>
              <w:rPr>
                <w:b w:val="0"/>
                <w:bCs/>
                <w:kern w:val="0"/>
                <w:szCs w:val="21"/>
                <w:u w:val="none"/>
              </w:rPr>
              <w:t>m</w:t>
            </w:r>
            <w:r>
              <w:rPr>
                <w:b w:val="0"/>
                <w:bCs/>
                <w:kern w:val="0"/>
                <w:szCs w:val="21"/>
                <w:u w:val="none"/>
                <w:vertAlign w:val="superscript"/>
              </w:rPr>
              <w:t>3</w:t>
            </w:r>
          </w:p>
        </w:tc>
        <w:tc>
          <w:tcPr>
            <w:tcW w:w="1789" w:type="dxa"/>
            <w:vAlign w:val="center"/>
          </w:tcPr>
          <w:p>
            <w:pPr>
              <w:jc w:val="center"/>
              <w:rPr>
                <w:b w:val="0"/>
                <w:bCs/>
                <w:iCs/>
                <w:sz w:val="21"/>
                <w:szCs w:val="21"/>
                <w:u w:val="none"/>
              </w:rPr>
            </w:pPr>
            <w:r>
              <w:rPr>
                <w:rFonts w:hint="eastAsia"/>
                <w:b w:val="0"/>
                <w:bCs/>
                <w:sz w:val="21"/>
                <w:szCs w:val="21"/>
                <w:u w:val="none"/>
                <w:lang w:val="en-US" w:eastAsia="zh-CN"/>
              </w:rPr>
              <w:t>876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 w:val="0"/>
                <w:bCs/>
                <w:szCs w:val="21"/>
                <w:u w:val="none"/>
              </w:rPr>
            </w:pPr>
            <w:r>
              <w:rPr>
                <w:b w:val="0"/>
                <w:bCs/>
                <w:szCs w:val="21"/>
                <w:u w:val="none"/>
              </w:rPr>
              <w:t>4</w:t>
            </w:r>
          </w:p>
        </w:tc>
        <w:tc>
          <w:tcPr>
            <w:tcW w:w="3581" w:type="dxa"/>
            <w:vAlign w:val="center"/>
          </w:tcPr>
          <w:p>
            <w:pPr>
              <w:jc w:val="center"/>
              <w:rPr>
                <w:b w:val="0"/>
                <w:bCs/>
                <w:szCs w:val="21"/>
                <w:u w:val="none"/>
              </w:rPr>
            </w:pPr>
            <w:r>
              <w:rPr>
                <w:b w:val="0"/>
                <w:bCs/>
                <w:szCs w:val="21"/>
                <w:u w:val="none"/>
              </w:rPr>
              <w:t>猪舍降温用水</w:t>
            </w:r>
          </w:p>
        </w:tc>
        <w:tc>
          <w:tcPr>
            <w:tcW w:w="1789" w:type="dxa"/>
            <w:vAlign w:val="center"/>
          </w:tcPr>
          <w:p>
            <w:pPr>
              <w:jc w:val="center"/>
              <w:rPr>
                <w:b w:val="0"/>
                <w:bCs/>
                <w:kern w:val="0"/>
                <w:szCs w:val="21"/>
                <w:u w:val="none"/>
              </w:rPr>
            </w:pPr>
            <w:r>
              <w:rPr>
                <w:b w:val="0"/>
                <w:bCs/>
                <w:kern w:val="0"/>
                <w:szCs w:val="21"/>
                <w:u w:val="none"/>
              </w:rPr>
              <w:t>m</w:t>
            </w:r>
            <w:r>
              <w:rPr>
                <w:b w:val="0"/>
                <w:bCs/>
                <w:kern w:val="0"/>
                <w:szCs w:val="21"/>
                <w:u w:val="none"/>
                <w:vertAlign w:val="superscript"/>
              </w:rPr>
              <w:t>3</w:t>
            </w:r>
          </w:p>
        </w:tc>
        <w:tc>
          <w:tcPr>
            <w:tcW w:w="1789" w:type="dxa"/>
            <w:vAlign w:val="center"/>
          </w:tcPr>
          <w:p>
            <w:pPr>
              <w:jc w:val="center"/>
              <w:rPr>
                <w:b w:val="0"/>
                <w:bCs/>
                <w:iCs/>
                <w:sz w:val="21"/>
                <w:szCs w:val="21"/>
                <w:u w:val="none"/>
              </w:rPr>
            </w:pPr>
            <w:r>
              <w:rPr>
                <w:rFonts w:hint="eastAsia"/>
                <w:b w:val="0"/>
                <w:bCs/>
                <w:sz w:val="21"/>
                <w:szCs w:val="21"/>
                <w:u w:val="none"/>
                <w:lang w:val="en-US" w:eastAsia="zh-CN"/>
              </w:rPr>
              <w:t>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 w:val="0"/>
                <w:bCs/>
                <w:szCs w:val="21"/>
                <w:u w:val="none"/>
              </w:rPr>
            </w:pPr>
            <w:r>
              <w:rPr>
                <w:b w:val="0"/>
                <w:bCs/>
                <w:szCs w:val="21"/>
                <w:u w:val="none"/>
              </w:rPr>
              <w:t>5</w:t>
            </w:r>
          </w:p>
        </w:tc>
        <w:tc>
          <w:tcPr>
            <w:tcW w:w="3581" w:type="dxa"/>
            <w:vAlign w:val="center"/>
          </w:tcPr>
          <w:p>
            <w:pPr>
              <w:jc w:val="center"/>
              <w:rPr>
                <w:b w:val="0"/>
                <w:bCs/>
                <w:szCs w:val="21"/>
                <w:u w:val="none"/>
              </w:rPr>
            </w:pPr>
            <w:r>
              <w:rPr>
                <w:b w:val="0"/>
                <w:bCs/>
                <w:szCs w:val="21"/>
                <w:u w:val="none"/>
              </w:rPr>
              <w:t>消毒用水</w:t>
            </w:r>
          </w:p>
        </w:tc>
        <w:tc>
          <w:tcPr>
            <w:tcW w:w="1789" w:type="dxa"/>
            <w:vAlign w:val="center"/>
          </w:tcPr>
          <w:p>
            <w:pPr>
              <w:jc w:val="center"/>
              <w:rPr>
                <w:b w:val="0"/>
                <w:bCs/>
                <w:kern w:val="0"/>
                <w:szCs w:val="21"/>
                <w:u w:val="none"/>
              </w:rPr>
            </w:pPr>
            <w:r>
              <w:rPr>
                <w:b w:val="0"/>
                <w:bCs/>
                <w:kern w:val="0"/>
                <w:szCs w:val="21"/>
                <w:u w:val="none"/>
              </w:rPr>
              <w:t>m</w:t>
            </w:r>
            <w:r>
              <w:rPr>
                <w:b w:val="0"/>
                <w:bCs/>
                <w:kern w:val="0"/>
                <w:szCs w:val="21"/>
                <w:u w:val="none"/>
                <w:vertAlign w:val="superscript"/>
              </w:rPr>
              <w:t>3</w:t>
            </w:r>
          </w:p>
        </w:tc>
        <w:tc>
          <w:tcPr>
            <w:tcW w:w="1789" w:type="dxa"/>
            <w:vAlign w:val="center"/>
          </w:tcPr>
          <w:p>
            <w:pPr>
              <w:jc w:val="center"/>
              <w:rPr>
                <w:b w:val="0"/>
                <w:bCs/>
                <w:sz w:val="21"/>
                <w:szCs w:val="21"/>
                <w:u w:val="none"/>
              </w:rPr>
            </w:pPr>
            <w:r>
              <w:rPr>
                <w:rFonts w:hint="eastAsia"/>
                <w:b w:val="0"/>
                <w:bCs/>
                <w:color w:val="000000" w:themeColor="text1"/>
                <w:spacing w:val="-2"/>
                <w:sz w:val="21"/>
                <w:szCs w:val="21"/>
                <w:u w:val="none"/>
                <w:lang w:val="en-US" w:eastAsia="zh-CN"/>
              </w:rPr>
              <w:t>8</w:t>
            </w:r>
            <w:r>
              <w:rPr>
                <w:b w:val="0"/>
                <w:bCs/>
                <w:color w:val="000000" w:themeColor="text1"/>
                <w:spacing w:val="-2"/>
                <w:sz w:val="21"/>
                <w:szCs w:val="21"/>
                <w:u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 w:val="0"/>
                <w:bCs/>
                <w:szCs w:val="21"/>
                <w:u w:val="none"/>
              </w:rPr>
            </w:pPr>
            <w:r>
              <w:rPr>
                <w:b w:val="0"/>
                <w:bCs/>
                <w:szCs w:val="21"/>
                <w:u w:val="none"/>
              </w:rPr>
              <w:t>7</w:t>
            </w:r>
          </w:p>
        </w:tc>
        <w:tc>
          <w:tcPr>
            <w:tcW w:w="3581" w:type="dxa"/>
            <w:vAlign w:val="center"/>
          </w:tcPr>
          <w:p>
            <w:pPr>
              <w:jc w:val="center"/>
              <w:rPr>
                <w:b w:val="0"/>
                <w:bCs/>
                <w:szCs w:val="21"/>
                <w:u w:val="none"/>
              </w:rPr>
            </w:pPr>
            <w:r>
              <w:rPr>
                <w:b w:val="0"/>
                <w:bCs/>
                <w:szCs w:val="21"/>
                <w:u w:val="none"/>
              </w:rPr>
              <w:t>合计</w:t>
            </w:r>
          </w:p>
        </w:tc>
        <w:tc>
          <w:tcPr>
            <w:tcW w:w="1789" w:type="dxa"/>
            <w:vAlign w:val="center"/>
          </w:tcPr>
          <w:p>
            <w:pPr>
              <w:jc w:val="center"/>
              <w:rPr>
                <w:b w:val="0"/>
                <w:bCs/>
                <w:szCs w:val="21"/>
                <w:u w:val="none"/>
              </w:rPr>
            </w:pPr>
            <w:r>
              <w:rPr>
                <w:b w:val="0"/>
                <w:bCs/>
                <w:kern w:val="0"/>
                <w:szCs w:val="21"/>
                <w:u w:val="none"/>
              </w:rPr>
              <w:t>m</w:t>
            </w:r>
            <w:r>
              <w:rPr>
                <w:b w:val="0"/>
                <w:bCs/>
                <w:kern w:val="0"/>
                <w:szCs w:val="21"/>
                <w:u w:val="none"/>
                <w:vertAlign w:val="superscript"/>
              </w:rPr>
              <w:t>3</w:t>
            </w:r>
          </w:p>
        </w:tc>
        <w:tc>
          <w:tcPr>
            <w:tcW w:w="1789" w:type="dxa"/>
            <w:vAlign w:val="center"/>
          </w:tcPr>
          <w:p>
            <w:pPr>
              <w:jc w:val="center"/>
              <w:rPr>
                <w:rFonts w:hint="eastAsia"/>
                <w:b w:val="0"/>
                <w:bCs/>
                <w:color w:val="000000" w:themeColor="text1"/>
                <w:spacing w:val="-2"/>
                <w:sz w:val="21"/>
                <w:szCs w:val="21"/>
                <w:u w:val="none"/>
                <w:lang w:val="en-US" w:eastAsia="zh-CN"/>
              </w:rPr>
            </w:pPr>
            <w:r>
              <w:rPr>
                <w:rFonts w:hint="eastAsia"/>
                <w:b w:val="0"/>
                <w:bCs/>
                <w:color w:val="000000" w:themeColor="text1"/>
                <w:spacing w:val="-2"/>
                <w:sz w:val="21"/>
                <w:szCs w:val="21"/>
                <w:u w:val="none"/>
                <w:lang w:val="en-US" w:eastAsia="zh-CN"/>
              </w:rPr>
              <w:t>15713.025</w:t>
            </w:r>
          </w:p>
        </w:tc>
      </w:tr>
    </w:tbl>
    <w:p>
      <w:pPr>
        <w:pStyle w:val="7"/>
        <w:spacing w:before="0" w:after="0" w:line="520" w:lineRule="exact"/>
        <w:rPr>
          <w:rFonts w:hint="eastAsia" w:hAnsi="Times New Roman" w:eastAsia="宋体"/>
          <w:sz w:val="24"/>
          <w:szCs w:val="24"/>
          <w:lang w:val="en-US" w:eastAsia="zh-CN"/>
        </w:rPr>
      </w:pPr>
      <w:r>
        <w:rPr>
          <w:rFonts w:hint="eastAsia" w:hAnsi="Times New Roman" w:eastAsia="宋体"/>
          <w:sz w:val="24"/>
          <w:szCs w:val="24"/>
          <w:lang w:val="en-US" w:eastAsia="zh-CN"/>
        </w:rPr>
        <w:t>2.1.6.2项目排水情况</w:t>
      </w:r>
    </w:p>
    <w:p>
      <w:pPr>
        <w:spacing w:before="156" w:after="156" w:line="500" w:lineRule="exact"/>
        <w:ind w:firstLine="480" w:firstLineChars="200"/>
        <w:rPr>
          <w:b w:val="0"/>
          <w:bCs w:val="0"/>
          <w:i w:val="0"/>
          <w:iCs w:val="0"/>
          <w:color w:val="000000"/>
          <w:sz w:val="24"/>
          <w:u w:val="none"/>
        </w:rPr>
      </w:pPr>
      <w:r>
        <w:rPr>
          <w:b w:val="0"/>
          <w:bCs w:val="0"/>
          <w:i w:val="0"/>
          <w:iCs w:val="0"/>
          <w:color w:val="000000"/>
          <w:sz w:val="24"/>
          <w:u w:val="none"/>
        </w:rPr>
        <w:t>（1）项目养殖废水</w:t>
      </w:r>
    </w:p>
    <w:p>
      <w:pPr>
        <w:spacing w:before="156" w:after="156" w:line="500" w:lineRule="exact"/>
        <w:ind w:firstLine="480" w:firstLineChars="200"/>
        <w:rPr>
          <w:b w:val="0"/>
          <w:bCs w:val="0"/>
          <w:i w:val="0"/>
          <w:iCs w:val="0"/>
          <w:color w:val="000000"/>
          <w:sz w:val="24"/>
          <w:u w:val="none"/>
        </w:rPr>
      </w:pPr>
      <w:r>
        <w:rPr>
          <w:b w:val="0"/>
          <w:bCs w:val="0"/>
          <w:i w:val="0"/>
          <w:iCs w:val="0"/>
          <w:color w:val="000000"/>
          <w:sz w:val="24"/>
          <w:u w:val="none"/>
        </w:rPr>
        <w:t>项目养殖废水主要为猪尿液、猪舍冲洗废水、猪粪固液分离产生的废水和清理冲洗废水。</w:t>
      </w:r>
    </w:p>
    <w:p>
      <w:pPr>
        <w:spacing w:before="156" w:after="156" w:line="500" w:lineRule="exact"/>
        <w:ind w:left="480"/>
        <w:rPr>
          <w:b w:val="0"/>
          <w:bCs w:val="0"/>
          <w:i w:val="0"/>
          <w:iCs w:val="0"/>
          <w:color w:val="000000"/>
          <w:sz w:val="24"/>
          <w:u w:val="none"/>
        </w:rPr>
      </w:pPr>
      <w:r>
        <w:rPr>
          <w:rFonts w:hint="eastAsia" w:ascii="宋体" w:hAnsi="宋体" w:cs="宋体"/>
          <w:b w:val="0"/>
          <w:bCs w:val="0"/>
          <w:i w:val="0"/>
          <w:iCs w:val="0"/>
          <w:color w:val="000000"/>
          <w:sz w:val="24"/>
          <w:u w:val="none"/>
        </w:rPr>
        <w:t>①</w:t>
      </w:r>
      <w:r>
        <w:rPr>
          <w:b w:val="0"/>
          <w:bCs w:val="0"/>
          <w:i w:val="0"/>
          <w:iCs w:val="0"/>
          <w:color w:val="000000"/>
          <w:sz w:val="24"/>
          <w:u w:val="none"/>
        </w:rPr>
        <w:t>猪尿液</w:t>
      </w:r>
    </w:p>
    <w:p>
      <w:pPr>
        <w:pStyle w:val="99"/>
        <w:spacing w:line="520" w:lineRule="exact"/>
        <w:ind w:firstLine="482"/>
        <w:rPr>
          <w:b w:val="0"/>
          <w:bCs w:val="0"/>
          <w:i w:val="0"/>
          <w:iCs w:val="0"/>
          <w:u w:val="none"/>
        </w:rPr>
      </w:pPr>
      <w:r>
        <w:rPr>
          <w:b w:val="0"/>
          <w:bCs w:val="0"/>
          <w:i w:val="0"/>
          <w:iCs w:val="0"/>
          <w:u w:val="none"/>
        </w:rPr>
        <w:t>本项目投入运营后</w:t>
      </w:r>
      <w:r>
        <w:rPr>
          <w:b w:val="0"/>
          <w:bCs/>
          <w:u w:val="none"/>
        </w:rPr>
        <w:t>存栏量种生猪</w:t>
      </w:r>
      <w:r>
        <w:rPr>
          <w:rFonts w:hint="eastAsia"/>
          <w:b w:val="0"/>
          <w:bCs/>
          <w:u w:val="none"/>
          <w:lang w:val="en-US" w:eastAsia="zh-CN"/>
        </w:rPr>
        <w:t>5100</w:t>
      </w:r>
      <w:r>
        <w:rPr>
          <w:b w:val="0"/>
          <w:bCs/>
          <w:u w:val="none"/>
        </w:rPr>
        <w:t>头，其中包括保育猪</w:t>
      </w:r>
      <w:r>
        <w:rPr>
          <w:rFonts w:hint="eastAsia"/>
          <w:b w:val="0"/>
          <w:bCs/>
          <w:u w:val="none"/>
          <w:lang w:val="en-US" w:eastAsia="zh-CN"/>
        </w:rPr>
        <w:t>1750</w:t>
      </w:r>
      <w:r>
        <w:rPr>
          <w:b w:val="0"/>
          <w:bCs/>
          <w:u w:val="none"/>
        </w:rPr>
        <w:t>头，育肥猪</w:t>
      </w:r>
      <w:r>
        <w:rPr>
          <w:rFonts w:hint="eastAsia"/>
          <w:b w:val="0"/>
          <w:bCs/>
          <w:u w:val="none"/>
          <w:lang w:val="en-US" w:eastAsia="zh-CN"/>
        </w:rPr>
        <w:t>3250</w:t>
      </w:r>
      <w:r>
        <w:rPr>
          <w:b w:val="0"/>
          <w:bCs/>
          <w:u w:val="none"/>
        </w:rPr>
        <w:t>头</w:t>
      </w:r>
      <w:r>
        <w:rPr>
          <w:rFonts w:hint="eastAsia"/>
          <w:b w:val="0"/>
          <w:bCs/>
          <w:u w:val="none"/>
          <w:lang w:eastAsia="zh-CN"/>
        </w:rPr>
        <w:t>，</w:t>
      </w:r>
      <w:r>
        <w:rPr>
          <w:rFonts w:hint="eastAsia"/>
          <w:b w:val="0"/>
          <w:bCs/>
          <w:u w:val="none"/>
          <w:lang w:val="en-US" w:eastAsia="zh-CN"/>
        </w:rPr>
        <w:t>后备猪100头</w:t>
      </w:r>
      <w:r>
        <w:rPr>
          <w:b w:val="0"/>
          <w:bCs w:val="0"/>
          <w:i w:val="0"/>
          <w:iCs w:val="0"/>
          <w:u w:val="none"/>
        </w:rPr>
        <w:t>，猪的尿液产生量根据《畜禽养殖污染防治最佳可行技术指南》（征求意见稿），猪尿排泄量计算公式为：Yu=0.205+0.438W（kg）</w:t>
      </w:r>
    </w:p>
    <w:p>
      <w:pPr>
        <w:pStyle w:val="99"/>
        <w:spacing w:line="520" w:lineRule="exact"/>
        <w:ind w:firstLine="482"/>
        <w:rPr>
          <w:b w:val="0"/>
          <w:bCs w:val="0"/>
          <w:i w:val="0"/>
          <w:iCs w:val="0"/>
          <w:u w:val="none"/>
        </w:rPr>
      </w:pPr>
      <w:r>
        <w:rPr>
          <w:b w:val="0"/>
          <w:bCs w:val="0"/>
          <w:i w:val="0"/>
          <w:iCs w:val="0"/>
          <w:u w:val="none"/>
        </w:rPr>
        <w:t>式中：Yu为猪尿排泄量，W为猪的饮水量。</w:t>
      </w:r>
    </w:p>
    <w:p>
      <w:pPr>
        <w:spacing w:afterLines="30" w:line="520" w:lineRule="exact"/>
        <w:jc w:val="center"/>
        <w:rPr>
          <w:b w:val="0"/>
          <w:bCs w:val="0"/>
          <w:i w:val="0"/>
          <w:iCs w:val="0"/>
          <w:sz w:val="24"/>
          <w:u w:val="none"/>
        </w:rPr>
      </w:pPr>
      <w:r>
        <w:rPr>
          <w:b w:val="0"/>
          <w:bCs w:val="0"/>
          <w:i w:val="0"/>
          <w:iCs w:val="0"/>
          <w:sz w:val="24"/>
          <w:u w:val="none"/>
        </w:rPr>
        <w:t>表2.1-13    猪尿排放参数一览表</w:t>
      </w:r>
    </w:p>
    <w:tbl>
      <w:tblPr>
        <w:tblStyle w:val="45"/>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48"/>
        <w:gridCol w:w="1159"/>
        <w:gridCol w:w="1288"/>
        <w:gridCol w:w="1611"/>
        <w:gridCol w:w="1924"/>
        <w:gridCol w:w="1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Merge w:val="restart"/>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用水</w:t>
            </w:r>
          </w:p>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性质</w:t>
            </w:r>
          </w:p>
        </w:tc>
        <w:tc>
          <w:tcPr>
            <w:tcW w:w="2007" w:type="dxa"/>
            <w:gridSpan w:val="2"/>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排尿量</w:t>
            </w:r>
            <w:r>
              <w:rPr>
                <w:b w:val="0"/>
                <w:bCs w:val="0"/>
                <w:i w:val="0"/>
                <w:iCs w:val="0"/>
                <w:szCs w:val="21"/>
                <w:u w:val="none"/>
              </w:rPr>
              <w:t>（L/头·d）</w:t>
            </w:r>
          </w:p>
        </w:tc>
        <w:tc>
          <w:tcPr>
            <w:tcW w:w="1288" w:type="dxa"/>
            <w:vMerge w:val="restart"/>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排尿单位</w:t>
            </w:r>
          </w:p>
          <w:p>
            <w:pPr>
              <w:snapToGrid w:val="0"/>
              <w:ind w:left="-15" w:leftChars="-51" w:right="-109" w:rightChars="-52" w:hanging="92" w:hangingChars="44"/>
              <w:jc w:val="center"/>
              <w:rPr>
                <w:b w:val="0"/>
                <w:bCs w:val="0"/>
                <w:i w:val="0"/>
                <w:iCs w:val="0"/>
                <w:kern w:val="0"/>
                <w:szCs w:val="21"/>
                <w:u w:val="none"/>
              </w:rPr>
            </w:pPr>
            <w:r>
              <w:rPr>
                <w:b w:val="0"/>
                <w:bCs w:val="0"/>
                <w:i w:val="0"/>
                <w:iCs w:val="0"/>
                <w:szCs w:val="21"/>
                <w:u w:val="none"/>
              </w:rPr>
              <w:t>（头）</w:t>
            </w:r>
          </w:p>
        </w:tc>
        <w:tc>
          <w:tcPr>
            <w:tcW w:w="4883" w:type="dxa"/>
            <w:gridSpan w:val="3"/>
            <w:vAlign w:val="center"/>
          </w:tcPr>
          <w:p>
            <w:pPr>
              <w:widowControl/>
              <w:snapToGrid w:val="0"/>
              <w:ind w:right="-109" w:rightChars="-52"/>
              <w:jc w:val="center"/>
              <w:rPr>
                <w:b w:val="0"/>
                <w:bCs w:val="0"/>
                <w:i w:val="0"/>
                <w:iCs w:val="0"/>
                <w:kern w:val="0"/>
                <w:szCs w:val="21"/>
                <w:u w:val="none"/>
              </w:rPr>
            </w:pPr>
            <w:r>
              <w:rPr>
                <w:b w:val="0"/>
                <w:bCs w:val="0"/>
                <w:i w:val="0"/>
                <w:iCs w:val="0"/>
                <w:kern w:val="0"/>
                <w:szCs w:val="21"/>
                <w:u w:val="none"/>
              </w:rPr>
              <w:t>排尿总量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Merge w:val="continue"/>
            <w:vAlign w:val="center"/>
          </w:tcPr>
          <w:p>
            <w:pPr>
              <w:widowControl/>
              <w:snapToGrid w:val="0"/>
              <w:ind w:left="-15" w:leftChars="-51" w:right="-109" w:rightChars="-52" w:hanging="92" w:hangingChars="44"/>
              <w:jc w:val="center"/>
              <w:rPr>
                <w:b w:val="0"/>
                <w:bCs w:val="0"/>
                <w:i w:val="0"/>
                <w:iCs w:val="0"/>
                <w:kern w:val="0"/>
                <w:szCs w:val="21"/>
                <w:u w:val="none"/>
              </w:rPr>
            </w:pPr>
          </w:p>
        </w:tc>
        <w:tc>
          <w:tcPr>
            <w:tcW w:w="848" w:type="dxa"/>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夏季</w:t>
            </w:r>
          </w:p>
        </w:tc>
        <w:tc>
          <w:tcPr>
            <w:tcW w:w="1159" w:type="dxa"/>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其他季节</w:t>
            </w:r>
          </w:p>
        </w:tc>
        <w:tc>
          <w:tcPr>
            <w:tcW w:w="1288" w:type="dxa"/>
            <w:vMerge w:val="continue"/>
            <w:vAlign w:val="center"/>
          </w:tcPr>
          <w:p>
            <w:pPr>
              <w:widowControl/>
              <w:snapToGrid w:val="0"/>
              <w:ind w:left="-15" w:leftChars="-51" w:right="-109" w:rightChars="-52" w:hanging="92" w:hangingChars="44"/>
              <w:jc w:val="center"/>
              <w:rPr>
                <w:b w:val="0"/>
                <w:bCs w:val="0"/>
                <w:i w:val="0"/>
                <w:iCs w:val="0"/>
                <w:kern w:val="0"/>
                <w:szCs w:val="21"/>
                <w:u w:val="none"/>
              </w:rPr>
            </w:pPr>
          </w:p>
        </w:tc>
        <w:tc>
          <w:tcPr>
            <w:tcW w:w="1611" w:type="dxa"/>
            <w:vAlign w:val="center"/>
          </w:tcPr>
          <w:p>
            <w:pPr>
              <w:widowControl/>
              <w:snapToGrid w:val="0"/>
              <w:ind w:left="-15" w:leftChars="-51" w:right="-109" w:rightChars="-52" w:hanging="92" w:hangingChars="44"/>
              <w:jc w:val="center"/>
              <w:rPr>
                <w:b w:val="0"/>
                <w:bCs w:val="0"/>
                <w:i w:val="0"/>
                <w:iCs w:val="0"/>
                <w:szCs w:val="21"/>
                <w:u w:val="none"/>
              </w:rPr>
            </w:pPr>
            <w:r>
              <w:rPr>
                <w:b w:val="0"/>
                <w:bCs w:val="0"/>
                <w:i w:val="0"/>
                <w:iCs w:val="0"/>
                <w:szCs w:val="21"/>
                <w:u w:val="none"/>
              </w:rPr>
              <w:t>夏季122d</w:t>
            </w:r>
          </w:p>
          <w:p>
            <w:pPr>
              <w:widowControl/>
              <w:snapToGrid w:val="0"/>
              <w:ind w:left="-15" w:leftChars="-51" w:right="-109" w:rightChars="-52" w:hanging="92" w:hangingChars="44"/>
              <w:jc w:val="center"/>
              <w:rPr>
                <w:b w:val="0"/>
                <w:bCs w:val="0"/>
                <w:i w:val="0"/>
                <w:iCs w:val="0"/>
                <w:szCs w:val="21"/>
                <w:u w:val="none"/>
              </w:rPr>
            </w:pPr>
            <w:r>
              <w:rPr>
                <w:b w:val="0"/>
                <w:bCs w:val="0"/>
                <w:i w:val="0"/>
                <w:iCs w:val="0"/>
                <w:kern w:val="0"/>
                <w:szCs w:val="21"/>
                <w:u w:val="none"/>
              </w:rPr>
              <w:t>（m</w:t>
            </w:r>
            <w:r>
              <w:rPr>
                <w:b w:val="0"/>
                <w:bCs w:val="0"/>
                <w:i w:val="0"/>
                <w:iCs w:val="0"/>
                <w:kern w:val="0"/>
                <w:szCs w:val="21"/>
                <w:u w:val="none"/>
                <w:vertAlign w:val="superscript"/>
              </w:rPr>
              <w:t>3</w:t>
            </w:r>
            <w:r>
              <w:rPr>
                <w:b w:val="0"/>
                <w:bCs w:val="0"/>
                <w:i w:val="0"/>
                <w:iCs w:val="0"/>
                <w:kern w:val="0"/>
                <w:szCs w:val="21"/>
                <w:u w:val="none"/>
              </w:rPr>
              <w:t>）</w:t>
            </w:r>
          </w:p>
        </w:tc>
        <w:tc>
          <w:tcPr>
            <w:tcW w:w="1924" w:type="dxa"/>
            <w:vAlign w:val="center"/>
          </w:tcPr>
          <w:p>
            <w:pPr>
              <w:widowControl/>
              <w:snapToGrid w:val="0"/>
              <w:ind w:left="-15" w:leftChars="-51" w:right="-109" w:rightChars="-52" w:hanging="92" w:hangingChars="44"/>
              <w:jc w:val="center"/>
              <w:rPr>
                <w:b w:val="0"/>
                <w:bCs w:val="0"/>
                <w:i w:val="0"/>
                <w:iCs w:val="0"/>
                <w:szCs w:val="21"/>
                <w:u w:val="none"/>
              </w:rPr>
            </w:pPr>
            <w:r>
              <w:rPr>
                <w:b w:val="0"/>
                <w:bCs w:val="0"/>
                <w:i w:val="0"/>
                <w:iCs w:val="0"/>
                <w:szCs w:val="21"/>
                <w:u w:val="none"/>
              </w:rPr>
              <w:t>其他季节243d</w:t>
            </w:r>
          </w:p>
          <w:p>
            <w:pPr>
              <w:widowControl/>
              <w:snapToGrid w:val="0"/>
              <w:ind w:left="-15" w:leftChars="-51" w:right="-109" w:rightChars="-52" w:hanging="92" w:hangingChars="44"/>
              <w:jc w:val="center"/>
              <w:rPr>
                <w:b w:val="0"/>
                <w:bCs w:val="0"/>
                <w:i w:val="0"/>
                <w:iCs w:val="0"/>
                <w:szCs w:val="21"/>
                <w:u w:val="none"/>
              </w:rPr>
            </w:pPr>
            <w:r>
              <w:rPr>
                <w:b w:val="0"/>
                <w:bCs w:val="0"/>
                <w:i w:val="0"/>
                <w:iCs w:val="0"/>
                <w:kern w:val="0"/>
                <w:szCs w:val="21"/>
                <w:u w:val="none"/>
              </w:rPr>
              <w:t>（m</w:t>
            </w:r>
            <w:r>
              <w:rPr>
                <w:b w:val="0"/>
                <w:bCs w:val="0"/>
                <w:i w:val="0"/>
                <w:iCs w:val="0"/>
                <w:kern w:val="0"/>
                <w:szCs w:val="21"/>
                <w:u w:val="none"/>
                <w:vertAlign w:val="superscript"/>
              </w:rPr>
              <w:t>3</w:t>
            </w:r>
            <w:r>
              <w:rPr>
                <w:b w:val="0"/>
                <w:bCs w:val="0"/>
                <w:i w:val="0"/>
                <w:iCs w:val="0"/>
                <w:kern w:val="0"/>
                <w:szCs w:val="21"/>
                <w:u w:val="none"/>
              </w:rPr>
              <w:t>）</w:t>
            </w:r>
          </w:p>
        </w:tc>
        <w:tc>
          <w:tcPr>
            <w:tcW w:w="1348" w:type="dxa"/>
            <w:vAlign w:val="center"/>
          </w:tcPr>
          <w:p>
            <w:pPr>
              <w:widowControl/>
              <w:snapToGrid w:val="0"/>
              <w:ind w:right="-109" w:rightChars="-52"/>
              <w:jc w:val="center"/>
              <w:rPr>
                <w:b w:val="0"/>
                <w:bCs w:val="0"/>
                <w:i w:val="0"/>
                <w:iCs w:val="0"/>
                <w:kern w:val="0"/>
                <w:szCs w:val="21"/>
                <w:u w:val="none"/>
              </w:rPr>
            </w:pPr>
            <w:r>
              <w:rPr>
                <w:b w:val="0"/>
                <w:bCs w:val="0"/>
                <w:i w:val="0"/>
                <w:iCs w:val="0"/>
                <w:kern w:val="0"/>
                <w:szCs w:val="21"/>
                <w:u w:val="none"/>
              </w:rPr>
              <w:t>（m</w:t>
            </w:r>
            <w:r>
              <w:rPr>
                <w:b w:val="0"/>
                <w:bCs w:val="0"/>
                <w:i w:val="0"/>
                <w:iCs w:val="0"/>
                <w:kern w:val="0"/>
                <w:szCs w:val="21"/>
                <w:u w:val="none"/>
                <w:vertAlign w:val="superscript"/>
              </w:rPr>
              <w:t>3</w:t>
            </w:r>
            <w:r>
              <w:rPr>
                <w:b w:val="0"/>
                <w:bCs w:val="0"/>
                <w:i w:val="0"/>
                <w:iCs w:val="0"/>
                <w:kern w:val="0"/>
                <w:szCs w:val="21"/>
                <w:u w:val="non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szCs w:val="21"/>
                <w:u w:val="none"/>
              </w:rPr>
              <w:t>保育猪</w:t>
            </w:r>
          </w:p>
        </w:tc>
        <w:tc>
          <w:tcPr>
            <w:tcW w:w="848" w:type="dxa"/>
            <w:vAlign w:val="center"/>
          </w:tcPr>
          <w:p>
            <w:pPr>
              <w:jc w:val="center"/>
              <w:rPr>
                <w:b w:val="0"/>
                <w:bCs w:val="0"/>
                <w:i w:val="0"/>
                <w:iCs w:val="0"/>
                <w:color w:val="000000"/>
                <w:szCs w:val="21"/>
                <w:u w:val="none"/>
              </w:rPr>
            </w:pPr>
            <w:r>
              <w:rPr>
                <w:b w:val="0"/>
                <w:bCs w:val="0"/>
                <w:i w:val="0"/>
                <w:iCs w:val="0"/>
                <w:color w:val="000000"/>
                <w:szCs w:val="21"/>
                <w:u w:val="none"/>
              </w:rPr>
              <w:t>2.61</w:t>
            </w:r>
          </w:p>
        </w:tc>
        <w:tc>
          <w:tcPr>
            <w:tcW w:w="1159" w:type="dxa"/>
            <w:vAlign w:val="center"/>
          </w:tcPr>
          <w:p>
            <w:pPr>
              <w:jc w:val="center"/>
              <w:rPr>
                <w:rFonts w:hint="eastAsia" w:eastAsia="宋体"/>
                <w:b w:val="0"/>
                <w:bCs w:val="0"/>
                <w:i w:val="0"/>
                <w:iCs w:val="0"/>
                <w:color w:val="000000"/>
                <w:szCs w:val="21"/>
                <w:u w:val="none"/>
                <w:lang w:eastAsia="zh-CN"/>
              </w:rPr>
            </w:pPr>
            <w:r>
              <w:rPr>
                <w:b w:val="0"/>
                <w:bCs w:val="0"/>
                <w:i w:val="0"/>
                <w:iCs w:val="0"/>
                <w:color w:val="000000"/>
                <w:szCs w:val="21"/>
                <w:u w:val="none"/>
              </w:rPr>
              <w:t>1.5</w:t>
            </w:r>
            <w:r>
              <w:rPr>
                <w:rFonts w:hint="eastAsia"/>
                <w:b w:val="0"/>
                <w:bCs w:val="0"/>
                <w:i w:val="0"/>
                <w:iCs w:val="0"/>
                <w:color w:val="000000"/>
                <w:szCs w:val="21"/>
                <w:u w:val="none"/>
                <w:lang w:val="en-US" w:eastAsia="zh-CN"/>
              </w:rPr>
              <w:t>2</w:t>
            </w:r>
          </w:p>
        </w:tc>
        <w:tc>
          <w:tcPr>
            <w:tcW w:w="1288" w:type="dxa"/>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1750</w:t>
            </w:r>
          </w:p>
        </w:tc>
        <w:tc>
          <w:tcPr>
            <w:tcW w:w="1611" w:type="dxa"/>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557.235</w:t>
            </w:r>
          </w:p>
        </w:tc>
        <w:tc>
          <w:tcPr>
            <w:tcW w:w="1924" w:type="dxa"/>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646.38</w:t>
            </w:r>
          </w:p>
        </w:tc>
        <w:tc>
          <w:tcPr>
            <w:tcW w:w="1348" w:type="dxa"/>
            <w:vAlign w:val="center"/>
          </w:tcPr>
          <w:p>
            <w:pPr>
              <w:jc w:val="center"/>
              <w:rPr>
                <w:rFonts w:hint="eastAsia"/>
                <w:b w:val="0"/>
                <w:bCs w:val="0"/>
                <w:i w:val="0"/>
                <w:iCs w:val="0"/>
                <w:color w:val="000000"/>
                <w:szCs w:val="21"/>
                <w:u w:val="none"/>
                <w:lang w:val="en-US" w:eastAsia="zh-CN"/>
              </w:rPr>
            </w:pPr>
            <w:r>
              <w:rPr>
                <w:rFonts w:hint="eastAsia"/>
                <w:b w:val="0"/>
                <w:bCs w:val="0"/>
                <w:i w:val="0"/>
                <w:iCs w:val="0"/>
                <w:color w:val="000000"/>
                <w:szCs w:val="21"/>
                <w:u w:val="none"/>
                <w:lang w:val="en-US" w:eastAsia="zh-CN"/>
              </w:rPr>
              <w:t>1203.615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szCs w:val="21"/>
                <w:u w:val="none"/>
              </w:rPr>
              <w:t>育肥猪</w:t>
            </w:r>
          </w:p>
        </w:tc>
        <w:tc>
          <w:tcPr>
            <w:tcW w:w="848" w:type="dxa"/>
            <w:vAlign w:val="center"/>
          </w:tcPr>
          <w:p>
            <w:pPr>
              <w:jc w:val="center"/>
              <w:rPr>
                <w:b w:val="0"/>
                <w:bCs w:val="0"/>
                <w:i w:val="0"/>
                <w:iCs w:val="0"/>
                <w:color w:val="000000"/>
                <w:szCs w:val="21"/>
                <w:u w:val="none"/>
              </w:rPr>
            </w:pPr>
            <w:r>
              <w:rPr>
                <w:b w:val="0"/>
                <w:bCs w:val="0"/>
                <w:i w:val="0"/>
                <w:iCs w:val="0"/>
                <w:color w:val="000000"/>
                <w:szCs w:val="21"/>
                <w:u w:val="none"/>
              </w:rPr>
              <w:t>5.02</w:t>
            </w:r>
          </w:p>
        </w:tc>
        <w:tc>
          <w:tcPr>
            <w:tcW w:w="1159" w:type="dxa"/>
            <w:vAlign w:val="center"/>
          </w:tcPr>
          <w:p>
            <w:pPr>
              <w:jc w:val="center"/>
              <w:rPr>
                <w:b w:val="0"/>
                <w:bCs w:val="0"/>
                <w:i w:val="0"/>
                <w:iCs w:val="0"/>
                <w:color w:val="000000"/>
                <w:szCs w:val="21"/>
                <w:u w:val="none"/>
              </w:rPr>
            </w:pPr>
            <w:r>
              <w:rPr>
                <w:b w:val="0"/>
                <w:bCs w:val="0"/>
                <w:i w:val="0"/>
                <w:iCs w:val="0"/>
                <w:color w:val="000000"/>
                <w:szCs w:val="21"/>
                <w:u w:val="none"/>
              </w:rPr>
              <w:t>3.05</w:t>
            </w:r>
          </w:p>
        </w:tc>
        <w:tc>
          <w:tcPr>
            <w:tcW w:w="1288" w:type="dxa"/>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3250</w:t>
            </w:r>
          </w:p>
        </w:tc>
        <w:tc>
          <w:tcPr>
            <w:tcW w:w="1611" w:type="dxa"/>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1990.43</w:t>
            </w:r>
          </w:p>
        </w:tc>
        <w:tc>
          <w:tcPr>
            <w:tcW w:w="1924" w:type="dxa"/>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2408.74</w:t>
            </w:r>
          </w:p>
        </w:tc>
        <w:tc>
          <w:tcPr>
            <w:tcW w:w="1348" w:type="dxa"/>
            <w:vAlign w:val="center"/>
          </w:tcPr>
          <w:p>
            <w:pPr>
              <w:jc w:val="center"/>
              <w:rPr>
                <w:rFonts w:hint="eastAsia"/>
                <w:b w:val="0"/>
                <w:bCs w:val="0"/>
                <w:i w:val="0"/>
                <w:iCs w:val="0"/>
                <w:color w:val="000000"/>
                <w:szCs w:val="21"/>
                <w:u w:val="none"/>
                <w:lang w:val="en-US" w:eastAsia="zh-CN"/>
              </w:rPr>
            </w:pPr>
            <w:r>
              <w:rPr>
                <w:rFonts w:hint="eastAsia"/>
                <w:b w:val="0"/>
                <w:bCs w:val="0"/>
                <w:i w:val="0"/>
                <w:iCs w:val="0"/>
                <w:color w:val="000000"/>
                <w:szCs w:val="21"/>
                <w:u w:val="none"/>
                <w:lang w:val="en-US" w:eastAsia="zh-CN"/>
              </w:rPr>
              <w:t>4399.17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Align w:val="center"/>
          </w:tcPr>
          <w:p>
            <w:pPr>
              <w:widowControl/>
              <w:snapToGrid w:val="0"/>
              <w:ind w:left="-15" w:leftChars="-51" w:right="-109" w:rightChars="-52" w:hanging="92" w:hangingChars="44"/>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后备猪</w:t>
            </w:r>
          </w:p>
        </w:tc>
        <w:tc>
          <w:tcPr>
            <w:tcW w:w="848" w:type="dxa"/>
            <w:vAlign w:val="center"/>
          </w:tcPr>
          <w:p>
            <w:pPr>
              <w:jc w:val="center"/>
              <w:rPr>
                <w:b w:val="0"/>
                <w:bCs w:val="0"/>
                <w:i w:val="0"/>
                <w:iCs w:val="0"/>
                <w:color w:val="000000"/>
                <w:szCs w:val="21"/>
                <w:u w:val="none"/>
              </w:rPr>
            </w:pPr>
            <w:r>
              <w:rPr>
                <w:b w:val="0"/>
                <w:bCs w:val="0"/>
                <w:i w:val="0"/>
                <w:iCs w:val="0"/>
                <w:color w:val="000000"/>
                <w:szCs w:val="21"/>
                <w:u w:val="none"/>
              </w:rPr>
              <w:t>5.02</w:t>
            </w:r>
          </w:p>
        </w:tc>
        <w:tc>
          <w:tcPr>
            <w:tcW w:w="1159" w:type="dxa"/>
            <w:vAlign w:val="center"/>
          </w:tcPr>
          <w:p>
            <w:pPr>
              <w:jc w:val="center"/>
              <w:rPr>
                <w:b w:val="0"/>
                <w:bCs w:val="0"/>
                <w:i w:val="0"/>
                <w:iCs w:val="0"/>
                <w:color w:val="000000"/>
                <w:szCs w:val="21"/>
                <w:u w:val="none"/>
              </w:rPr>
            </w:pPr>
            <w:r>
              <w:rPr>
                <w:b w:val="0"/>
                <w:bCs w:val="0"/>
                <w:i w:val="0"/>
                <w:iCs w:val="0"/>
                <w:color w:val="000000"/>
                <w:szCs w:val="21"/>
                <w:u w:val="none"/>
              </w:rPr>
              <w:t>3.05</w:t>
            </w:r>
          </w:p>
        </w:tc>
        <w:tc>
          <w:tcPr>
            <w:tcW w:w="1288" w:type="dxa"/>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100</w:t>
            </w:r>
          </w:p>
        </w:tc>
        <w:tc>
          <w:tcPr>
            <w:tcW w:w="1611" w:type="dxa"/>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61.244</w:t>
            </w:r>
          </w:p>
        </w:tc>
        <w:tc>
          <w:tcPr>
            <w:tcW w:w="1924" w:type="dxa"/>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74.115</w:t>
            </w:r>
          </w:p>
        </w:tc>
        <w:tc>
          <w:tcPr>
            <w:tcW w:w="1348" w:type="dxa"/>
            <w:vAlign w:val="center"/>
          </w:tcPr>
          <w:p>
            <w:pPr>
              <w:jc w:val="center"/>
              <w:rPr>
                <w:rFonts w:hint="eastAsia"/>
                <w:b w:val="0"/>
                <w:bCs w:val="0"/>
                <w:i w:val="0"/>
                <w:iCs w:val="0"/>
                <w:color w:val="000000"/>
                <w:szCs w:val="21"/>
                <w:u w:val="none"/>
                <w:lang w:val="en-US" w:eastAsia="zh-CN"/>
              </w:rPr>
            </w:pPr>
            <w:r>
              <w:rPr>
                <w:rFonts w:hint="eastAsia"/>
                <w:b w:val="0"/>
                <w:bCs w:val="0"/>
                <w:i w:val="0"/>
                <w:iCs w:val="0"/>
                <w:color w:val="000000"/>
                <w:szCs w:val="21"/>
                <w:u w:val="none"/>
                <w:lang w:val="en-US" w:eastAsia="zh-CN"/>
              </w:rPr>
              <w:t>135.359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5" w:type="dxa"/>
            <w:gridSpan w:val="4"/>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kern w:val="0"/>
                <w:szCs w:val="21"/>
                <w:u w:val="none"/>
              </w:rPr>
              <w:t>合    计</w:t>
            </w:r>
          </w:p>
        </w:tc>
        <w:tc>
          <w:tcPr>
            <w:tcW w:w="1611" w:type="dxa"/>
            <w:vAlign w:val="center"/>
          </w:tcPr>
          <w:p>
            <w:pPr>
              <w:jc w:val="center"/>
              <w:rPr>
                <w:rFonts w:hint="eastAsia"/>
                <w:b w:val="0"/>
                <w:bCs w:val="0"/>
                <w:i w:val="0"/>
                <w:iCs w:val="0"/>
                <w:color w:val="000000"/>
                <w:szCs w:val="21"/>
                <w:u w:val="none"/>
                <w:lang w:val="en-US" w:eastAsia="zh-CN"/>
              </w:rPr>
            </w:pPr>
            <w:r>
              <w:rPr>
                <w:rFonts w:hint="eastAsia"/>
                <w:b w:val="0"/>
                <w:bCs w:val="0"/>
                <w:i w:val="0"/>
                <w:iCs w:val="0"/>
                <w:color w:val="000000"/>
                <w:szCs w:val="21"/>
                <w:u w:val="none"/>
                <w:lang w:val="en-US" w:eastAsia="zh-CN"/>
              </w:rPr>
              <w:t>2608.909</w:t>
            </w:r>
          </w:p>
        </w:tc>
        <w:tc>
          <w:tcPr>
            <w:tcW w:w="1924" w:type="dxa"/>
            <w:vAlign w:val="center"/>
          </w:tcPr>
          <w:p>
            <w:pPr>
              <w:jc w:val="center"/>
              <w:rPr>
                <w:rFonts w:hint="eastAsia"/>
                <w:b w:val="0"/>
                <w:bCs w:val="0"/>
                <w:i w:val="0"/>
                <w:iCs w:val="0"/>
                <w:color w:val="000000"/>
                <w:szCs w:val="21"/>
                <w:u w:val="none"/>
                <w:lang w:val="en-US" w:eastAsia="zh-CN"/>
              </w:rPr>
            </w:pPr>
            <w:r>
              <w:rPr>
                <w:rFonts w:hint="eastAsia"/>
                <w:b w:val="0"/>
                <w:bCs w:val="0"/>
                <w:i w:val="0"/>
                <w:iCs w:val="0"/>
                <w:color w:val="000000"/>
                <w:szCs w:val="21"/>
                <w:u w:val="none"/>
                <w:lang w:val="en-US" w:eastAsia="zh-CN"/>
              </w:rPr>
              <w:t>3129.235</w:t>
            </w:r>
          </w:p>
        </w:tc>
        <w:tc>
          <w:tcPr>
            <w:tcW w:w="1348" w:type="dxa"/>
            <w:vAlign w:val="center"/>
          </w:tcPr>
          <w:p>
            <w:pPr>
              <w:jc w:val="center"/>
              <w:rPr>
                <w:rFonts w:hint="eastAsia"/>
                <w:b w:val="0"/>
                <w:bCs w:val="0"/>
                <w:i w:val="0"/>
                <w:iCs w:val="0"/>
                <w:color w:val="000000"/>
                <w:szCs w:val="21"/>
                <w:u w:val="none"/>
                <w:lang w:val="en-US" w:eastAsia="zh-CN"/>
              </w:rPr>
            </w:pPr>
            <w:r>
              <w:rPr>
                <w:rFonts w:hint="eastAsia"/>
                <w:b w:val="0"/>
                <w:bCs w:val="0"/>
                <w:i w:val="0"/>
                <w:iCs w:val="0"/>
                <w:color w:val="000000"/>
                <w:szCs w:val="21"/>
                <w:u w:val="none"/>
                <w:lang w:val="en-US" w:eastAsia="zh-CN"/>
              </w:rPr>
              <w:t>5738.144</w:t>
            </w:r>
          </w:p>
        </w:tc>
      </w:tr>
    </w:tbl>
    <w:p>
      <w:pPr>
        <w:topLinePunct/>
        <w:spacing w:line="500" w:lineRule="exact"/>
        <w:ind w:firstLine="480" w:firstLineChars="200"/>
        <w:rPr>
          <w:b w:val="0"/>
          <w:bCs w:val="0"/>
          <w:i w:val="0"/>
          <w:iCs w:val="0"/>
          <w:color w:val="000000"/>
          <w:sz w:val="24"/>
          <w:u w:val="none"/>
        </w:rPr>
      </w:pPr>
      <w:r>
        <w:rPr>
          <w:rFonts w:hint="eastAsia" w:ascii="宋体" w:hAnsi="宋体" w:cs="宋体"/>
          <w:b w:val="0"/>
          <w:bCs w:val="0"/>
          <w:i w:val="0"/>
          <w:iCs w:val="0"/>
          <w:color w:val="000000"/>
          <w:sz w:val="24"/>
          <w:u w:val="none"/>
        </w:rPr>
        <w:t>②</w:t>
      </w:r>
      <w:r>
        <w:rPr>
          <w:b w:val="0"/>
          <w:bCs w:val="0"/>
          <w:i w:val="0"/>
          <w:iCs w:val="0"/>
          <w:color w:val="000000"/>
          <w:sz w:val="24"/>
          <w:u w:val="none"/>
        </w:rPr>
        <w:t>猪舍冲洗废水</w:t>
      </w:r>
    </w:p>
    <w:p>
      <w:pPr>
        <w:pStyle w:val="99"/>
        <w:spacing w:line="520" w:lineRule="exact"/>
        <w:ind w:firstLine="482"/>
        <w:rPr>
          <w:b w:val="0"/>
          <w:bCs w:val="0"/>
          <w:i w:val="0"/>
          <w:iCs w:val="0"/>
          <w:color w:val="000000"/>
          <w:u w:val="none"/>
        </w:rPr>
      </w:pPr>
      <w:r>
        <w:rPr>
          <w:b w:val="0"/>
          <w:bCs w:val="0"/>
          <w:i w:val="0"/>
          <w:iCs w:val="0"/>
          <w:color w:val="000000"/>
          <w:u w:val="none"/>
        </w:rPr>
        <w:t>则本工程</w:t>
      </w:r>
      <w:r>
        <w:rPr>
          <w:b w:val="0"/>
          <w:bCs/>
          <w:iCs/>
          <w:u w:val="none"/>
        </w:rPr>
        <w:t>猪舍冲洗用水总量为</w:t>
      </w:r>
      <w:r>
        <w:rPr>
          <w:rFonts w:hint="eastAsia"/>
          <w:b w:val="0"/>
          <w:bCs/>
          <w:iCs/>
          <w:u w:val="none"/>
          <w:lang w:val="en-US" w:eastAsia="zh-CN"/>
        </w:rPr>
        <w:t>1980</w:t>
      </w:r>
      <w:r>
        <w:rPr>
          <w:b w:val="0"/>
          <w:bCs/>
          <w:iCs/>
          <w:kern w:val="0"/>
          <w:szCs w:val="21"/>
          <w:u w:val="none"/>
        </w:rPr>
        <w:t xml:space="preserve"> m</w:t>
      </w:r>
      <w:r>
        <w:rPr>
          <w:b w:val="0"/>
          <w:bCs/>
          <w:iCs/>
          <w:kern w:val="0"/>
          <w:szCs w:val="21"/>
          <w:u w:val="none"/>
          <w:vertAlign w:val="superscript"/>
        </w:rPr>
        <w:t>3</w:t>
      </w:r>
      <w:r>
        <w:rPr>
          <w:b w:val="0"/>
          <w:bCs/>
          <w:iCs/>
          <w:kern w:val="0"/>
          <w:szCs w:val="21"/>
          <w:u w:val="none"/>
        </w:rPr>
        <w:t>/a，其中</w:t>
      </w:r>
      <w:r>
        <w:rPr>
          <w:b w:val="0"/>
          <w:bCs/>
          <w:iCs/>
          <w:u w:val="none"/>
        </w:rPr>
        <w:t>新鲜水用量为</w:t>
      </w:r>
      <w:r>
        <w:rPr>
          <w:rFonts w:hint="eastAsia"/>
          <w:b w:val="0"/>
          <w:bCs/>
          <w:iCs/>
          <w:u w:val="none"/>
          <w:lang w:val="en-US" w:eastAsia="zh-CN"/>
        </w:rPr>
        <w:t>1080</w:t>
      </w:r>
      <w:r>
        <w:rPr>
          <w:b w:val="0"/>
          <w:bCs/>
          <w:iCs/>
          <w:kern w:val="0"/>
          <w:szCs w:val="21"/>
          <w:u w:val="none"/>
        </w:rPr>
        <w:t>m</w:t>
      </w:r>
      <w:r>
        <w:rPr>
          <w:b w:val="0"/>
          <w:bCs/>
          <w:iCs/>
          <w:kern w:val="0"/>
          <w:szCs w:val="21"/>
          <w:u w:val="none"/>
          <w:vertAlign w:val="superscript"/>
        </w:rPr>
        <w:t>3</w:t>
      </w:r>
      <w:r>
        <w:rPr>
          <w:b w:val="0"/>
          <w:bCs/>
          <w:iCs/>
          <w:kern w:val="0"/>
          <w:szCs w:val="21"/>
          <w:u w:val="none"/>
        </w:rPr>
        <w:t>/a，沼液回用量为</w:t>
      </w:r>
      <w:r>
        <w:rPr>
          <w:rFonts w:hint="eastAsia"/>
          <w:b w:val="0"/>
          <w:bCs/>
          <w:iCs/>
          <w:kern w:val="0"/>
          <w:szCs w:val="21"/>
          <w:u w:val="none"/>
          <w:lang w:val="en-US" w:eastAsia="zh-CN"/>
        </w:rPr>
        <w:t>900</w:t>
      </w:r>
      <w:r>
        <w:rPr>
          <w:b w:val="0"/>
          <w:bCs/>
          <w:iCs/>
          <w:kern w:val="0"/>
          <w:szCs w:val="21"/>
          <w:u w:val="none"/>
        </w:rPr>
        <w:t xml:space="preserve"> m</w:t>
      </w:r>
      <w:r>
        <w:rPr>
          <w:b w:val="0"/>
          <w:bCs/>
          <w:iCs/>
          <w:kern w:val="0"/>
          <w:szCs w:val="21"/>
          <w:u w:val="none"/>
          <w:vertAlign w:val="superscript"/>
        </w:rPr>
        <w:t>3</w:t>
      </w:r>
      <w:r>
        <w:rPr>
          <w:b w:val="0"/>
          <w:bCs/>
          <w:iCs/>
          <w:kern w:val="0"/>
          <w:szCs w:val="21"/>
          <w:u w:val="none"/>
        </w:rPr>
        <w:t>/a</w:t>
      </w:r>
      <w:r>
        <w:rPr>
          <w:b w:val="0"/>
          <w:bCs w:val="0"/>
          <w:i w:val="0"/>
          <w:iCs w:val="0"/>
          <w:color w:val="000000"/>
          <w:u w:val="none"/>
        </w:rPr>
        <w:t>，冲洗过程损耗量按20%计，则本工程猪舍冲洗废水产生量为</w:t>
      </w:r>
      <w:r>
        <w:rPr>
          <w:rFonts w:hint="eastAsia"/>
          <w:b w:val="0"/>
          <w:bCs w:val="0"/>
          <w:i w:val="0"/>
          <w:iCs w:val="0"/>
          <w:color w:val="000000"/>
          <w:u w:val="none"/>
          <w:lang w:val="en-US" w:eastAsia="zh-CN"/>
        </w:rPr>
        <w:t>1584</w:t>
      </w:r>
      <w:r>
        <w:rPr>
          <w:b w:val="0"/>
          <w:bCs w:val="0"/>
          <w:i w:val="0"/>
          <w:iCs w:val="0"/>
          <w:color w:val="000000"/>
          <w:u w:val="none"/>
        </w:rPr>
        <w:t>m</w:t>
      </w:r>
      <w:r>
        <w:rPr>
          <w:b w:val="0"/>
          <w:bCs w:val="0"/>
          <w:i w:val="0"/>
          <w:iCs w:val="0"/>
          <w:color w:val="000000"/>
          <w:u w:val="none"/>
          <w:vertAlign w:val="superscript"/>
        </w:rPr>
        <w:t>3</w:t>
      </w:r>
      <w:r>
        <w:rPr>
          <w:b w:val="0"/>
          <w:bCs w:val="0"/>
          <w:i w:val="0"/>
          <w:iCs w:val="0"/>
          <w:color w:val="000000"/>
          <w:u w:val="none"/>
        </w:rPr>
        <w:t>/a。</w:t>
      </w:r>
    </w:p>
    <w:p>
      <w:pPr>
        <w:spacing w:line="520" w:lineRule="exact"/>
        <w:ind w:firstLine="480" w:firstLineChars="200"/>
        <w:rPr>
          <w:b w:val="0"/>
          <w:bCs w:val="0"/>
          <w:i w:val="0"/>
          <w:iCs w:val="0"/>
          <w:sz w:val="24"/>
          <w:u w:val="none"/>
        </w:rPr>
      </w:pPr>
      <w:r>
        <w:rPr>
          <w:rFonts w:hint="eastAsia" w:ascii="宋体" w:hAnsi="宋体" w:cs="宋体"/>
          <w:b w:val="0"/>
          <w:bCs w:val="0"/>
          <w:i w:val="0"/>
          <w:iCs w:val="0"/>
          <w:sz w:val="24"/>
          <w:u w:val="none"/>
        </w:rPr>
        <w:t>③</w:t>
      </w:r>
      <w:r>
        <w:rPr>
          <w:b w:val="0"/>
          <w:bCs w:val="0"/>
          <w:i w:val="0"/>
          <w:iCs w:val="0"/>
          <w:sz w:val="24"/>
          <w:u w:val="none"/>
        </w:rPr>
        <w:t>猪粪带入</w:t>
      </w:r>
      <w:r>
        <w:rPr>
          <w:rFonts w:hint="eastAsia"/>
          <w:b w:val="0"/>
          <w:bCs w:val="0"/>
          <w:i w:val="0"/>
          <w:iCs w:val="0"/>
          <w:sz w:val="24"/>
          <w:u w:val="none"/>
          <w:lang w:eastAsia="zh-CN"/>
        </w:rPr>
        <w:t>黑膜</w:t>
      </w:r>
      <w:r>
        <w:rPr>
          <w:b w:val="0"/>
          <w:bCs w:val="0"/>
          <w:i w:val="0"/>
          <w:iCs w:val="0"/>
          <w:sz w:val="24"/>
          <w:u w:val="none"/>
        </w:rPr>
        <w:t>沼气池的废水</w:t>
      </w:r>
    </w:p>
    <w:p>
      <w:pPr>
        <w:pStyle w:val="99"/>
        <w:spacing w:line="520" w:lineRule="exact"/>
        <w:ind w:firstLine="482"/>
        <w:rPr>
          <w:b w:val="0"/>
          <w:bCs w:val="0"/>
          <w:i w:val="0"/>
          <w:iCs w:val="0"/>
          <w:u w:val="none"/>
        </w:rPr>
      </w:pPr>
      <w:r>
        <w:rPr>
          <w:b w:val="0"/>
          <w:bCs w:val="0"/>
          <w:i w:val="0"/>
          <w:iCs w:val="0"/>
          <w:u w:val="none"/>
        </w:rPr>
        <w:t>本项目采用干清粪工艺，粪尿产生后经粪污储存池暂存后用泵运至污水前处理系统进行固液分离，经固液分离后，分离出的猪粪运至固粪处置区制有机肥原料，污水进入</w:t>
      </w:r>
      <w:r>
        <w:rPr>
          <w:rFonts w:hint="eastAsia"/>
          <w:b w:val="0"/>
          <w:bCs w:val="0"/>
          <w:i w:val="0"/>
          <w:iCs w:val="0"/>
          <w:u w:val="none"/>
          <w:lang w:val="en-US" w:eastAsia="zh-CN"/>
        </w:rPr>
        <w:t>黑膜</w:t>
      </w:r>
      <w:r>
        <w:rPr>
          <w:b w:val="0"/>
          <w:bCs w:val="0"/>
          <w:i w:val="0"/>
          <w:iCs w:val="0"/>
          <w:u w:val="none"/>
        </w:rPr>
        <w:t>沼气池进行处理。</w:t>
      </w:r>
    </w:p>
    <w:p>
      <w:pPr>
        <w:pStyle w:val="99"/>
        <w:spacing w:line="520" w:lineRule="exact"/>
        <w:ind w:firstLine="482"/>
        <w:rPr>
          <w:b w:val="0"/>
          <w:bCs w:val="0"/>
          <w:i w:val="0"/>
          <w:iCs w:val="0"/>
          <w:u w:val="none"/>
        </w:rPr>
      </w:pPr>
      <w:r>
        <w:rPr>
          <w:b w:val="0"/>
          <w:bCs w:val="0"/>
          <w:i w:val="0"/>
          <w:iCs w:val="0"/>
          <w:u w:val="none"/>
        </w:rPr>
        <w:t>新鲜猪粪含水率为80%，养殖粪污在污水前处理区进行固液分离，固液分离效率按50%计，项目猪粪产生量为</w:t>
      </w:r>
      <w:r>
        <w:rPr>
          <w:rFonts w:hint="eastAsia"/>
          <w:b w:val="0"/>
          <w:bCs w:val="0"/>
          <w:i w:val="0"/>
          <w:iCs w:val="0"/>
          <w:u w:val="none"/>
          <w:lang w:val="en-US" w:eastAsia="zh-CN"/>
        </w:rPr>
        <w:t>1477.7</w:t>
      </w:r>
      <w:r>
        <w:rPr>
          <w:b w:val="0"/>
          <w:bCs w:val="0"/>
          <w:i w:val="0"/>
          <w:iCs w:val="0"/>
          <w:u w:val="none"/>
        </w:rPr>
        <w:t>t/a（</w:t>
      </w:r>
      <w:r>
        <w:rPr>
          <w:rFonts w:hint="eastAsia"/>
          <w:b w:val="0"/>
          <w:bCs w:val="0"/>
          <w:i w:val="0"/>
          <w:iCs w:val="0"/>
          <w:u w:val="none"/>
          <w:lang w:val="en-US" w:eastAsia="zh-CN"/>
        </w:rPr>
        <w:t>4.05</w:t>
      </w:r>
      <w:r>
        <w:rPr>
          <w:b w:val="0"/>
          <w:bCs w:val="0"/>
          <w:i w:val="0"/>
          <w:iCs w:val="0"/>
          <w:u w:val="none"/>
        </w:rPr>
        <w:t>/d），则经固液分离后猪粪带入</w:t>
      </w:r>
      <w:r>
        <w:rPr>
          <w:rFonts w:hint="eastAsia"/>
          <w:b w:val="0"/>
          <w:bCs w:val="0"/>
          <w:i w:val="0"/>
          <w:iCs w:val="0"/>
          <w:u w:val="none"/>
          <w:lang w:eastAsia="zh-CN"/>
        </w:rPr>
        <w:t>黑膜</w:t>
      </w:r>
      <w:r>
        <w:rPr>
          <w:b w:val="0"/>
          <w:bCs w:val="0"/>
          <w:i w:val="0"/>
          <w:iCs w:val="0"/>
          <w:u w:val="none"/>
        </w:rPr>
        <w:t>沼气池的总水量为</w:t>
      </w:r>
      <w:r>
        <w:rPr>
          <w:rFonts w:hint="eastAsia"/>
          <w:b w:val="0"/>
          <w:bCs w:val="0"/>
          <w:i w:val="0"/>
          <w:iCs w:val="0"/>
          <w:u w:val="none"/>
          <w:lang w:val="en-US" w:eastAsia="zh-CN"/>
        </w:rPr>
        <w:t>2.74</w:t>
      </w:r>
      <w:r>
        <w:rPr>
          <w:b w:val="0"/>
          <w:bCs w:val="0"/>
          <w:i w:val="0"/>
          <w:iCs w:val="0"/>
          <w:u w:val="none"/>
        </w:rPr>
        <w:t>m</w:t>
      </w:r>
      <w:r>
        <w:rPr>
          <w:b w:val="0"/>
          <w:bCs w:val="0"/>
          <w:i w:val="0"/>
          <w:iCs w:val="0"/>
          <w:u w:val="none"/>
          <w:vertAlign w:val="superscript"/>
        </w:rPr>
        <w:t>3</w:t>
      </w:r>
      <w:r>
        <w:rPr>
          <w:b w:val="0"/>
          <w:bCs w:val="0"/>
          <w:i w:val="0"/>
          <w:iCs w:val="0"/>
          <w:u w:val="none"/>
        </w:rPr>
        <w:t>/d、10</w:t>
      </w:r>
      <w:r>
        <w:rPr>
          <w:rFonts w:hint="eastAsia"/>
          <w:b w:val="0"/>
          <w:bCs w:val="0"/>
          <w:i w:val="0"/>
          <w:iCs w:val="0"/>
          <w:u w:val="none"/>
          <w:lang w:val="en-US" w:eastAsia="zh-CN"/>
        </w:rPr>
        <w:t>01.55</w:t>
      </w:r>
      <w:r>
        <w:rPr>
          <w:b w:val="0"/>
          <w:bCs w:val="0"/>
          <w:i w:val="0"/>
          <w:iCs w:val="0"/>
          <w:u w:val="none"/>
        </w:rPr>
        <w:t>m</w:t>
      </w:r>
      <w:r>
        <w:rPr>
          <w:b w:val="0"/>
          <w:bCs w:val="0"/>
          <w:i w:val="0"/>
          <w:iCs w:val="0"/>
          <w:u w:val="none"/>
          <w:vertAlign w:val="superscript"/>
        </w:rPr>
        <w:t>3</w:t>
      </w:r>
      <w:r>
        <w:rPr>
          <w:b w:val="0"/>
          <w:bCs w:val="0"/>
          <w:i w:val="0"/>
          <w:iCs w:val="0"/>
          <w:u w:val="none"/>
        </w:rPr>
        <w:t>/a。</w:t>
      </w:r>
    </w:p>
    <w:p>
      <w:pPr>
        <w:pStyle w:val="99"/>
        <w:spacing w:line="520" w:lineRule="exact"/>
        <w:ind w:firstLine="482"/>
        <w:rPr>
          <w:b w:val="0"/>
          <w:bCs w:val="0"/>
          <w:i w:val="0"/>
          <w:iCs w:val="0"/>
          <w:color w:val="000000"/>
          <w:u w:val="none"/>
        </w:rPr>
      </w:pPr>
      <w:r>
        <w:rPr>
          <w:b w:val="0"/>
          <w:bCs w:val="0"/>
          <w:i w:val="0"/>
          <w:iCs w:val="0"/>
          <w:u w:val="none"/>
        </w:rPr>
        <w:t>（2）</w:t>
      </w:r>
      <w:r>
        <w:rPr>
          <w:b w:val="0"/>
          <w:bCs w:val="0"/>
          <w:i w:val="0"/>
          <w:iCs w:val="0"/>
          <w:color w:val="000000"/>
          <w:u w:val="none"/>
        </w:rPr>
        <w:t>生活污水</w:t>
      </w:r>
    </w:p>
    <w:p>
      <w:pPr>
        <w:pStyle w:val="99"/>
        <w:spacing w:line="520" w:lineRule="exact"/>
        <w:ind w:firstLine="482"/>
        <w:rPr>
          <w:b w:val="0"/>
          <w:bCs w:val="0"/>
          <w:i w:val="0"/>
          <w:iCs w:val="0"/>
          <w:color w:val="000000"/>
          <w:u w:val="none"/>
        </w:rPr>
      </w:pPr>
      <w:r>
        <w:rPr>
          <w:b w:val="0"/>
          <w:bCs w:val="0"/>
          <w:i w:val="0"/>
          <w:iCs w:val="0"/>
          <w:color w:val="000000"/>
          <w:u w:val="none"/>
        </w:rPr>
        <w:t>本工程</w:t>
      </w:r>
      <w:r>
        <w:rPr>
          <w:b w:val="0"/>
          <w:bCs/>
          <w:u w:val="none"/>
        </w:rPr>
        <w:t>生活用水量为</w:t>
      </w:r>
      <w:r>
        <w:rPr>
          <w:rFonts w:hint="eastAsia"/>
          <w:b w:val="0"/>
          <w:bCs/>
          <w:u w:val="none"/>
          <w:lang w:val="en-US" w:eastAsia="zh-CN"/>
        </w:rPr>
        <w:t>2.4</w:t>
      </w:r>
      <w:r>
        <w:rPr>
          <w:b w:val="0"/>
          <w:bCs/>
          <w:u w:val="none"/>
        </w:rPr>
        <w:t>m</w:t>
      </w:r>
      <w:r>
        <w:rPr>
          <w:b w:val="0"/>
          <w:bCs/>
          <w:u w:val="none"/>
          <w:vertAlign w:val="superscript"/>
        </w:rPr>
        <w:t>3</w:t>
      </w:r>
      <w:r>
        <w:rPr>
          <w:b w:val="0"/>
          <w:bCs/>
          <w:u w:val="none"/>
        </w:rPr>
        <w:t>/d、</w:t>
      </w:r>
      <w:r>
        <w:rPr>
          <w:rFonts w:hint="eastAsia"/>
          <w:b w:val="0"/>
          <w:bCs/>
          <w:u w:val="none"/>
          <w:lang w:val="en-US" w:eastAsia="zh-CN"/>
        </w:rPr>
        <w:t>876</w:t>
      </w:r>
      <w:r>
        <w:rPr>
          <w:b w:val="0"/>
          <w:bCs/>
          <w:u w:val="none"/>
        </w:rPr>
        <w:t>m</w:t>
      </w:r>
      <w:r>
        <w:rPr>
          <w:b w:val="0"/>
          <w:bCs/>
          <w:u w:val="none"/>
          <w:vertAlign w:val="superscript"/>
        </w:rPr>
        <w:t>3</w:t>
      </w:r>
      <w:r>
        <w:rPr>
          <w:b w:val="0"/>
          <w:bCs/>
          <w:u w:val="none"/>
        </w:rPr>
        <w:t>/a。废水排放量按用水量的80%计算，则生活污水产生量为</w:t>
      </w:r>
      <w:r>
        <w:rPr>
          <w:rFonts w:hint="eastAsia"/>
          <w:b w:val="0"/>
          <w:bCs/>
          <w:u w:val="none"/>
          <w:lang w:val="en-US" w:eastAsia="zh-CN"/>
        </w:rPr>
        <w:t>1.9</w:t>
      </w:r>
      <w:r>
        <w:rPr>
          <w:b w:val="0"/>
          <w:bCs/>
          <w:u w:val="none"/>
        </w:rPr>
        <w:t>2m</w:t>
      </w:r>
      <w:r>
        <w:rPr>
          <w:b w:val="0"/>
          <w:bCs/>
          <w:u w:val="none"/>
          <w:vertAlign w:val="superscript"/>
        </w:rPr>
        <w:t>3</w:t>
      </w:r>
      <w:r>
        <w:rPr>
          <w:b w:val="0"/>
          <w:bCs/>
          <w:u w:val="none"/>
        </w:rPr>
        <w:t>/d、</w:t>
      </w:r>
      <w:r>
        <w:rPr>
          <w:rFonts w:hint="eastAsia"/>
          <w:b w:val="0"/>
          <w:bCs/>
          <w:u w:val="none"/>
          <w:lang w:val="en-US" w:eastAsia="zh-CN"/>
        </w:rPr>
        <w:t>700</w:t>
      </w:r>
      <w:r>
        <w:rPr>
          <w:b w:val="0"/>
          <w:bCs/>
          <w:u w:val="none"/>
        </w:rPr>
        <w:t>.8m</w:t>
      </w:r>
      <w:r>
        <w:rPr>
          <w:b w:val="0"/>
          <w:bCs/>
          <w:u w:val="none"/>
          <w:vertAlign w:val="superscript"/>
        </w:rPr>
        <w:t>3</w:t>
      </w:r>
      <w:r>
        <w:rPr>
          <w:b w:val="0"/>
          <w:bCs/>
          <w:u w:val="none"/>
        </w:rPr>
        <w:t>/a</w:t>
      </w:r>
      <w:r>
        <w:rPr>
          <w:b w:val="0"/>
          <w:bCs w:val="0"/>
          <w:i w:val="0"/>
          <w:iCs w:val="0"/>
          <w:u w:val="none"/>
        </w:rPr>
        <w:t>。</w:t>
      </w:r>
    </w:p>
    <w:p>
      <w:pPr>
        <w:pStyle w:val="99"/>
        <w:spacing w:line="520" w:lineRule="exact"/>
        <w:ind w:firstLine="556" w:firstLineChars="232"/>
        <w:rPr>
          <w:b w:val="0"/>
          <w:bCs w:val="0"/>
          <w:i w:val="0"/>
          <w:iCs w:val="0"/>
          <w:u w:val="none"/>
        </w:rPr>
      </w:pPr>
      <w:r>
        <w:rPr>
          <w:b w:val="0"/>
          <w:bCs w:val="0"/>
          <w:i w:val="0"/>
          <w:iCs w:val="0"/>
          <w:u w:val="none"/>
        </w:rPr>
        <w:t>经计算，本项目用排水状况见表2.1-14、2.1-15。</w:t>
      </w:r>
    </w:p>
    <w:p>
      <w:pPr>
        <w:spacing w:afterLines="30" w:line="520" w:lineRule="exact"/>
        <w:jc w:val="center"/>
        <w:rPr>
          <w:b w:val="0"/>
          <w:bCs w:val="0"/>
          <w:i w:val="0"/>
          <w:iCs w:val="0"/>
          <w:sz w:val="24"/>
          <w:u w:val="none"/>
        </w:rPr>
      </w:pPr>
      <w:bookmarkStart w:id="84" w:name="_Ref377413095"/>
      <w:r>
        <w:rPr>
          <w:b w:val="0"/>
          <w:bCs w:val="0"/>
          <w:i w:val="0"/>
          <w:iCs w:val="0"/>
          <w:sz w:val="24"/>
          <w:u w:val="none"/>
        </w:rPr>
        <w:t>表2.1-14    项目用排水一览表</w:t>
      </w:r>
      <w:bookmarkEnd w:id="84"/>
      <w:r>
        <w:rPr>
          <w:b w:val="0"/>
          <w:bCs w:val="0"/>
          <w:i w:val="0"/>
          <w:iCs w:val="0"/>
          <w:sz w:val="24"/>
          <w:u w:val="none"/>
        </w:rPr>
        <w:t>（夏季122d）</w:t>
      </w:r>
    </w:p>
    <w:tbl>
      <w:tblPr>
        <w:tblStyle w:val="45"/>
        <w:tblW w:w="87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327"/>
        <w:gridCol w:w="3539"/>
        <w:gridCol w:w="2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名称</w:t>
            </w:r>
          </w:p>
        </w:tc>
        <w:tc>
          <w:tcPr>
            <w:tcW w:w="3539"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用水量（m</w:t>
            </w:r>
            <w:r>
              <w:rPr>
                <w:b w:val="0"/>
                <w:bCs w:val="0"/>
                <w:i w:val="0"/>
                <w:iCs w:val="0"/>
                <w:szCs w:val="21"/>
                <w:u w:val="none"/>
                <w:vertAlign w:val="superscript"/>
              </w:rPr>
              <w:t>3</w:t>
            </w:r>
            <w:r>
              <w:rPr>
                <w:b w:val="0"/>
                <w:bCs w:val="0"/>
                <w:i w:val="0"/>
                <w:iCs w:val="0"/>
                <w:szCs w:val="21"/>
                <w:u w:val="none"/>
              </w:rPr>
              <w:t>/d）</w:t>
            </w:r>
          </w:p>
        </w:tc>
        <w:tc>
          <w:tcPr>
            <w:tcW w:w="2922"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排水量（m</w:t>
            </w:r>
            <w:r>
              <w:rPr>
                <w:b w:val="0"/>
                <w:bCs w:val="0"/>
                <w:i w:val="0"/>
                <w:iCs w:val="0"/>
                <w:szCs w:val="21"/>
                <w:u w:val="none"/>
                <w:vertAlign w:val="superscript"/>
              </w:rPr>
              <w:t>3</w:t>
            </w:r>
            <w:r>
              <w:rPr>
                <w:b w:val="0"/>
                <w:bCs w:val="0"/>
                <w:i w:val="0"/>
                <w:iCs w:val="0"/>
                <w:szCs w:val="21"/>
                <w:u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 w:val="0"/>
                <w:bCs w:val="0"/>
                <w:i w:val="0"/>
                <w:iCs w:val="0"/>
                <w:kern w:val="0"/>
                <w:szCs w:val="21"/>
                <w:u w:val="none"/>
              </w:rPr>
            </w:pPr>
            <w:bookmarkStart w:id="85" w:name="_Hlk376119699"/>
            <w:r>
              <w:rPr>
                <w:b w:val="0"/>
                <w:bCs w:val="0"/>
                <w:i w:val="0"/>
                <w:iCs w:val="0"/>
                <w:szCs w:val="21"/>
                <w:u w:val="none"/>
              </w:rPr>
              <w:t>猪饮用水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46.475</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21.38</w:t>
            </w:r>
          </w:p>
        </w:tc>
      </w:tr>
      <w:bookmarkEnd w:id="85"/>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szCs w:val="21"/>
                <w:u w:val="none"/>
              </w:rPr>
              <w:t>猪舍冲洗水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5.42</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4.336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 w:val="0"/>
                <w:bCs w:val="0"/>
                <w:i w:val="0"/>
                <w:iCs w:val="0"/>
                <w:szCs w:val="21"/>
                <w:u w:val="none"/>
              </w:rPr>
            </w:pPr>
            <w:r>
              <w:rPr>
                <w:b w:val="0"/>
                <w:bCs w:val="0"/>
                <w:i w:val="0"/>
                <w:iCs w:val="0"/>
                <w:szCs w:val="21"/>
                <w:u w:val="none"/>
              </w:rPr>
              <w:t>猪粪固液分离</w:t>
            </w:r>
          </w:p>
        </w:tc>
        <w:tc>
          <w:tcPr>
            <w:tcW w:w="3539" w:type="dxa"/>
            <w:tcMar>
              <w:top w:w="11" w:type="dxa"/>
              <w:left w:w="28" w:type="dxa"/>
              <w:bottom w:w="11" w:type="dxa"/>
              <w:right w:w="28" w:type="dxa"/>
            </w:tcMar>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猪舍降温用水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1.97</w:t>
            </w:r>
          </w:p>
        </w:tc>
        <w:tc>
          <w:tcPr>
            <w:tcW w:w="2922" w:type="dxa"/>
            <w:tcMar>
              <w:top w:w="11" w:type="dxa"/>
              <w:left w:w="28" w:type="dxa"/>
              <w:bottom w:w="11" w:type="dxa"/>
              <w:right w:w="28" w:type="dxa"/>
            </w:tcMar>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职工生活用水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2.4</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消毒用水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2.19</w:t>
            </w:r>
          </w:p>
        </w:tc>
        <w:tc>
          <w:tcPr>
            <w:tcW w:w="2922" w:type="dxa"/>
            <w:tcMar>
              <w:top w:w="11" w:type="dxa"/>
              <w:left w:w="28" w:type="dxa"/>
              <w:bottom w:w="11" w:type="dxa"/>
              <w:right w:w="28" w:type="dxa"/>
            </w:tcMar>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合计</w:t>
            </w:r>
          </w:p>
        </w:tc>
        <w:tc>
          <w:tcPr>
            <w:tcW w:w="3539" w:type="dxa"/>
            <w:tcMar>
              <w:top w:w="11" w:type="dxa"/>
              <w:left w:w="28" w:type="dxa"/>
              <w:bottom w:w="11" w:type="dxa"/>
              <w:right w:w="28" w:type="dxa"/>
            </w:tcMar>
            <w:vAlign w:val="bottom"/>
          </w:tcPr>
          <w:p>
            <w:pPr>
              <w:jc w:val="center"/>
              <w:rPr>
                <w:rFonts w:hint="eastAsia"/>
                <w:b w:val="0"/>
                <w:bCs w:val="0"/>
                <w:i w:val="0"/>
                <w:iCs w:val="0"/>
                <w:szCs w:val="21"/>
                <w:u w:val="none"/>
                <w:lang w:val="en-US" w:eastAsia="zh-CN"/>
              </w:rPr>
            </w:pPr>
            <w:r>
              <w:rPr>
                <w:rFonts w:hint="eastAsia"/>
                <w:b w:val="0"/>
                <w:bCs w:val="0"/>
                <w:i w:val="0"/>
                <w:iCs w:val="0"/>
                <w:szCs w:val="21"/>
                <w:u w:val="none"/>
                <w:lang w:val="en-US" w:eastAsia="zh-CN"/>
              </w:rPr>
              <w:t>58.455</w:t>
            </w:r>
          </w:p>
        </w:tc>
        <w:tc>
          <w:tcPr>
            <w:tcW w:w="2922" w:type="dxa"/>
            <w:tcMar>
              <w:top w:w="11" w:type="dxa"/>
              <w:left w:w="28" w:type="dxa"/>
              <w:bottom w:w="11" w:type="dxa"/>
              <w:right w:w="28" w:type="dxa"/>
            </w:tcMar>
            <w:vAlign w:val="bottom"/>
          </w:tcPr>
          <w:p>
            <w:pPr>
              <w:jc w:val="center"/>
              <w:rPr>
                <w:rFonts w:hint="default"/>
                <w:b w:val="0"/>
                <w:bCs w:val="0"/>
                <w:i w:val="0"/>
                <w:iCs w:val="0"/>
                <w:szCs w:val="21"/>
                <w:u w:val="none"/>
                <w:lang w:val="en-US" w:eastAsia="zh-CN"/>
              </w:rPr>
            </w:pPr>
            <w:r>
              <w:rPr>
                <w:rFonts w:hint="eastAsia"/>
                <w:b w:val="0"/>
                <w:bCs w:val="0"/>
                <w:i w:val="0"/>
                <w:iCs w:val="0"/>
                <w:szCs w:val="21"/>
                <w:u w:val="none"/>
                <w:lang w:val="en-US" w:eastAsia="zh-CN"/>
              </w:rPr>
              <w:t>30.376</w:t>
            </w:r>
          </w:p>
        </w:tc>
      </w:tr>
    </w:tbl>
    <w:p>
      <w:pPr>
        <w:spacing w:afterLines="30" w:line="520" w:lineRule="exact"/>
        <w:jc w:val="center"/>
        <w:rPr>
          <w:b w:val="0"/>
          <w:bCs w:val="0"/>
          <w:i w:val="0"/>
          <w:iCs w:val="0"/>
          <w:color w:val="000000"/>
          <w:sz w:val="24"/>
          <w:u w:val="none"/>
        </w:rPr>
      </w:pPr>
      <w:r>
        <w:rPr>
          <w:b w:val="0"/>
          <w:bCs w:val="0"/>
          <w:i w:val="0"/>
          <w:iCs w:val="0"/>
          <w:color w:val="000000"/>
          <w:sz w:val="24"/>
          <w:u w:val="none"/>
        </w:rPr>
        <w:t>表2.1-15   项目用排水一览表（其它季节243d）</w:t>
      </w:r>
    </w:p>
    <w:tbl>
      <w:tblPr>
        <w:tblStyle w:val="45"/>
        <w:tblW w:w="87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327"/>
        <w:gridCol w:w="3539"/>
        <w:gridCol w:w="2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名称</w:t>
            </w:r>
          </w:p>
        </w:tc>
        <w:tc>
          <w:tcPr>
            <w:tcW w:w="3539"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用水量（m</w:t>
            </w:r>
            <w:r>
              <w:rPr>
                <w:b w:val="0"/>
                <w:bCs w:val="0"/>
                <w:i w:val="0"/>
                <w:iCs w:val="0"/>
                <w:szCs w:val="21"/>
                <w:u w:val="none"/>
                <w:vertAlign w:val="superscript"/>
              </w:rPr>
              <w:t>3</w:t>
            </w:r>
            <w:r>
              <w:rPr>
                <w:b w:val="0"/>
                <w:bCs w:val="0"/>
                <w:i w:val="0"/>
                <w:iCs w:val="0"/>
                <w:szCs w:val="21"/>
                <w:u w:val="none"/>
              </w:rPr>
              <w:t>/d）</w:t>
            </w:r>
          </w:p>
        </w:tc>
        <w:tc>
          <w:tcPr>
            <w:tcW w:w="2922"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排水量（m</w:t>
            </w:r>
            <w:r>
              <w:rPr>
                <w:b w:val="0"/>
                <w:bCs w:val="0"/>
                <w:i w:val="0"/>
                <w:iCs w:val="0"/>
                <w:szCs w:val="21"/>
                <w:u w:val="none"/>
                <w:vertAlign w:val="superscript"/>
              </w:rPr>
              <w:t>3</w:t>
            </w:r>
            <w:r>
              <w:rPr>
                <w:b w:val="0"/>
                <w:bCs w:val="0"/>
                <w:i w:val="0"/>
                <w:iCs w:val="0"/>
                <w:szCs w:val="21"/>
                <w:u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szCs w:val="21"/>
                <w:u w:val="none"/>
              </w:rPr>
              <w:t>猪饮用水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27.025</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12.88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 w:val="0"/>
                <w:bCs w:val="0"/>
                <w:i w:val="0"/>
                <w:iCs w:val="0"/>
                <w:kern w:val="0"/>
                <w:szCs w:val="21"/>
                <w:u w:val="none"/>
              </w:rPr>
            </w:pPr>
            <w:r>
              <w:rPr>
                <w:b w:val="0"/>
                <w:bCs w:val="0"/>
                <w:i w:val="0"/>
                <w:iCs w:val="0"/>
                <w:szCs w:val="21"/>
                <w:u w:val="none"/>
              </w:rPr>
              <w:t>猪舍冲洗水</w:t>
            </w:r>
          </w:p>
        </w:tc>
        <w:tc>
          <w:tcPr>
            <w:tcW w:w="3539" w:type="dxa"/>
            <w:tcMar>
              <w:top w:w="11" w:type="dxa"/>
              <w:left w:w="28" w:type="dxa"/>
              <w:bottom w:w="11" w:type="dxa"/>
              <w:right w:w="28" w:type="dxa"/>
            </w:tcMar>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5.42</w:t>
            </w:r>
          </w:p>
        </w:tc>
        <w:tc>
          <w:tcPr>
            <w:tcW w:w="2922" w:type="dxa"/>
            <w:tcMar>
              <w:top w:w="11" w:type="dxa"/>
              <w:left w:w="28" w:type="dxa"/>
              <w:bottom w:w="11" w:type="dxa"/>
              <w:right w:w="28" w:type="dxa"/>
            </w:tcMar>
            <w:vAlign w:val="center"/>
          </w:tcPr>
          <w:p>
            <w:pPr>
              <w:jc w:val="center"/>
              <w:rPr>
                <w:rFonts w:hint="default"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4.336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 w:val="0"/>
                <w:bCs w:val="0"/>
                <w:i w:val="0"/>
                <w:iCs w:val="0"/>
                <w:szCs w:val="21"/>
                <w:u w:val="none"/>
              </w:rPr>
            </w:pPr>
            <w:r>
              <w:rPr>
                <w:b w:val="0"/>
                <w:bCs w:val="0"/>
                <w:i w:val="0"/>
                <w:iCs w:val="0"/>
                <w:szCs w:val="21"/>
                <w:u w:val="none"/>
              </w:rPr>
              <w:t>猪粪固液分离</w:t>
            </w:r>
          </w:p>
        </w:tc>
        <w:tc>
          <w:tcPr>
            <w:tcW w:w="3539" w:type="dxa"/>
            <w:tcMar>
              <w:top w:w="11" w:type="dxa"/>
              <w:left w:w="28" w:type="dxa"/>
              <w:bottom w:w="11" w:type="dxa"/>
              <w:right w:w="28" w:type="dxa"/>
            </w:tcMar>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猪舍降温用水</w:t>
            </w:r>
          </w:p>
        </w:tc>
        <w:tc>
          <w:tcPr>
            <w:tcW w:w="3539" w:type="dxa"/>
            <w:tcMar>
              <w:top w:w="11" w:type="dxa"/>
              <w:left w:w="28" w:type="dxa"/>
              <w:bottom w:w="11" w:type="dxa"/>
              <w:right w:w="28" w:type="dxa"/>
            </w:tcMar>
            <w:vAlign w:val="center"/>
          </w:tcPr>
          <w:p>
            <w:pPr>
              <w:jc w:val="center"/>
              <w:rPr>
                <w:rFonts w:hint="eastAsia"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0</w:t>
            </w:r>
          </w:p>
        </w:tc>
        <w:tc>
          <w:tcPr>
            <w:tcW w:w="2922" w:type="dxa"/>
            <w:tcMar>
              <w:top w:w="11" w:type="dxa"/>
              <w:left w:w="28" w:type="dxa"/>
              <w:bottom w:w="11" w:type="dxa"/>
              <w:right w:w="28" w:type="dxa"/>
            </w:tcMar>
            <w:vAlign w:val="center"/>
          </w:tcPr>
          <w:p>
            <w:pPr>
              <w:jc w:val="center"/>
              <w:rPr>
                <w:rFonts w:hint="eastAsia" w:eastAsia="宋体"/>
                <w:b w:val="0"/>
                <w:bCs w:val="0"/>
                <w:i w:val="0"/>
                <w:iCs w:val="0"/>
                <w:color w:val="000000"/>
                <w:szCs w:val="21"/>
                <w:u w:val="none"/>
                <w:lang w:val="en-US" w:eastAsia="zh-CN"/>
              </w:rPr>
            </w:pPr>
            <w:r>
              <w:rPr>
                <w:rFonts w:hint="eastAsia"/>
                <w:b w:val="0"/>
                <w:bCs w:val="0"/>
                <w:i w:val="0"/>
                <w:iCs w:val="0"/>
                <w:color w:val="000000"/>
                <w:szCs w:val="21"/>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职工生活用水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2.4</w:t>
            </w:r>
          </w:p>
        </w:tc>
        <w:tc>
          <w:tcPr>
            <w:tcW w:w="2922"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消毒用水</w:t>
            </w:r>
          </w:p>
        </w:tc>
        <w:tc>
          <w:tcPr>
            <w:tcW w:w="3539" w:type="dxa"/>
            <w:tcMar>
              <w:top w:w="11" w:type="dxa"/>
              <w:left w:w="28" w:type="dxa"/>
              <w:bottom w:w="11" w:type="dxa"/>
              <w:right w:w="28" w:type="dxa"/>
            </w:tcMar>
            <w:vAlign w:val="center"/>
          </w:tcPr>
          <w:p>
            <w:pPr>
              <w:jc w:val="center"/>
              <w:rPr>
                <w:rFonts w:hint="default" w:eastAsia="宋体"/>
                <w:b w:val="0"/>
                <w:bCs w:val="0"/>
                <w:i w:val="0"/>
                <w:iCs w:val="0"/>
                <w:szCs w:val="21"/>
                <w:u w:val="none"/>
                <w:lang w:val="en-US" w:eastAsia="zh-CN"/>
              </w:rPr>
            </w:pPr>
            <w:r>
              <w:rPr>
                <w:rFonts w:hint="eastAsia"/>
                <w:b w:val="0"/>
                <w:bCs w:val="0"/>
                <w:i w:val="0"/>
                <w:iCs w:val="0"/>
                <w:szCs w:val="21"/>
                <w:u w:val="none"/>
                <w:lang w:val="en-US" w:eastAsia="zh-CN"/>
              </w:rPr>
              <w:t>2.19</w:t>
            </w:r>
          </w:p>
        </w:tc>
        <w:tc>
          <w:tcPr>
            <w:tcW w:w="2922" w:type="dxa"/>
            <w:tcMar>
              <w:top w:w="11" w:type="dxa"/>
              <w:left w:w="28" w:type="dxa"/>
              <w:bottom w:w="11" w:type="dxa"/>
              <w:right w:w="28" w:type="dxa"/>
            </w:tcMar>
            <w:vAlign w:val="center"/>
          </w:tcPr>
          <w:p>
            <w:pPr>
              <w:jc w:val="center"/>
              <w:rPr>
                <w:rFonts w:hint="eastAsia" w:eastAsia="宋体"/>
                <w:b w:val="0"/>
                <w:bCs w:val="0"/>
                <w:i w:val="0"/>
                <w:iCs w:val="0"/>
                <w:szCs w:val="21"/>
                <w:u w:val="none"/>
                <w:lang w:val="en-US" w:eastAsia="zh-CN"/>
              </w:rPr>
            </w:pPr>
            <w:r>
              <w:rPr>
                <w:rFonts w:hint="eastAsia"/>
                <w:b w:val="0"/>
                <w:bCs w:val="0"/>
                <w:i w:val="0"/>
                <w:iCs w:val="0"/>
                <w:szCs w:val="21"/>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 w:val="0"/>
                <w:bCs w:val="0"/>
                <w:i w:val="0"/>
                <w:iCs w:val="0"/>
                <w:szCs w:val="21"/>
                <w:u w:val="none"/>
              </w:rPr>
            </w:pPr>
            <w:r>
              <w:rPr>
                <w:b w:val="0"/>
                <w:bCs w:val="0"/>
                <w:i w:val="0"/>
                <w:iCs w:val="0"/>
                <w:szCs w:val="21"/>
                <w:u w:val="none"/>
              </w:rPr>
              <w:t>合计</w:t>
            </w:r>
          </w:p>
        </w:tc>
        <w:tc>
          <w:tcPr>
            <w:tcW w:w="3539" w:type="dxa"/>
            <w:tcMar>
              <w:top w:w="11" w:type="dxa"/>
              <w:left w:w="28" w:type="dxa"/>
              <w:bottom w:w="11" w:type="dxa"/>
              <w:right w:w="28" w:type="dxa"/>
            </w:tcMar>
            <w:vAlign w:val="bottom"/>
          </w:tcPr>
          <w:p>
            <w:pPr>
              <w:jc w:val="center"/>
              <w:rPr>
                <w:rFonts w:hint="eastAsia"/>
                <w:b w:val="0"/>
                <w:bCs w:val="0"/>
                <w:i w:val="0"/>
                <w:iCs w:val="0"/>
                <w:szCs w:val="21"/>
                <w:u w:val="none"/>
                <w:lang w:val="en-US" w:eastAsia="zh-CN"/>
              </w:rPr>
            </w:pPr>
            <w:r>
              <w:rPr>
                <w:rFonts w:hint="eastAsia"/>
                <w:b w:val="0"/>
                <w:bCs w:val="0"/>
                <w:i w:val="0"/>
                <w:iCs w:val="0"/>
                <w:szCs w:val="21"/>
                <w:u w:val="none"/>
                <w:lang w:val="en-US" w:eastAsia="zh-CN"/>
              </w:rPr>
              <w:t>37.035</w:t>
            </w:r>
          </w:p>
        </w:tc>
        <w:tc>
          <w:tcPr>
            <w:tcW w:w="2922" w:type="dxa"/>
            <w:tcMar>
              <w:top w:w="11" w:type="dxa"/>
              <w:left w:w="28" w:type="dxa"/>
              <w:bottom w:w="11" w:type="dxa"/>
              <w:right w:w="28" w:type="dxa"/>
            </w:tcMar>
            <w:vAlign w:val="bottom"/>
          </w:tcPr>
          <w:p>
            <w:pPr>
              <w:jc w:val="center"/>
              <w:rPr>
                <w:rFonts w:hint="eastAsia"/>
                <w:b w:val="0"/>
                <w:bCs w:val="0"/>
                <w:i w:val="0"/>
                <w:iCs w:val="0"/>
                <w:szCs w:val="21"/>
                <w:u w:val="none"/>
                <w:lang w:val="en-US" w:eastAsia="zh-CN"/>
              </w:rPr>
            </w:pPr>
            <w:r>
              <w:rPr>
                <w:rFonts w:hint="eastAsia"/>
                <w:b w:val="0"/>
                <w:bCs w:val="0"/>
                <w:i w:val="0"/>
                <w:iCs w:val="0"/>
                <w:szCs w:val="21"/>
                <w:u w:val="none"/>
                <w:lang w:val="en-US" w:eastAsia="zh-CN"/>
              </w:rPr>
              <w:t>21.876</w:t>
            </w:r>
          </w:p>
        </w:tc>
      </w:tr>
    </w:tbl>
    <w:p>
      <w:pPr>
        <w:pStyle w:val="7"/>
        <w:spacing w:before="0" w:after="0" w:line="520" w:lineRule="exact"/>
        <w:rPr>
          <w:rFonts w:hint="eastAsia" w:hAnsi="Times New Roman" w:eastAsia="宋体"/>
          <w:sz w:val="24"/>
          <w:szCs w:val="24"/>
          <w:lang w:val="en-US" w:eastAsia="zh-CN"/>
        </w:rPr>
      </w:pPr>
      <w:r>
        <w:rPr>
          <w:rFonts w:hint="eastAsia" w:hAnsi="Times New Roman" w:eastAsia="宋体"/>
          <w:sz w:val="24"/>
          <w:szCs w:val="24"/>
          <w:lang w:val="en-US" w:eastAsia="zh-CN"/>
        </w:rPr>
        <w:t>2.1.6.3供配电情况</w:t>
      </w:r>
    </w:p>
    <w:p>
      <w:pPr>
        <w:spacing w:line="520" w:lineRule="exact"/>
        <w:ind w:firstLine="480" w:firstLineChars="200"/>
        <w:rPr>
          <w:sz w:val="24"/>
        </w:rPr>
      </w:pPr>
      <w:r>
        <w:rPr>
          <w:sz w:val="24"/>
        </w:rPr>
        <w:t>根据建设单位提供的资料，项目年用电量为</w:t>
      </w:r>
      <w:r>
        <w:rPr>
          <w:rFonts w:hint="eastAsia"/>
          <w:sz w:val="24"/>
          <w:lang w:val="en-US" w:eastAsia="zh-CN"/>
        </w:rPr>
        <w:t>5</w:t>
      </w:r>
      <w:r>
        <w:rPr>
          <w:sz w:val="24"/>
        </w:rPr>
        <w:t>0万度/年。项目用电由</w:t>
      </w:r>
      <w:r>
        <w:rPr>
          <w:rFonts w:hint="eastAsia"/>
          <w:sz w:val="24"/>
          <w:lang w:val="en-US" w:eastAsia="zh-CN"/>
        </w:rPr>
        <w:t>区域</w:t>
      </w:r>
      <w:r>
        <w:rPr>
          <w:sz w:val="24"/>
        </w:rPr>
        <w:t>供电所供应。</w:t>
      </w:r>
    </w:p>
    <w:p>
      <w:pPr>
        <w:pStyle w:val="7"/>
        <w:spacing w:before="0" w:after="0" w:line="520" w:lineRule="exact"/>
        <w:rPr>
          <w:rFonts w:hint="eastAsia" w:hAnsi="Times New Roman" w:eastAsia="宋体"/>
          <w:sz w:val="24"/>
          <w:szCs w:val="24"/>
          <w:lang w:val="en-US" w:eastAsia="zh-CN"/>
        </w:rPr>
      </w:pPr>
      <w:r>
        <w:rPr>
          <w:rFonts w:hint="eastAsia" w:hAnsi="Times New Roman" w:eastAsia="宋体"/>
          <w:sz w:val="24"/>
          <w:szCs w:val="24"/>
          <w:lang w:val="en-US" w:eastAsia="zh-CN"/>
        </w:rPr>
        <w:t>2.1.6.4项目取暖情况</w:t>
      </w:r>
    </w:p>
    <w:p>
      <w:pPr>
        <w:spacing w:line="520" w:lineRule="exact"/>
        <w:ind w:firstLine="480" w:firstLineChars="200"/>
        <w:rPr>
          <w:sz w:val="24"/>
        </w:rPr>
      </w:pPr>
      <w:r>
        <w:rPr>
          <w:sz w:val="24"/>
        </w:rPr>
        <w:t>猪舍墙体做隔热保温层，切断猪舍内外热传递，冬季通风换气时，通过对进、出风实行热交换，使猪舍内温度保持在猪适宜的温度范围内，实现冬季保暖。</w:t>
      </w:r>
    </w:p>
    <w:p>
      <w:pPr>
        <w:pStyle w:val="7"/>
        <w:spacing w:before="0" w:after="0" w:line="520" w:lineRule="exact"/>
        <w:rPr>
          <w:rFonts w:hint="eastAsia" w:hAnsi="Times New Roman" w:eastAsia="宋体"/>
          <w:sz w:val="24"/>
          <w:szCs w:val="24"/>
          <w:lang w:val="en-US" w:eastAsia="zh-CN"/>
        </w:rPr>
      </w:pPr>
      <w:r>
        <w:rPr>
          <w:rFonts w:hint="eastAsia" w:hAnsi="Times New Roman" w:eastAsia="宋体"/>
          <w:sz w:val="24"/>
          <w:szCs w:val="24"/>
          <w:lang w:val="en-US" w:eastAsia="zh-CN"/>
        </w:rPr>
        <w:t>2.1.6.5降温</w:t>
      </w:r>
    </w:p>
    <w:p>
      <w:pPr>
        <w:spacing w:line="520" w:lineRule="exact"/>
        <w:ind w:firstLine="480" w:firstLineChars="200"/>
        <w:rPr>
          <w:sz w:val="24"/>
        </w:rPr>
      </w:pPr>
      <w:r>
        <w:rPr>
          <w:sz w:val="24"/>
        </w:rPr>
        <w:t>夏季采用水帘风机降温，停止热交换系统工作，同时打开密闭的风机，利用风机通风。同时采用水帘风机降温，所有的温控全部由电脑程序自动控制，包括空气过滤、风机开启、地辅热启动，自动湿度调节等，该系统旨在给生猪提供一个温度适宜、湿度适中的饲养小环境。</w:t>
      </w:r>
    </w:p>
    <w:p>
      <w:pPr>
        <w:pStyle w:val="7"/>
        <w:spacing w:before="0" w:after="0" w:line="520" w:lineRule="exact"/>
        <w:rPr>
          <w:rFonts w:hint="eastAsia" w:hAnsi="Times New Roman" w:eastAsia="宋体"/>
          <w:sz w:val="24"/>
          <w:szCs w:val="24"/>
          <w:lang w:val="en-US" w:eastAsia="zh-CN"/>
        </w:rPr>
      </w:pPr>
      <w:r>
        <w:rPr>
          <w:rFonts w:hint="eastAsia" w:hAnsi="Times New Roman" w:eastAsia="宋体"/>
          <w:sz w:val="24"/>
          <w:szCs w:val="24"/>
          <w:lang w:val="en-US" w:eastAsia="zh-CN"/>
        </w:rPr>
        <w:t>2.1.6.6通排风情况</w:t>
      </w:r>
    </w:p>
    <w:p>
      <w:pPr>
        <w:pStyle w:val="99"/>
        <w:spacing w:line="520" w:lineRule="exact"/>
        <w:ind w:firstLine="480"/>
      </w:pPr>
      <w:bookmarkStart w:id="86" w:name="_Toc30893"/>
      <w:r>
        <w:t>猪舍通风系统具有位于猪舍屋顶中间部位的排空气口，排空气口上部具有可产生虹吸作用的出风管道，猪舍的两侧设有进风窗。由于具有出风管道的自然虹吸下，猪舍内的热空气被抽吸出去，无需增加抽风装置，降低了运行成本，通风效果好，通过进风窗可控制对流的大小，操作方便。畅开的通风管可正常保持猪舍内的通风，圆形的排空气口设有排气扇，在夏天外界温度较高时，打开排风扇，可向外界抽风，从而保证猪舍内的通风。上进风窗位于猪床上部的墙壁上，从而保证猪床上部猪舍内的空气的对流，下进风窗设在猪床下部墙壁上，从而保证猪床下部猪舍内的空气的对流，即时将猪粪道内的有害气体排出。与现有技术相比，具有结构简单，通风效果好，运行成本低，操作方便的优点。</w:t>
      </w:r>
    </w:p>
    <w:bookmarkEnd w:id="86"/>
    <w:p>
      <w:pPr>
        <w:pStyle w:val="6"/>
        <w:snapToGrid w:val="0"/>
        <w:spacing w:before="0" w:after="0" w:line="520" w:lineRule="exact"/>
        <w:rPr>
          <w:rFonts w:eastAsia="黑体"/>
          <w:b w:val="0"/>
          <w:sz w:val="28"/>
          <w:szCs w:val="28"/>
        </w:rPr>
      </w:pPr>
      <w:bookmarkStart w:id="87" w:name="_Toc177"/>
      <w:r>
        <w:rPr>
          <w:rFonts w:hint="eastAsia" w:eastAsia="黑体"/>
          <w:b w:val="0"/>
          <w:bCs w:val="0"/>
          <w:sz w:val="24"/>
          <w:szCs w:val="24"/>
          <w:lang w:val="en-US" w:eastAsia="zh-CN"/>
        </w:rPr>
        <w:t>2</w:t>
      </w:r>
      <w:r>
        <w:rPr>
          <w:rFonts w:eastAsia="黑体"/>
          <w:b w:val="0"/>
          <w:bCs w:val="0"/>
          <w:sz w:val="24"/>
          <w:szCs w:val="24"/>
        </w:rPr>
        <w:t>.1.</w:t>
      </w:r>
      <w:r>
        <w:rPr>
          <w:rFonts w:hint="eastAsia" w:eastAsia="黑体"/>
          <w:b w:val="0"/>
          <w:bCs w:val="0"/>
          <w:sz w:val="24"/>
          <w:szCs w:val="24"/>
          <w:lang w:val="en-US" w:eastAsia="zh-CN"/>
        </w:rPr>
        <w:t>7</w:t>
      </w:r>
      <w:r>
        <w:rPr>
          <w:rFonts w:eastAsia="黑体"/>
          <w:b w:val="0"/>
          <w:bCs w:val="0"/>
          <w:sz w:val="24"/>
          <w:szCs w:val="24"/>
        </w:rPr>
        <w:t>劳动定员</w:t>
      </w:r>
      <w:bookmarkEnd w:id="87"/>
    </w:p>
    <w:p>
      <w:pPr>
        <w:pStyle w:val="99"/>
        <w:spacing w:line="520" w:lineRule="exact"/>
        <w:ind w:firstLine="480"/>
      </w:pPr>
      <w:r>
        <w:t>项目劳动定员共计</w:t>
      </w:r>
      <w:r>
        <w:rPr>
          <w:rFonts w:hint="eastAsia"/>
          <w:lang w:val="en-US" w:eastAsia="zh-CN"/>
        </w:rPr>
        <w:t>2</w:t>
      </w:r>
      <w:r>
        <w:t>0人，分为生产人员、后勤人员、管理人员等，工作制度实行8小时工作制。</w:t>
      </w:r>
    </w:p>
    <w:p>
      <w:pPr>
        <w:pStyle w:val="6"/>
        <w:snapToGrid w:val="0"/>
        <w:spacing w:before="0" w:after="0" w:line="520" w:lineRule="exact"/>
        <w:rPr>
          <w:rFonts w:eastAsia="黑体"/>
          <w:b w:val="0"/>
          <w:bCs w:val="0"/>
          <w:sz w:val="24"/>
          <w:szCs w:val="24"/>
        </w:rPr>
      </w:pPr>
      <w:bookmarkStart w:id="88" w:name="_Toc6081"/>
      <w:r>
        <w:rPr>
          <w:rFonts w:hint="eastAsia" w:eastAsia="黑体"/>
          <w:b w:val="0"/>
          <w:bCs w:val="0"/>
          <w:sz w:val="24"/>
          <w:szCs w:val="24"/>
          <w:lang w:val="en-US" w:eastAsia="zh-CN"/>
        </w:rPr>
        <w:t>2</w:t>
      </w:r>
      <w:r>
        <w:rPr>
          <w:rFonts w:eastAsia="黑体"/>
          <w:b w:val="0"/>
          <w:bCs w:val="0"/>
          <w:sz w:val="24"/>
          <w:szCs w:val="24"/>
        </w:rPr>
        <w:t>.1.</w:t>
      </w:r>
      <w:r>
        <w:rPr>
          <w:rFonts w:hint="eastAsia" w:eastAsia="黑体"/>
          <w:b w:val="0"/>
          <w:bCs w:val="0"/>
          <w:sz w:val="24"/>
          <w:szCs w:val="24"/>
          <w:lang w:val="en-US" w:eastAsia="zh-CN"/>
        </w:rPr>
        <w:t>8</w:t>
      </w:r>
      <w:r>
        <w:rPr>
          <w:rFonts w:eastAsia="黑体"/>
          <w:b w:val="0"/>
          <w:bCs w:val="0"/>
          <w:sz w:val="24"/>
          <w:szCs w:val="24"/>
        </w:rPr>
        <w:t>建设期限</w:t>
      </w:r>
      <w:bookmarkEnd w:id="88"/>
    </w:p>
    <w:p>
      <w:pPr>
        <w:pStyle w:val="99"/>
        <w:spacing w:line="520" w:lineRule="exact"/>
        <w:ind w:firstLine="480"/>
      </w:pPr>
      <w:bookmarkStart w:id="89" w:name="_Toc239913682"/>
      <w:bookmarkStart w:id="90" w:name="_Toc252554300"/>
      <w:bookmarkStart w:id="91" w:name="_Toc238894178"/>
      <w:bookmarkStart w:id="92" w:name="_Toc237749129"/>
      <w:bookmarkStart w:id="93" w:name="_Toc238488157"/>
      <w:bookmarkStart w:id="94" w:name="_Toc241388312"/>
      <w:bookmarkStart w:id="95" w:name="_Toc252554427"/>
      <w:bookmarkStart w:id="96" w:name="_Toc311979807"/>
      <w:bookmarkStart w:id="97" w:name="_Toc269400670"/>
      <w:bookmarkStart w:id="98" w:name="_Toc311979921"/>
      <w:bookmarkStart w:id="99" w:name="_Toc311979853"/>
      <w:bookmarkStart w:id="100" w:name="_Toc388881906"/>
      <w:bookmarkStart w:id="101" w:name="_Toc406847405"/>
      <w:bookmarkStart w:id="102" w:name="_Toc445457719"/>
      <w:bookmarkStart w:id="103" w:name="_Toc413166125"/>
      <w:bookmarkStart w:id="104" w:name="_Toc253231259"/>
      <w:bookmarkStart w:id="105" w:name="_Toc407001398"/>
      <w:bookmarkStart w:id="106" w:name="_Toc252632548"/>
      <w:r>
        <w:t>建设期</w:t>
      </w:r>
      <w:r>
        <w:rPr>
          <w:rFonts w:hint="eastAsia"/>
          <w:lang w:val="en-US" w:eastAsia="zh-CN"/>
        </w:rPr>
        <w:t>6</w:t>
      </w:r>
      <w:r>
        <w:t>个月，20</w:t>
      </w:r>
      <w:r>
        <w:rPr>
          <w:rFonts w:hint="eastAsia"/>
          <w:lang w:val="en-US" w:eastAsia="zh-CN"/>
        </w:rPr>
        <w:t>20</w:t>
      </w:r>
      <w:r>
        <w:t>年</w:t>
      </w:r>
      <w:r>
        <w:rPr>
          <w:rFonts w:hint="eastAsia"/>
          <w:lang w:val="en-US" w:eastAsia="zh-CN"/>
        </w:rPr>
        <w:t>6</w:t>
      </w:r>
      <w:r>
        <w:t>月—2020年</w:t>
      </w:r>
      <w:r>
        <w:rPr>
          <w:rFonts w:hint="eastAsia"/>
          <w:lang w:val="en-US" w:eastAsia="zh-CN"/>
        </w:rPr>
        <w:t>12</w:t>
      </w:r>
      <w:r>
        <w:t>月。</w:t>
      </w:r>
    </w:p>
    <w:p>
      <w:pPr>
        <w:pStyle w:val="5"/>
        <w:spacing w:before="156" w:after="156"/>
        <w:rPr>
          <w:rFonts w:hAnsi="Times New Roman"/>
          <w:color w:val="000000"/>
        </w:rPr>
      </w:pPr>
      <w:bookmarkStart w:id="107" w:name="_Toc1685"/>
      <w:bookmarkStart w:id="108" w:name="_Toc21913"/>
      <w:bookmarkStart w:id="109" w:name="_Toc937"/>
      <w:bookmarkStart w:id="110" w:name="_Toc485996376"/>
      <w:r>
        <w:rPr>
          <w:rFonts w:hint="eastAsia" w:hAnsi="Times New Roman"/>
          <w:color w:val="000000"/>
          <w:lang w:val="en-US" w:eastAsia="zh-CN"/>
        </w:rPr>
        <w:t>2</w:t>
      </w:r>
      <w:r>
        <w:rPr>
          <w:rFonts w:hAnsi="Times New Roman"/>
          <w:color w:val="000000"/>
        </w:rPr>
        <w:t>.2项目工艺</w:t>
      </w:r>
      <w:bookmarkEnd w:id="89"/>
      <w:bookmarkEnd w:id="90"/>
      <w:bookmarkEnd w:id="91"/>
      <w:bookmarkEnd w:id="92"/>
      <w:bookmarkEnd w:id="93"/>
      <w:bookmarkEnd w:id="94"/>
      <w:bookmarkEnd w:id="95"/>
      <w:r>
        <w:rPr>
          <w:rFonts w:hAnsi="Times New Roman"/>
          <w:color w:val="000000"/>
        </w:rPr>
        <w:t>流程</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6"/>
        <w:snapToGrid w:val="0"/>
        <w:spacing w:before="0" w:after="0" w:line="520" w:lineRule="exact"/>
        <w:rPr>
          <w:rFonts w:eastAsia="黑体"/>
          <w:b w:val="0"/>
          <w:bCs w:val="0"/>
          <w:sz w:val="24"/>
          <w:szCs w:val="24"/>
        </w:rPr>
      </w:pPr>
      <w:bookmarkStart w:id="111" w:name="_Toc12631"/>
      <w:r>
        <w:rPr>
          <w:rFonts w:hint="eastAsia" w:eastAsia="黑体"/>
          <w:b w:val="0"/>
          <w:bCs w:val="0"/>
          <w:sz w:val="24"/>
          <w:szCs w:val="24"/>
          <w:lang w:val="en-US" w:eastAsia="zh-CN"/>
        </w:rPr>
        <w:t>2</w:t>
      </w:r>
      <w:r>
        <w:rPr>
          <w:rFonts w:eastAsia="黑体"/>
          <w:b w:val="0"/>
          <w:bCs w:val="0"/>
          <w:sz w:val="24"/>
          <w:szCs w:val="24"/>
        </w:rPr>
        <w:t>.2.1养殖工艺流程</w:t>
      </w:r>
      <w:bookmarkEnd w:id="111"/>
    </w:p>
    <w:p>
      <w:pPr>
        <w:spacing w:before="156" w:after="156" w:line="500" w:lineRule="exact"/>
        <w:ind w:firstLine="480" w:firstLineChars="200"/>
        <w:rPr>
          <w:b/>
          <w:color w:val="000000"/>
          <w:sz w:val="24"/>
        </w:rPr>
      </w:pPr>
      <w:r>
        <w:rPr>
          <w:color w:val="000000"/>
          <w:sz w:val="24"/>
        </w:rPr>
        <w:t>本项目采用集约化养殖方式饲养生猪，按照现代化养猪要求设计养殖工艺流程，实行流水生产工艺，即把猪群按照生产过程专业化的要求划分为配种妊娠阶段、分娩哺乳阶段、仔猪保育阶段、生长育肥阶段。</w:t>
      </w:r>
    </w:p>
    <w:p>
      <w:pPr>
        <w:spacing w:before="156" w:after="156" w:line="500" w:lineRule="exact"/>
        <w:ind w:firstLine="480" w:firstLineChars="200"/>
        <w:rPr>
          <w:color w:val="000000"/>
          <w:sz w:val="24"/>
        </w:rPr>
      </w:pPr>
      <w:r>
        <w:rPr>
          <w:color w:val="000000"/>
          <w:sz w:val="24"/>
        </w:rPr>
        <w:t>拟建项目场区不包括配种妊娠阶段、分娩哺乳阶段，仅为仔猪保育阶段、生长育肥阶段。仔猪</w:t>
      </w:r>
      <w:r>
        <w:rPr>
          <w:rFonts w:hint="eastAsia"/>
          <w:color w:val="000000"/>
          <w:sz w:val="24"/>
          <w:lang w:val="en-US" w:eastAsia="zh-CN"/>
        </w:rPr>
        <w:t>外购</w:t>
      </w:r>
      <w:r>
        <w:rPr>
          <w:color w:val="000000"/>
          <w:sz w:val="24"/>
        </w:rPr>
        <w:t>进行保育、育肥。养殖工艺流程如下：</w:t>
      </w:r>
    </w:p>
    <w:p>
      <w:pPr>
        <w:spacing w:before="156" w:after="156" w:line="500" w:lineRule="exact"/>
        <w:ind w:firstLine="480" w:firstLineChars="200"/>
        <w:rPr>
          <w:color w:val="000000"/>
          <w:sz w:val="24"/>
        </w:rPr>
      </w:pPr>
      <w:r>
        <w:rPr>
          <w:color w:val="000000"/>
          <w:sz w:val="24"/>
        </w:rPr>
        <w:t>（1）仔猪保育阶段</w:t>
      </w:r>
    </w:p>
    <w:p>
      <w:pPr>
        <w:spacing w:before="156" w:after="156" w:line="520" w:lineRule="exact"/>
        <w:ind w:firstLine="480" w:firstLineChars="200"/>
        <w:rPr>
          <w:bCs/>
          <w:sz w:val="24"/>
        </w:rPr>
      </w:pPr>
      <w:r>
        <w:rPr>
          <w:sz w:val="24"/>
        </w:rPr>
        <w:t>仔猪</w:t>
      </w:r>
      <w:r>
        <w:rPr>
          <w:rFonts w:hint="eastAsia"/>
          <w:sz w:val="24"/>
          <w:lang w:val="en-US" w:eastAsia="zh-CN"/>
        </w:rPr>
        <w:t>外购</w:t>
      </w:r>
      <w:r>
        <w:rPr>
          <w:sz w:val="24"/>
        </w:rPr>
        <w:t>运来转入保育阶段。</w:t>
      </w:r>
      <w:r>
        <w:rPr>
          <w:bCs/>
          <w:sz w:val="24"/>
        </w:rPr>
        <w:t>这一阶段，仔猪与母猪不在一起，营养来源由母乳供给转变为仔猪独立采食饲料。这种环境的变化，对于仔猪是一个应激。因此，保育阶段的主要任务是创造条件，减少应激，缩短适应期，保持快速生长，防止拉痢掉膘。</w:t>
      </w:r>
    </w:p>
    <w:p>
      <w:pPr>
        <w:spacing w:before="156" w:after="156" w:line="520" w:lineRule="exact"/>
        <w:ind w:firstLine="480" w:firstLineChars="200"/>
        <w:rPr>
          <w:bCs/>
          <w:sz w:val="24"/>
        </w:rPr>
      </w:pPr>
      <w:r>
        <w:rPr>
          <w:bCs/>
          <w:sz w:val="24"/>
        </w:rPr>
        <w:t>保育的适宜温度和相对湿度控制在20</w:t>
      </w:r>
      <w:r>
        <w:rPr>
          <w:rFonts w:hint="eastAsia" w:ascii="宋体" w:hAnsi="宋体" w:cs="宋体"/>
          <w:bCs/>
          <w:sz w:val="24"/>
        </w:rPr>
        <w:t>℃</w:t>
      </w:r>
      <w:r>
        <w:rPr>
          <w:bCs/>
          <w:sz w:val="24"/>
        </w:rPr>
        <w:t>～22</w:t>
      </w:r>
      <w:r>
        <w:rPr>
          <w:rFonts w:hint="eastAsia" w:ascii="宋体" w:hAnsi="宋体" w:cs="宋体"/>
          <w:bCs/>
          <w:sz w:val="24"/>
        </w:rPr>
        <w:t>℃</w:t>
      </w:r>
      <w:r>
        <w:rPr>
          <w:bCs/>
          <w:sz w:val="24"/>
        </w:rPr>
        <w:t>和65％～70％，并注意良好的通风换气，保持圈舍清洁、干燥，饮水充足。进入保育舍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spacing w:before="156" w:after="156" w:line="520" w:lineRule="exact"/>
        <w:ind w:firstLine="480" w:firstLineChars="200"/>
        <w:rPr>
          <w:bCs/>
          <w:sz w:val="24"/>
        </w:rPr>
      </w:pPr>
      <w:r>
        <w:rPr>
          <w:color w:val="000000"/>
          <w:sz w:val="24"/>
        </w:rPr>
        <w:t>（2）生长育肥阶段</w:t>
      </w:r>
    </w:p>
    <w:p>
      <w:pPr>
        <w:spacing w:before="156" w:after="156" w:line="520" w:lineRule="exact"/>
        <w:ind w:firstLine="480" w:firstLineChars="200"/>
        <w:rPr>
          <w:bCs/>
          <w:sz w:val="24"/>
        </w:rPr>
      </w:pPr>
      <w:r>
        <w:rPr>
          <w:bCs/>
          <w:sz w:val="24"/>
        </w:rPr>
        <w:t>育肥舍在进猪前应进行维修和彻底地冲洗、消毒。进猪后保持舍内清洁、干燥、通风良好、饮水充足，温度控制在18~22</w:t>
      </w:r>
      <w:r>
        <w:rPr>
          <w:rFonts w:hint="eastAsia" w:ascii="宋体" w:hAnsi="宋体" w:cs="宋体"/>
          <w:bCs/>
          <w:sz w:val="24"/>
        </w:rPr>
        <w:t>℃</w:t>
      </w:r>
      <w:r>
        <w:rPr>
          <w:bCs/>
          <w:sz w:val="24"/>
        </w:rPr>
        <w:t>，夏季注意防暑降温。转群时应将原圈猪按体重大小、性别、强弱分群，每群大小应视圈舍大小而定，一般为10~20头。</w:t>
      </w:r>
    </w:p>
    <w:p>
      <w:pPr>
        <w:spacing w:before="156" w:after="156" w:line="520" w:lineRule="exact"/>
        <w:ind w:firstLine="480" w:firstLineChars="200"/>
        <w:rPr>
          <w:sz w:val="24"/>
        </w:rPr>
      </w:pPr>
      <w:r>
        <w:rPr>
          <w:bCs/>
          <w:sz w:val="24"/>
        </w:rPr>
        <w:t>每月要定期称重，以检查饲喂效果。经常检查猪群的采食、发育等情况，及时调整饲料配方，发现疫病及时报告，采取有效措施进行治疗和处理。</w:t>
      </w:r>
      <w:r>
        <w:rPr>
          <w:color w:val="000000"/>
          <w:sz w:val="24"/>
        </w:rPr>
        <w:t>保育猪和育肥猪养殖过程工艺流程及产污环节见</w:t>
      </w:r>
      <w:r>
        <w:rPr>
          <w:bCs/>
          <w:sz w:val="24"/>
        </w:rPr>
        <w:t>图2.2-1。</w:t>
      </w:r>
    </w:p>
    <w:p>
      <w:pPr>
        <w:spacing w:line="520" w:lineRule="exact"/>
        <w:ind w:firstLine="480" w:firstLineChars="200"/>
        <w:rPr>
          <w:sz w:val="24"/>
        </w:rPr>
        <w:sectPr>
          <w:headerReference r:id="rId4" w:type="default"/>
          <w:pgSz w:w="11906" w:h="16838"/>
          <w:pgMar w:top="1984" w:right="1587" w:bottom="1701" w:left="1587"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8037830" cy="4035425"/>
            <wp:effectExtent l="0" t="0" r="8890" b="3175"/>
            <wp:docPr id="5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IMG_256"/>
                    <pic:cNvPicPr>
                      <a:picLocks noChangeAspect="1"/>
                    </pic:cNvPicPr>
                  </pic:nvPicPr>
                  <pic:blipFill>
                    <a:blip r:embed="rId9"/>
                    <a:stretch>
                      <a:fillRect/>
                    </a:stretch>
                  </pic:blipFill>
                  <pic:spPr>
                    <a:xfrm>
                      <a:off x="0" y="0"/>
                      <a:ext cx="8037830" cy="4035425"/>
                    </a:xfrm>
                    <a:prstGeom prst="rect">
                      <a:avLst/>
                    </a:prstGeom>
                    <a:noFill/>
                    <a:ln w="9525">
                      <a:noFill/>
                    </a:ln>
                  </pic:spPr>
                </pic:pic>
              </a:graphicData>
            </a:graphic>
          </wp:inline>
        </w:drawing>
      </w:r>
    </w:p>
    <w:p>
      <w:pPr>
        <w:keepNext w:val="0"/>
        <w:keepLines w:val="0"/>
        <w:widowControl/>
        <w:suppressLineNumbers w:val="0"/>
        <w:jc w:val="left"/>
      </w:pPr>
    </w:p>
    <w:p>
      <w:pPr>
        <w:spacing w:line="520" w:lineRule="exact"/>
        <w:jc w:val="center"/>
        <w:rPr>
          <w:b/>
          <w:sz w:val="24"/>
          <w:u w:val="single"/>
        </w:rPr>
      </w:pPr>
      <w:r>
        <w:rPr>
          <w:sz w:val="24"/>
        </w:rPr>
        <w:pict>
          <v:shape id="_x0000_s2051" o:spid="_x0000_s2051" o:spt="202" type="#_x0000_t202" style="position:absolute;left:0pt;margin-left:159.75pt;margin-top:8.8pt;height:25.5pt;width:23.25pt;z-index:251715584;mso-width-relative:page;mso-height-relative:page;" stroked="f" coordsize="21600,21600">
            <v:path/>
            <v:fill focussize="0,0"/>
            <v:stroke on="f" joinstyle="miter"/>
            <v:imagedata o:title=""/>
            <o:lock v:ext="edit"/>
            <v:textbox>
              <w:txbxContent>
                <w:p/>
              </w:txbxContent>
            </v:textbox>
          </v:shape>
        </w:pict>
      </w:r>
      <w:r>
        <w:rPr>
          <w:sz w:val="24"/>
        </w:rPr>
        <w:pict>
          <v:shape id="_x0000_s2052" o:spid="_x0000_s2052" o:spt="202" type="#_x0000_t202" style="position:absolute;left:0pt;margin-left:247pt;margin-top:17.25pt;height:22.75pt;width:263pt;z-index:251702272;mso-width-relative:margin;mso-height-relative:margin;mso-width-percent:400;mso-height-percent:200;" filled="f" stroked="f" coordsize="21600,21600">
            <v:path/>
            <v:fill on="f" focussize="0,0"/>
            <v:stroke on="f" joinstyle="miter"/>
            <v:imagedata o:title=""/>
            <o:lock v:ext="edit"/>
            <v:textbox style="mso-fit-shape-to-text:t;">
              <w:txbxContent>
                <w:p>
                  <w:r>
                    <w:rPr>
                      <w:b/>
                      <w:sz w:val="24"/>
                    </w:rPr>
                    <w:t xml:space="preserve">图2.2-1  </w:t>
                  </w:r>
                  <w:r>
                    <w:rPr>
                      <w:rFonts w:hint="eastAsia"/>
                      <w:b/>
                      <w:sz w:val="24"/>
                    </w:rPr>
                    <w:t>工艺</w:t>
                  </w:r>
                  <w:r>
                    <w:rPr>
                      <w:b/>
                      <w:sz w:val="24"/>
                    </w:rPr>
                    <w:t>流程及产污环节</w:t>
                  </w:r>
                  <w:r>
                    <w:rPr>
                      <w:rFonts w:hint="eastAsia"/>
                      <w:b/>
                      <w:sz w:val="24"/>
                    </w:rPr>
                    <w:t>图</w:t>
                  </w:r>
                </w:p>
              </w:txbxContent>
            </v:textbox>
          </v:shape>
        </w:pict>
      </w:r>
    </w:p>
    <w:p>
      <w:pPr>
        <w:spacing w:line="520" w:lineRule="exact"/>
        <w:jc w:val="center"/>
        <w:rPr>
          <w:b/>
          <w:sz w:val="24"/>
          <w:u w:val="single"/>
        </w:rPr>
        <w:sectPr>
          <w:pgSz w:w="16838" w:h="11906" w:orient="landscape"/>
          <w:pgMar w:top="1587" w:right="1984" w:bottom="1587" w:left="1701" w:header="851" w:footer="992" w:gutter="0"/>
          <w:pgBorders>
            <w:top w:val="none" w:sz="0" w:space="0"/>
            <w:left w:val="none" w:sz="0" w:space="0"/>
            <w:bottom w:val="none" w:sz="0" w:space="0"/>
            <w:right w:val="none" w:sz="0" w:space="0"/>
          </w:pgBorders>
          <w:pgNumType w:fmt="numberInDash"/>
          <w:cols w:space="720" w:num="1"/>
          <w:docGrid w:linePitch="312" w:charSpace="0"/>
        </w:sectPr>
      </w:pPr>
    </w:p>
    <w:p>
      <w:pPr>
        <w:pStyle w:val="99"/>
        <w:spacing w:line="520" w:lineRule="exact"/>
        <w:ind w:firstLine="0" w:firstLineChars="0"/>
      </w:pPr>
      <w:r>
        <w:t>2.2.2养殖设备工艺</w:t>
      </w:r>
    </w:p>
    <w:p>
      <w:pPr>
        <w:pStyle w:val="99"/>
        <w:spacing w:line="520" w:lineRule="exact"/>
        <w:ind w:firstLine="480"/>
      </w:pPr>
      <w:r>
        <w:fldChar w:fldCharType="begin"/>
      </w:r>
      <w:r>
        <w:instrText xml:space="preserve"> = 1 \* GB3 </w:instrText>
      </w:r>
      <w:r>
        <w:fldChar w:fldCharType="separate"/>
      </w:r>
      <w:r>
        <w:rPr>
          <w:rFonts w:hint="eastAsia" w:ascii="宋体" w:hAnsi="宋体" w:cs="宋体"/>
        </w:rPr>
        <w:t>①</w:t>
      </w:r>
      <w:r>
        <w:fldChar w:fldCharType="end"/>
      </w:r>
      <w:r>
        <w:t xml:space="preserve"> 供料系统</w:t>
      </w:r>
    </w:p>
    <w:p>
      <w:pPr>
        <w:pStyle w:val="99"/>
        <w:spacing w:line="520" w:lineRule="exact"/>
        <w:ind w:firstLine="480"/>
      </w:pPr>
      <w:r>
        <w:t>本项目场区内不设饲料制作车间，</w:t>
      </w:r>
      <w:r>
        <w:rPr>
          <w:rFonts w:hint="eastAsia"/>
          <w:lang w:val="en-US" w:eastAsia="zh-CN"/>
        </w:rPr>
        <w:t>饲料全部外购成品</w:t>
      </w:r>
      <w:r>
        <w:t>，猪场采用全自动配送上料系统和限位猪槽，机械化操作，定时定量供应饲料，保证生猪饮食需求，同时减少浪费，节约人力和饲料用量，降低生产成本。</w:t>
      </w:r>
    </w:p>
    <w:p>
      <w:pPr>
        <w:pStyle w:val="99"/>
        <w:spacing w:line="520" w:lineRule="exact"/>
        <w:ind w:firstLine="480"/>
      </w:pPr>
      <w:r>
        <w:fldChar w:fldCharType="begin"/>
      </w:r>
      <w:r>
        <w:instrText xml:space="preserve"> = 2 \* GB3 </w:instrText>
      </w:r>
      <w:r>
        <w:fldChar w:fldCharType="separate"/>
      </w:r>
      <w:r>
        <w:rPr>
          <w:rFonts w:hint="eastAsia" w:ascii="宋体" w:hAnsi="宋体" w:cs="宋体"/>
        </w:rPr>
        <w:t>②</w:t>
      </w:r>
      <w:r>
        <w:fldChar w:fldCharType="end"/>
      </w:r>
      <w:r>
        <w:t xml:space="preserve"> 饮水系统工艺说明</w:t>
      </w:r>
    </w:p>
    <w:p>
      <w:pPr>
        <w:spacing w:line="520" w:lineRule="exact"/>
        <w:ind w:firstLine="480" w:firstLineChars="200"/>
        <w:rPr>
          <w:sz w:val="24"/>
        </w:rPr>
      </w:pPr>
      <w:r>
        <w:rPr>
          <w:sz w:val="24"/>
        </w:rPr>
        <w:t>项目采用先进的限位饮水器，限位饮水器的底部槽体液面始终维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pStyle w:val="99"/>
        <w:spacing w:line="520" w:lineRule="exact"/>
        <w:ind w:firstLine="480"/>
      </w:pPr>
      <w:r>
        <w:fldChar w:fldCharType="begin"/>
      </w:r>
      <w:r>
        <w:instrText xml:space="preserve"> = 3 \* GB3 </w:instrText>
      </w:r>
      <w:r>
        <w:fldChar w:fldCharType="separate"/>
      </w:r>
      <w:r>
        <w:rPr>
          <w:rFonts w:hint="eastAsia" w:ascii="宋体" w:hAnsi="宋体" w:cs="宋体"/>
        </w:rPr>
        <w:t>③</w:t>
      </w:r>
      <w:r>
        <w:fldChar w:fldCharType="end"/>
      </w:r>
      <w:r>
        <w:t xml:space="preserve"> 取暖系统工艺</w:t>
      </w:r>
    </w:p>
    <w:p>
      <w:pPr>
        <w:widowControl/>
        <w:adjustRightInd w:val="0"/>
        <w:snapToGrid w:val="0"/>
        <w:spacing w:line="520" w:lineRule="exact"/>
        <w:ind w:firstLine="480" w:firstLineChars="200"/>
        <w:jc w:val="left"/>
        <w:rPr>
          <w:bCs/>
          <w:sz w:val="24"/>
          <w:szCs w:val="28"/>
        </w:rPr>
      </w:pPr>
      <w:r>
        <w:rPr>
          <w:bCs/>
          <w:sz w:val="24"/>
          <w:szCs w:val="28"/>
        </w:rPr>
        <w:t>项目通过优化猪舍结构设计、墙体做隔热保温层来切断猪舍内外热传递。同时，猪舍冬季通风换气时，通过热交换系统对进、出风实行热交换，使猪舍内温度保持在猪适宜的温度范围内。具体措施如下：</w:t>
      </w:r>
    </w:p>
    <w:p>
      <w:pPr>
        <w:widowControl/>
        <w:adjustRightInd w:val="0"/>
        <w:snapToGrid w:val="0"/>
        <w:spacing w:line="520" w:lineRule="exact"/>
        <w:ind w:firstLine="480" w:firstLineChars="200"/>
        <w:jc w:val="left"/>
        <w:rPr>
          <w:bCs/>
          <w:sz w:val="24"/>
          <w:szCs w:val="28"/>
        </w:rPr>
      </w:pPr>
      <w:r>
        <w:rPr>
          <w:bCs/>
          <w:sz w:val="24"/>
          <w:szCs w:val="28"/>
        </w:rPr>
        <w:t>猪舍结构：墙体外铺挤塑式聚苯乙烯隔热保温板（冬季有很好的阻热作用）+猪舍内热交换系统（冬季有效利用热量，较少热量损失）+ 风机（夏季有很好的通风作用）。墙体由挤塑式聚苯乙烯隔热保温板（简称“挤塑板”）来切断猪舍内外热传递，该材料具有高热阻、低线性、膨胀比低的特点，其结构的闭孔率达到了99%以上，形成真空层，避免空气流动散热，确保其保温性能的持久和稳定。</w:t>
      </w:r>
    </w:p>
    <w:p>
      <w:pPr>
        <w:widowControl/>
        <w:adjustRightInd w:val="0"/>
        <w:snapToGrid w:val="0"/>
        <w:spacing w:line="520" w:lineRule="exact"/>
        <w:ind w:firstLine="480" w:firstLineChars="200"/>
        <w:jc w:val="left"/>
        <w:rPr>
          <w:bCs/>
          <w:sz w:val="24"/>
          <w:szCs w:val="28"/>
        </w:rPr>
      </w:pPr>
      <w:r>
        <w:rPr>
          <w:bCs/>
          <w:sz w:val="24"/>
          <w:szCs w:val="28"/>
        </w:rPr>
        <w:t>热交换系统主要原理：热交换通风系统主要包括猪舍保温墙、风机、风管布风管及窗户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widowControl/>
        <w:adjustRightInd w:val="0"/>
        <w:snapToGrid w:val="0"/>
        <w:spacing w:line="520" w:lineRule="exact"/>
        <w:ind w:firstLine="480" w:firstLineChars="200"/>
        <w:jc w:val="left"/>
        <w:rPr>
          <w:bCs/>
          <w:sz w:val="24"/>
          <w:szCs w:val="28"/>
        </w:rPr>
      </w:pPr>
      <w:r>
        <w:rPr>
          <w:bCs/>
          <w:sz w:val="24"/>
          <w:szCs w:val="28"/>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猪舍内有害气体不超标，同时满足了通风和稳定猪舍温度的需求，节约了能源消耗，降低了饲养成本。</w:t>
      </w:r>
    </w:p>
    <w:p>
      <w:pPr>
        <w:widowControl/>
        <w:adjustRightInd w:val="0"/>
        <w:snapToGrid w:val="0"/>
        <w:spacing w:line="520" w:lineRule="exact"/>
        <w:ind w:firstLine="480" w:firstLineChars="200"/>
        <w:jc w:val="left"/>
        <w:rPr>
          <w:bCs/>
          <w:sz w:val="24"/>
          <w:szCs w:val="28"/>
        </w:rPr>
      </w:pPr>
      <w:r>
        <w:rPr>
          <w:bCs/>
          <w:sz w:val="24"/>
          <w:szCs w:val="28"/>
        </w:rPr>
        <w:t>冬季保温：主要是通过猪舍墙体保温材料与外部断绝热交换，猪舍内部通风通过热交换系统进行，实施最小通风量，既保证猪需要的氧气量，又保证猪舍内有害气体不超标，防止过度通风降低猪舍温度。</w:t>
      </w:r>
    </w:p>
    <w:p>
      <w:pPr>
        <w:spacing w:line="500" w:lineRule="exact"/>
        <w:ind w:firstLine="480" w:firstLineChars="200"/>
        <w:rPr>
          <w:sz w:val="24"/>
        </w:rPr>
      </w:pPr>
      <w:r>
        <w:rPr>
          <w:sz w:val="24"/>
        </w:rPr>
        <w:fldChar w:fldCharType="begin"/>
      </w:r>
      <w:r>
        <w:rPr>
          <w:sz w:val="24"/>
        </w:rPr>
        <w:instrText xml:space="preserve"> = 4 \* GB3 </w:instrText>
      </w:r>
      <w:r>
        <w:rPr>
          <w:sz w:val="24"/>
        </w:rPr>
        <w:fldChar w:fldCharType="separate"/>
      </w:r>
      <w:r>
        <w:rPr>
          <w:rFonts w:hint="eastAsia" w:ascii="宋体" w:hAnsi="宋体" w:cs="宋体"/>
          <w:sz w:val="24"/>
        </w:rPr>
        <w:t>④</w:t>
      </w:r>
      <w:r>
        <w:rPr>
          <w:sz w:val="24"/>
        </w:rPr>
        <w:fldChar w:fldCharType="end"/>
      </w:r>
      <w:r>
        <w:rPr>
          <w:sz w:val="24"/>
        </w:rPr>
        <w:t xml:space="preserve"> 降温系统</w:t>
      </w:r>
    </w:p>
    <w:p>
      <w:pPr>
        <w:spacing w:line="520" w:lineRule="exact"/>
        <w:ind w:firstLine="480" w:firstLineChars="200"/>
        <w:rPr>
          <w:sz w:val="24"/>
        </w:rPr>
      </w:pPr>
      <w:r>
        <w:rPr>
          <w:bCs/>
          <w:sz w:val="24"/>
          <w:szCs w:val="28"/>
        </w:rPr>
        <w:t>夏季降温：</w:t>
      </w:r>
      <w:r>
        <w:rPr>
          <w:sz w:val="24"/>
        </w:rPr>
        <w:t>夏季采用喷雾降温，停止热交换系统工作，同时打开密闭的风机，利用风机通风。所有的温控全部由电脑程序自动控制，包括空气过滤、风机开启、地辅热启动，自动湿度调节等，该系统旨在给生猪提供一个温度适宜、湿度适中的饲养小环境。</w:t>
      </w:r>
    </w:p>
    <w:p>
      <w:pPr>
        <w:pStyle w:val="99"/>
        <w:spacing w:line="520" w:lineRule="exact"/>
        <w:ind w:firstLine="480"/>
      </w:pPr>
      <w:r>
        <w:fldChar w:fldCharType="begin"/>
      </w:r>
      <w:r>
        <w:instrText xml:space="preserve"> = 5 \* GB3 </w:instrText>
      </w:r>
      <w:r>
        <w:fldChar w:fldCharType="separate"/>
      </w:r>
      <w:r>
        <w:rPr>
          <w:rFonts w:hint="eastAsia" w:ascii="宋体" w:hAnsi="宋体" w:cs="宋体"/>
        </w:rPr>
        <w:t>⑤</w:t>
      </w:r>
      <w:r>
        <w:fldChar w:fldCharType="end"/>
      </w:r>
      <w:r>
        <w:t xml:space="preserve"> 卫生防疫</w:t>
      </w:r>
    </w:p>
    <w:p>
      <w:pPr>
        <w:spacing w:line="520" w:lineRule="exact"/>
        <w:ind w:firstLine="480" w:firstLineChars="200"/>
        <w:rPr>
          <w:sz w:val="24"/>
        </w:rPr>
      </w:pPr>
      <w:bookmarkStart w:id="112" w:name="_Toc1553"/>
      <w:r>
        <w:rPr>
          <w:sz w:val="24"/>
        </w:rPr>
        <w:t>在各阶段猪出栏后，通过过氧乙酸对猪舍进行消毒处理，发生特别疫情时用高锰酸钾消毒液进行消毒处理。</w:t>
      </w:r>
    </w:p>
    <w:p>
      <w:pPr>
        <w:spacing w:line="520" w:lineRule="exact"/>
        <w:ind w:firstLine="480" w:firstLineChars="200"/>
        <w:rPr>
          <w:sz w:val="24"/>
        </w:rPr>
      </w:pPr>
      <w:r>
        <w:rPr>
          <w:sz w:val="24"/>
        </w:rPr>
        <w:t>场内部养殖区、办公生活区建设实体隔离墙；场区、生产场区大门口建设与门同宽，</w:t>
      </w:r>
      <w:r>
        <w:rPr>
          <w:color w:val="000000"/>
          <w:sz w:val="24"/>
        </w:rPr>
        <w:t>长12m，宽3.5m，深0.2m</w:t>
      </w:r>
      <w:r>
        <w:rPr>
          <w:sz w:val="24"/>
        </w:rPr>
        <w:t>的消毒池。</w:t>
      </w:r>
    </w:p>
    <w:p>
      <w:pPr>
        <w:tabs>
          <w:tab w:val="left" w:pos="624"/>
        </w:tabs>
        <w:spacing w:line="520" w:lineRule="exact"/>
        <w:ind w:firstLine="480" w:firstLineChars="200"/>
        <w:jc w:val="left"/>
        <w:rPr>
          <w:sz w:val="24"/>
        </w:rPr>
      </w:pPr>
      <w:r>
        <w:rPr>
          <w:sz w:val="24"/>
        </w:rPr>
        <w:fldChar w:fldCharType="begin"/>
      </w:r>
      <w:r>
        <w:rPr>
          <w:sz w:val="24"/>
        </w:rPr>
        <w:instrText xml:space="preserve">= 6 \* GB3</w:instrText>
      </w:r>
      <w:r>
        <w:rPr>
          <w:sz w:val="24"/>
        </w:rPr>
        <w:fldChar w:fldCharType="separate"/>
      </w:r>
      <w:r>
        <w:rPr>
          <w:rFonts w:hint="eastAsia" w:ascii="宋体" w:hAnsi="宋体" w:cs="宋体"/>
          <w:sz w:val="24"/>
        </w:rPr>
        <w:t>⑥</w:t>
      </w:r>
      <w:r>
        <w:rPr>
          <w:sz w:val="24"/>
        </w:rPr>
        <w:fldChar w:fldCharType="end"/>
      </w:r>
      <w:r>
        <w:rPr>
          <w:sz w:val="24"/>
        </w:rPr>
        <w:t>漏缝地板粪污处理</w:t>
      </w:r>
    </w:p>
    <w:p>
      <w:pPr>
        <w:tabs>
          <w:tab w:val="left" w:pos="624"/>
        </w:tabs>
        <w:spacing w:line="520" w:lineRule="exact"/>
        <w:ind w:firstLine="480" w:firstLineChars="200"/>
        <w:rPr>
          <w:sz w:val="24"/>
        </w:rPr>
      </w:pPr>
      <w:r>
        <w:rPr>
          <w:sz w:val="24"/>
        </w:rPr>
        <w:t>生猪饲养猪舍采用漏缝地板饲养，漏缝地板下设贮存池，粪尿在贮存池中贮存后到治污区，通过固液分离机对粪污进行干湿分离，猪粪用于生产有机肥原料，废水进入沼气工程区生产沼气。</w:t>
      </w:r>
    </w:p>
    <w:p>
      <w:pPr>
        <w:pStyle w:val="6"/>
        <w:snapToGrid w:val="0"/>
        <w:spacing w:before="0" w:after="0" w:line="520" w:lineRule="exact"/>
        <w:rPr>
          <w:rFonts w:eastAsia="黑体"/>
          <w:b w:val="0"/>
          <w:bCs w:val="0"/>
          <w:sz w:val="24"/>
          <w:szCs w:val="24"/>
        </w:rPr>
      </w:pPr>
      <w:r>
        <w:rPr>
          <w:rFonts w:hint="eastAsia" w:eastAsia="黑体"/>
          <w:b w:val="0"/>
          <w:bCs w:val="0"/>
          <w:sz w:val="24"/>
          <w:szCs w:val="24"/>
          <w:lang w:val="en-US" w:eastAsia="zh-CN"/>
        </w:rPr>
        <w:t>2</w:t>
      </w:r>
      <w:r>
        <w:rPr>
          <w:rFonts w:eastAsia="黑体"/>
          <w:b w:val="0"/>
          <w:bCs w:val="0"/>
          <w:sz w:val="24"/>
          <w:szCs w:val="24"/>
        </w:rPr>
        <w:t>.2.2养殖模式与清粪模式</w:t>
      </w:r>
      <w:bookmarkEnd w:id="112"/>
    </w:p>
    <w:p>
      <w:pPr>
        <w:spacing w:line="520" w:lineRule="exact"/>
        <w:ind w:firstLine="480" w:firstLineChars="200"/>
        <w:rPr>
          <w:sz w:val="24"/>
        </w:rPr>
      </w:pPr>
      <w:bookmarkStart w:id="113" w:name="_Toc6340"/>
      <w:r>
        <w:rPr>
          <w:sz w:val="24"/>
        </w:rPr>
        <w:t>（1）猪场养殖模式</w:t>
      </w:r>
    </w:p>
    <w:p>
      <w:pPr>
        <w:spacing w:line="520" w:lineRule="exact"/>
        <w:ind w:firstLine="480" w:firstLineChars="200"/>
        <w:rPr>
          <w:sz w:val="24"/>
        </w:rPr>
      </w:pPr>
      <w:r>
        <w:rPr>
          <w:sz w:val="24"/>
        </w:rPr>
        <w:t>猪舍的设计养殖模式与清粪工艺、养殖规模、饲养方式、劳动效率、卫生防疫及养殖成本都有着密切的关系。通过考察及查阅相关资料得知，目前国内已建猪场并存的模式有农舍式、通仓式、生态垫料和高架床等。</w:t>
      </w:r>
    </w:p>
    <w:p>
      <w:pPr>
        <w:spacing w:line="520" w:lineRule="exact"/>
        <w:ind w:firstLine="480" w:firstLineChars="200"/>
        <w:rPr>
          <w:sz w:val="24"/>
        </w:rPr>
      </w:pPr>
      <w:r>
        <w:rPr>
          <w:sz w:val="24"/>
        </w:rPr>
        <w:t>A、农舍式</w:t>
      </w:r>
    </w:p>
    <w:p>
      <w:pPr>
        <w:spacing w:line="520" w:lineRule="exact"/>
        <w:ind w:firstLine="480" w:firstLineChars="200"/>
        <w:rPr>
          <w:sz w:val="24"/>
        </w:rPr>
      </w:pPr>
      <w:r>
        <w:rPr>
          <w:sz w:val="24"/>
        </w:rPr>
        <w:t>农舍式基本上由传统的农家猪舍改造集合而成，每个养猪单元内划分休息区、喂食饮水区、排粪区。排粪区内的尿液至收集槽内汇集，猪粪由人工清除后运出，以水冲洗残渣，属于干清粪模式。</w:t>
      </w:r>
    </w:p>
    <w:p>
      <w:pPr>
        <w:spacing w:line="520" w:lineRule="exact"/>
        <w:ind w:firstLine="480" w:firstLineChars="200"/>
        <w:rPr>
          <w:sz w:val="24"/>
        </w:rPr>
      </w:pPr>
      <w:r>
        <w:rPr>
          <w:sz w:val="24"/>
        </w:rPr>
        <w:t>优点：该模式符合《畜禽养殖业污染防治技术规范》（HJ/T81-2001）中4.3款“新建、改建、扩建的畜禽养殖场应采取干清粪工艺，采取有效措施及时、单独清出，不可与尿、污水混合排出，并将产生的粪渣及时运至贮存或处理场所，实现日产日清”的要求。粪便与尿液分离彻底，废水污染物浓度低，便于污水的后续处理。</w:t>
      </w:r>
    </w:p>
    <w:p>
      <w:pPr>
        <w:spacing w:line="520" w:lineRule="exact"/>
        <w:ind w:firstLine="480" w:firstLineChars="200"/>
        <w:rPr>
          <w:sz w:val="24"/>
        </w:rPr>
      </w:pPr>
      <w:r>
        <w:rPr>
          <w:sz w:val="24"/>
        </w:rPr>
        <w:t>缺点：该模式存在以下问题：a、难以实现机械化操作，平均一名饲养员只能饲养300头生猪，劳动力需求大；b、猪舍占地面积大，相应的增加了冲洗面积，冲洗水量和废水产生量大；c、单位面积经济产出低，不适于集约化经营。</w:t>
      </w:r>
    </w:p>
    <w:p>
      <w:pPr>
        <w:spacing w:line="520" w:lineRule="exact"/>
        <w:ind w:firstLine="480" w:firstLineChars="200"/>
        <w:rPr>
          <w:sz w:val="24"/>
        </w:rPr>
      </w:pPr>
      <w:r>
        <w:rPr>
          <w:sz w:val="24"/>
        </w:rPr>
        <w:t>B、通仓式</w:t>
      </w:r>
    </w:p>
    <w:p>
      <w:pPr>
        <w:spacing w:line="520" w:lineRule="exact"/>
        <w:ind w:firstLine="480" w:firstLineChars="200"/>
        <w:rPr>
          <w:sz w:val="24"/>
        </w:rPr>
      </w:pPr>
      <w:r>
        <w:rPr>
          <w:sz w:val="24"/>
        </w:rPr>
        <w:t>通仓式为20世纪80年代由西方引进的水冲粪模式改造而来，圈舍呈条排式设计，净道和脏道于圈舍两端贯穿，净道上料、脏道清粪。脏道设于车间内或车间内，猪粪尿排入脏道内，由人工清出固粪，尿液排入集尿池内，再用水冲洗猪舍和脏道。</w:t>
      </w:r>
    </w:p>
    <w:p>
      <w:pPr>
        <w:spacing w:line="520" w:lineRule="exact"/>
        <w:ind w:firstLine="480" w:firstLineChars="200"/>
        <w:rPr>
          <w:sz w:val="24"/>
        </w:rPr>
      </w:pPr>
      <w:r>
        <w:rPr>
          <w:sz w:val="24"/>
        </w:rPr>
        <w:t>优点：可保持猪舍内的环境清洁，利于动物健康。劳动强度小，劳动效率高。</w:t>
      </w:r>
    </w:p>
    <w:p>
      <w:pPr>
        <w:spacing w:line="520" w:lineRule="exact"/>
        <w:ind w:firstLine="480" w:firstLineChars="200"/>
        <w:rPr>
          <w:sz w:val="24"/>
        </w:rPr>
      </w:pPr>
      <w:r>
        <w:rPr>
          <w:sz w:val="24"/>
        </w:rPr>
        <w:t>缺点：耗水量大，废水污染物浓度高，固液分离后，大部分可溶性有机质及微量元素等留在污水中，分离出的固体物养分含量低，肥料利用价值较小，另外污水处理基建投资大，动力消耗及运行成本均较高。</w:t>
      </w:r>
    </w:p>
    <w:p>
      <w:pPr>
        <w:spacing w:line="520" w:lineRule="exact"/>
        <w:ind w:firstLine="480" w:firstLineChars="200"/>
        <w:rPr>
          <w:sz w:val="24"/>
        </w:rPr>
      </w:pPr>
      <w:r>
        <w:rPr>
          <w:sz w:val="24"/>
        </w:rPr>
        <w:t>C、生态垫料</w:t>
      </w:r>
    </w:p>
    <w:p>
      <w:pPr>
        <w:spacing w:line="520" w:lineRule="exact"/>
        <w:ind w:firstLine="480" w:firstLineChars="200"/>
        <w:rPr>
          <w:sz w:val="24"/>
        </w:rPr>
      </w:pPr>
      <w:r>
        <w:rPr>
          <w:sz w:val="24"/>
        </w:rPr>
        <w:t>发酵床为日本、台湾等地区广泛采用的养殖工艺，由福建、山东等地引入。具体工艺是粪尿排至舍内预铺设垫料上，再利用生猪的拱翻习性作为机器加工，使猪粪、尿和垫料充分混合，通过发酵床的分解发酵，使猪粪、尿中的有机物质得到充分的分解和转化，植物以尚未消化的猪粪为食饵，繁殖滋生。随着猪粪尿的处理，臭味也就没有了。而同时繁殖生长的大量植物又向生猪提供了无机物营养和菌体蛋白质被猪食用，从而相辅相成将猪舍垫料发酵床演变成微生态饲料加工厂，达到无臭、无味、无害化的目的，是一种无污染、无排放的、无臭气的新型环保</w:t>
      </w:r>
      <w:r>
        <w:fldChar w:fldCharType="begin"/>
      </w:r>
      <w:r>
        <w:instrText xml:space="preserve"> HYPERLINK "http://baike.baidu.com/view/3923967.htm" </w:instrText>
      </w:r>
      <w:r>
        <w:fldChar w:fldCharType="separate"/>
      </w:r>
      <w:r>
        <w:rPr>
          <w:sz w:val="24"/>
        </w:rPr>
        <w:t>生态养猪技术</w:t>
      </w:r>
      <w:r>
        <w:rPr>
          <w:sz w:val="24"/>
        </w:rPr>
        <w:fldChar w:fldCharType="end"/>
      </w:r>
      <w:r>
        <w:rPr>
          <w:sz w:val="24"/>
        </w:rPr>
        <w:t>。其特点是粪污固性化，利于资源化处理利用，排污周期长，养殖期无需人工清粪。</w:t>
      </w:r>
    </w:p>
    <w:p>
      <w:pPr>
        <w:spacing w:line="520" w:lineRule="exact"/>
        <w:ind w:firstLine="480" w:firstLineChars="200"/>
        <w:rPr>
          <w:sz w:val="24"/>
        </w:rPr>
      </w:pPr>
      <w:r>
        <w:rPr>
          <w:sz w:val="24"/>
        </w:rPr>
        <w:t>优点：基建投资小；冬季猪舍不需加温，节约资源能源；粪污资源化利用程度高；无需人工清粪。</w:t>
      </w:r>
    </w:p>
    <w:p>
      <w:pPr>
        <w:spacing w:line="520" w:lineRule="exact"/>
        <w:ind w:firstLine="480" w:firstLineChars="200"/>
        <w:rPr>
          <w:sz w:val="24"/>
        </w:rPr>
      </w:pPr>
      <w:r>
        <w:rPr>
          <w:sz w:val="24"/>
        </w:rPr>
        <w:t>缺点：垫料菌种投资大；生猪料肉比低，生长周期长，饲料投入大；猪粪在垫料上需要翻料埋粪，劳动强度大；夏季温度高，需做降温处理，冬季不宜冲水，垫料干燥，猪舍内粉尘量大，易引发呼吸道疾病。</w:t>
      </w:r>
    </w:p>
    <w:p>
      <w:pPr>
        <w:spacing w:line="520" w:lineRule="exact"/>
        <w:ind w:firstLine="480" w:firstLineChars="200"/>
        <w:rPr>
          <w:sz w:val="24"/>
        </w:rPr>
      </w:pPr>
      <w:r>
        <w:rPr>
          <w:sz w:val="24"/>
        </w:rPr>
        <w:t>D、高架床</w:t>
      </w:r>
      <w:r>
        <w:rPr>
          <w:sz w:val="24"/>
        </w:rPr>
        <w:tab/>
      </w:r>
    </w:p>
    <w:p>
      <w:pPr>
        <w:spacing w:line="520" w:lineRule="exact"/>
        <w:ind w:firstLine="480" w:firstLineChars="200"/>
        <w:rPr>
          <w:sz w:val="24"/>
        </w:rPr>
      </w:pPr>
      <w:r>
        <w:rPr>
          <w:sz w:val="24"/>
        </w:rPr>
        <w:t>高架床属欧美等西方国家推广和普遍采用的先进养殖模式，猪舍设计为高架网床漏缝板，下部设集粪池，猪粪和尿液经漏缝板下泄至集粪池内，池中预加水作水封，单池排贮周期为2~3个月，待猪出栏时，将贮粪池冲水，尿、粪混合物一次排出贮池。</w:t>
      </w:r>
    </w:p>
    <w:p>
      <w:pPr>
        <w:spacing w:line="520" w:lineRule="exact"/>
        <w:ind w:firstLine="480" w:firstLineChars="200"/>
        <w:rPr>
          <w:sz w:val="24"/>
        </w:rPr>
      </w:pPr>
      <w:r>
        <w:rPr>
          <w:sz w:val="24"/>
        </w:rPr>
        <w:t>优点：基建投资小；粪污无需人工清理，清理周期长；猪舍平时无需冲洗，用水量和排水量小。</w:t>
      </w:r>
    </w:p>
    <w:p>
      <w:pPr>
        <w:spacing w:line="520" w:lineRule="exact"/>
        <w:ind w:firstLine="480" w:firstLineChars="200"/>
        <w:rPr>
          <w:sz w:val="24"/>
        </w:rPr>
      </w:pPr>
      <w:r>
        <w:rPr>
          <w:sz w:val="24"/>
        </w:rPr>
        <w:t>缺点：粪污经长时间浸泡，污染物浓度高，固液分离难度大，增加后续污水处理成本。</w:t>
      </w:r>
    </w:p>
    <w:p>
      <w:pPr>
        <w:spacing w:line="520" w:lineRule="exact"/>
        <w:ind w:firstLine="360" w:firstLineChars="150"/>
        <w:rPr>
          <w:sz w:val="24"/>
        </w:rPr>
      </w:pPr>
      <w:r>
        <w:rPr>
          <w:sz w:val="24"/>
        </w:rPr>
        <w:t>（2）项目设计养殖模式与清粪模式</w:t>
      </w:r>
    </w:p>
    <w:p>
      <w:pPr>
        <w:spacing w:line="520" w:lineRule="exact"/>
        <w:ind w:firstLine="480" w:firstLineChars="200"/>
        <w:rPr>
          <w:sz w:val="24"/>
        </w:rPr>
      </w:pPr>
      <w:r>
        <w:rPr>
          <w:sz w:val="24"/>
        </w:rPr>
        <w:t>通过对比目前国内主要的养殖模式和清粪模式，</w:t>
      </w:r>
      <w:r>
        <w:rPr>
          <w:rFonts w:hint="eastAsia"/>
          <w:sz w:val="24"/>
          <w:lang w:val="en-US" w:eastAsia="zh-CN"/>
        </w:rPr>
        <w:t>公司</w:t>
      </w:r>
      <w:r>
        <w:rPr>
          <w:sz w:val="24"/>
        </w:rPr>
        <w:t>采用干清粪工艺作为公司养殖清粪模式，该模式已在</w:t>
      </w:r>
      <w:r>
        <w:rPr>
          <w:rFonts w:hint="eastAsia"/>
          <w:sz w:val="24"/>
          <w:lang w:val="en-US" w:eastAsia="zh-CN"/>
        </w:rPr>
        <w:t>其他</w:t>
      </w:r>
      <w:r>
        <w:rPr>
          <w:sz w:val="24"/>
        </w:rPr>
        <w:t>养殖场得到了广泛应用。</w:t>
      </w:r>
    </w:p>
    <w:p>
      <w:pPr>
        <w:spacing w:line="520" w:lineRule="exact"/>
        <w:ind w:firstLine="480" w:firstLineChars="200"/>
        <w:rPr>
          <w:sz w:val="24"/>
        </w:rPr>
      </w:pPr>
      <w:r>
        <w:rPr>
          <w:sz w:val="24"/>
        </w:rPr>
        <w:t>干清粪工艺，养殖周期内粪污水收集于舍下，可做到充分的厌氧杀菌、适度降低有机物浓度，避免在施用农田过程中出现二次发酵的现象。同时免除了清水用于圈舍粪尿日常清理，粪尿产生即依靠离开猪舍进入猪舍下部储存池，粪污离开储存池即进行干湿分离和无害化并全部实现综合利用，不混合排出。</w:t>
      </w:r>
    </w:p>
    <w:p>
      <w:pPr>
        <w:spacing w:line="520" w:lineRule="exact"/>
        <w:ind w:firstLine="480" w:firstLineChars="200"/>
        <w:rPr>
          <w:sz w:val="24"/>
        </w:rPr>
      </w:pPr>
      <w:r>
        <w:rPr>
          <w:sz w:val="24"/>
        </w:rPr>
        <w:t>圈舍冲洗仅在转栏时进行，废水产生量少；粪污在存栏周期内在圈舍内储存不排外，粪污离开圈舍即进行干湿分离，废水经厌氧发酵处理后做农肥施用于农田，固形物则经过堆肥发酵作为有机肥原料外售，实现了粪污的资源化利用。</w:t>
      </w:r>
    </w:p>
    <w:p>
      <w:pPr>
        <w:spacing w:line="520" w:lineRule="exact"/>
        <w:ind w:firstLine="480" w:firstLineChars="200"/>
        <w:rPr>
          <w:sz w:val="24"/>
        </w:rPr>
      </w:pPr>
      <w:r>
        <w:rPr>
          <w:sz w:val="24"/>
        </w:rPr>
        <w:t>与目前国内采用的集中常用的养殖模式对比，本项目所用干清粪模式具有以下优点：</w:t>
      </w:r>
      <w:r>
        <w:rPr>
          <w:rFonts w:hint="eastAsia" w:ascii="宋体" w:hAnsi="宋体" w:cs="宋体"/>
          <w:sz w:val="24"/>
        </w:rPr>
        <w:t>①</w:t>
      </w:r>
      <w:r>
        <w:rPr>
          <w:sz w:val="24"/>
        </w:rPr>
        <w:t>项目养殖模式实现了干清粪，符合技术规范要求；</w:t>
      </w:r>
      <w:r>
        <w:rPr>
          <w:rFonts w:hint="eastAsia" w:ascii="宋体" w:hAnsi="宋体" w:cs="宋体"/>
          <w:sz w:val="24"/>
        </w:rPr>
        <w:t>②</w:t>
      </w:r>
      <w:r>
        <w:rPr>
          <w:sz w:val="24"/>
        </w:rPr>
        <w:t>项目养殖模式适合进行大规模集约化养殖；</w:t>
      </w:r>
      <w:r>
        <w:rPr>
          <w:rFonts w:hint="eastAsia" w:ascii="宋体" w:hAnsi="宋体" w:cs="宋体"/>
          <w:sz w:val="24"/>
        </w:rPr>
        <w:t>③</w:t>
      </w:r>
      <w:r>
        <w:rPr>
          <w:sz w:val="24"/>
        </w:rPr>
        <w:t>减少了劳动强度和人力资源消耗；</w:t>
      </w:r>
      <w:r>
        <w:rPr>
          <w:rFonts w:hint="eastAsia" w:ascii="宋体" w:hAnsi="宋体" w:cs="宋体"/>
          <w:sz w:val="24"/>
        </w:rPr>
        <w:t>④</w:t>
      </w:r>
      <w:r>
        <w:rPr>
          <w:sz w:val="24"/>
        </w:rPr>
        <w:t>采用立体设计结构，生猪饲养、粪污清理和废水收集垂直进行，减少了占地面积。</w:t>
      </w:r>
    </w:p>
    <w:p>
      <w:pPr>
        <w:spacing w:line="520" w:lineRule="exact"/>
        <w:ind w:firstLine="480" w:firstLineChars="200"/>
        <w:rPr>
          <w:sz w:val="24"/>
        </w:rPr>
      </w:pPr>
      <w:r>
        <w:rPr>
          <w:sz w:val="24"/>
        </w:rPr>
        <w:t>本项目采用干清粪工艺，符合《畜禽养殖业污染防治技术政策》（环发［2012］151号）要求，且与其他模式相比具有明显优势和先进性。综合对比分析，项目选取模式可行。</w:t>
      </w:r>
    </w:p>
    <w:p>
      <w:pPr>
        <w:pStyle w:val="6"/>
        <w:snapToGrid w:val="0"/>
        <w:spacing w:before="0" w:after="0" w:line="520" w:lineRule="exact"/>
        <w:rPr>
          <w:rFonts w:eastAsia="黑体"/>
          <w:b w:val="0"/>
          <w:bCs w:val="0"/>
          <w:sz w:val="24"/>
          <w:szCs w:val="24"/>
        </w:rPr>
      </w:pPr>
      <w:r>
        <w:rPr>
          <w:rFonts w:hint="eastAsia" w:eastAsia="黑体"/>
          <w:b w:val="0"/>
          <w:bCs w:val="0"/>
          <w:sz w:val="24"/>
          <w:szCs w:val="24"/>
          <w:lang w:val="en-US" w:eastAsia="zh-CN"/>
        </w:rPr>
        <w:t>2</w:t>
      </w:r>
      <w:r>
        <w:rPr>
          <w:rFonts w:eastAsia="黑体"/>
          <w:b w:val="0"/>
          <w:bCs w:val="0"/>
          <w:sz w:val="24"/>
          <w:szCs w:val="24"/>
        </w:rPr>
        <w:t>.2.3污染治理工程工艺</w:t>
      </w:r>
      <w:bookmarkEnd w:id="113"/>
    </w:p>
    <w:p>
      <w:pPr>
        <w:pStyle w:val="8"/>
        <w:spacing w:before="0" w:after="0" w:line="520" w:lineRule="exact"/>
        <w:rPr>
          <w:sz w:val="24"/>
          <w:szCs w:val="24"/>
        </w:rPr>
      </w:pPr>
      <w:r>
        <w:rPr>
          <w:rFonts w:hint="eastAsia"/>
          <w:sz w:val="24"/>
          <w:szCs w:val="24"/>
          <w:lang w:val="en-US" w:eastAsia="zh-CN"/>
        </w:rPr>
        <w:t>2</w:t>
      </w:r>
      <w:r>
        <w:rPr>
          <w:sz w:val="24"/>
          <w:szCs w:val="24"/>
        </w:rPr>
        <w:t>.2.3.1清粪工艺</w:t>
      </w:r>
    </w:p>
    <w:p>
      <w:pPr>
        <w:spacing w:line="520" w:lineRule="exact"/>
        <w:ind w:firstLine="480" w:firstLineChars="200"/>
        <w:rPr>
          <w:sz w:val="24"/>
        </w:rPr>
      </w:pPr>
      <w:r>
        <w:rPr>
          <w:sz w:val="24"/>
        </w:rPr>
        <w:t>本项目采用干清粪工艺：猪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干湿分离机进行干湿分离，粪渣制肥，粪液厌氧发酵，沼液贮存在沼液储存池内用于周围</w:t>
      </w:r>
      <w:r>
        <w:rPr>
          <w:rFonts w:hint="eastAsia"/>
          <w:sz w:val="24"/>
          <w:lang w:val="en-US" w:eastAsia="zh-CN"/>
        </w:rPr>
        <w:t>林地</w:t>
      </w:r>
      <w:r>
        <w:rPr>
          <w:sz w:val="24"/>
        </w:rPr>
        <w:t>消纳，全部综合利用。</w:t>
      </w:r>
    </w:p>
    <w:p>
      <w:pPr>
        <w:pStyle w:val="2"/>
        <w:rPr>
          <w:sz w:val="24"/>
        </w:rPr>
      </w:pPr>
    </w:p>
    <w:p>
      <w:pPr>
        <w:pStyle w:val="3"/>
        <w:rPr>
          <w:rFonts w:hint="eastAsia" w:eastAsia="宋体"/>
          <w:lang w:val="en-US" w:eastAsia="zh-CN"/>
        </w:rPr>
      </w:pPr>
      <w:r>
        <w:rPr>
          <w:rFonts w:hint="eastAsia"/>
          <w:sz w:val="24"/>
          <w:lang w:val="en-US" w:eastAsia="zh-CN"/>
        </w:rPr>
        <w:t xml:space="preserve"> </w:t>
      </w:r>
    </w:p>
    <w:p>
      <w:pPr>
        <w:spacing w:line="520" w:lineRule="exact"/>
        <w:ind w:firstLine="480" w:firstLineChars="200"/>
        <w:rPr>
          <w:sz w:val="24"/>
        </w:rPr>
      </w:pPr>
    </w:p>
    <w:p>
      <w:pPr>
        <w:spacing w:line="500" w:lineRule="exact"/>
        <w:ind w:firstLine="480" w:firstLineChars="200"/>
        <w:rPr>
          <w:sz w:val="24"/>
        </w:rPr>
      </w:pPr>
      <w:r>
        <w:rPr>
          <w:sz w:val="24"/>
        </w:rPr>
        <w:pict>
          <v:shape id="_x0000_s2053" o:spid="_x0000_s2053" o:spt="202" type="#_x0000_t202" style="position:absolute;left:0pt;margin-left:58pt;margin-top:0pt;height:23.25pt;width:70.5pt;z-index:251637760;mso-width-relative:page;mso-height-relative:page;" filled="f" stroked="f" coordsize="21600,21600">
            <v:path/>
            <v:fill on="f" focussize="0,0"/>
            <v:stroke on="f" joinstyle="miter"/>
            <v:imagedata o:title=""/>
            <o:lock v:ext="edit"/>
            <v:textbox>
              <w:txbxContent>
                <w:p>
                  <w:pPr>
                    <w:rPr>
                      <w:szCs w:val="21"/>
                    </w:rPr>
                  </w:pPr>
                  <w:r>
                    <w:rPr>
                      <w:rFonts w:hint="eastAsia"/>
                      <w:szCs w:val="21"/>
                    </w:rPr>
                    <w:t>漏缝板</w:t>
                  </w:r>
                </w:p>
              </w:txbxContent>
            </v:textbox>
          </v:shape>
        </w:pict>
      </w:r>
      <w:r>
        <w:rPr>
          <w:sz w:val="24"/>
        </w:rPr>
        <w:pict>
          <v:shape id="_x0000_s2054" o:spid="_x0000_s2054" o:spt="7" type="#_x0000_t7" style="position:absolute;left:0pt;margin-left:-9.5pt;margin-top:17.75pt;height:27.25pt;width:174.75pt;z-index:251633664;mso-width-relative:page;mso-height-relative:page;" fillcolor="#000000" filled="t" coordsize="21600,21600">
            <v:path/>
            <v:fill type="pattern" on="t" o:title="轮廓式菱形" focussize="0,0" r:id="rId10"/>
            <v:stroke joinstyle="miter"/>
            <v:imagedata o:title=""/>
            <o:lock v:ext="edit"/>
          </v:shape>
        </w:pict>
      </w:r>
    </w:p>
    <w:p>
      <w:pPr>
        <w:spacing w:line="500" w:lineRule="exact"/>
        <w:ind w:firstLine="480" w:firstLineChars="200"/>
        <w:rPr>
          <w:sz w:val="24"/>
        </w:rPr>
      </w:pPr>
      <w:r>
        <w:rPr>
          <w:sz w:val="24"/>
        </w:rPr>
        <w:pict>
          <v:shape id="_x0000_s2055" o:spid="_x0000_s2055" o:spt="32" type="#_x0000_t32" style="position:absolute;left:0pt;margin-left:91.75pt;margin-top:10.75pt;height:68.25pt;width:0pt;z-index:251635712;mso-width-relative:page;mso-height-relative:page;" o:connectortype="straight" filled="f" coordsize="21600,21600">
            <v:path arrowok="t"/>
            <v:fill on="f" focussize="0,0"/>
            <v:stroke endarrow="block"/>
            <v:imagedata o:title=""/>
            <o:lock v:ext="edit"/>
          </v:shape>
        </w:pict>
      </w:r>
    </w:p>
    <w:p>
      <w:pPr>
        <w:spacing w:line="500" w:lineRule="exact"/>
        <w:ind w:firstLine="480" w:firstLineChars="200"/>
        <w:rPr>
          <w:sz w:val="24"/>
        </w:rPr>
      </w:pPr>
      <w:r>
        <w:rPr>
          <w:sz w:val="24"/>
        </w:rPr>
        <w:pict>
          <v:shape id="_x0000_s2056" o:spid="_x0000_s2056" o:spt="202" type="#_x0000_t202" style="position:absolute;left:0pt;margin-left:85pt;margin-top:4.75pt;height:23.25pt;width:70.5pt;z-index:251636736;mso-width-relative:page;mso-height-relative:page;" filled="f" stroked="f" coordsize="21600,21600">
            <v:path/>
            <v:fill on="f" focussize="0,0"/>
            <v:stroke on="f" joinstyle="miter"/>
            <v:imagedata o:title=""/>
            <o:lock v:ext="edit"/>
            <v:textbox>
              <w:txbxContent>
                <w:p>
                  <w:pPr>
                    <w:rPr>
                      <w:szCs w:val="21"/>
                    </w:rPr>
                  </w:pPr>
                  <w:r>
                    <w:rPr>
                      <w:rFonts w:hint="eastAsia"/>
                      <w:szCs w:val="21"/>
                    </w:rPr>
                    <w:t>猪粪猪尿</w:t>
                  </w:r>
                </w:p>
              </w:txbxContent>
            </v:textbox>
          </v:shape>
        </w:pict>
      </w:r>
    </w:p>
    <w:p>
      <w:pPr>
        <w:spacing w:line="500" w:lineRule="exact"/>
        <w:ind w:firstLine="480" w:firstLineChars="200"/>
        <w:rPr>
          <w:sz w:val="24"/>
        </w:rPr>
      </w:pPr>
      <w:r>
        <w:rPr>
          <w:sz w:val="24"/>
        </w:rPr>
        <w:pict>
          <v:shape id="_x0000_s2057" o:spid="_x0000_s2057" o:spt="202" type="#_x0000_t202" style="position:absolute;left:0pt;margin-left:4pt;margin-top:16.25pt;height:23.25pt;width:94.5pt;z-index:251638784;mso-width-relative:page;mso-height-relative:page;" filled="f" stroked="f" coordsize="21600,21600">
            <v:path/>
            <v:fill on="f" focussize="0,0"/>
            <v:stroke on="f" joinstyle="miter"/>
            <v:imagedata o:title=""/>
            <o:lock v:ext="edit"/>
            <v:textbox>
              <w:txbxContent>
                <w:p>
                  <w:pPr>
                    <w:rPr>
                      <w:szCs w:val="21"/>
                    </w:rPr>
                  </w:pPr>
                  <w:r>
                    <w:rPr>
                      <w:rFonts w:hint="eastAsia"/>
                      <w:szCs w:val="21"/>
                    </w:rPr>
                    <w:t>粪污储存池</w:t>
                  </w:r>
                </w:p>
              </w:txbxContent>
            </v:textbox>
          </v:shape>
        </w:pict>
      </w:r>
      <w:r>
        <w:rPr>
          <w:sz w:val="24"/>
        </w:rPr>
        <w:pict>
          <v:shape id="_x0000_s2058" o:spid="_x0000_s2058" o:spt="8" type="#_x0000_t8" style="position:absolute;left:0pt;margin-left:-15.5pt;margin-top:7.5pt;height:71.75pt;width:146.25pt;z-index:251634688;mso-width-relative:page;mso-height-relative:page;" coordsize="21600,21600">
            <v:path/>
            <v:fill focussize="0,0"/>
            <v:stroke joinstyle="miter"/>
            <v:imagedata o:title=""/>
            <o:lock v:ext="edit"/>
          </v:shape>
        </w:pict>
      </w:r>
    </w:p>
    <w:p>
      <w:pPr>
        <w:spacing w:line="500" w:lineRule="exact"/>
        <w:ind w:firstLine="480" w:firstLineChars="200"/>
        <w:rPr>
          <w:sz w:val="24"/>
        </w:rPr>
      </w:pPr>
    </w:p>
    <w:p>
      <w:pPr>
        <w:spacing w:line="500" w:lineRule="exact"/>
        <w:ind w:firstLine="480" w:firstLineChars="200"/>
        <w:rPr>
          <w:sz w:val="24"/>
        </w:rPr>
      </w:pPr>
      <w:r>
        <w:rPr>
          <w:color w:val="FF0000"/>
          <w:sz w:val="24"/>
        </w:rPr>
        <w:pict>
          <v:shape id="_x0000_s2059" o:spid="_x0000_s2059" o:spt="95" type="#_x0000_t95" style="position:absolute;left:0pt;margin-left:72.25pt;margin-top:1.25pt;height:35.5pt;width:19.5pt;z-index:251650048;mso-width-relative:page;mso-height-relative:page;" coordsize="21600,21600">
            <v:path/>
            <v:fill focussize="0,0"/>
            <v:stroke joinstyle="miter"/>
            <v:imagedata o:title=""/>
            <o:lock v:ext="edit"/>
          </v:shape>
        </w:pict>
      </w:r>
      <w:r>
        <w:rPr>
          <w:color w:val="FF0000"/>
          <w:sz w:val="24"/>
        </w:rPr>
        <w:pict>
          <v:shape id="_x0000_s2060" o:spid="_x0000_s2060" o:spt="22" type="#_x0000_t22" style="position:absolute;left:0pt;margin-left:70.75pt;margin-top:15pt;height:17.25pt;width:21pt;z-index:251639808;mso-width-relative:page;mso-height-relative:page;" coordsize="21600,21600">
            <v:path/>
            <v:fill focussize="0,0"/>
            <v:stroke/>
            <v:imagedata o:title=""/>
            <o:lock v:ext="edit"/>
          </v:shape>
        </w:pict>
      </w:r>
      <w:r>
        <w:rPr>
          <w:color w:val="FF0000"/>
          <w:sz w:val="24"/>
        </w:rPr>
        <w:pict>
          <v:shape id="_x0000_s2061" o:spid="_x0000_s2061" o:spt="202" type="#_x0000_t202" style="position:absolute;left:0pt;margin-left:98.5pt;margin-top:9pt;height:27.75pt;width:54pt;z-index:251640832;mso-width-relative:page;mso-height-relative:page;" filled="f" stroked="f" coordsize="21600,21600">
            <v:path/>
            <v:fill on="f" focussize="0,0"/>
            <v:stroke on="f" joinstyle="miter"/>
            <v:imagedata o:title=""/>
            <o:lock v:ext="edit"/>
            <v:textbox>
              <w:txbxContent>
                <w:p>
                  <w:pPr>
                    <w:rPr>
                      <w:szCs w:val="21"/>
                    </w:rPr>
                  </w:pPr>
                  <w:r>
                    <w:rPr>
                      <w:rFonts w:hint="eastAsia"/>
                      <w:szCs w:val="21"/>
                    </w:rPr>
                    <w:t>排粪塞</w:t>
                  </w:r>
                </w:p>
              </w:txbxContent>
            </v:textbox>
          </v:shape>
        </w:pict>
      </w:r>
    </w:p>
    <w:p>
      <w:pPr>
        <w:spacing w:line="500" w:lineRule="exact"/>
        <w:ind w:firstLine="480" w:firstLineChars="200"/>
        <w:rPr>
          <w:sz w:val="24"/>
        </w:rPr>
      </w:pPr>
      <w:r>
        <w:rPr>
          <w:sz w:val="24"/>
        </w:rPr>
        <w:pict>
          <v:shape id="_x0000_s2062" o:spid="_x0000_s2062" style="position:absolute;left:0pt;margin-left:72.25pt;margin-top:7.25pt;height:82pt;width:167.75pt;z-index:251642880;mso-width-relative:page;mso-height-relative:page;" filled="f" coordsize="3120,1755" path="m0,0hdc23,91,8,40,45,150c56,184,94,206,105,240c143,353,92,214,150,330c157,344,155,363,165,375c176,389,195,395,210,405c248,482,287,552,360,600c445,727,305,530,480,705c520,745,575,770,615,810c675,870,739,913,810,960c857,992,939,1063,990,1080c1035,1095,1084,1117,1125,1140c1299,1237,1130,1172,1305,1230c1360,1248,1400,1302,1455,1320c1470,1325,1486,1328,1500,1335c1516,1343,1528,1359,1545,1365c1584,1379,1625,1385,1665,1395c1726,1410,1784,1440,1845,1455c2030,1501,2215,1544,2400,1590c2446,1602,2489,1623,2535,1635c2669,1669,2804,1698,2940,1725c3009,1739,3048,1755,3120,1755e">
            <v:path arrowok="t"/>
            <v:fill on="f" focussize="0,0"/>
            <v:stroke/>
            <v:imagedata o:title=""/>
            <o:lock v:ext="edit"/>
          </v:shape>
        </w:pict>
      </w:r>
      <w:r>
        <w:rPr>
          <w:sz w:val="24"/>
        </w:rPr>
        <w:pict>
          <v:shape id="_x0000_s2063" o:spid="_x0000_s2063" style="position:absolute;left:0pt;margin-left:91.75pt;margin-top:7.25pt;height:63.75pt;width:148.25pt;z-index:251641856;mso-width-relative:page;mso-height-relative:page;" filled="f" coordsize="3120,1755" path="m0,0hdc23,91,8,40,45,150c56,184,94,206,105,240c143,353,92,214,150,330c157,344,155,363,165,375c176,389,195,395,210,405c248,482,287,552,360,600c445,727,305,530,480,705c520,745,575,770,615,810c675,870,739,913,810,960c857,992,939,1063,990,1080c1035,1095,1084,1117,1125,1140c1299,1237,1130,1172,1305,1230c1360,1248,1400,1302,1455,1320c1470,1325,1486,1328,1500,1335c1516,1343,1528,1359,1545,1365c1584,1379,1625,1385,1665,1395c1726,1410,1784,1440,1845,1455c2030,1501,2215,1544,2400,1590c2446,1602,2489,1623,2535,1635c2669,1669,2804,1698,2940,1725c3009,1739,3048,1755,3120,1755e">
            <v:path arrowok="t"/>
            <v:fill on="f" focussize="0,0"/>
            <v:stroke/>
            <v:imagedata o:title=""/>
            <o:lock v:ext="edit"/>
          </v:shape>
        </w:pict>
      </w:r>
      <w:r>
        <w:rPr>
          <w:sz w:val="24"/>
        </w:rPr>
        <w:pict>
          <v:shape id="_x0000_s2064" o:spid="_x0000_s2064" o:spt="202" type="#_x0000_t202" style="position:absolute;left:0pt;margin-left:72.25pt;margin-top:11.75pt;height:23.25pt;width:46.5pt;z-index:251644928;mso-width-relative:page;mso-height-relative:page;" filled="f" stroked="f" coordsize="21600,21600">
            <v:path/>
            <v:fill on="f" focussize="0,0"/>
            <v:stroke on="f" joinstyle="miter"/>
            <v:imagedata o:title=""/>
            <o:lock v:ext="edit"/>
            <v:textbox>
              <w:txbxContent>
                <w:p>
                  <w:pPr>
                    <w:rPr>
                      <w:szCs w:val="21"/>
                    </w:rPr>
                  </w:pPr>
                  <w:r>
                    <w:rPr>
                      <w:rFonts w:hint="eastAsia"/>
                      <w:szCs w:val="21"/>
                    </w:rPr>
                    <w:t>粪尿</w:t>
                  </w:r>
                </w:p>
              </w:txbxContent>
            </v:textbox>
          </v:shape>
        </w:pict>
      </w:r>
    </w:p>
    <w:p>
      <w:pPr>
        <w:spacing w:line="500" w:lineRule="exact"/>
        <w:ind w:firstLine="480" w:firstLineChars="200"/>
        <w:rPr>
          <w:sz w:val="24"/>
        </w:rPr>
      </w:pPr>
      <w:r>
        <w:rPr>
          <w:sz w:val="24"/>
        </w:rPr>
        <w:pict>
          <v:shape id="_x0000_s2065" o:spid="_x0000_s2065" o:spt="32" type="#_x0000_t32" style="position:absolute;left:0pt;margin-left:102.75pt;margin-top:10pt;height:21.25pt;width:44.25pt;z-index:251643904;mso-width-relative:page;mso-height-relative:page;" o:connectortype="straight" filled="f" coordsize="21600,21600">
            <v:path arrowok="t"/>
            <v:fill on="f" focussize="0,0"/>
            <v:stroke endarrow="block"/>
            <v:imagedata o:title=""/>
            <o:lock v:ext="edit"/>
          </v:shape>
        </w:pict>
      </w:r>
      <w:r>
        <w:rPr>
          <w:sz w:val="24"/>
        </w:rPr>
        <w:pict>
          <v:shape id="_x0000_s2066" o:spid="_x0000_s2066" o:spt="202" type="#_x0000_t202" style="position:absolute;left:0pt;margin-left:301pt;margin-top:8pt;height:95pt;width:25.5pt;z-index:251646976;mso-width-relative:page;mso-height-relative:page;" filled="f" coordsize="21600,21600">
            <v:path/>
            <v:fill on="f" focussize="0,0"/>
            <v:stroke joinstyle="miter"/>
            <v:imagedata o:title=""/>
            <o:lock v:ext="edit"/>
            <v:textbox>
              <w:txbxContent>
                <w:p>
                  <w:pPr>
                    <w:spacing w:beforeLines="50"/>
                    <w:rPr>
                      <w:szCs w:val="21"/>
                    </w:rPr>
                  </w:pPr>
                  <w:r>
                    <w:rPr>
                      <w:rFonts w:hint="eastAsia"/>
                      <w:szCs w:val="21"/>
                    </w:rPr>
                    <w:t>固液分离机</w:t>
                  </w:r>
                </w:p>
              </w:txbxContent>
            </v:textbox>
          </v:shape>
        </w:pict>
      </w:r>
      <w:r>
        <w:rPr>
          <w:sz w:val="24"/>
        </w:rPr>
        <w:pict>
          <v:shape id="_x0000_s2067" o:spid="_x0000_s2067" o:spt="202" type="#_x0000_t202" style="position:absolute;left:0pt;margin-left:339.25pt;margin-top:5.75pt;height:23.25pt;width:57.75pt;z-index:251657216;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干物质</w:t>
                  </w:r>
                </w:p>
              </w:txbxContent>
            </v:textbox>
          </v:shape>
        </w:pict>
      </w:r>
      <w:r>
        <w:rPr>
          <w:sz w:val="24"/>
        </w:rPr>
        <w:pict>
          <v:shape id="_x0000_s2068" o:spid="_x0000_s2068" o:spt="202" type="#_x0000_t202" style="position:absolute;left:0pt;margin-left:403pt;margin-top:18.5pt;height:21pt;width:68.25pt;z-index:251654144;mso-width-relative:page;mso-height-relative:page;" filled="f" coordsize="21600,21600">
            <v:path/>
            <v:fill on="f" focussize="0,0"/>
            <v:stroke joinstyle="miter"/>
            <v:imagedata o:title=""/>
            <o:lock v:ext="edit"/>
            <v:textbox>
              <w:txbxContent>
                <w:p>
                  <w:pPr>
                    <w:jc w:val="center"/>
                    <w:rPr>
                      <w:szCs w:val="21"/>
                    </w:rPr>
                  </w:pPr>
                  <w:r>
                    <w:rPr>
                      <w:rFonts w:hint="eastAsia"/>
                      <w:szCs w:val="21"/>
                    </w:rPr>
                    <w:t>固废处理区</w:t>
                  </w:r>
                </w:p>
              </w:txbxContent>
            </v:textbox>
          </v:shape>
        </w:pict>
      </w:r>
    </w:p>
    <w:p>
      <w:pPr>
        <w:spacing w:line="500" w:lineRule="exact"/>
        <w:ind w:firstLine="480" w:firstLineChars="200"/>
        <w:rPr>
          <w:sz w:val="24"/>
        </w:rPr>
      </w:pPr>
      <w:r>
        <w:rPr>
          <w:sz w:val="24"/>
        </w:rPr>
        <w:pict>
          <v:shape id="_x0000_s2069" o:spid="_x0000_s2069" o:spt="32" type="#_x0000_t32" style="position:absolute;left:0pt;margin-left:356.6pt;margin-top:4pt;height:0pt;width:46.4pt;z-index:251653120;mso-width-relative:page;mso-height-relative:page;" o:connectortype="straight" filled="f" coordsize="21600,21600">
            <v:path arrowok="t"/>
            <v:fill on="f" focussize="0,0"/>
            <v:stroke endarrow="block"/>
            <v:imagedata o:title=""/>
            <o:lock v:ext="edit"/>
          </v:shape>
        </w:pict>
      </w:r>
      <w:r>
        <w:rPr>
          <w:sz w:val="24"/>
        </w:rPr>
        <w:pict>
          <v:shape id="_x0000_s2070" o:spid="_x0000_s2070" o:spt="32" type="#_x0000_t32" style="position:absolute;left:0pt;margin-left:356.55pt;margin-top:4pt;height:45.55pt;width:0.05pt;z-index:251652096;mso-width-relative:page;mso-height-relative:page;" o:connectortype="straight" filled="f" coordsize="21600,21600">
            <v:path arrowok="t"/>
            <v:fill on="f" focussize="0,0"/>
            <v:stroke/>
            <v:imagedata o:title=""/>
            <o:lock v:ext="edit"/>
          </v:shape>
        </w:pict>
      </w:r>
      <w:r>
        <w:rPr>
          <w:sz w:val="24"/>
        </w:rPr>
        <w:pict>
          <v:shape id="_x0000_s2071" o:spid="_x0000_s2071" o:spt="202" type="#_x0000_t202" style="position:absolute;left:0pt;margin-left:244.75pt;margin-top:1pt;height:55.5pt;width:26.25pt;z-index:251645952;mso-width-relative:page;mso-height-relative:page;" filled="f" coordsize="21600,21600">
            <v:path/>
            <v:fill on="f" focussize="0,0"/>
            <v:stroke joinstyle="miter"/>
            <v:imagedata o:title=""/>
            <o:lock v:ext="edit"/>
            <v:textbox>
              <w:txbxContent>
                <w:p>
                  <w:pPr>
                    <w:rPr>
                      <w:szCs w:val="21"/>
                    </w:rPr>
                  </w:pPr>
                  <w:r>
                    <w:rPr>
                      <w:rFonts w:hint="eastAsia"/>
                      <w:szCs w:val="21"/>
                    </w:rPr>
                    <w:t>收集池</w:t>
                  </w:r>
                </w:p>
              </w:txbxContent>
            </v:textbox>
          </v:shape>
        </w:pict>
      </w:r>
    </w:p>
    <w:p>
      <w:pPr>
        <w:spacing w:line="500" w:lineRule="exact"/>
        <w:ind w:firstLine="480" w:firstLineChars="200"/>
        <w:rPr>
          <w:sz w:val="24"/>
        </w:rPr>
      </w:pPr>
      <w:r>
        <w:rPr>
          <w:sz w:val="24"/>
        </w:rPr>
        <w:pict>
          <v:shape id="_x0000_s2072" o:spid="_x0000_s2072" o:spt="32" type="#_x0000_t32" style="position:absolute;left:0pt;margin-left:184.25pt;margin-top:2.1pt;height:0.1pt;width:55.75pt;z-index:251648000;mso-width-relative:page;mso-height-relative:page;" o:connectortype="straight" filled="f" coordsize="21600,21600">
            <v:path arrowok="t"/>
            <v:fill on="f" focussize="0,0"/>
            <v:stroke endarrow="block"/>
            <v:imagedata o:title=""/>
            <o:lock v:ext="edit"/>
          </v:shape>
        </w:pict>
      </w:r>
      <w:r>
        <w:rPr>
          <w:sz w:val="24"/>
        </w:rPr>
        <w:pict>
          <v:shape id="_x0000_s2073" o:spid="_x0000_s2073" o:spt="202" type="#_x0000_t202" style="position:absolute;left:0pt;margin-left:356.6pt;margin-top:22.5pt;height:23.25pt;width:46.4pt;z-index:25165824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液体</w:t>
                  </w:r>
                </w:p>
              </w:txbxContent>
            </v:textbox>
          </v:shape>
        </w:pict>
      </w:r>
      <w:r>
        <w:rPr>
          <w:sz w:val="24"/>
        </w:rPr>
        <w:pict>
          <v:shape id="_x0000_s2074" o:spid="_x0000_s2074" o:spt="202" type="#_x0000_t202" style="position:absolute;left:0pt;margin-left:403pt;margin-top:14.25pt;height:21pt;width:68.25pt;z-index:251656192;mso-width-relative:page;mso-height-relative:page;" filled="f" coordsize="21600,21600">
            <v:path/>
            <v:fill on="f" focussize="0,0"/>
            <v:stroke joinstyle="miter"/>
            <v:imagedata o:title=""/>
            <o:lock v:ext="edit"/>
            <v:textbox>
              <w:txbxContent>
                <w:p>
                  <w:pPr>
                    <w:jc w:val="center"/>
                    <w:rPr>
                      <w:szCs w:val="21"/>
                    </w:rPr>
                  </w:pPr>
                  <w:r>
                    <w:rPr>
                      <w:rFonts w:hint="eastAsia"/>
                      <w:szCs w:val="21"/>
                    </w:rPr>
                    <w:t>厌氧发酵</w:t>
                  </w:r>
                </w:p>
              </w:txbxContent>
            </v:textbox>
          </v:shape>
        </w:pict>
      </w:r>
      <w:r>
        <w:rPr>
          <w:sz w:val="24"/>
        </w:rPr>
        <w:pict>
          <v:shape id="_x0000_s2075" o:spid="_x0000_s2075" o:spt="32" type="#_x0000_t32" style="position:absolute;left:0pt;margin-left:356.6pt;margin-top:24.55pt;height:0pt;width:46.4pt;z-index:251655168;mso-width-relative:page;mso-height-relative:page;" o:connectortype="straight" filled="f" coordsize="21600,21600">
            <v:path arrowok="t"/>
            <v:fill on="f" focussize="0,0"/>
            <v:stroke endarrow="block"/>
            <v:imagedata o:title=""/>
            <o:lock v:ext="edit"/>
          </v:shape>
        </w:pict>
      </w:r>
      <w:r>
        <w:rPr>
          <w:sz w:val="24"/>
        </w:rPr>
        <w:pict>
          <v:shape id="_x0000_s2076" o:spid="_x0000_s2076" o:spt="32" type="#_x0000_t32" style="position:absolute;left:0pt;margin-left:326.5pt;margin-top:2.2pt;height:0.05pt;width:30pt;z-index:251651072;mso-width-relative:page;mso-height-relative:page;" o:connectortype="straight" filled="f" coordsize="21600,21600">
            <v:path arrowok="t"/>
            <v:fill on="f" focussize="0,0"/>
            <v:stroke endarrow="block"/>
            <v:imagedata o:title=""/>
            <o:lock v:ext="edit"/>
          </v:shape>
        </w:pict>
      </w:r>
      <w:r>
        <w:rPr>
          <w:sz w:val="24"/>
        </w:rPr>
        <w:pict>
          <v:shape id="_x0000_s2077" o:spid="_x0000_s2077" o:spt="32" type="#_x0000_t32" style="position:absolute;left:0pt;margin-left:271pt;margin-top:2.3pt;height:0.05pt;width:30pt;z-index:251649024;mso-width-relative:page;mso-height-relative:page;" o:connectortype="straight" filled="f" coordsize="21600,21600">
            <v:path arrowok="t"/>
            <v:fill on="f" focussize="0,0"/>
            <v:stroke endarrow="block"/>
            <v:imagedata o:title=""/>
            <o:lock v:ext="edit"/>
          </v:shape>
        </w:pict>
      </w:r>
    </w:p>
    <w:p>
      <w:pPr>
        <w:spacing w:line="500" w:lineRule="exact"/>
        <w:ind w:firstLine="480" w:firstLineChars="200"/>
        <w:rPr>
          <w:sz w:val="24"/>
        </w:rPr>
      </w:pPr>
    </w:p>
    <w:p>
      <w:pPr>
        <w:rPr>
          <w:sz w:val="24"/>
        </w:rPr>
      </w:pPr>
    </w:p>
    <w:p>
      <w:pPr>
        <w:tabs>
          <w:tab w:val="left" w:pos="624"/>
        </w:tabs>
        <w:spacing w:line="360" w:lineRule="auto"/>
        <w:jc w:val="center"/>
        <w:rPr>
          <w:b/>
          <w:color w:val="000000"/>
          <w:sz w:val="24"/>
        </w:rPr>
      </w:pPr>
      <w:r>
        <w:rPr>
          <w:b/>
          <w:color w:val="000000"/>
          <w:sz w:val="24"/>
        </w:rPr>
        <w:t>图</w:t>
      </w:r>
      <w:r>
        <w:rPr>
          <w:rFonts w:hint="eastAsia"/>
          <w:b/>
          <w:color w:val="000000"/>
          <w:sz w:val="24"/>
          <w:lang w:val="en-US" w:eastAsia="zh-CN"/>
        </w:rPr>
        <w:t>2</w:t>
      </w:r>
      <w:r>
        <w:rPr>
          <w:b/>
          <w:color w:val="000000"/>
          <w:sz w:val="24"/>
        </w:rPr>
        <w:t>.2-2   项目粪污处理工艺流程图</w:t>
      </w:r>
    </w:p>
    <w:p>
      <w:pPr>
        <w:spacing w:line="500" w:lineRule="exact"/>
        <w:ind w:firstLine="480" w:firstLineChars="200"/>
        <w:rPr>
          <w:sz w:val="24"/>
        </w:rPr>
      </w:pPr>
      <w:r>
        <w:rPr>
          <w:sz w:val="24"/>
        </w:rPr>
        <w:t>本项目干湿（固液）分离工段设有收集池，粪尿进入收集池后，再通过无堵浆液泵将猪粪尿抽送至固液分离机，分离后的固态猪粪送至固粪处置区生产有机肥原料；液体进入</w:t>
      </w:r>
      <w:r>
        <w:rPr>
          <w:rFonts w:hint="eastAsia"/>
          <w:sz w:val="24"/>
          <w:lang w:val="en-US" w:eastAsia="zh-CN"/>
        </w:rPr>
        <w:t>黑膜</w:t>
      </w:r>
      <w:r>
        <w:rPr>
          <w:sz w:val="24"/>
        </w:rPr>
        <w:t>沼气池进行厌氧发酵。</w:t>
      </w:r>
    </w:p>
    <w:p>
      <w:pPr>
        <w:spacing w:line="500" w:lineRule="exact"/>
        <w:ind w:firstLine="480" w:firstLineChars="200"/>
        <w:rPr>
          <w:sz w:val="24"/>
        </w:rPr>
      </w:pPr>
      <w:r>
        <w:rPr>
          <w:rFonts w:hint="eastAsia"/>
          <w:sz w:val="24"/>
          <w:lang w:val="en-US" w:eastAsia="zh-CN"/>
        </w:rPr>
        <w:t>黑膜</w:t>
      </w:r>
      <w:r>
        <w:rPr>
          <w:sz w:val="24"/>
        </w:rPr>
        <w:t>沼气池厌氧发酵产生的沼液暂存于沼液暂存池，施肥季节用于农田施肥。厌氧发酵产生的沼渣通过管道送入固粪处置区。固粪处置区地面由上至下分别铺设锰钢网、碎石子，底部为斜坡，进入固粪处置区的沼渣堆放在碎石子地面上，水分在重力作用下经锰钢网和碎石子渗滤到底部斜坡上，由斜坡导流入废水收集管道，再汇集到废水收集池，去</w:t>
      </w:r>
      <w:r>
        <w:rPr>
          <w:rFonts w:hint="eastAsia"/>
          <w:sz w:val="24"/>
          <w:lang w:eastAsia="zh-CN"/>
        </w:rPr>
        <w:t>黑膜</w:t>
      </w:r>
      <w:r>
        <w:rPr>
          <w:sz w:val="24"/>
        </w:rPr>
        <w:t>沼气池进一步处理（根据建设项目已建成此类工程，沼渣渗滤液在导流的过程中基本蒸发完毕）。</w:t>
      </w:r>
    </w:p>
    <w:p>
      <w:pPr>
        <w:pStyle w:val="8"/>
        <w:spacing w:before="0" w:after="0" w:line="520" w:lineRule="exact"/>
        <w:rPr>
          <w:sz w:val="24"/>
          <w:szCs w:val="24"/>
        </w:rPr>
      </w:pPr>
      <w:r>
        <w:rPr>
          <w:rFonts w:hint="eastAsia"/>
          <w:sz w:val="24"/>
          <w:szCs w:val="24"/>
          <w:lang w:val="en-US" w:eastAsia="zh-CN"/>
        </w:rPr>
        <w:t>2</w:t>
      </w:r>
      <w:r>
        <w:rPr>
          <w:sz w:val="24"/>
          <w:szCs w:val="24"/>
        </w:rPr>
        <w:t>.2.3.2 猪舍、粪污池除臭工艺</w:t>
      </w:r>
    </w:p>
    <w:p>
      <w:pPr>
        <w:topLinePunct/>
        <w:spacing w:line="520" w:lineRule="exact"/>
        <w:ind w:firstLine="480" w:firstLineChars="200"/>
        <w:rPr>
          <w:sz w:val="24"/>
        </w:rPr>
      </w:pPr>
      <w:r>
        <w:rPr>
          <w:rFonts w:hint="eastAsia" w:ascii="宋体" w:hAnsi="宋体" w:cs="宋体"/>
          <w:sz w:val="24"/>
        </w:rPr>
        <w:t>①</w:t>
      </w:r>
      <w:r>
        <w:rPr>
          <w:sz w:val="24"/>
        </w:rPr>
        <w:t>项目采用干清粪工艺，项目采用墙体集热板、猪舍内热交换系统、红外灯和喷雾相结合进行猪舍内温度控制，降低舍内有害气体浓度。</w:t>
      </w:r>
    </w:p>
    <w:p>
      <w:pPr>
        <w:topLinePunct/>
        <w:spacing w:line="520" w:lineRule="exact"/>
        <w:ind w:firstLine="480" w:firstLineChars="200"/>
        <w:rPr>
          <w:sz w:val="24"/>
        </w:rPr>
      </w:pPr>
      <w:r>
        <w:rPr>
          <w:rFonts w:hint="eastAsia" w:ascii="宋体" w:hAnsi="宋体" w:cs="宋体"/>
          <w:sz w:val="24"/>
        </w:rPr>
        <w:t>②</w:t>
      </w:r>
      <w:r>
        <w:rPr>
          <w:sz w:val="24"/>
        </w:rPr>
        <w:t>在猪舍设置通风口、鼓风机等换气设备，定期进行通风换气，加快排除有害气体。</w:t>
      </w:r>
    </w:p>
    <w:p>
      <w:pPr>
        <w:topLinePunct/>
        <w:spacing w:line="520" w:lineRule="exact"/>
        <w:ind w:firstLine="480" w:firstLineChars="200"/>
        <w:rPr>
          <w:sz w:val="24"/>
        </w:rPr>
      </w:pPr>
      <w:r>
        <w:rPr>
          <w:rFonts w:hint="eastAsia" w:ascii="宋体" w:hAnsi="宋体" w:cs="宋体"/>
          <w:sz w:val="24"/>
        </w:rPr>
        <w:t>③</w:t>
      </w:r>
      <w:r>
        <w:rPr>
          <w:sz w:val="24"/>
        </w:rPr>
        <w:t>养殖场场区等消毒应采用环境友好的消毒剂和消毒措施，防止产生氯代有机物及其他二次污染物。</w:t>
      </w:r>
    </w:p>
    <w:p>
      <w:pPr>
        <w:topLinePunct/>
        <w:spacing w:line="520" w:lineRule="exact"/>
        <w:ind w:firstLine="480" w:firstLineChars="200"/>
        <w:rPr>
          <w:sz w:val="24"/>
        </w:rPr>
      </w:pPr>
      <w:r>
        <w:rPr>
          <w:rFonts w:hint="eastAsia" w:ascii="宋体" w:hAnsi="宋体" w:cs="宋体"/>
          <w:sz w:val="24"/>
        </w:rPr>
        <w:t>④</w:t>
      </w:r>
      <w:r>
        <w:rPr>
          <w:sz w:val="24"/>
        </w:rPr>
        <w:t>加强场区及场界的绿化，场区绿化以完全消灭裸露地面为原则，选择适宜吸臭植物种类，广种花草树木，场界边缘地带种植双季槐等高大树种形成多层防护林带，以降低恶臭污染的影响程度。</w:t>
      </w:r>
    </w:p>
    <w:p>
      <w:pPr>
        <w:pStyle w:val="99"/>
        <w:spacing w:line="520" w:lineRule="exact"/>
        <w:ind w:firstLine="480"/>
        <w:rPr>
          <w:kern w:val="0"/>
          <w:szCs w:val="20"/>
        </w:rPr>
      </w:pPr>
      <w:r>
        <w:rPr>
          <w:rFonts w:hint="eastAsia" w:ascii="宋体" w:hAnsi="宋体" w:cs="宋体"/>
          <w:kern w:val="0"/>
          <w:szCs w:val="20"/>
        </w:rPr>
        <w:t>⑤</w:t>
      </w:r>
      <w:r>
        <w:rPr>
          <w:kern w:val="0"/>
          <w:szCs w:val="20"/>
        </w:rPr>
        <w:t>对猪舍、收集池、沼液储存池周边、</w:t>
      </w:r>
      <w:r>
        <w:t>固粪处置区</w:t>
      </w:r>
      <w:r>
        <w:rPr>
          <w:kern w:val="0"/>
          <w:szCs w:val="20"/>
        </w:rPr>
        <w:t>喷洒除臭剂。</w:t>
      </w:r>
    </w:p>
    <w:p>
      <w:pPr>
        <w:pStyle w:val="8"/>
        <w:spacing w:before="0" w:after="0" w:line="520" w:lineRule="exact"/>
        <w:rPr>
          <w:sz w:val="24"/>
          <w:szCs w:val="24"/>
        </w:rPr>
      </w:pPr>
      <w:r>
        <w:rPr>
          <w:rFonts w:hint="eastAsia"/>
          <w:sz w:val="24"/>
          <w:szCs w:val="24"/>
          <w:lang w:val="en-US" w:eastAsia="zh-CN"/>
        </w:rPr>
        <w:t>2</w:t>
      </w:r>
      <w:r>
        <w:rPr>
          <w:sz w:val="24"/>
          <w:szCs w:val="24"/>
        </w:rPr>
        <w:t>.2.3.3 粪污水处理工艺</w:t>
      </w:r>
    </w:p>
    <w:p>
      <w:pPr>
        <w:topLinePunct/>
        <w:spacing w:line="520" w:lineRule="exact"/>
        <w:ind w:firstLine="480" w:firstLineChars="200"/>
        <w:rPr>
          <w:sz w:val="24"/>
        </w:rPr>
      </w:pPr>
      <w:r>
        <w:rPr>
          <w:sz w:val="24"/>
        </w:rPr>
        <w:t>本项目粪污水处理工艺见图</w:t>
      </w:r>
      <w:r>
        <w:rPr>
          <w:rFonts w:hint="eastAsia"/>
          <w:sz w:val="24"/>
          <w:lang w:val="en-US" w:eastAsia="zh-CN"/>
        </w:rPr>
        <w:t>2</w:t>
      </w:r>
      <w:r>
        <w:rPr>
          <w:sz w:val="24"/>
        </w:rPr>
        <w:t>.2-3。</w:t>
      </w:r>
    </w:p>
    <w:p>
      <w:pPr>
        <w:keepNext w:val="0"/>
        <w:keepLines w:val="0"/>
        <w:widowControl/>
        <w:suppressLineNumbers w:val="0"/>
        <w:jc w:val="center"/>
      </w:pPr>
      <w:r>
        <w:rPr>
          <w:color w:val="000000"/>
          <w:sz w:val="24"/>
        </w:rPr>
        <w:pict>
          <v:group id="_x0000_s2078" o:spid="_x0000_s2078" o:spt="203" style="height:391.2pt;width:414.75pt;" coordorigin="1047,2554" coordsize="8295,7824">
            <o:lock v:ext="edit" rotation="t"/>
            <v:rect id="Rectangle 2509" o:spid="_x0000_s2079" o:spt="1" style="position:absolute;left:4587;top:2554;height:583;width:1100;"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猪舍</w:t>
                    </w:r>
                  </w:p>
                </w:txbxContent>
              </v:textbox>
            </v:rect>
            <v:line id="Line 2510" o:spid="_x0000_s2080" o:spt="20" style="position:absolute;left:8361;top:7775;height:24;width:533;" filled="f" stroked="t" coordsize="21600,21600">
              <v:path arrowok="t"/>
              <v:fill on="f" focussize="0,0"/>
              <v:stroke dashstyle="dash" endarrow="block"/>
              <v:imagedata o:title=""/>
              <o:lock v:ext="edit" aspectratio="f"/>
            </v:line>
            <v:rect id="Rectangle 2511" o:spid="_x0000_s2081" o:spt="1" style="position:absolute;left:8895;top:6585;height:2592;width:447;" filled="f" stroked="t" coordsize="21600,21600">
              <v:path/>
              <v:fill on="f" focussize="0,0"/>
              <v:stroke/>
              <v:imagedata o:title=""/>
              <o:lock v:ext="edit" aspectratio="f"/>
              <v:textbox>
                <w:txbxContent>
                  <w:p>
                    <w:pPr>
                      <w:rPr>
                        <w:rFonts w:ascii="宋体" w:hAnsi="宋体"/>
                        <w:szCs w:val="21"/>
                      </w:rPr>
                    </w:pPr>
                  </w:p>
                  <w:p>
                    <w:pPr>
                      <w:rPr>
                        <w:rFonts w:ascii="宋体" w:hAnsi="宋体"/>
                        <w:szCs w:val="21"/>
                      </w:rPr>
                    </w:pPr>
                  </w:p>
                  <w:p>
                    <w:pPr>
                      <w:rPr>
                        <w:rFonts w:ascii="宋体" w:hAnsi="宋体"/>
                        <w:szCs w:val="21"/>
                      </w:rPr>
                    </w:pPr>
                    <w:r>
                      <w:rPr>
                        <w:rFonts w:ascii="宋体" w:hAnsi="宋体"/>
                        <w:szCs w:val="21"/>
                      </w:rPr>
                      <w:t>外售</w:t>
                    </w:r>
                  </w:p>
                </w:txbxContent>
              </v:textbox>
            </v:rect>
            <v:rect id="Rectangle 2512" o:spid="_x0000_s2082" o:spt="1" style="position:absolute;left:6230;top:6411;height:582;width:1762;" filled="f" stroked="f" coordsize="21600,21600">
              <v:path/>
              <v:fill on="f" focussize="0,0"/>
              <v:stroke on="f"/>
              <v:imagedata o:title=""/>
              <o:lock v:ext="edit" aspectratio="f"/>
              <v:textbox>
                <w:txbxContent>
                  <w:p>
                    <w:pPr>
                      <w:rPr>
                        <w:rFonts w:hint="eastAsia" w:ascii="宋体" w:hAnsi="宋体" w:cs="宋体"/>
                        <w:szCs w:val="21"/>
                      </w:rPr>
                    </w:pPr>
                    <w:r>
                      <w:rPr>
                        <w:rFonts w:hint="eastAsia" w:ascii="宋体" w:hAnsi="宋体" w:cs="宋体"/>
                        <w:szCs w:val="21"/>
                      </w:rPr>
                      <w:t>猪粪生产</w:t>
                    </w:r>
                    <w:r>
                      <w:rPr>
                        <w:rFonts w:ascii="宋体" w:hAnsi="宋体" w:cs="宋体"/>
                        <w:szCs w:val="21"/>
                      </w:rPr>
                      <w:t>有机肥</w:t>
                    </w:r>
                  </w:p>
                </w:txbxContent>
              </v:textbox>
            </v:rect>
            <v:rect id="Rectangle 2514" o:spid="_x0000_s2083" o:spt="1" style="position:absolute;left:2410;top:8222;height:665;width:861;"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沼气</w:t>
                    </w:r>
                  </w:p>
                </w:txbxContent>
              </v:textbox>
            </v:rect>
            <v:line id="Line 2515" o:spid="_x0000_s2084" o:spt="20" style="position:absolute;left:2833;top:7710;flip:y;height:543;width:1;" filled="f" stroked="t" coordsize="21600,21600">
              <v:path arrowok="t"/>
              <v:fill on="f" focussize="0,0"/>
              <v:stroke dashstyle="longDash" endarrow="block"/>
              <v:imagedata o:title=""/>
              <o:lock v:ext="edit" aspectratio="f"/>
            </v:line>
            <v:line id="Line 2516" o:spid="_x0000_s2085" o:spt="20" style="position:absolute;left:2949;top:6538;flip:y;height:584;width:1;" filled="f" stroked="t" coordsize="21600,21600">
              <v:path arrowok="t"/>
              <v:fill on="f" focussize="0,0"/>
              <v:stroke dashstyle="longDash" endarrow="block"/>
              <v:imagedata o:title=""/>
              <o:lock v:ext="edit" aspectratio="f"/>
            </v:line>
            <v:rect id="Rectangle 2517" o:spid="_x0000_s2086" o:spt="1" style="position:absolute;left:4182;top:9786;height:583;width:1761;"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rPr>
                      <w:t>沼液储存池</w:t>
                    </w:r>
                  </w:p>
                </w:txbxContent>
              </v:textbox>
            </v:rect>
            <v:line id="Line 2518" o:spid="_x0000_s2087" o:spt="20" style="position:absolute;left:5943;top:10090;height:1;width:663;" filled="f" stroked="t" coordsize="21600,21600">
              <v:path arrowok="t"/>
              <v:fill on="f" focussize="0,0"/>
              <v:stroke endarrow="block"/>
              <v:imagedata o:title=""/>
              <o:lock v:ext="edit" aspectratio="f"/>
            </v:line>
            <v:rect id="Rectangle 2519" o:spid="_x0000_s2088" o:spt="1" style="position:absolute;left:6523;top:9795;height:583;width:1540;"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做农肥</w:t>
                    </w:r>
                  </w:p>
                </w:txbxContent>
              </v:textbox>
            </v:rect>
            <v:shape id="AutoShape 2520" o:spid="_x0000_s2089" o:spt="32" type="#_x0000_t32" style="position:absolute;left:8322;top:6939;flip:x;height:1629;width:8;" filled="f" stroked="t" coordsize="21600,21600">
              <v:path arrowok="t"/>
              <v:fill on="f" focussize="0,0"/>
              <v:stroke dashstyle="dash"/>
              <v:imagedata o:title=""/>
              <o:lock v:ext="edit" aspectratio="f"/>
            </v:shape>
            <v:rect id="Rectangle 2523" o:spid="_x0000_s2090" o:spt="1" style="position:absolute;left:4242;top:4537;height:583;width:1296;"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粪尿</w:t>
                    </w:r>
                  </w:p>
                </w:txbxContent>
              </v:textbox>
            </v:rect>
            <v:line id="Line 2529" o:spid="_x0000_s2091" o:spt="20" style="position:absolute;left:5934;top:6922;height:1;width:2400;" filled="f" stroked="t" coordsize="21600,21600">
              <v:path arrowok="t"/>
              <v:fill on="f" focussize="0,0"/>
              <v:stroke dashstyle="dash" endarrow="block"/>
              <v:imagedata o:title=""/>
              <o:lock v:ext="edit" aspectratio="f"/>
            </v:line>
            <v:rect id="Rectangle 2530" o:spid="_x0000_s2092" o:spt="1" style="position:absolute;left:4287;top:5092;height:584;width:1675;"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rPr>
                      <w:t>收集池</w:t>
                    </w:r>
                  </w:p>
                </w:txbxContent>
              </v:textbox>
            </v:rect>
            <v:line id="Line 2532" o:spid="_x0000_s2093" o:spt="20" style="position:absolute;left:5888;top:8472;flip:y;height:21;width:548;" filled="f" stroked="t" coordsize="21600,21600">
              <v:path arrowok="t"/>
              <v:fill on="f" focussize="0,0"/>
              <v:stroke dashstyle="dash" endarrow="block"/>
              <v:imagedata o:title=""/>
              <o:lock v:ext="edit" aspectratio="f"/>
            </v:line>
            <v:rect id="Rectangle 2534" o:spid="_x0000_s2094" o:spt="1" style="position:absolute;left:2047;top:6000;height:810;width:2217;" filled="f" stroked="f" coordsize="21600,21600">
              <v:path/>
              <v:fill on="f" focussize="0,0"/>
              <v:stroke on="f"/>
              <v:imagedata o:title=""/>
              <o:lock v:ext="edit" aspectratio="f"/>
              <v:textbox>
                <w:txbxContent>
                  <w:p>
                    <w:pPr>
                      <w:jc w:val="center"/>
                      <w:rPr>
                        <w:rFonts w:hint="default" w:ascii="宋体" w:hAnsi="宋体" w:eastAsia="宋体" w:cs="宋体"/>
                        <w:szCs w:val="21"/>
                        <w:lang w:val="en-US" w:eastAsia="zh-CN"/>
                      </w:rPr>
                    </w:pPr>
                    <w:r>
                      <w:rPr>
                        <w:rFonts w:hint="eastAsia" w:ascii="宋体" w:hAnsi="宋体" w:cs="宋体"/>
                        <w:szCs w:val="21"/>
                      </w:rPr>
                      <w:t>伙房做饭、</w:t>
                    </w:r>
                    <w:r>
                      <w:rPr>
                        <w:rFonts w:hint="eastAsia" w:ascii="宋体" w:hAnsi="宋体" w:cs="宋体"/>
                        <w:szCs w:val="21"/>
                        <w:lang w:val="en-US" w:eastAsia="zh-CN"/>
                      </w:rPr>
                      <w:t>火炬燃烧</w:t>
                    </w:r>
                  </w:p>
                </w:txbxContent>
              </v:textbox>
            </v:rect>
            <v:rect id="Rectangle 2537" o:spid="_x0000_s2095" o:spt="1" style="position:absolute;left:2427;top:4800;height:583;width:1100;"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燃烧</w:t>
                    </w:r>
                  </w:p>
                </w:txbxContent>
              </v:textbox>
            </v:rect>
            <v:line id="Line 2538" o:spid="_x0000_s2096" o:spt="20" style="position:absolute;left:1671;top:6539;height:584;width:394;" filled="f" stroked="t" coordsize="21600,21600">
              <v:path arrowok="t"/>
              <v:fill on="f" focussize="0,0"/>
              <v:stroke endarrow="block"/>
              <v:imagedata o:title=""/>
              <o:lock v:ext="edit" aspectratio="f"/>
            </v:line>
            <v:rect id="Rectangle 2539" o:spid="_x0000_s2097" o:spt="1" style="position:absolute;left:1047;top:6062;height:583;width:1100;"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脱硫剂</w:t>
                    </w:r>
                  </w:p>
                </w:txbxContent>
              </v:textbox>
            </v:rect>
            <v:line id="Line 2540" o:spid="_x0000_s2098" o:spt="20" style="position:absolute;left:2064;top:7698;height:1153;width:1;" filled="f" stroked="t" coordsize="21600,21600">
              <v:path arrowok="t"/>
              <v:fill on="f" focussize="0,0"/>
              <v:stroke dashstyle="longDash" endarrow="block"/>
              <v:imagedata o:title=""/>
              <o:lock v:ext="edit" aspectratio="f"/>
            </v:line>
            <v:rect id="Rectangle 2541" o:spid="_x0000_s2099" o:spt="1" style="position:absolute;left:1210;top:8827;height:583;width:1410;"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废脱硫剂</w:t>
                    </w:r>
                  </w:p>
                </w:txbxContent>
              </v:textbox>
            </v:rect>
            <v:line id="Line 2544" o:spid="_x0000_s2100" o:spt="20" style="position:absolute;left:3933;top:9183;flip:x y;height:623;width:441;" filled="f" stroked="t" coordsize="21600,21600">
              <v:path arrowok="t"/>
              <v:fill on="f" focussize="0,0"/>
              <v:stroke dashstyle="longDash" endarrow="block"/>
              <v:imagedata o:title=""/>
              <o:lock v:ext="edit" aspectratio="f"/>
            </v:line>
            <v:rect id="Rectangle 2545" o:spid="_x0000_s2101" o:spt="1" style="position:absolute;left:2982;top:8951;height:583;width:1378;"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恶臭</w:t>
                    </w:r>
                  </w:p>
                </w:txbxContent>
              </v:textbox>
            </v:rect>
            <v:rect id="Rectangle 2513" o:spid="_x0000_s2102" o:spt="1" style="position:absolute;left:4176;top:8177;height:585;width:1692;"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lang w:val="en-US" w:eastAsia="zh-CN"/>
                      </w:rPr>
                      <w:t>黑膜</w:t>
                    </w:r>
                    <w:r>
                      <w:rPr>
                        <w:rFonts w:hint="eastAsia" w:ascii="宋体" w:hAnsi="宋体" w:cs="宋体"/>
                        <w:szCs w:val="21"/>
                      </w:rPr>
                      <w:t>沼气池</w:t>
                    </w:r>
                  </w:p>
                </w:txbxContent>
              </v:textbox>
            </v:rect>
            <v:rect id="Rectangle 2521" o:spid="_x0000_s2103" o:spt="1" style="position:absolute;left:4242;top:3652;height:584;width:1761;"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rPr>
                      <w:t>干清粪工艺</w:t>
                    </w:r>
                  </w:p>
                </w:txbxContent>
              </v:textbox>
            </v:rect>
            <v:line id="Line 2522" o:spid="_x0000_s2104" o:spt="20" style="position:absolute;left:5127;top:2998;height:663;width:1;" filled="f" stroked="t" coordsize="21600,21600">
              <v:path arrowok="t"/>
              <v:fill on="f" focussize="0,0"/>
              <v:stroke endarrow="block"/>
              <v:imagedata o:title=""/>
              <o:lock v:ext="edit" aspectratio="f"/>
            </v:line>
            <v:line id="Line 2527" o:spid="_x0000_s2105" o:spt="20" style="position:absolute;left:5127;top:4237;flip:x;height:882;width:4;" filled="f" stroked="t" coordsize="21600,21600">
              <v:path arrowok="t"/>
              <v:fill on="f" focussize="0,0"/>
              <v:stroke endarrow="block"/>
              <v:imagedata o:title=""/>
              <o:lock v:ext="edit" aspectratio="f"/>
            </v:line>
            <v:line id="Line 2535" o:spid="_x0000_s2106" o:spt="20" style="position:absolute;left:2964;top:5380;flip:y;height:584;width:1;" filled="f" stroked="t" coordsize="21600,21600">
              <v:path arrowok="t"/>
              <v:fill on="f" focussize="0,0"/>
              <v:stroke dashstyle="longDash" endarrow="block"/>
              <v:imagedata o:title=""/>
              <o:lock v:ext="edit" aspectratio="f"/>
            </v:line>
            <v:rect id="Rectangle 2536" o:spid="_x0000_s2107" o:spt="1" style="position:absolute;left:1896;top:7124;height:585;width:1142;"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rPr>
                      <w:t>净化</w:t>
                    </w:r>
                  </w:p>
                </w:txbxContent>
              </v:textbox>
            </v:rect>
            <v:line id="Line 2551" o:spid="_x0000_s2108" o:spt="20" style="position:absolute;left:5097;top:7288;flip:x;height:895;width:9;" filled="f" stroked="t" coordsize="21600,21600">
              <v:path arrowok="t"/>
              <v:fill on="f" focussize="0,0"/>
              <v:stroke endarrow="block"/>
              <v:imagedata o:title=""/>
              <o:lock v:ext="edit" aspectratio="f"/>
            </v:line>
            <v:rect id="Rectangle 2530" o:spid="_x0000_s2109" o:spt="1" style="position:absolute;left:4240;top:6620;height:584;width:1675;"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rPr>
                      <w:t>固液分离机</w:t>
                    </w:r>
                  </w:p>
                </w:txbxContent>
              </v:textbox>
            </v:rect>
            <v:line id="Line 2527" o:spid="_x0000_s2110" o:spt="20" style="position:absolute;left:5110;top:5722;height:945;width:2;" filled="f" stroked="t" coordsize="21600,21600">
              <v:path arrowok="t"/>
              <v:fill on="f" focussize="0,0"/>
              <v:stroke endarrow="block"/>
              <v:imagedata o:title=""/>
              <o:lock v:ext="edit" aspectratio="f"/>
            </v:line>
            <v:rect id="Rectangle 2523" o:spid="_x0000_s2111" o:spt="1" style="position:absolute;left:4146;top:7376;height:583;width:1296;" filled="f" stroked="f" coordsize="21600,21600">
              <v:path/>
              <v:fill on="f" focussize="0,0"/>
              <v:stroke on="f"/>
              <v:imagedata o:title=""/>
              <o:lock v:ext="edit" aspectratio="f"/>
              <v:textbox>
                <w:txbxContent>
                  <w:p>
                    <w:pPr>
                      <w:jc w:val="center"/>
                      <w:rPr>
                        <w:rFonts w:hint="eastAsia" w:ascii="宋体" w:hAnsi="宋体" w:cs="宋体"/>
                        <w:szCs w:val="21"/>
                      </w:rPr>
                    </w:pPr>
                    <w:r>
                      <w:rPr>
                        <w:rFonts w:hint="eastAsia" w:ascii="宋体" w:hAnsi="宋体" w:cs="宋体"/>
                        <w:szCs w:val="21"/>
                      </w:rPr>
                      <w:t>废水</w:t>
                    </w:r>
                  </w:p>
                </w:txbxContent>
              </v:textbox>
            </v:rect>
            <v:rect id="Rectangle 2533" o:spid="_x0000_s2112" o:spt="1" style="position:absolute;left:4167;top:9021;height:749;width:1042;" filled="f" stroked="f" coordsize="21600,21600">
              <v:path/>
              <v:fill on="f" focussize="0,0"/>
              <v:stroke on="f"/>
              <v:imagedata o:title=""/>
              <o:lock v:ext="edit" aspectratio="f"/>
              <v:textbox>
                <w:txbxContent>
                  <w:p>
                    <w:pPr>
                      <w:ind w:firstLine="210" w:firstLineChars="100"/>
                      <w:rPr>
                        <w:rFonts w:hint="eastAsia" w:ascii="宋体" w:hAnsi="宋体" w:cs="宋体"/>
                        <w:szCs w:val="21"/>
                      </w:rPr>
                    </w:pPr>
                    <w:r>
                      <w:rPr>
                        <w:rFonts w:hint="eastAsia" w:ascii="宋体" w:hAnsi="宋体" w:cs="宋体"/>
                        <w:szCs w:val="21"/>
                      </w:rPr>
                      <w:t>沼液</w:t>
                    </w:r>
                  </w:p>
                </w:txbxContent>
              </v:textbox>
            </v:rect>
            <v:rect id="Rectangle 2513" o:spid="_x0000_s2113" o:spt="1" style="position:absolute;left:6422;top:8197;height:586;width:1401;" filled="f" stroked="t" coordsize="21600,21600">
              <v:path/>
              <v:fill on="f" focussize="0,0"/>
              <v:stroke/>
              <v:imagedata o:title=""/>
              <o:lock v:ext="edit" aspectratio="f"/>
              <v:textbox>
                <w:txbxContent>
                  <w:p>
                    <w:pPr>
                      <w:jc w:val="center"/>
                      <w:rPr>
                        <w:rFonts w:hint="eastAsia" w:ascii="宋体" w:hAnsi="宋体" w:cs="宋体"/>
                        <w:szCs w:val="21"/>
                      </w:rPr>
                    </w:pPr>
                    <w:r>
                      <w:rPr>
                        <w:rFonts w:hint="eastAsia" w:ascii="宋体" w:hAnsi="宋体" w:cs="宋体"/>
                        <w:szCs w:val="21"/>
                      </w:rPr>
                      <w:t>堆肥</w:t>
                    </w:r>
                    <w:r>
                      <w:rPr>
                        <w:rFonts w:ascii="宋体" w:hAnsi="宋体" w:cs="宋体"/>
                        <w:szCs w:val="21"/>
                      </w:rPr>
                      <w:t>暂存区</w:t>
                    </w:r>
                  </w:p>
                </w:txbxContent>
              </v:textbox>
            </v:rect>
            <v:line id="Line 2532" o:spid="_x0000_s2114" o:spt="20" style="position:absolute;left:7823;top:8495;flip:y;height:21;width:548;" filled="f" stroked="t" coordsize="21600,21600">
              <v:path arrowok="t"/>
              <v:fill on="f" focussize="0,0"/>
              <v:stroke dashstyle="dash" endarrow="block"/>
              <v:imagedata o:title=""/>
              <o:lock v:ext="edit" aspectratio="f"/>
            </v:line>
            <v:rect id="Rectangle 2533" o:spid="_x0000_s2115" o:spt="1" style="position:absolute;left:5526;top:7952;height:749;width:1042;" filled="f" stroked="f" coordsize="21600,21600">
              <v:path/>
              <v:fill on="f" focussize="0,0"/>
              <v:stroke on="f"/>
              <v:imagedata o:title=""/>
              <o:lock v:ext="edit" aspectratio="f"/>
              <v:textbox>
                <w:txbxContent>
                  <w:p>
                    <w:pPr>
                      <w:ind w:firstLine="210" w:firstLineChars="100"/>
                      <w:rPr>
                        <w:rFonts w:hint="eastAsia" w:ascii="宋体" w:hAnsi="宋体" w:cs="宋体"/>
                        <w:szCs w:val="21"/>
                      </w:rPr>
                    </w:pPr>
                    <w:r>
                      <w:rPr>
                        <w:rFonts w:hint="eastAsia" w:ascii="宋体" w:hAnsi="宋体" w:cs="宋体"/>
                        <w:szCs w:val="21"/>
                      </w:rPr>
                      <w:t>沼渣</w:t>
                    </w:r>
                  </w:p>
                </w:txbxContent>
              </v:textbox>
            </v:rect>
            <v:line id="Line 2551" o:spid="_x0000_s2116" o:spt="20" style="position:absolute;left:5078;top:8794;flip:x;height:896;width:9;" filled="f" stroked="t" coordsize="21600,21600">
              <v:path arrowok="t"/>
              <v:fill on="f" focussize="0,0"/>
              <v:stroke endarrow="block"/>
              <v:imagedata o:title=""/>
              <o:lock v:ext="edit" aspectratio="f"/>
            </v:line>
            <v:line id="Line 2551" o:spid="_x0000_s2117" o:spt="20" style="position:absolute;left:3218;top:8479;flip:x;height:19;width:938;" filled="f" stroked="t" coordsize="21600,21600">
              <v:path arrowok="t"/>
              <v:fill on="f" focussize="0,0"/>
              <v:stroke endarrow="block"/>
              <v:imagedata o:title=""/>
              <o:lock v:ext="edit" aspectratio="f"/>
            </v:line>
            <w10:wrap type="none"/>
            <w10:anchorlock/>
          </v:group>
        </w:pict>
      </w:r>
    </w:p>
    <w:p>
      <w:pPr>
        <w:tabs>
          <w:tab w:val="left" w:pos="624"/>
        </w:tabs>
        <w:spacing w:line="360" w:lineRule="auto"/>
        <w:jc w:val="center"/>
        <w:rPr>
          <w:b/>
          <w:color w:val="000000"/>
          <w:sz w:val="24"/>
        </w:rPr>
      </w:pPr>
      <w:r>
        <w:rPr>
          <w:b/>
          <w:color w:val="000000"/>
          <w:sz w:val="24"/>
        </w:rPr>
        <w:t>图</w:t>
      </w:r>
      <w:r>
        <w:rPr>
          <w:rFonts w:hint="eastAsia"/>
          <w:b/>
          <w:color w:val="000000"/>
          <w:sz w:val="24"/>
          <w:lang w:val="en-US" w:eastAsia="zh-CN"/>
        </w:rPr>
        <w:t>2</w:t>
      </w:r>
      <w:r>
        <w:rPr>
          <w:b/>
          <w:color w:val="000000"/>
          <w:sz w:val="24"/>
        </w:rPr>
        <w:t xml:space="preserve">.2-3    </w:t>
      </w:r>
      <w:r>
        <w:rPr>
          <w:b/>
          <w:sz w:val="24"/>
        </w:rPr>
        <w:t>污水处理工艺</w:t>
      </w:r>
    </w:p>
    <w:p>
      <w:pPr>
        <w:tabs>
          <w:tab w:val="left" w:pos="624"/>
        </w:tabs>
        <w:spacing w:line="360" w:lineRule="auto"/>
        <w:rPr>
          <w:b/>
          <w:color w:val="000000"/>
          <w:sz w:val="24"/>
        </w:rPr>
      </w:pPr>
      <w:r>
        <w:rPr>
          <w:b/>
          <w:color w:val="000000"/>
          <w:sz w:val="24"/>
        </w:rPr>
        <w:t>工艺简述：</w:t>
      </w:r>
    </w:p>
    <w:p>
      <w:pPr>
        <w:tabs>
          <w:tab w:val="left" w:pos="624"/>
        </w:tabs>
        <w:spacing w:line="520" w:lineRule="exact"/>
        <w:ind w:firstLine="480" w:firstLineChars="200"/>
        <w:rPr>
          <w:color w:val="000000"/>
          <w:sz w:val="24"/>
        </w:rPr>
      </w:pPr>
      <w:r>
        <w:rPr>
          <w:color w:val="000000"/>
          <w:sz w:val="24"/>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tabs>
          <w:tab w:val="left" w:pos="624"/>
        </w:tabs>
        <w:spacing w:line="520" w:lineRule="exact"/>
        <w:ind w:firstLine="480" w:firstLineChars="200"/>
        <w:rPr>
          <w:sz w:val="24"/>
        </w:rPr>
      </w:pPr>
      <w:r>
        <w:rPr>
          <w:color w:val="000000"/>
          <w:sz w:val="24"/>
        </w:rPr>
        <w:t>本项目粪污处理系统的核心技术是“</w:t>
      </w:r>
      <w:r>
        <w:rPr>
          <w:rFonts w:hint="eastAsia"/>
          <w:color w:val="000000"/>
          <w:sz w:val="24"/>
          <w:lang w:eastAsia="zh-CN"/>
        </w:rPr>
        <w:t>黑膜</w:t>
      </w:r>
      <w:r>
        <w:rPr>
          <w:color w:val="000000"/>
          <w:sz w:val="24"/>
        </w:rPr>
        <w:t>沼气池”，粪便污水经固液分离后进入</w:t>
      </w:r>
      <w:r>
        <w:rPr>
          <w:rFonts w:hint="eastAsia"/>
          <w:color w:val="000000"/>
          <w:sz w:val="24"/>
          <w:lang w:eastAsia="zh-CN"/>
        </w:rPr>
        <w:t>黑膜</w:t>
      </w:r>
      <w:r>
        <w:rPr>
          <w:color w:val="000000"/>
          <w:sz w:val="24"/>
        </w:rPr>
        <w:t>沼气池，在沼气池内进行厌氧发酵，经厌氧发酵去除了大部分有机物，设计发酵周期为30天，发酵结束后，沼渣进入固粪处置区，最终用于制作有机肥基肥打包出厂外售。厌氧发酵产生的沼</w:t>
      </w:r>
      <w:r>
        <w:rPr>
          <w:sz w:val="24"/>
        </w:rPr>
        <w:t>气经净化后，</w:t>
      </w:r>
      <w:r>
        <w:rPr>
          <w:rFonts w:hint="eastAsia"/>
          <w:sz w:val="24"/>
          <w:lang w:val="en-US" w:eastAsia="zh-CN"/>
        </w:rPr>
        <w:t>利用火炬燃烧器燃烧</w:t>
      </w:r>
      <w:r>
        <w:rPr>
          <w:sz w:val="24"/>
        </w:rPr>
        <w:t>。</w:t>
      </w:r>
    </w:p>
    <w:p>
      <w:pPr>
        <w:pStyle w:val="99"/>
        <w:spacing w:line="500" w:lineRule="exact"/>
        <w:ind w:firstLine="480"/>
      </w:pPr>
      <w:r>
        <w:t>黑膜沼气池：容积</w:t>
      </w:r>
      <w:r>
        <w:rPr>
          <w:rFonts w:hint="eastAsia"/>
          <w:lang w:val="en-US" w:eastAsia="zh-CN"/>
        </w:rPr>
        <w:t>1</w:t>
      </w:r>
      <w:r>
        <w:t>00</w:t>
      </w:r>
      <w:r>
        <w:rPr>
          <w:rFonts w:hint="eastAsia"/>
          <w:lang w:val="en-US" w:eastAsia="zh-CN"/>
        </w:rPr>
        <w:t>0</w:t>
      </w:r>
      <w:r>
        <w:t>m</w:t>
      </w:r>
      <w:r>
        <w:rPr>
          <w:vertAlign w:val="superscript"/>
        </w:rPr>
        <w:t>3</w:t>
      </w:r>
      <w:r>
        <w:t>，主要处理经固液分离后的粪污水。</w:t>
      </w:r>
    </w:p>
    <w:p>
      <w:pPr>
        <w:pStyle w:val="99"/>
        <w:spacing w:line="500" w:lineRule="exact"/>
        <w:ind w:firstLine="480"/>
      </w:pPr>
      <w:r>
        <w:t>沼液储存池：沼液储存池1个，总容积</w:t>
      </w:r>
      <w:r>
        <w:rPr>
          <w:rFonts w:hint="eastAsia"/>
          <w:lang w:val="en-US" w:eastAsia="zh-CN"/>
        </w:rPr>
        <w:t>5000</w:t>
      </w:r>
      <w:r>
        <w:t>m</w:t>
      </w:r>
      <w:r>
        <w:rPr>
          <w:vertAlign w:val="superscript"/>
        </w:rPr>
        <w:t>3</w:t>
      </w:r>
      <w:r>
        <w:t>，主要用于储存沼液。</w:t>
      </w:r>
    </w:p>
    <w:p>
      <w:pPr>
        <w:pStyle w:val="99"/>
        <w:spacing w:line="500" w:lineRule="exact"/>
        <w:ind w:firstLine="480"/>
        <w:rPr>
          <w:kern w:val="0"/>
        </w:rPr>
      </w:pPr>
      <w:r>
        <w:rPr>
          <w:bCs/>
        </w:rPr>
        <w:t>本项目</w:t>
      </w:r>
      <w:r>
        <w:rPr>
          <w:rFonts w:hint="eastAsia"/>
          <w:bCs/>
          <w:lang w:eastAsia="zh-CN"/>
        </w:rPr>
        <w:t>黑膜</w:t>
      </w:r>
      <w:r>
        <w:rPr>
          <w:bCs/>
        </w:rPr>
        <w:t>沼气池采用常温发酵，沼气池主体工程位于地下，塘口、底部用HDPE黑膜密封，采用全封闭结构，沼气池内的温度能保持常温发酵。废水处理产生的沼气经配套净化装置净化后，部分供给职工食堂使用，剩余部分全部供沼气锅炉使用；沼液在非施肥季节储存于沼液储存池，满足《畜禽养殖业污染防治技术规范》（HJ/T 81-2001）相关要求，</w:t>
      </w:r>
      <w:r>
        <w:rPr>
          <w:rFonts w:hint="eastAsia"/>
          <w:bCs/>
          <w:lang w:eastAsia="zh-CN"/>
        </w:rPr>
        <w:t>黑膜</w:t>
      </w:r>
      <w:r>
        <w:rPr>
          <w:bCs/>
        </w:rPr>
        <w:t>沼气池结构见图</w:t>
      </w:r>
      <w:r>
        <w:rPr>
          <w:rFonts w:hint="eastAsia"/>
          <w:bCs/>
          <w:lang w:val="en-US" w:eastAsia="zh-CN"/>
        </w:rPr>
        <w:t>2</w:t>
      </w:r>
      <w:r>
        <w:rPr>
          <w:bCs/>
        </w:rPr>
        <w:t>.2-4。</w:t>
      </w:r>
    </w:p>
    <w:p>
      <w:pPr>
        <w:tabs>
          <w:tab w:val="left" w:pos="624"/>
        </w:tabs>
        <w:spacing w:before="156" w:after="156" w:line="360" w:lineRule="auto"/>
        <w:jc w:val="center"/>
        <w:rPr>
          <w:bCs/>
          <w:color w:val="000000"/>
          <w:sz w:val="24"/>
        </w:rPr>
      </w:pPr>
      <w:r>
        <w:rPr>
          <w:bCs/>
        </w:rPr>
        <w:drawing>
          <wp:inline distT="0" distB="0" distL="0" distR="0">
            <wp:extent cx="5210175" cy="2476500"/>
            <wp:effectExtent l="19050" t="0" r="9525"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noChangeArrowheads="1"/>
                    </pic:cNvPicPr>
                  </pic:nvPicPr>
                  <pic:blipFill>
                    <a:blip r:embed="rId11" cstate="print"/>
                    <a:srcRect/>
                    <a:stretch>
                      <a:fillRect/>
                    </a:stretch>
                  </pic:blipFill>
                  <pic:spPr>
                    <a:xfrm>
                      <a:off x="0" y="0"/>
                      <a:ext cx="5210175" cy="2476500"/>
                    </a:xfrm>
                    <a:prstGeom prst="rect">
                      <a:avLst/>
                    </a:prstGeom>
                    <a:noFill/>
                    <a:ln w="9525">
                      <a:noFill/>
                      <a:miter lim="800000"/>
                      <a:headEnd/>
                      <a:tailEnd/>
                    </a:ln>
                  </pic:spPr>
                </pic:pic>
              </a:graphicData>
            </a:graphic>
          </wp:inline>
        </w:drawing>
      </w:r>
    </w:p>
    <w:p>
      <w:pPr>
        <w:adjustRightInd w:val="0"/>
        <w:snapToGrid w:val="0"/>
        <w:spacing w:before="156" w:after="156" w:line="520" w:lineRule="exact"/>
        <w:ind w:firstLine="2771" w:firstLineChars="1150"/>
        <w:rPr>
          <w:rFonts w:eastAsia="黑体"/>
          <w:b/>
          <w:bCs/>
          <w:sz w:val="24"/>
        </w:rPr>
      </w:pPr>
      <w:r>
        <w:rPr>
          <w:rFonts w:eastAsia="黑体"/>
          <w:b/>
          <w:bCs/>
          <w:sz w:val="24"/>
        </w:rPr>
        <w:t>图</w:t>
      </w:r>
      <w:r>
        <w:rPr>
          <w:rFonts w:hint="eastAsia" w:eastAsia="黑体"/>
          <w:b/>
          <w:bCs/>
          <w:sz w:val="24"/>
          <w:lang w:val="en-US" w:eastAsia="zh-CN"/>
        </w:rPr>
        <w:t>2</w:t>
      </w:r>
      <w:r>
        <w:rPr>
          <w:rFonts w:eastAsia="黑体"/>
          <w:b/>
          <w:bCs/>
          <w:sz w:val="24"/>
        </w:rPr>
        <w:t>.2-4</w:t>
      </w:r>
      <w:r>
        <w:rPr>
          <w:rFonts w:hint="eastAsia" w:eastAsia="黑体"/>
          <w:b/>
          <w:bCs/>
          <w:sz w:val="24"/>
          <w:lang w:eastAsia="zh-CN"/>
        </w:rPr>
        <w:t>黑膜</w:t>
      </w:r>
      <w:r>
        <w:rPr>
          <w:rFonts w:eastAsia="黑体"/>
          <w:b/>
          <w:bCs/>
          <w:sz w:val="24"/>
        </w:rPr>
        <w:t>沼气池结构示意图</w:t>
      </w:r>
    </w:p>
    <w:p>
      <w:pPr>
        <w:pStyle w:val="8"/>
        <w:spacing w:before="0" w:after="0" w:line="520" w:lineRule="exact"/>
        <w:rPr>
          <w:sz w:val="24"/>
          <w:szCs w:val="24"/>
        </w:rPr>
      </w:pPr>
      <w:r>
        <w:rPr>
          <w:rFonts w:hint="eastAsia"/>
          <w:sz w:val="24"/>
          <w:szCs w:val="24"/>
          <w:lang w:val="en-US" w:eastAsia="zh-CN"/>
        </w:rPr>
        <w:t>2</w:t>
      </w:r>
      <w:r>
        <w:rPr>
          <w:sz w:val="24"/>
          <w:szCs w:val="24"/>
        </w:rPr>
        <w:t>.2.3.4沼气利用工程</w:t>
      </w:r>
    </w:p>
    <w:p>
      <w:pPr>
        <w:autoSpaceDE w:val="0"/>
        <w:autoSpaceDN w:val="0"/>
        <w:adjustRightInd w:val="0"/>
        <w:snapToGrid w:val="0"/>
        <w:spacing w:line="520" w:lineRule="exact"/>
        <w:ind w:firstLine="480" w:firstLineChars="200"/>
        <w:rPr>
          <w:color w:val="FF0000"/>
          <w:sz w:val="24"/>
        </w:rPr>
      </w:pPr>
      <w:r>
        <w:rPr>
          <w:sz w:val="24"/>
        </w:rPr>
        <w:t>根据《畜禽养殖业污染防治技术政策》（环发[2010]151号）中有关内容，厌氧发酵产生的沼气应进行收集，并根据利用途径进行脱水、脱硫等净化处理。沼气宜作为燃料直接利用。</w:t>
      </w:r>
      <w:r>
        <w:rPr>
          <w:rFonts w:hint="eastAsia"/>
          <w:sz w:val="24"/>
          <w:lang w:val="en-US" w:eastAsia="zh-CN"/>
        </w:rPr>
        <w:t>类比其他养殖场</w:t>
      </w:r>
      <w:r>
        <w:rPr>
          <w:sz w:val="24"/>
        </w:rPr>
        <w:t>实际运营经验，每去除1kgCOD可产生0.25m</w:t>
      </w:r>
      <w:r>
        <w:rPr>
          <w:sz w:val="24"/>
          <w:vertAlign w:val="superscript"/>
        </w:rPr>
        <w:t>3</w:t>
      </w:r>
      <w:r>
        <w:rPr>
          <w:sz w:val="24"/>
        </w:rPr>
        <w:t>沼气进行计算，本项目</w:t>
      </w:r>
      <w:r>
        <w:rPr>
          <w:rFonts w:hint="eastAsia"/>
          <w:sz w:val="24"/>
          <w:lang w:val="en-US" w:eastAsia="zh-CN"/>
        </w:rPr>
        <w:t>全年沼气产生量为24500m</w:t>
      </w:r>
      <w:r>
        <w:rPr>
          <w:rFonts w:hint="eastAsia"/>
          <w:sz w:val="24"/>
          <w:vertAlign w:val="superscript"/>
          <w:lang w:val="en-US" w:eastAsia="zh-CN"/>
        </w:rPr>
        <w:t>3</w:t>
      </w:r>
      <w:r>
        <w:rPr>
          <w:rFonts w:hint="eastAsia"/>
          <w:sz w:val="24"/>
          <w:lang w:val="en-US" w:eastAsia="zh-CN"/>
        </w:rPr>
        <w:t>/a，其中</w:t>
      </w:r>
      <w:r>
        <w:rPr>
          <w:sz w:val="24"/>
        </w:rPr>
        <w:t>夏季沼气产生量为</w:t>
      </w:r>
      <w:r>
        <w:rPr>
          <w:rFonts w:hint="eastAsia"/>
          <w:sz w:val="24"/>
          <w:lang w:val="en-US" w:eastAsia="zh-CN"/>
        </w:rPr>
        <w:t>87.5</w:t>
      </w:r>
      <w:r>
        <w:rPr>
          <w:sz w:val="24"/>
        </w:rPr>
        <w:t>m</w:t>
      </w:r>
      <w:r>
        <w:rPr>
          <w:sz w:val="24"/>
          <w:vertAlign w:val="superscript"/>
        </w:rPr>
        <w:t>3</w:t>
      </w:r>
      <w:r>
        <w:rPr>
          <w:sz w:val="24"/>
        </w:rPr>
        <w:t>/d、其他季节沼气产生量为</w:t>
      </w:r>
      <w:r>
        <w:rPr>
          <w:rFonts w:hint="eastAsia"/>
          <w:sz w:val="24"/>
          <w:lang w:val="en-US" w:eastAsia="zh-CN"/>
        </w:rPr>
        <w:t>56.89</w:t>
      </w:r>
      <w:r>
        <w:rPr>
          <w:sz w:val="24"/>
        </w:rPr>
        <w:t>m</w:t>
      </w:r>
      <w:r>
        <w:rPr>
          <w:sz w:val="24"/>
          <w:vertAlign w:val="superscript"/>
        </w:rPr>
        <w:t>3</w:t>
      </w:r>
      <w:r>
        <w:rPr>
          <w:sz w:val="24"/>
        </w:rPr>
        <w:t>/d。</w:t>
      </w:r>
    </w:p>
    <w:p>
      <w:pPr>
        <w:spacing w:line="500" w:lineRule="exact"/>
        <w:ind w:firstLine="480" w:firstLineChars="200"/>
        <w:rPr>
          <w:sz w:val="24"/>
        </w:rPr>
      </w:pPr>
      <w:r>
        <w:rPr>
          <w:sz w:val="24"/>
        </w:rPr>
        <w:t>沼气在使用前需要进行脱硫处理，沼气利用前所采取的措施如图</w:t>
      </w:r>
      <w:r>
        <w:rPr>
          <w:rFonts w:hint="eastAsia"/>
          <w:sz w:val="24"/>
          <w:lang w:val="en-US" w:eastAsia="zh-CN"/>
        </w:rPr>
        <w:t>2</w:t>
      </w:r>
      <w:r>
        <w:rPr>
          <w:sz w:val="24"/>
        </w:rPr>
        <w:t>.2-5。</w:t>
      </w:r>
    </w:p>
    <w:p>
      <w:pPr>
        <w:keepNext w:val="0"/>
        <w:keepLines w:val="0"/>
        <w:widowControl/>
        <w:suppressLineNumbers w:val="0"/>
        <w:jc w:val="center"/>
      </w:pPr>
      <w:r>
        <w:rPr>
          <w:b/>
          <w:u w:val="single"/>
        </w:rPr>
        <w:pict>
          <v:group id="组合 167" o:spid="_x0000_s2131" o:spt="203" style="position:absolute;left:0pt;margin-left:89.4pt;margin-top:2.45pt;height:95.05pt;width:285.9pt;z-index:251773952;mso-width-relative:page;mso-height-relative:page;" coordorigin="2725,756970" coordsize="4964,1806">
            <o:lock v:ext="edit" aspectratio="f"/>
            <v:line id="Line 1893" o:spid="_x0000_s2132" o:spt="20" style="position:absolute;left:3394;top:757827;height:1;width:537;" filled="f" stroked="t" coordsize="21600,21600">
              <v:path arrowok="t"/>
              <v:fill on="f" focussize="0,0"/>
              <v:stroke endarrow="block"/>
              <v:imagedata o:title=""/>
              <o:lock v:ext="edit" aspectratio="f"/>
            </v:line>
            <v:rect id="Rectangle 1894" o:spid="_x0000_s2133" o:spt="1" style="position:absolute;left:2725;top:757576;height:480;width:637;" fillcolor="#FFFFFF" filled="t" stroked="t" coordsize="21600,21600">
              <v:path/>
              <v:fill on="t" focussize="0,0"/>
              <v:stroke/>
              <v:imagedata o:title=""/>
              <o:lock v:ext="edit" aspectratio="f"/>
              <v:textbox inset="0mm,0mm,0mm,0mm">
                <w:txbxContent>
                  <w:p>
                    <w:pPr>
                      <w:adjustRightInd w:val="0"/>
                      <w:snapToGrid w:val="0"/>
                      <w:spacing w:line="400" w:lineRule="exact"/>
                      <w:jc w:val="center"/>
                      <w:rPr>
                        <w:rFonts w:ascii="宋体" w:hAnsi="宋体"/>
                        <w:szCs w:val="21"/>
                      </w:rPr>
                    </w:pPr>
                    <w:r>
                      <w:rPr>
                        <w:rFonts w:hint="eastAsia" w:ascii="宋体" w:hAnsi="宋体"/>
                        <w:szCs w:val="21"/>
                      </w:rPr>
                      <w:t>沼气</w:t>
                    </w:r>
                  </w:p>
                </w:txbxContent>
              </v:textbox>
            </v:rect>
            <v:rect id="Rectangle 1895" o:spid="_x0000_s2134" o:spt="1" style="position:absolute;left:3908;top:757560;height:507;width:1515;" fillcolor="#FFFFFF" filled="t" stroked="t" coordsize="21600,21600">
              <v:path/>
              <v:fill on="t" focussize="0,0"/>
              <v:stroke/>
              <v:imagedata o:title=""/>
              <o:lock v:ext="edit" aspectratio="f"/>
              <v:textbox inset="0mm,0mm,0mm,0mm">
                <w:txbxContent>
                  <w:p>
                    <w:pPr>
                      <w:adjustRightInd w:val="0"/>
                      <w:snapToGrid w:val="0"/>
                      <w:spacing w:line="400" w:lineRule="exact"/>
                      <w:jc w:val="center"/>
                      <w:rPr>
                        <w:rFonts w:ascii="宋体" w:hAnsi="宋体"/>
                        <w:szCs w:val="21"/>
                      </w:rPr>
                    </w:pPr>
                    <w:r>
                      <w:rPr>
                        <w:rFonts w:hint="eastAsia" w:ascii="宋体" w:hAnsi="宋体"/>
                        <w:szCs w:val="21"/>
                      </w:rPr>
                      <w:t>脱水、脱硫器</w:t>
                    </w:r>
                  </w:p>
                </w:txbxContent>
              </v:textbox>
            </v:rect>
            <v:line id="Line 1896" o:spid="_x0000_s2135" o:spt="20" style="position:absolute;left:5444;top:757811;height:1;width:569;" filled="f" stroked="t" coordsize="21600,21600">
              <v:path arrowok="t"/>
              <v:fill on="f" focussize="0,0"/>
              <v:stroke endarrow="block"/>
              <v:imagedata o:title=""/>
              <o:lock v:ext="edit" aspectratio="f"/>
            </v:line>
            <v:rect id="Rectangle 1901" o:spid="_x0000_s2136" o:spt="1" style="position:absolute;left:6107;top:757642;height:411;width:1583;" fillcolor="#FFFFFF" filled="t" stroked="t" coordsize="21600,21600">
              <v:path/>
              <v:fill on="t" focussize="0,0"/>
              <v:stroke color="#FFFFFF"/>
              <v:imagedata o:title=""/>
              <o:lock v:ext="edit" aspectratio="f"/>
              <v:textbox inset="0mm,0mm,0mm,0mm">
                <w:txbxContent>
                  <w:p>
                    <w:pPr>
                      <w:adjustRightInd w:val="0"/>
                      <w:snapToGrid w:val="0"/>
                      <w:spacing w:line="400" w:lineRule="exact"/>
                      <w:rPr>
                        <w:rFonts w:hint="default" w:ascii="宋体" w:hAnsi="宋体" w:eastAsia="宋体"/>
                        <w:szCs w:val="21"/>
                        <w:lang w:val="en-US" w:eastAsia="zh-CN"/>
                      </w:rPr>
                    </w:pPr>
                    <w:r>
                      <w:rPr>
                        <w:rFonts w:hint="eastAsia" w:ascii="宋体" w:hAnsi="宋体"/>
                        <w:szCs w:val="21"/>
                      </w:rPr>
                      <w:t>食堂、</w:t>
                    </w:r>
                    <w:r>
                      <w:rPr>
                        <w:rFonts w:hint="eastAsia" w:ascii="宋体" w:hAnsi="宋体"/>
                        <w:szCs w:val="21"/>
                        <w:lang w:val="en-US" w:eastAsia="zh-CN"/>
                      </w:rPr>
                      <w:t>火炬燃烧</w:t>
                    </w:r>
                  </w:p>
                </w:txbxContent>
              </v:textbox>
            </v:rect>
            <v:shape id="AutoShape 1902" o:spid="_x0000_s2137" o:spt="32" type="#_x0000_t32" style="position:absolute;left:4582;top:758064;height:386;width:1;" filled="f" stroked="t" coordsize="21600,21600">
              <v:path arrowok="t"/>
              <v:fill on="f" focussize="0,0"/>
              <v:stroke dashstyle="dash" endarrow="block"/>
              <v:imagedata o:title=""/>
              <o:lock v:ext="edit" aspectratio="f"/>
            </v:shape>
            <v:rect id="Rectangle 1903" o:spid="_x0000_s2138" o:spt="1" style="position:absolute;left:4087;top:758450;height:326;width:967;" filled="f" stroked="t" coordsize="21600,21600">
              <v:path/>
              <v:fill on="f" focussize="0,0"/>
              <v:stroke color="#FFFFFF"/>
              <v:imagedata o:title=""/>
              <o:lock v:ext="edit" aspectratio="f"/>
              <v:textbox inset="0mm,0mm,0mm,0mm">
                <w:txbxContent>
                  <w:p>
                    <w:pPr>
                      <w:adjustRightInd w:val="0"/>
                      <w:snapToGrid w:val="0"/>
                      <w:spacing w:line="400" w:lineRule="exact"/>
                      <w:jc w:val="center"/>
                      <w:rPr>
                        <w:rFonts w:ascii="宋体" w:hAnsi="宋体"/>
                        <w:szCs w:val="21"/>
                      </w:rPr>
                    </w:pPr>
                    <w:r>
                      <w:rPr>
                        <w:rFonts w:hint="eastAsia" w:ascii="宋体" w:hAnsi="宋体"/>
                        <w:szCs w:val="21"/>
                      </w:rPr>
                      <w:t>废脱硫剂</w:t>
                    </w:r>
                  </w:p>
                </w:txbxContent>
              </v:textbox>
            </v:rect>
            <v:shape id="AutoShape 1904" o:spid="_x0000_s2139" o:spt="32" type="#_x0000_t32" style="position:absolute;left:7007;top:757315;flip:y;height:329;width:1;" filled="f" stroked="t" coordsize="21600,21600">
              <v:path arrowok="t"/>
              <v:fill on="f" focussize="0,0"/>
              <v:stroke dashstyle="dash" endarrow="block"/>
              <v:imagedata o:title=""/>
              <o:lock v:ext="edit" aspectratio="f"/>
            </v:shape>
            <v:rect id="Rectangle 1905" o:spid="_x0000_s2140" o:spt="1" style="position:absolute;left:6625;top:756970;height:325;width:700;" fillcolor="#FFFFFF" filled="t" stroked="t" coordsize="21600,21600">
              <v:path/>
              <v:fill on="t" focussize="0,0"/>
              <v:stroke color="#FFFFFF"/>
              <v:imagedata o:title=""/>
              <o:lock v:ext="edit" aspectratio="f"/>
              <v:textbox inset="0mm,0mm,0mm,0mm">
                <w:txbxContent>
                  <w:p>
                    <w:pPr>
                      <w:adjustRightInd w:val="0"/>
                      <w:snapToGrid w:val="0"/>
                      <w:spacing w:line="400" w:lineRule="exact"/>
                      <w:jc w:val="center"/>
                      <w:rPr>
                        <w:rFonts w:ascii="宋体" w:hAnsi="宋体"/>
                        <w:szCs w:val="21"/>
                      </w:rPr>
                    </w:pPr>
                    <w:r>
                      <w:rPr>
                        <w:rFonts w:hint="eastAsia" w:ascii="宋体" w:hAnsi="宋体"/>
                        <w:szCs w:val="21"/>
                      </w:rPr>
                      <w:t>废气</w:t>
                    </w:r>
                  </w:p>
                </w:txbxContent>
              </v:textbox>
            </v:rect>
          </v:group>
        </w:pict>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spacing w:line="500" w:lineRule="exact"/>
        <w:ind w:firstLine="120" w:firstLineChars="50"/>
        <w:jc w:val="center"/>
        <w:rPr>
          <w:b/>
          <w:sz w:val="24"/>
        </w:rPr>
      </w:pPr>
    </w:p>
    <w:p>
      <w:pPr>
        <w:spacing w:line="500" w:lineRule="exact"/>
        <w:ind w:firstLine="120" w:firstLineChars="50"/>
        <w:jc w:val="center"/>
        <w:rPr>
          <w:b/>
          <w:sz w:val="24"/>
        </w:rPr>
      </w:pPr>
    </w:p>
    <w:p>
      <w:pPr>
        <w:spacing w:line="500" w:lineRule="exact"/>
        <w:ind w:firstLine="120" w:firstLineChars="50"/>
        <w:jc w:val="center"/>
        <w:rPr>
          <w:b/>
          <w:sz w:val="24"/>
        </w:rPr>
      </w:pPr>
      <w:r>
        <w:rPr>
          <w:b/>
          <w:sz w:val="24"/>
        </w:rPr>
        <w:t>图</w:t>
      </w:r>
      <w:r>
        <w:rPr>
          <w:rFonts w:hint="eastAsia"/>
          <w:b/>
          <w:sz w:val="24"/>
          <w:lang w:val="en-US" w:eastAsia="zh-CN"/>
        </w:rPr>
        <w:t>2</w:t>
      </w:r>
      <w:r>
        <w:rPr>
          <w:b/>
          <w:sz w:val="24"/>
        </w:rPr>
        <w:t>.2-5沼气利用流程及产污环节图</w:t>
      </w:r>
    </w:p>
    <w:p>
      <w:pPr>
        <w:widowControl/>
        <w:spacing w:line="520" w:lineRule="exact"/>
        <w:ind w:firstLine="480" w:firstLineChars="200"/>
        <w:rPr>
          <w:sz w:val="24"/>
        </w:rPr>
      </w:pPr>
      <w:r>
        <w:rPr>
          <w:sz w:val="24"/>
        </w:rPr>
        <w:t>沼气从</w:t>
      </w:r>
      <w:r>
        <w:rPr>
          <w:rFonts w:hint="eastAsia"/>
          <w:sz w:val="24"/>
          <w:lang w:eastAsia="zh-CN"/>
        </w:rPr>
        <w:t>黑膜</w:t>
      </w:r>
      <w:r>
        <w:rPr>
          <w:sz w:val="24"/>
        </w:rPr>
        <w:t>沼气池流入管道，首先经过冷凝水去除罐和脱硫装置，其目的是净化沼气。净化后的沼气直接进入后续沼气利用系统。</w:t>
      </w:r>
    </w:p>
    <w:p>
      <w:pPr>
        <w:widowControl/>
        <w:spacing w:line="520" w:lineRule="exact"/>
        <w:ind w:firstLine="480" w:firstLineChars="200"/>
        <w:jc w:val="left"/>
        <w:rPr>
          <w:sz w:val="24"/>
        </w:rPr>
      </w:pPr>
      <w:r>
        <w:rPr>
          <w:sz w:val="24"/>
        </w:rPr>
        <w:t>（1）脱水器（气水分离器）</w:t>
      </w:r>
    </w:p>
    <w:p>
      <w:pPr>
        <w:spacing w:line="500" w:lineRule="exact"/>
        <w:ind w:firstLine="600" w:firstLineChars="250"/>
        <w:rPr>
          <w:color w:val="000000"/>
          <w:sz w:val="24"/>
        </w:rPr>
      </w:pPr>
      <w:r>
        <w:rPr>
          <w:sz w:val="24"/>
        </w:rPr>
        <w:t>沼气是高湿度气体，</w:t>
      </w:r>
      <w:r>
        <w:rPr>
          <w:color w:val="000000"/>
          <w:sz w:val="24"/>
        </w:rPr>
        <w:t>脱水是因为导气管中积累了水会溶解硫化氢腐蚀管道，此外当沼气被加压储存时，沼气中的水会凝结冻坏储气罐。发酵装置出来的沼气中所含的水分形式是饱和水蒸气，一般采用冷分离法将其除去。通过调整压力引起混合气体温度发生变化，使水蒸气从气态冷凝为液态的水后，将其从沼气中脱除。</w:t>
      </w:r>
    </w:p>
    <w:p>
      <w:pPr>
        <w:spacing w:line="500" w:lineRule="exact"/>
        <w:ind w:firstLine="480" w:firstLineChars="200"/>
        <w:rPr>
          <w:color w:val="000000"/>
          <w:sz w:val="24"/>
        </w:rPr>
      </w:pPr>
      <w:r>
        <w:rPr>
          <w:color w:val="000000"/>
          <w:sz w:val="24"/>
        </w:rPr>
        <w:t xml:space="preserve"> 在沼气输送过程中，还有一部分水要析出。为了避免析出的水分腐蚀或堵塞管道，常在管路的最低处安装集水器或者放水阀门，定期排出集水器中的水。</w:t>
      </w:r>
    </w:p>
    <w:p>
      <w:pPr>
        <w:spacing w:line="520" w:lineRule="exact"/>
        <w:ind w:firstLine="480" w:firstLineChars="200"/>
        <w:rPr>
          <w:sz w:val="24"/>
        </w:rPr>
      </w:pPr>
      <w:r>
        <w:rPr>
          <w:sz w:val="24"/>
        </w:rPr>
        <w:t>（2）脱硫（硫化氢的去除）</w:t>
      </w:r>
    </w:p>
    <w:p>
      <w:pPr>
        <w:spacing w:line="520" w:lineRule="exact"/>
        <w:ind w:firstLine="480" w:firstLineChars="200"/>
        <w:rPr>
          <w:color w:val="000000"/>
          <w:sz w:val="24"/>
        </w:rPr>
      </w:pPr>
      <w:r>
        <w:rPr>
          <w:color w:val="000000"/>
          <w:sz w:val="24"/>
        </w:rPr>
        <w:t>本工程采用干法脱硫，脱硫剂主要成分为硫化铁。干法脱硫是在圆柱状脱硫装置内装填一定高度的脱硫剂，主要成分为氧化铁，沼气自下而上通过脱硫剂，H</w:t>
      </w:r>
      <w:r>
        <w:rPr>
          <w:color w:val="000000"/>
          <w:sz w:val="24"/>
          <w:vertAlign w:val="subscript"/>
        </w:rPr>
        <w:t>2</w:t>
      </w:r>
      <w:r>
        <w:rPr>
          <w:color w:val="000000"/>
          <w:sz w:val="24"/>
        </w:rPr>
        <w:t>S被去除，实现脱硫过程。一般干法脱硫常用的脱硫剂为氧化铁，其粒状为圆柱状。氧化铁干法脱硫的原理分为氧化反应和还原再生反应两部分，具体如下：</w:t>
      </w:r>
    </w:p>
    <w:p>
      <w:pPr>
        <w:spacing w:line="520" w:lineRule="exact"/>
        <w:ind w:firstLine="480" w:firstLineChars="200"/>
        <w:jc w:val="center"/>
        <w:rPr>
          <w:color w:val="000000"/>
          <w:sz w:val="24"/>
        </w:rPr>
      </w:pP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O+3H</w:t>
      </w:r>
      <w:r>
        <w:rPr>
          <w:color w:val="000000"/>
          <w:sz w:val="24"/>
          <w:vertAlign w:val="subscript"/>
        </w:rPr>
        <w:t>2</w:t>
      </w:r>
      <w:r>
        <w:rPr>
          <w:color w:val="000000"/>
          <w:sz w:val="24"/>
        </w:rPr>
        <w:t>S=Fe</w:t>
      </w:r>
      <w:r>
        <w:rPr>
          <w:color w:val="000000"/>
          <w:sz w:val="24"/>
          <w:vertAlign w:val="subscript"/>
        </w:rPr>
        <w:t>2</w:t>
      </w:r>
      <w:r>
        <w:rPr>
          <w:color w:val="000000"/>
          <w:sz w:val="24"/>
        </w:rPr>
        <w:t>S</w:t>
      </w:r>
      <w:r>
        <w:rPr>
          <w:color w:val="000000"/>
          <w:sz w:val="24"/>
          <w:vertAlign w:val="subscript"/>
        </w:rPr>
        <w:t>3</w:t>
      </w:r>
      <w:r>
        <w:rPr>
          <w:color w:val="000000"/>
          <w:sz w:val="24"/>
        </w:rPr>
        <w:t>·H</w:t>
      </w:r>
      <w:r>
        <w:rPr>
          <w:color w:val="000000"/>
          <w:sz w:val="24"/>
          <w:vertAlign w:val="subscript"/>
        </w:rPr>
        <w:t>2</w:t>
      </w:r>
      <w:r>
        <w:rPr>
          <w:color w:val="000000"/>
          <w:sz w:val="24"/>
        </w:rPr>
        <w:t>O+3H</w:t>
      </w:r>
      <w:r>
        <w:rPr>
          <w:color w:val="000000"/>
          <w:sz w:val="24"/>
          <w:vertAlign w:val="subscript"/>
        </w:rPr>
        <w:t>2</w:t>
      </w:r>
      <w:r>
        <w:rPr>
          <w:color w:val="000000"/>
          <w:sz w:val="24"/>
        </w:rPr>
        <w:t>O</w:t>
      </w:r>
    </w:p>
    <w:p>
      <w:pPr>
        <w:widowControl/>
        <w:spacing w:line="520" w:lineRule="exact"/>
        <w:ind w:firstLine="480" w:firstLineChars="200"/>
        <w:jc w:val="left"/>
        <w:rPr>
          <w:color w:val="000000"/>
          <w:sz w:val="24"/>
        </w:rPr>
      </w:pPr>
      <w:r>
        <w:rPr>
          <w:color w:val="000000"/>
          <w:sz w:val="24"/>
        </w:rPr>
        <w:t>由上面的反应方程式可以看出，Fe</w:t>
      </w:r>
      <w:r>
        <w:rPr>
          <w:color w:val="000000"/>
          <w:sz w:val="24"/>
          <w:vertAlign w:val="subscript"/>
        </w:rPr>
        <w:t>2</w:t>
      </w:r>
      <w:r>
        <w:rPr>
          <w:color w:val="000000"/>
          <w:sz w:val="24"/>
        </w:rPr>
        <w:t>O</w:t>
      </w:r>
      <w:r>
        <w:rPr>
          <w:color w:val="000000"/>
          <w:sz w:val="24"/>
          <w:vertAlign w:val="subscript"/>
        </w:rPr>
        <w:t>3</w:t>
      </w:r>
      <w:r>
        <w:rPr>
          <w:color w:val="000000"/>
          <w:sz w:val="24"/>
        </w:rPr>
        <w:t>吸收H</w:t>
      </w:r>
      <w:r>
        <w:rPr>
          <w:color w:val="000000"/>
          <w:sz w:val="24"/>
          <w:vertAlign w:val="subscript"/>
        </w:rPr>
        <w:t>2</w:t>
      </w:r>
      <w:r>
        <w:rPr>
          <w:color w:val="000000"/>
          <w:sz w:val="24"/>
        </w:rPr>
        <w:t>S变成Fe</w:t>
      </w:r>
      <w:r>
        <w:rPr>
          <w:color w:val="000000"/>
          <w:sz w:val="24"/>
          <w:vertAlign w:val="subscript"/>
        </w:rPr>
        <w:t>2</w:t>
      </w:r>
      <w:r>
        <w:rPr>
          <w:color w:val="000000"/>
          <w:sz w:val="24"/>
        </w:rPr>
        <w:t>S</w:t>
      </w:r>
      <w:r>
        <w:rPr>
          <w:color w:val="000000"/>
          <w:sz w:val="24"/>
          <w:vertAlign w:val="subscript"/>
        </w:rPr>
        <w:t>3</w:t>
      </w:r>
      <w:r>
        <w:rPr>
          <w:color w:val="000000"/>
          <w:sz w:val="24"/>
        </w:rPr>
        <w:t>，随着沼气的不断产生，氧化铁吸收H</w:t>
      </w:r>
      <w:r>
        <w:rPr>
          <w:color w:val="000000"/>
          <w:sz w:val="24"/>
          <w:vertAlign w:val="subscript"/>
        </w:rPr>
        <w:t>2</w:t>
      </w:r>
      <w:r>
        <w:rPr>
          <w:color w:val="000000"/>
          <w:sz w:val="24"/>
        </w:rPr>
        <w:t>S，当吸收H</w:t>
      </w:r>
      <w:r>
        <w:rPr>
          <w:color w:val="000000"/>
          <w:sz w:val="24"/>
          <w:vertAlign w:val="subscript"/>
        </w:rPr>
        <w:t>2</w:t>
      </w:r>
      <w:r>
        <w:rPr>
          <w:color w:val="000000"/>
          <w:sz w:val="24"/>
        </w:rPr>
        <w:t>S达到一定的量，H</w:t>
      </w:r>
      <w:r>
        <w:rPr>
          <w:color w:val="000000"/>
          <w:sz w:val="24"/>
          <w:vertAlign w:val="subscript"/>
        </w:rPr>
        <w:t>2</w:t>
      </w:r>
      <w:r>
        <w:rPr>
          <w:color w:val="000000"/>
          <w:sz w:val="24"/>
        </w:rPr>
        <w:t>S的去除率将大大降低，直至失效。Fe</w:t>
      </w:r>
      <w:r>
        <w:rPr>
          <w:color w:val="000000"/>
          <w:sz w:val="24"/>
          <w:vertAlign w:val="subscript"/>
        </w:rPr>
        <w:t>2</w:t>
      </w:r>
      <w:r>
        <w:rPr>
          <w:color w:val="000000"/>
          <w:sz w:val="24"/>
        </w:rPr>
        <w:t>S</w:t>
      </w:r>
      <w:r>
        <w:rPr>
          <w:color w:val="000000"/>
          <w:sz w:val="24"/>
          <w:vertAlign w:val="subscript"/>
        </w:rPr>
        <w:t>3</w:t>
      </w:r>
      <w:r>
        <w:rPr>
          <w:color w:val="000000"/>
          <w:sz w:val="24"/>
        </w:rPr>
        <w:t>是可以还原再生的，与O</w:t>
      </w:r>
      <w:r>
        <w:rPr>
          <w:color w:val="000000"/>
          <w:sz w:val="24"/>
          <w:vertAlign w:val="subscript"/>
        </w:rPr>
        <w:t>2</w:t>
      </w:r>
      <w:r>
        <w:rPr>
          <w:color w:val="000000"/>
          <w:sz w:val="24"/>
        </w:rPr>
        <w:t>和H</w:t>
      </w:r>
      <w:r>
        <w:rPr>
          <w:color w:val="000000"/>
          <w:sz w:val="24"/>
          <w:vertAlign w:val="subscript"/>
        </w:rPr>
        <w:t>2</w:t>
      </w:r>
      <w:r>
        <w:rPr>
          <w:color w:val="000000"/>
          <w:sz w:val="24"/>
        </w:rPr>
        <w:t>O发生化学反应可还原为Fe</w:t>
      </w:r>
      <w:r>
        <w:rPr>
          <w:color w:val="000000"/>
          <w:sz w:val="24"/>
          <w:vertAlign w:val="subscript"/>
        </w:rPr>
        <w:t>2</w:t>
      </w:r>
      <w:r>
        <w:rPr>
          <w:color w:val="000000"/>
          <w:sz w:val="24"/>
        </w:rPr>
        <w:t>O</w:t>
      </w:r>
      <w:r>
        <w:rPr>
          <w:color w:val="000000"/>
          <w:sz w:val="24"/>
          <w:vertAlign w:val="subscript"/>
        </w:rPr>
        <w:t>3</w:t>
      </w:r>
      <w:r>
        <w:rPr>
          <w:color w:val="000000"/>
          <w:sz w:val="24"/>
        </w:rPr>
        <w:t>，原理如下：</w:t>
      </w:r>
    </w:p>
    <w:p>
      <w:pPr>
        <w:widowControl/>
        <w:spacing w:line="520" w:lineRule="exact"/>
        <w:ind w:firstLine="480" w:firstLineChars="200"/>
        <w:jc w:val="center"/>
        <w:rPr>
          <w:color w:val="000000"/>
          <w:sz w:val="24"/>
        </w:rPr>
      </w:pPr>
      <w:r>
        <w:rPr>
          <w:color w:val="000000"/>
          <w:sz w:val="24"/>
        </w:rPr>
        <w:t>2Fe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O+3O</w:t>
      </w:r>
      <w:r>
        <w:rPr>
          <w:color w:val="000000"/>
          <w:sz w:val="24"/>
          <w:vertAlign w:val="subscript"/>
        </w:rPr>
        <w:t>2</w:t>
      </w:r>
      <w:r>
        <w:rPr>
          <w:color w:val="000000"/>
          <w:sz w:val="24"/>
        </w:rPr>
        <w:t>＝2Fe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O+6S</w:t>
      </w:r>
    </w:p>
    <w:p>
      <w:pPr>
        <w:widowControl/>
        <w:spacing w:line="520" w:lineRule="exact"/>
        <w:ind w:firstLine="480" w:firstLineChars="200"/>
        <w:jc w:val="left"/>
        <w:rPr>
          <w:color w:val="000000"/>
          <w:sz w:val="24"/>
        </w:rPr>
      </w:pPr>
      <w:r>
        <w:rPr>
          <w:color w:val="000000"/>
          <w:sz w:val="24"/>
        </w:rPr>
        <w:t>综合以上两反应式，</w:t>
      </w:r>
      <w:bookmarkStart w:id="114" w:name="baidusnap0"/>
      <w:bookmarkEnd w:id="114"/>
      <w:r>
        <w:rPr>
          <w:color w:val="000000"/>
          <w:sz w:val="24"/>
        </w:rPr>
        <w:t>沼气脱硫反应式如下：</w:t>
      </w:r>
    </w:p>
    <w:p>
      <w:pPr>
        <w:widowControl/>
        <w:spacing w:line="520" w:lineRule="exact"/>
        <w:ind w:firstLine="480" w:firstLineChars="200"/>
        <w:jc w:val="center"/>
        <w:rPr>
          <w:color w:val="000000"/>
          <w:sz w:val="24"/>
        </w:rPr>
      </w:pPr>
      <w:r>
        <w:rPr>
          <w:color w:val="000000"/>
          <w:sz w:val="24"/>
        </w:rPr>
        <w:t>H</w:t>
      </w:r>
      <w:r>
        <w:rPr>
          <w:color w:val="000000"/>
          <w:sz w:val="24"/>
          <w:vertAlign w:val="subscript"/>
        </w:rPr>
        <w:t>2</w:t>
      </w:r>
      <w:r>
        <w:rPr>
          <w:color w:val="000000"/>
          <w:sz w:val="24"/>
        </w:rPr>
        <w:t>S+1/2O</w:t>
      </w:r>
      <w:r>
        <w:rPr>
          <w:color w:val="000000"/>
          <w:sz w:val="24"/>
          <w:vertAlign w:val="subscript"/>
        </w:rPr>
        <w:t>2</w:t>
      </w:r>
      <w:r>
        <w:rPr>
          <w:color w:val="000000"/>
          <w:sz w:val="24"/>
        </w:rPr>
        <w:t>＝S+H</w:t>
      </w:r>
      <w:r>
        <w:rPr>
          <w:color w:val="000000"/>
          <w:sz w:val="24"/>
          <w:vertAlign w:val="subscript"/>
        </w:rPr>
        <w:t>2</w:t>
      </w:r>
      <w:r>
        <w:rPr>
          <w:color w:val="000000"/>
          <w:sz w:val="24"/>
        </w:rPr>
        <w:t>O（反应条件是Fe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w:t>
      </w:r>
    </w:p>
    <w:p>
      <w:pPr>
        <w:widowControl/>
        <w:spacing w:line="520" w:lineRule="exact"/>
        <w:ind w:firstLine="480" w:firstLineChars="200"/>
        <w:jc w:val="left"/>
        <w:rPr>
          <w:color w:val="000000"/>
          <w:sz w:val="24"/>
        </w:rPr>
      </w:pPr>
      <w:r>
        <w:rPr>
          <w:color w:val="000000"/>
          <w:sz w:val="24"/>
        </w:rPr>
        <w:t>由以上化学反应方程式可以看出，Fe</w:t>
      </w:r>
      <w:r>
        <w:rPr>
          <w:color w:val="000000"/>
          <w:sz w:val="24"/>
          <w:vertAlign w:val="subscript"/>
        </w:rPr>
        <w:t>2</w:t>
      </w:r>
      <w:r>
        <w:rPr>
          <w:color w:val="000000"/>
          <w:sz w:val="24"/>
        </w:rPr>
        <w:t>O</w:t>
      </w:r>
      <w:r>
        <w:rPr>
          <w:color w:val="000000"/>
          <w:sz w:val="24"/>
          <w:vertAlign w:val="subscript"/>
        </w:rPr>
        <w:t>3</w:t>
      </w:r>
      <w:r>
        <w:rPr>
          <w:color w:val="000000"/>
          <w:sz w:val="24"/>
        </w:rPr>
        <w:t>吸收H</w:t>
      </w:r>
      <w:r>
        <w:rPr>
          <w:color w:val="000000"/>
          <w:sz w:val="24"/>
          <w:vertAlign w:val="subscript"/>
        </w:rPr>
        <w:t>2</w:t>
      </w:r>
      <w:r>
        <w:rPr>
          <w:color w:val="000000"/>
          <w:sz w:val="24"/>
        </w:rPr>
        <w:t>S变成Fe</w:t>
      </w:r>
      <w:r>
        <w:rPr>
          <w:color w:val="000000"/>
          <w:sz w:val="24"/>
          <w:vertAlign w:val="subscript"/>
        </w:rPr>
        <w:t>2</w:t>
      </w:r>
      <w:r>
        <w:rPr>
          <w:color w:val="000000"/>
          <w:sz w:val="24"/>
        </w:rPr>
        <w:t>S</w:t>
      </w:r>
      <w:r>
        <w:rPr>
          <w:color w:val="000000"/>
          <w:sz w:val="24"/>
          <w:vertAlign w:val="subscript"/>
        </w:rPr>
        <w:t>3</w:t>
      </w:r>
      <w:r>
        <w:rPr>
          <w:color w:val="000000"/>
          <w:sz w:val="24"/>
        </w:rPr>
        <w:t>，Fe</w:t>
      </w:r>
      <w:r>
        <w:rPr>
          <w:color w:val="000000"/>
          <w:sz w:val="24"/>
          <w:vertAlign w:val="subscript"/>
        </w:rPr>
        <w:t>2</w:t>
      </w:r>
      <w:r>
        <w:rPr>
          <w:color w:val="000000"/>
          <w:sz w:val="24"/>
        </w:rPr>
        <w:t>S</w:t>
      </w:r>
      <w:r>
        <w:rPr>
          <w:color w:val="000000"/>
          <w:sz w:val="24"/>
          <w:vertAlign w:val="subscript"/>
        </w:rPr>
        <w:t>3</w:t>
      </w:r>
      <w:r>
        <w:rPr>
          <w:color w:val="000000"/>
          <w:sz w:val="24"/>
        </w:rPr>
        <w:t>要还原成Fe</w:t>
      </w:r>
      <w:r>
        <w:rPr>
          <w:color w:val="000000"/>
          <w:sz w:val="24"/>
          <w:vertAlign w:val="subscript"/>
        </w:rPr>
        <w:t>2</w:t>
      </w:r>
      <w:r>
        <w:rPr>
          <w:color w:val="000000"/>
          <w:sz w:val="24"/>
        </w:rPr>
        <w:t>O</w:t>
      </w:r>
      <w:r>
        <w:rPr>
          <w:color w:val="000000"/>
          <w:sz w:val="24"/>
          <w:vertAlign w:val="subscript"/>
        </w:rPr>
        <w:t>3</w:t>
      </w:r>
      <w:r>
        <w:rPr>
          <w:color w:val="000000"/>
          <w:sz w:val="24"/>
        </w:rPr>
        <w:t>，需要O</w:t>
      </w:r>
      <w:r>
        <w:rPr>
          <w:color w:val="000000"/>
          <w:sz w:val="24"/>
          <w:vertAlign w:val="subscript"/>
        </w:rPr>
        <w:t>2</w:t>
      </w:r>
      <w:r>
        <w:rPr>
          <w:color w:val="000000"/>
          <w:sz w:val="24"/>
        </w:rPr>
        <w:t>，通过鼓风机在脱硫装置之前向沼气中投加空气即可满足脱硫剂还原对O</w:t>
      </w:r>
      <w:r>
        <w:rPr>
          <w:color w:val="000000"/>
          <w:sz w:val="24"/>
          <w:vertAlign w:val="subscript"/>
        </w:rPr>
        <w:t>2</w:t>
      </w:r>
      <w:r>
        <w:rPr>
          <w:color w:val="000000"/>
          <w:sz w:val="24"/>
        </w:rPr>
        <w:t>的要求。</w:t>
      </w:r>
    </w:p>
    <w:p>
      <w:pPr>
        <w:spacing w:line="520" w:lineRule="exact"/>
        <w:ind w:firstLine="480" w:firstLineChars="200"/>
        <w:rPr>
          <w:color w:val="000000"/>
          <w:sz w:val="24"/>
        </w:rPr>
      </w:pPr>
      <w:r>
        <w:rPr>
          <w:color w:val="000000"/>
          <w:sz w:val="24"/>
        </w:rPr>
        <w:t>因此，在沼气进入脱硫装置通过脱硫剂时，同时鼓入空气，脱硫剂吸收H</w:t>
      </w:r>
      <w:r>
        <w:rPr>
          <w:color w:val="000000"/>
          <w:sz w:val="24"/>
          <w:vertAlign w:val="subscript"/>
        </w:rPr>
        <w:t>2</w:t>
      </w:r>
      <w:r>
        <w:rPr>
          <w:color w:val="000000"/>
          <w:sz w:val="24"/>
        </w:rPr>
        <w:t>S失效，空气中的O</w:t>
      </w:r>
      <w:r>
        <w:rPr>
          <w:color w:val="000000"/>
          <w:sz w:val="24"/>
          <w:vertAlign w:val="subscript"/>
        </w:rPr>
        <w:t>2</w:t>
      </w:r>
      <w:r>
        <w:rPr>
          <w:color w:val="000000"/>
          <w:sz w:val="24"/>
        </w:rPr>
        <w:t>将失效的脱硫剂还原再生成Fe</w:t>
      </w:r>
      <w:r>
        <w:rPr>
          <w:color w:val="000000"/>
          <w:sz w:val="24"/>
          <w:vertAlign w:val="subscript"/>
        </w:rPr>
        <w:t>2</w:t>
      </w:r>
      <w:r>
        <w:rPr>
          <w:color w:val="000000"/>
          <w:sz w:val="24"/>
        </w:rPr>
        <w:t>O</w:t>
      </w:r>
      <w:r>
        <w:rPr>
          <w:color w:val="000000"/>
          <w:sz w:val="24"/>
          <w:vertAlign w:val="subscript"/>
        </w:rPr>
        <w:t>3</w:t>
      </w:r>
      <w:r>
        <w:rPr>
          <w:color w:val="000000"/>
          <w:sz w:val="24"/>
        </w:rPr>
        <w:t>，此工艺即为沼气干法脱硫的连续再生工艺。</w:t>
      </w:r>
    </w:p>
    <w:p>
      <w:pPr>
        <w:spacing w:line="520" w:lineRule="exact"/>
        <w:ind w:firstLine="480" w:firstLineChars="200"/>
        <w:rPr>
          <w:color w:val="000000"/>
          <w:sz w:val="24"/>
        </w:rPr>
      </w:pP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脱硫剂为条状多孔结构固体，对 H</w:t>
      </w:r>
      <w:r>
        <w:rPr>
          <w:color w:val="000000"/>
          <w:sz w:val="24"/>
          <w:vertAlign w:val="subscript"/>
        </w:rPr>
        <w:t>2</w:t>
      </w:r>
      <w:r>
        <w:rPr>
          <w:color w:val="000000"/>
          <w:sz w:val="24"/>
        </w:rPr>
        <w:t>S能进行快速的不可逆化学吸附，数秒内可将 H</w:t>
      </w:r>
      <w:r>
        <w:rPr>
          <w:color w:val="000000"/>
          <w:sz w:val="24"/>
          <w:vertAlign w:val="subscript"/>
        </w:rPr>
        <w:t>2</w:t>
      </w:r>
      <w:r>
        <w:rPr>
          <w:color w:val="000000"/>
          <w:sz w:val="24"/>
        </w:rPr>
        <w:t>S脱除到1×10</w:t>
      </w:r>
      <w:r>
        <w:rPr>
          <w:color w:val="000000"/>
          <w:sz w:val="24"/>
          <w:vertAlign w:val="superscript"/>
        </w:rPr>
        <w:t>- 6</w:t>
      </w:r>
      <w:r>
        <w:rPr>
          <w:color w:val="000000"/>
          <w:sz w:val="24"/>
        </w:rPr>
        <w:t>以下。脱硫剂工作一定时间后，其活性会逐渐下降，脱硫效果逐渐变差。当脱硫装置出口沼气中H</w:t>
      </w:r>
      <w:r>
        <w:rPr>
          <w:color w:val="000000"/>
          <w:sz w:val="24"/>
          <w:vertAlign w:val="subscript"/>
        </w:rPr>
        <w:t>2</w:t>
      </w:r>
      <w:r>
        <w:rPr>
          <w:color w:val="000000"/>
          <w:sz w:val="24"/>
        </w:rPr>
        <w:t>S的含量超过 20mg/m</w:t>
      </w:r>
      <w:r>
        <w:rPr>
          <w:color w:val="000000"/>
          <w:sz w:val="24"/>
          <w:vertAlign w:val="superscript"/>
        </w:rPr>
        <w:t>3</w:t>
      </w:r>
      <w:r>
        <w:rPr>
          <w:color w:val="000000"/>
          <w:sz w:val="24"/>
        </w:rPr>
        <w:t>时，就需要对脱硫剂进行处理。当脱硫剂中硫未达到30%时，脱硫剂可进行再生；若脱硫剂硫容超过30%时，就要更新脱硫剂。项目一年更换一次脱硫剂。</w:t>
      </w:r>
    </w:p>
    <w:p>
      <w:pPr>
        <w:spacing w:line="520" w:lineRule="exact"/>
        <w:ind w:firstLine="480" w:firstLineChars="200"/>
        <w:rPr>
          <w:color w:val="000000"/>
          <w:sz w:val="24"/>
        </w:rPr>
      </w:pPr>
      <w:r>
        <w:rPr>
          <w:color w:val="000000"/>
          <w:sz w:val="24"/>
        </w:rPr>
        <w:t>干法脱硫装置包括要包括主体钢结构、脱硫剂填料、观察窗、压力表、温度表等组件。项目干法脱硫装置设计规模为40m</w:t>
      </w:r>
      <w:r>
        <w:rPr>
          <w:color w:val="000000"/>
          <w:sz w:val="24"/>
          <w:vertAlign w:val="superscript"/>
        </w:rPr>
        <w:t>3</w:t>
      </w:r>
      <w:r>
        <w:rPr>
          <w:color w:val="000000"/>
          <w:sz w:val="24"/>
        </w:rPr>
        <w:t>/h，操作压力≤15kpa，阻力≤15kpa，净化率≥95%。</w:t>
      </w:r>
    </w:p>
    <w:p>
      <w:pPr>
        <w:spacing w:line="520" w:lineRule="exact"/>
        <w:ind w:firstLine="480" w:firstLineChars="200"/>
        <w:rPr>
          <w:sz w:val="24"/>
        </w:rPr>
      </w:pPr>
      <w:r>
        <w:rPr>
          <w:sz w:val="24"/>
        </w:rPr>
        <w:t>沼气是高湿度气体，H</w:t>
      </w:r>
      <w:r>
        <w:rPr>
          <w:sz w:val="24"/>
          <w:vertAlign w:val="subscript"/>
        </w:rPr>
        <w:t>2</w:t>
      </w:r>
      <w:r>
        <w:rPr>
          <w:sz w:val="24"/>
        </w:rPr>
        <w:t>S平均含量为0.034%，经采用专用沼气脱硫剂脱硫后，硫去除率可达到95%以上，经核算沼气净化后H</w:t>
      </w:r>
      <w:r>
        <w:rPr>
          <w:sz w:val="24"/>
          <w:vertAlign w:val="subscript"/>
        </w:rPr>
        <w:t>2</w:t>
      </w:r>
      <w:r>
        <w:rPr>
          <w:sz w:val="24"/>
        </w:rPr>
        <w:t>S含量</w:t>
      </w:r>
      <w:r>
        <w:rPr>
          <w:rFonts w:hint="eastAsia"/>
          <w:sz w:val="24"/>
          <w:lang w:val="en-US" w:eastAsia="zh-CN"/>
        </w:rPr>
        <w:t>可达到</w:t>
      </w:r>
      <w:r>
        <w:rPr>
          <w:sz w:val="24"/>
        </w:rPr>
        <w:t>12mg/m</w:t>
      </w:r>
      <w:r>
        <w:rPr>
          <w:sz w:val="24"/>
          <w:vertAlign w:val="superscript"/>
        </w:rPr>
        <w:t>3</w:t>
      </w:r>
      <w:r>
        <w:rPr>
          <w:sz w:val="24"/>
        </w:rPr>
        <w:t>。</w:t>
      </w:r>
    </w:p>
    <w:p>
      <w:pPr>
        <w:spacing w:line="520" w:lineRule="exact"/>
        <w:ind w:firstLine="480" w:firstLineChars="200"/>
        <w:rPr>
          <w:color w:val="000000"/>
        </w:rPr>
      </w:pPr>
      <w:r>
        <w:rPr>
          <w:color w:val="000000"/>
          <w:sz w:val="24"/>
        </w:rPr>
        <w:t>本项目脱硫剂由供应厂商统一提供，废脱硫剂由供应厂商统一回收处置。</w:t>
      </w:r>
    </w:p>
    <w:p>
      <w:pPr>
        <w:spacing w:line="520" w:lineRule="exact"/>
        <w:ind w:firstLine="480" w:firstLineChars="200"/>
        <w:rPr>
          <w:color w:val="000000" w:themeColor="text1"/>
          <w:sz w:val="24"/>
        </w:rPr>
      </w:pPr>
      <w:r>
        <w:rPr>
          <w:color w:val="000000" w:themeColor="text1"/>
          <w:sz w:val="24"/>
        </w:rPr>
        <w:t>（3）沼气利用方案</w:t>
      </w:r>
    </w:p>
    <w:p>
      <w:pPr>
        <w:autoSpaceDE w:val="0"/>
        <w:autoSpaceDN w:val="0"/>
        <w:adjustRightInd w:val="0"/>
        <w:snapToGrid w:val="0"/>
        <w:spacing w:line="520" w:lineRule="exact"/>
        <w:ind w:firstLine="600" w:firstLineChars="250"/>
        <w:rPr>
          <w:rFonts w:hint="eastAsia" w:hAnsi="宋体"/>
          <w:b w:val="0"/>
          <w:bCs/>
          <w:sz w:val="24"/>
          <w:u w:val="none"/>
        </w:rPr>
      </w:pPr>
      <w:r>
        <w:rPr>
          <w:rFonts w:hint="eastAsia"/>
          <w:b w:val="0"/>
          <w:bCs/>
          <w:sz w:val="24"/>
          <w:u w:val="none"/>
        </w:rPr>
        <w:t>项目</w:t>
      </w:r>
      <w:r>
        <w:rPr>
          <w:b w:val="0"/>
          <w:bCs/>
          <w:sz w:val="24"/>
          <w:u w:val="none"/>
        </w:rPr>
        <w:t>运营后</w:t>
      </w:r>
      <w:r>
        <w:rPr>
          <w:sz w:val="24"/>
        </w:rPr>
        <w:t>夏季沼气产生量为</w:t>
      </w:r>
      <w:r>
        <w:rPr>
          <w:rFonts w:hint="eastAsia"/>
          <w:sz w:val="24"/>
          <w:lang w:val="en-US" w:eastAsia="zh-CN"/>
        </w:rPr>
        <w:t>87.5</w:t>
      </w:r>
      <w:r>
        <w:rPr>
          <w:sz w:val="24"/>
        </w:rPr>
        <w:t>m</w:t>
      </w:r>
      <w:r>
        <w:rPr>
          <w:sz w:val="24"/>
          <w:vertAlign w:val="superscript"/>
        </w:rPr>
        <w:t>3</w:t>
      </w:r>
      <w:r>
        <w:rPr>
          <w:sz w:val="24"/>
        </w:rPr>
        <w:t>/d、其他季节沼气产生量为</w:t>
      </w:r>
      <w:r>
        <w:rPr>
          <w:rFonts w:hint="eastAsia"/>
          <w:sz w:val="24"/>
          <w:lang w:val="en-US" w:eastAsia="zh-CN"/>
        </w:rPr>
        <w:t>56.89</w:t>
      </w:r>
      <w:r>
        <w:rPr>
          <w:sz w:val="24"/>
        </w:rPr>
        <w:t>m</w:t>
      </w:r>
      <w:r>
        <w:rPr>
          <w:sz w:val="24"/>
          <w:vertAlign w:val="superscript"/>
        </w:rPr>
        <w:t>3</w:t>
      </w:r>
      <w:r>
        <w:rPr>
          <w:sz w:val="24"/>
        </w:rPr>
        <w:t>/d</w:t>
      </w:r>
      <w:r>
        <w:rPr>
          <w:rFonts w:hint="eastAsia" w:hAnsi="宋体"/>
          <w:b w:val="0"/>
          <w:bCs/>
          <w:sz w:val="24"/>
          <w:u w:val="none"/>
        </w:rPr>
        <w:t>，全年沼气产生量</w:t>
      </w:r>
      <w:r>
        <w:rPr>
          <w:rFonts w:hint="eastAsia"/>
          <w:sz w:val="24"/>
          <w:lang w:val="en-US" w:eastAsia="zh-CN"/>
        </w:rPr>
        <w:t>24500</w:t>
      </w:r>
      <w:r>
        <w:rPr>
          <w:b w:val="0"/>
          <w:bCs/>
          <w:sz w:val="24"/>
          <w:u w:val="none"/>
        </w:rPr>
        <w:t>m</w:t>
      </w:r>
      <w:r>
        <w:rPr>
          <w:b w:val="0"/>
          <w:bCs/>
          <w:sz w:val="24"/>
          <w:u w:val="none"/>
          <w:vertAlign w:val="superscript"/>
        </w:rPr>
        <w:t>3</w:t>
      </w:r>
      <w:r>
        <w:rPr>
          <w:rFonts w:hint="eastAsia"/>
          <w:b w:val="0"/>
          <w:bCs/>
          <w:sz w:val="24"/>
          <w:u w:val="none"/>
        </w:rPr>
        <w:t>/a。结合</w:t>
      </w:r>
      <w:r>
        <w:rPr>
          <w:b w:val="0"/>
          <w:bCs/>
          <w:sz w:val="24"/>
          <w:u w:val="none"/>
        </w:rPr>
        <w:t>其他养殖场及以往运行经验，</w:t>
      </w:r>
      <w:r>
        <w:rPr>
          <w:rFonts w:hint="eastAsia"/>
          <w:b w:val="0"/>
          <w:bCs/>
          <w:sz w:val="24"/>
          <w:u w:val="none"/>
        </w:rPr>
        <w:t>本项目</w:t>
      </w:r>
      <w:r>
        <w:rPr>
          <w:b w:val="0"/>
          <w:bCs/>
          <w:sz w:val="24"/>
          <w:u w:val="none"/>
        </w:rPr>
        <w:t>沼气利用方案为：优先用于食堂灶台</w:t>
      </w:r>
      <w:r>
        <w:rPr>
          <w:rFonts w:hint="eastAsia"/>
          <w:b w:val="0"/>
          <w:bCs/>
          <w:sz w:val="24"/>
          <w:u w:val="none"/>
        </w:rPr>
        <w:t>及沼气热水炉，剩余</w:t>
      </w:r>
      <w:r>
        <w:rPr>
          <w:b w:val="0"/>
          <w:bCs/>
          <w:sz w:val="24"/>
          <w:u w:val="none"/>
        </w:rPr>
        <w:t>部分火炬燃烧</w:t>
      </w:r>
      <w:r>
        <w:rPr>
          <w:rFonts w:hint="eastAsia"/>
          <w:b w:val="0"/>
          <w:bCs/>
          <w:sz w:val="24"/>
          <w:u w:val="none"/>
        </w:rPr>
        <w:t>。</w:t>
      </w:r>
    </w:p>
    <w:p>
      <w:pPr>
        <w:numPr>
          <w:ilvl w:val="0"/>
          <w:numId w:val="2"/>
        </w:numPr>
        <w:spacing w:line="520" w:lineRule="exact"/>
        <w:rPr>
          <w:b w:val="0"/>
          <w:bCs/>
          <w:sz w:val="24"/>
          <w:u w:val="none"/>
        </w:rPr>
      </w:pPr>
      <w:r>
        <w:rPr>
          <w:b w:val="0"/>
          <w:bCs/>
          <w:sz w:val="24"/>
          <w:u w:val="none"/>
        </w:rPr>
        <w:t>食堂灶台</w:t>
      </w:r>
    </w:p>
    <w:p>
      <w:pPr>
        <w:spacing w:line="520" w:lineRule="exact"/>
        <w:ind w:firstLine="480" w:firstLineChars="200"/>
        <w:rPr>
          <w:rFonts w:hint="eastAsia"/>
          <w:b w:val="0"/>
          <w:bCs/>
          <w:sz w:val="24"/>
          <w:u w:val="none"/>
        </w:rPr>
      </w:pPr>
      <w:r>
        <w:rPr>
          <w:b w:val="0"/>
          <w:bCs/>
          <w:sz w:val="24"/>
          <w:u w:val="none"/>
        </w:rPr>
        <w:t>经查阅相关资料，项目职工食堂人均用沼气量按0.8m</w:t>
      </w:r>
      <w:r>
        <w:rPr>
          <w:b w:val="0"/>
          <w:bCs/>
          <w:sz w:val="24"/>
          <w:u w:val="none"/>
          <w:vertAlign w:val="superscript"/>
        </w:rPr>
        <w:t>3</w:t>
      </w:r>
      <w:r>
        <w:rPr>
          <w:b w:val="0"/>
          <w:bCs/>
          <w:sz w:val="24"/>
          <w:u w:val="none"/>
        </w:rPr>
        <w:t>/d，项目劳动定员</w:t>
      </w:r>
      <w:r>
        <w:rPr>
          <w:rFonts w:hint="eastAsia"/>
          <w:b w:val="0"/>
          <w:bCs/>
          <w:sz w:val="24"/>
          <w:u w:val="none"/>
          <w:lang w:val="en-US" w:eastAsia="zh-CN"/>
        </w:rPr>
        <w:t>2</w:t>
      </w:r>
      <w:r>
        <w:rPr>
          <w:rFonts w:hint="eastAsia"/>
          <w:b w:val="0"/>
          <w:bCs/>
          <w:sz w:val="24"/>
          <w:u w:val="none"/>
        </w:rPr>
        <w:t>0</w:t>
      </w:r>
      <w:r>
        <w:rPr>
          <w:b w:val="0"/>
          <w:bCs/>
          <w:sz w:val="24"/>
          <w:u w:val="none"/>
        </w:rPr>
        <w:t>人，项目食堂灶台沼气用量为</w:t>
      </w:r>
      <w:r>
        <w:rPr>
          <w:rFonts w:hint="eastAsia"/>
          <w:b w:val="0"/>
          <w:bCs/>
          <w:sz w:val="24"/>
          <w:u w:val="none"/>
          <w:lang w:val="en-US" w:eastAsia="zh-CN"/>
        </w:rPr>
        <w:t>16</w:t>
      </w:r>
      <w:r>
        <w:rPr>
          <w:b w:val="0"/>
          <w:bCs/>
          <w:sz w:val="24"/>
          <w:u w:val="none"/>
        </w:rPr>
        <w:t>m</w:t>
      </w:r>
      <w:r>
        <w:rPr>
          <w:b w:val="0"/>
          <w:bCs/>
          <w:sz w:val="24"/>
          <w:u w:val="none"/>
          <w:vertAlign w:val="superscript"/>
        </w:rPr>
        <w:t>3</w:t>
      </w:r>
      <w:r>
        <w:rPr>
          <w:b w:val="0"/>
          <w:bCs/>
          <w:sz w:val="24"/>
          <w:u w:val="none"/>
        </w:rPr>
        <w:t>/d。</w:t>
      </w:r>
    </w:p>
    <w:p>
      <w:pPr>
        <w:numPr>
          <w:ilvl w:val="0"/>
          <w:numId w:val="2"/>
        </w:numPr>
        <w:spacing w:line="520" w:lineRule="exact"/>
        <w:rPr>
          <w:b w:val="0"/>
          <w:bCs/>
          <w:sz w:val="24"/>
          <w:u w:val="none"/>
        </w:rPr>
      </w:pPr>
      <w:r>
        <w:rPr>
          <w:b w:val="0"/>
          <w:bCs/>
          <w:sz w:val="24"/>
          <w:u w:val="none"/>
        </w:rPr>
        <w:t>火炬燃烧</w:t>
      </w:r>
    </w:p>
    <w:p>
      <w:pPr>
        <w:spacing w:line="520" w:lineRule="exact"/>
        <w:ind w:firstLine="480" w:firstLineChars="200"/>
        <w:rPr>
          <w:b w:val="0"/>
          <w:bCs/>
          <w:sz w:val="24"/>
          <w:u w:val="none"/>
        </w:rPr>
      </w:pPr>
      <w:r>
        <w:rPr>
          <w:b w:val="0"/>
          <w:bCs/>
          <w:sz w:val="24"/>
          <w:u w:val="none"/>
        </w:rPr>
        <w:t>产生的沼气除食堂灶台外，还剩余</w:t>
      </w:r>
      <w:r>
        <w:rPr>
          <w:rFonts w:hint="eastAsia"/>
          <w:b w:val="0"/>
          <w:bCs/>
          <w:sz w:val="24"/>
          <w:u w:val="none"/>
          <w:lang w:val="en-US" w:eastAsia="zh-CN"/>
        </w:rPr>
        <w:t>18660</w:t>
      </w:r>
      <w:r>
        <w:rPr>
          <w:b w:val="0"/>
          <w:bCs/>
          <w:sz w:val="24"/>
          <w:u w:val="none"/>
        </w:rPr>
        <w:t>m</w:t>
      </w:r>
      <w:r>
        <w:rPr>
          <w:b w:val="0"/>
          <w:bCs/>
          <w:sz w:val="24"/>
          <w:u w:val="none"/>
          <w:vertAlign w:val="superscript"/>
        </w:rPr>
        <w:t>3</w:t>
      </w:r>
      <w:r>
        <w:rPr>
          <w:b w:val="0"/>
          <w:bCs/>
          <w:sz w:val="24"/>
          <w:u w:val="none"/>
        </w:rPr>
        <w:t>/a，计划将这部分沼气经火炬燃烧器放空燃烧。</w:t>
      </w:r>
    </w:p>
    <w:p>
      <w:pPr>
        <w:spacing w:line="520" w:lineRule="exact"/>
        <w:ind w:firstLine="480" w:firstLineChars="200"/>
        <w:rPr>
          <w:b w:val="0"/>
          <w:bCs/>
          <w:color w:val="000000" w:themeColor="text1"/>
          <w:sz w:val="24"/>
          <w:u w:val="none"/>
        </w:rPr>
      </w:pPr>
      <w:r>
        <w:rPr>
          <w:b w:val="0"/>
          <w:bCs w:val="0"/>
          <w:snapToGrid w:val="0"/>
          <w:kern w:val="0"/>
          <w:sz w:val="24"/>
          <w:u w:val="none"/>
        </w:rPr>
        <w:t>项目沼气</w:t>
      </w:r>
      <w:r>
        <w:rPr>
          <w:rFonts w:hint="eastAsia"/>
          <w:b w:val="0"/>
          <w:bCs w:val="0"/>
          <w:snapToGrid w:val="0"/>
          <w:kern w:val="0"/>
          <w:sz w:val="24"/>
          <w:u w:val="none"/>
        </w:rPr>
        <w:t>利用平衡图见图2.2-</w:t>
      </w:r>
      <w:r>
        <w:rPr>
          <w:b w:val="0"/>
          <w:bCs w:val="0"/>
          <w:snapToGrid w:val="0"/>
          <w:kern w:val="0"/>
          <w:sz w:val="24"/>
          <w:u w:val="none"/>
        </w:rPr>
        <w:t>7</w:t>
      </w:r>
      <w:r>
        <w:rPr>
          <w:b w:val="0"/>
          <w:bCs/>
          <w:color w:val="000000" w:themeColor="text1"/>
          <w:sz w:val="24"/>
          <w:u w:val="none"/>
        </w:rPr>
        <w:t>。</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440555" cy="1782445"/>
            <wp:effectExtent l="0" t="0" r="9525" b="635"/>
            <wp:docPr id="5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IMG_256"/>
                    <pic:cNvPicPr>
                      <a:picLocks noChangeAspect="1"/>
                    </pic:cNvPicPr>
                  </pic:nvPicPr>
                  <pic:blipFill>
                    <a:blip r:embed="rId12"/>
                    <a:stretch>
                      <a:fillRect/>
                    </a:stretch>
                  </pic:blipFill>
                  <pic:spPr>
                    <a:xfrm>
                      <a:off x="0" y="0"/>
                      <a:ext cx="4440555" cy="1782445"/>
                    </a:xfrm>
                    <a:prstGeom prst="rect">
                      <a:avLst/>
                    </a:prstGeom>
                    <a:noFill/>
                    <a:ln w="9525">
                      <a:noFill/>
                    </a:ln>
                  </pic:spPr>
                </pic:pic>
              </a:graphicData>
            </a:graphic>
          </wp:inline>
        </w:drawing>
      </w:r>
    </w:p>
    <w:p>
      <w:pPr>
        <w:pStyle w:val="21"/>
        <w:jc w:val="center"/>
      </w:pPr>
      <w:r>
        <w:rPr>
          <w:b/>
          <w:snapToGrid w:val="0"/>
          <w:kern w:val="0"/>
          <w:sz w:val="24"/>
          <w:u w:val="none"/>
        </w:rPr>
        <w:t>图2.2-7  沼气利用平衡图</w:t>
      </w:r>
      <w:r>
        <w:rPr>
          <w:rFonts w:hint="eastAsia"/>
          <w:b/>
          <w:snapToGrid w:val="0"/>
          <w:kern w:val="0"/>
          <w:sz w:val="24"/>
          <w:u w:val="none"/>
          <w:lang w:val="en-US" w:eastAsia="zh-CN"/>
        </w:rPr>
        <w:t xml:space="preserve">  单位：m</w:t>
      </w:r>
      <w:r>
        <w:rPr>
          <w:rFonts w:hint="eastAsia"/>
          <w:b/>
          <w:snapToGrid w:val="0"/>
          <w:kern w:val="0"/>
          <w:sz w:val="24"/>
          <w:u w:val="none"/>
          <w:vertAlign w:val="superscript"/>
          <w:lang w:val="en-US" w:eastAsia="zh-CN"/>
        </w:rPr>
        <w:t>3</w:t>
      </w:r>
      <w:r>
        <w:rPr>
          <w:rFonts w:hint="eastAsia"/>
          <w:b/>
          <w:snapToGrid w:val="0"/>
          <w:kern w:val="0"/>
          <w:sz w:val="24"/>
          <w:u w:val="none"/>
          <w:lang w:val="en-US" w:eastAsia="zh-CN"/>
        </w:rPr>
        <w:t>/d</w:t>
      </w:r>
    </w:p>
    <w:p>
      <w:pPr>
        <w:pStyle w:val="8"/>
        <w:spacing w:before="0" w:after="0" w:line="520" w:lineRule="exact"/>
        <w:rPr>
          <w:bCs/>
          <w:sz w:val="24"/>
          <w:szCs w:val="24"/>
        </w:rPr>
      </w:pPr>
      <w:r>
        <w:rPr>
          <w:rFonts w:hint="eastAsia"/>
          <w:bCs/>
          <w:sz w:val="24"/>
          <w:szCs w:val="24"/>
          <w:lang w:val="en-US" w:eastAsia="zh-CN"/>
        </w:rPr>
        <w:t>2</w:t>
      </w:r>
      <w:r>
        <w:rPr>
          <w:bCs/>
          <w:sz w:val="24"/>
          <w:szCs w:val="24"/>
        </w:rPr>
        <w:t>.2.3.5有机肥发酵工艺</w:t>
      </w:r>
    </w:p>
    <w:p>
      <w:pPr>
        <w:spacing w:line="520" w:lineRule="exact"/>
        <w:ind w:firstLine="480" w:firstLineChars="200"/>
        <w:rPr>
          <w:b w:val="0"/>
          <w:bCs w:val="0"/>
          <w:sz w:val="24"/>
          <w:u w:val="none"/>
        </w:rPr>
      </w:pPr>
      <w:r>
        <w:rPr>
          <w:b w:val="0"/>
          <w:bCs w:val="0"/>
          <w:sz w:val="24"/>
          <w:u w:val="none"/>
        </w:rPr>
        <w:t>（1）堆肥工艺比较</w:t>
      </w:r>
    </w:p>
    <w:p>
      <w:pPr>
        <w:spacing w:line="520" w:lineRule="exact"/>
        <w:ind w:firstLine="480" w:firstLineChars="200"/>
        <w:rPr>
          <w:b w:val="0"/>
          <w:bCs w:val="0"/>
          <w:sz w:val="24"/>
          <w:u w:val="none"/>
        </w:rPr>
      </w:pPr>
      <w:r>
        <w:rPr>
          <w:b w:val="0"/>
          <w:bCs w:val="0"/>
          <w:sz w:val="24"/>
          <w:u w:val="none"/>
        </w:rPr>
        <w:t>根据堆肥技术的复杂程度以及使用情况，目前我国主要有三大类堆肥系统：条垛式、静态垛式和反应器系统。</w:t>
      </w:r>
    </w:p>
    <w:p>
      <w:pPr>
        <w:spacing w:line="500" w:lineRule="exact"/>
        <w:ind w:firstLine="480" w:firstLineChars="200"/>
        <w:rPr>
          <w:b w:val="0"/>
          <w:bCs w:val="0"/>
          <w:sz w:val="24"/>
          <w:u w:val="none"/>
        </w:rPr>
      </w:pPr>
      <w:r>
        <w:rPr>
          <w:b w:val="0"/>
          <w:bCs w:val="0"/>
          <w:sz w:val="24"/>
          <w:u w:val="none"/>
        </w:rPr>
        <w:t>选用专门的铲车翻堆机定期翻堆，操作简单，同时该铲车翻堆机还具有破碎的功能，可增大物料的充氧量，更有利于好氧堆肥。为减小气候条件对堆肥的影响，项目固粪处置区采用半封闭场棚结构（顶部架设彩瓦拱棚、三面设置不低于1.0米高围挡、地面水泥硬化），受气候条件影响的程度降低；在固粪处置区通过喷洒植物型除臭剂对恶臭气体进行脱除，操作简单；公司对堆肥发酵场进行了改进，通过整合治污区，合理配置资源，一定程度上减小了堆肥所需的占地面积，同时还减少了运输粪便带来的环境污染。</w:t>
      </w:r>
    </w:p>
    <w:p>
      <w:pPr>
        <w:spacing w:line="500" w:lineRule="exact"/>
        <w:ind w:firstLine="480" w:firstLineChars="200"/>
        <w:rPr>
          <w:b w:val="0"/>
          <w:bCs w:val="0"/>
          <w:sz w:val="24"/>
          <w:u w:val="none"/>
        </w:rPr>
      </w:pPr>
      <w:r>
        <w:rPr>
          <w:b w:val="0"/>
          <w:bCs w:val="0"/>
          <w:sz w:val="24"/>
          <w:u w:val="none"/>
        </w:rPr>
        <w:t>因此本项目采用改良后的条垛堆肥方式。</w:t>
      </w:r>
    </w:p>
    <w:p>
      <w:pPr>
        <w:spacing w:line="520" w:lineRule="exact"/>
        <w:ind w:firstLine="480" w:firstLineChars="200"/>
        <w:rPr>
          <w:b w:val="0"/>
          <w:bCs w:val="0"/>
          <w:sz w:val="24"/>
          <w:u w:val="none"/>
        </w:rPr>
      </w:pPr>
      <w:r>
        <w:rPr>
          <w:b w:val="0"/>
          <w:bCs w:val="0"/>
          <w:sz w:val="24"/>
          <w:u w:val="none"/>
        </w:rPr>
        <w:t>（2）堆肥工艺介绍</w:t>
      </w:r>
    </w:p>
    <w:p>
      <w:pPr>
        <w:adjustRightInd w:val="0"/>
        <w:snapToGrid w:val="0"/>
        <w:spacing w:line="520" w:lineRule="exact"/>
        <w:ind w:firstLine="480" w:firstLineChars="200"/>
        <w:rPr>
          <w:b w:val="0"/>
          <w:bCs w:val="0"/>
          <w:sz w:val="24"/>
          <w:u w:val="none"/>
        </w:rPr>
      </w:pPr>
      <w:r>
        <w:rPr>
          <w:b w:val="0"/>
          <w:bCs w:val="0"/>
          <w:sz w:val="24"/>
          <w:u w:val="none"/>
        </w:rPr>
        <w:t>本次项目采用改良条垛堆肥工艺进行粪污堆肥处理，处理工艺如下：</w:t>
      </w:r>
    </w:p>
    <w:p>
      <w:pPr>
        <w:adjustRightInd w:val="0"/>
        <w:snapToGrid w:val="0"/>
        <w:spacing w:line="520" w:lineRule="exact"/>
        <w:ind w:firstLine="480" w:firstLineChars="200"/>
        <w:rPr>
          <w:b w:val="0"/>
          <w:bCs w:val="0"/>
          <w:sz w:val="24"/>
          <w:u w:val="none"/>
        </w:rPr>
      </w:pPr>
      <w:r>
        <w:rPr>
          <w:b w:val="0"/>
          <w:bCs w:val="0"/>
          <w:sz w:val="24"/>
          <w:u w:val="none"/>
        </w:rPr>
        <w:fldChar w:fldCharType="begin"/>
      </w:r>
      <w:r>
        <w:rPr>
          <w:b w:val="0"/>
          <w:bCs w:val="0"/>
          <w:sz w:val="24"/>
          <w:u w:val="none"/>
        </w:rPr>
        <w:instrText xml:space="preserve"> = 1 \* GB3 </w:instrText>
      </w:r>
      <w:r>
        <w:rPr>
          <w:b w:val="0"/>
          <w:bCs w:val="0"/>
          <w:sz w:val="24"/>
          <w:u w:val="none"/>
        </w:rPr>
        <w:fldChar w:fldCharType="separate"/>
      </w:r>
      <w:r>
        <w:rPr>
          <w:rFonts w:hint="eastAsia" w:ascii="宋体" w:hAnsi="宋体" w:cs="宋体"/>
          <w:b w:val="0"/>
          <w:bCs w:val="0"/>
          <w:sz w:val="24"/>
          <w:u w:val="none"/>
        </w:rPr>
        <w:t>①</w:t>
      </w:r>
      <w:r>
        <w:rPr>
          <w:b w:val="0"/>
          <w:bCs w:val="0"/>
          <w:sz w:val="24"/>
          <w:u w:val="none"/>
        </w:rPr>
        <w:fldChar w:fldCharType="end"/>
      </w:r>
      <w:r>
        <w:rPr>
          <w:b w:val="0"/>
          <w:bCs w:val="0"/>
          <w:sz w:val="24"/>
          <w:u w:val="none"/>
        </w:rPr>
        <w:t>原料预处理</w:t>
      </w:r>
    </w:p>
    <w:p>
      <w:pPr>
        <w:spacing w:line="520" w:lineRule="exact"/>
        <w:ind w:firstLine="480" w:firstLineChars="200"/>
        <w:rPr>
          <w:b w:val="0"/>
          <w:bCs w:val="0"/>
          <w:sz w:val="24"/>
          <w:u w:val="none"/>
        </w:rPr>
      </w:pPr>
      <w:r>
        <w:rPr>
          <w:b w:val="0"/>
          <w:bCs w:val="0"/>
          <w:sz w:val="24"/>
          <w:u w:val="none"/>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公司对猪粪堆肥的C/N比设为28，本项目利用比较廉价且有机物含量高、吸附能力强的谷糠为辅料进行碳氮比调节。</w:t>
      </w:r>
    </w:p>
    <w:p>
      <w:pPr>
        <w:adjustRightInd w:val="0"/>
        <w:snapToGrid w:val="0"/>
        <w:spacing w:line="520" w:lineRule="exact"/>
        <w:ind w:firstLine="480" w:firstLineChars="200"/>
        <w:rPr>
          <w:b w:val="0"/>
          <w:bCs w:val="0"/>
          <w:sz w:val="24"/>
          <w:u w:val="none"/>
        </w:rPr>
      </w:pPr>
      <w:r>
        <w:rPr>
          <w:b w:val="0"/>
          <w:bCs w:val="0"/>
          <w:sz w:val="24"/>
          <w:u w:val="none"/>
        </w:rPr>
        <w:t>场区运营初期产生的新鲜猪粪经晾晒后，添加菌种进行发酵；后续产生的新鲜猪粪与初期产生的半成品有机肥基肥混合发酵。</w:t>
      </w:r>
    </w:p>
    <w:p>
      <w:pPr>
        <w:adjustRightInd w:val="0"/>
        <w:snapToGrid w:val="0"/>
        <w:spacing w:line="520" w:lineRule="exact"/>
        <w:ind w:firstLine="480" w:firstLineChars="200"/>
        <w:rPr>
          <w:b w:val="0"/>
          <w:bCs w:val="0"/>
          <w:sz w:val="24"/>
          <w:u w:val="none"/>
        </w:rPr>
      </w:pPr>
      <w:r>
        <w:rPr>
          <w:b w:val="0"/>
          <w:bCs w:val="0"/>
          <w:sz w:val="24"/>
          <w:u w:val="none"/>
        </w:rPr>
        <w:fldChar w:fldCharType="begin"/>
      </w:r>
      <w:r>
        <w:rPr>
          <w:b w:val="0"/>
          <w:bCs w:val="0"/>
          <w:sz w:val="24"/>
          <w:u w:val="none"/>
        </w:rPr>
        <w:instrText xml:space="preserve"> = 2 \* GB3 </w:instrText>
      </w:r>
      <w:r>
        <w:rPr>
          <w:b w:val="0"/>
          <w:bCs w:val="0"/>
          <w:sz w:val="24"/>
          <w:u w:val="none"/>
        </w:rPr>
        <w:fldChar w:fldCharType="separate"/>
      </w:r>
      <w:r>
        <w:rPr>
          <w:rFonts w:hint="eastAsia" w:ascii="宋体" w:hAnsi="宋体" w:cs="宋体"/>
          <w:b w:val="0"/>
          <w:bCs w:val="0"/>
          <w:sz w:val="24"/>
          <w:u w:val="none"/>
        </w:rPr>
        <w:t>②</w:t>
      </w:r>
      <w:r>
        <w:rPr>
          <w:b w:val="0"/>
          <w:bCs w:val="0"/>
          <w:sz w:val="24"/>
          <w:u w:val="none"/>
        </w:rPr>
        <w:fldChar w:fldCharType="end"/>
      </w:r>
      <w:r>
        <w:rPr>
          <w:b w:val="0"/>
          <w:bCs w:val="0"/>
          <w:sz w:val="24"/>
          <w:u w:val="none"/>
        </w:rPr>
        <w:t>发酵</w:t>
      </w:r>
    </w:p>
    <w:p>
      <w:pPr>
        <w:adjustRightInd w:val="0"/>
        <w:snapToGrid w:val="0"/>
        <w:spacing w:line="520" w:lineRule="exact"/>
        <w:ind w:firstLine="480" w:firstLineChars="200"/>
        <w:rPr>
          <w:b w:val="0"/>
          <w:bCs w:val="0"/>
          <w:sz w:val="24"/>
          <w:u w:val="none"/>
        </w:rPr>
      </w:pPr>
      <w:r>
        <w:rPr>
          <w:b w:val="0"/>
          <w:bCs w:val="0"/>
          <w:sz w:val="24"/>
          <w:u w:val="none"/>
        </w:rPr>
        <w:t>本项目发酵为好氧发酵，发酵时间为15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w:t>
      </w:r>
    </w:p>
    <w:p>
      <w:pPr>
        <w:adjustRightInd w:val="0"/>
        <w:snapToGrid w:val="0"/>
        <w:spacing w:line="520" w:lineRule="exact"/>
        <w:ind w:firstLine="480" w:firstLineChars="200"/>
        <w:rPr>
          <w:b w:val="0"/>
          <w:bCs w:val="0"/>
          <w:sz w:val="24"/>
          <w:u w:val="none"/>
        </w:rPr>
      </w:pPr>
      <w:r>
        <w:rPr>
          <w:b w:val="0"/>
          <w:bCs w:val="0"/>
          <w:sz w:val="24"/>
          <w:u w:val="none"/>
        </w:rPr>
        <w:t>本项目混合后的物料用铲车翻堆机在发酵区堆成条垛状，条垛每条宽约1.8m，高1.2—1.6m。每天用铲车翻堆机翻堆一次，使物料充氧充分，可使堆体在1—3天内温度上升至25—45</w:t>
      </w:r>
      <w:r>
        <w:rPr>
          <w:rFonts w:hint="eastAsia" w:ascii="宋体" w:hAnsi="宋体" w:cs="宋体"/>
          <w:b w:val="0"/>
          <w:bCs w:val="0"/>
          <w:sz w:val="24"/>
          <w:u w:val="none"/>
        </w:rPr>
        <w:t>℃</w:t>
      </w:r>
      <w:r>
        <w:rPr>
          <w:b w:val="0"/>
          <w:bCs w:val="0"/>
          <w:sz w:val="24"/>
          <w:u w:val="none"/>
        </w:rPr>
        <w:t>，堆体温度达到60—70</w:t>
      </w:r>
      <w:r>
        <w:rPr>
          <w:rFonts w:hint="eastAsia" w:ascii="宋体" w:hAnsi="宋体" w:cs="宋体"/>
          <w:b w:val="0"/>
          <w:bCs w:val="0"/>
          <w:sz w:val="24"/>
          <w:u w:val="none"/>
        </w:rPr>
        <w:t>℃</w:t>
      </w:r>
      <w:r>
        <w:rPr>
          <w:b w:val="0"/>
          <w:bCs w:val="0"/>
          <w:sz w:val="24"/>
          <w:u w:val="none"/>
        </w:rPr>
        <w:t>后发酵稳定，物料中纤维素和木质素也开始分解，腐殖质开始形成。堆体温度最高能达到80</w:t>
      </w:r>
      <w:r>
        <w:rPr>
          <w:rFonts w:hint="eastAsia" w:ascii="宋体" w:hAnsi="宋体" w:cs="宋体"/>
          <w:b w:val="0"/>
          <w:bCs w:val="0"/>
          <w:sz w:val="24"/>
          <w:u w:val="none"/>
        </w:rPr>
        <w:t>℃</w:t>
      </w:r>
      <w:r>
        <w:rPr>
          <w:b w:val="0"/>
          <w:bCs w:val="0"/>
          <w:sz w:val="24"/>
          <w:u w:val="none"/>
        </w:rPr>
        <w:t>，充分发酵后温度逐步降低。</w:t>
      </w:r>
    </w:p>
    <w:p>
      <w:pPr>
        <w:adjustRightInd w:val="0"/>
        <w:snapToGrid w:val="0"/>
        <w:spacing w:line="520" w:lineRule="exact"/>
        <w:ind w:firstLine="480" w:firstLineChars="200"/>
        <w:rPr>
          <w:b w:val="0"/>
          <w:bCs w:val="0"/>
          <w:sz w:val="24"/>
          <w:u w:val="none"/>
        </w:rPr>
      </w:pPr>
      <w:r>
        <w:rPr>
          <w:b w:val="0"/>
          <w:bCs w:val="0"/>
          <w:sz w:val="24"/>
          <w:u w:val="none"/>
        </w:rPr>
        <w:t>翻堆的同时可将物料充分混合均匀，经发酵后的物料含水率约为40%。</w:t>
      </w:r>
    </w:p>
    <w:p>
      <w:pPr>
        <w:adjustRightInd w:val="0"/>
        <w:snapToGrid w:val="0"/>
        <w:spacing w:line="520" w:lineRule="exact"/>
        <w:ind w:firstLine="480" w:firstLineChars="200"/>
        <w:rPr>
          <w:b w:val="0"/>
          <w:bCs w:val="0"/>
          <w:sz w:val="24"/>
          <w:u w:val="none"/>
        </w:rPr>
      </w:pPr>
      <w:r>
        <w:rPr>
          <w:b w:val="0"/>
          <w:bCs w:val="0"/>
          <w:sz w:val="24"/>
          <w:u w:val="none"/>
        </w:rPr>
        <w:t xml:space="preserve">本项目堆肥发酵过程分为4个阶段： </w:t>
      </w:r>
    </w:p>
    <w:p>
      <w:pPr>
        <w:adjustRightInd w:val="0"/>
        <w:snapToGrid w:val="0"/>
        <w:spacing w:line="520" w:lineRule="exact"/>
        <w:ind w:firstLine="480" w:firstLineChars="200"/>
        <w:rPr>
          <w:b w:val="0"/>
          <w:bCs w:val="0"/>
          <w:sz w:val="24"/>
          <w:u w:val="none"/>
        </w:rPr>
      </w:pPr>
      <w:r>
        <w:rPr>
          <w:b w:val="0"/>
          <w:bCs w:val="0"/>
          <w:sz w:val="24"/>
          <w:u w:val="none"/>
        </w:rPr>
        <w:t>A、升温阶段</w:t>
      </w:r>
    </w:p>
    <w:p>
      <w:pPr>
        <w:adjustRightInd w:val="0"/>
        <w:snapToGrid w:val="0"/>
        <w:spacing w:line="520" w:lineRule="exact"/>
        <w:ind w:firstLine="480" w:firstLineChars="200"/>
        <w:rPr>
          <w:b w:val="0"/>
          <w:bCs w:val="0"/>
          <w:sz w:val="24"/>
          <w:u w:val="none"/>
        </w:rPr>
      </w:pPr>
      <w:r>
        <w:rPr>
          <w:b w:val="0"/>
          <w:bCs w:val="0"/>
          <w:sz w:val="24"/>
          <w:u w:val="none"/>
        </w:rPr>
        <w:t>这个过程一般指堆肥过程的初期，在该阶段，堆肥温度逐步从环境温度上升到45</w:t>
      </w:r>
      <w:r>
        <w:rPr>
          <w:rFonts w:hint="eastAsia" w:ascii="宋体" w:hAnsi="宋体" w:cs="宋体"/>
          <w:b w:val="0"/>
          <w:bCs w:val="0"/>
          <w:sz w:val="24"/>
          <w:u w:val="none"/>
        </w:rPr>
        <w:t>℃</w:t>
      </w:r>
      <w:r>
        <w:rPr>
          <w:b w:val="0"/>
          <w:bCs w:val="0"/>
          <w:sz w:val="24"/>
          <w:u w:val="none"/>
        </w:rPr>
        <w:t>左右，主导微生物以嗜温性微生物为主，包括细菌、真菌和放线菌，分解底物以糖类和淀粉为主，期间能发现真菌的子实体，也有动物及原生动物参与分解。</w:t>
      </w:r>
    </w:p>
    <w:p>
      <w:pPr>
        <w:adjustRightInd w:val="0"/>
        <w:snapToGrid w:val="0"/>
        <w:spacing w:line="520" w:lineRule="exact"/>
        <w:ind w:firstLine="480" w:firstLineChars="200"/>
        <w:rPr>
          <w:b w:val="0"/>
          <w:bCs w:val="0"/>
          <w:sz w:val="24"/>
          <w:u w:val="none"/>
        </w:rPr>
      </w:pPr>
      <w:r>
        <w:rPr>
          <w:b w:val="0"/>
          <w:bCs w:val="0"/>
          <w:sz w:val="24"/>
          <w:u w:val="none"/>
        </w:rPr>
        <w:t>B、高温阶段</w:t>
      </w:r>
    </w:p>
    <w:p>
      <w:pPr>
        <w:adjustRightInd w:val="0"/>
        <w:snapToGrid w:val="0"/>
        <w:spacing w:line="520" w:lineRule="exact"/>
        <w:ind w:firstLine="480" w:firstLineChars="200"/>
        <w:rPr>
          <w:b w:val="0"/>
          <w:bCs w:val="0"/>
          <w:sz w:val="24"/>
          <w:u w:val="none"/>
        </w:rPr>
      </w:pPr>
      <w:r>
        <w:rPr>
          <w:b w:val="0"/>
          <w:bCs w:val="0"/>
          <w:sz w:val="24"/>
          <w:u w:val="none"/>
        </w:rPr>
        <w:t>堆温升至45</w:t>
      </w:r>
      <w:r>
        <w:rPr>
          <w:rFonts w:hint="eastAsia" w:ascii="宋体" w:hAnsi="宋体" w:cs="宋体"/>
          <w:b w:val="0"/>
          <w:bCs w:val="0"/>
          <w:sz w:val="24"/>
          <w:u w:val="none"/>
        </w:rPr>
        <w:t>℃</w:t>
      </w:r>
      <w:r>
        <w:rPr>
          <w:b w:val="0"/>
          <w:bCs w:val="0"/>
          <w:sz w:val="24"/>
          <w:u w:val="none"/>
        </w:rPr>
        <w:t>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w:t>
      </w:r>
      <w:r>
        <w:rPr>
          <w:rFonts w:hint="eastAsia" w:ascii="宋体" w:hAnsi="宋体" w:cs="宋体"/>
          <w:b w:val="0"/>
          <w:bCs w:val="0"/>
          <w:sz w:val="24"/>
          <w:u w:val="none"/>
        </w:rPr>
        <w:t>℃</w:t>
      </w:r>
      <w:r>
        <w:rPr>
          <w:b w:val="0"/>
          <w:bCs w:val="0"/>
          <w:sz w:val="24"/>
          <w:u w:val="none"/>
        </w:rPr>
        <w:t>左右时最活跃的是嗜热性真菌和放线菌，温度上升到60</w:t>
      </w:r>
      <w:r>
        <w:rPr>
          <w:rFonts w:hint="eastAsia" w:ascii="宋体" w:hAnsi="宋体" w:cs="宋体"/>
          <w:b w:val="0"/>
          <w:bCs w:val="0"/>
          <w:sz w:val="24"/>
          <w:u w:val="none"/>
        </w:rPr>
        <w:t>℃</w:t>
      </w:r>
      <w:r>
        <w:rPr>
          <w:b w:val="0"/>
          <w:bCs w:val="0"/>
          <w:sz w:val="24"/>
          <w:u w:val="none"/>
        </w:rPr>
        <w:t>时真菌几乎完全停止活动，仅有嗜热性细菌和放线菌活动，温度升到70</w:t>
      </w:r>
      <w:r>
        <w:rPr>
          <w:rFonts w:hint="eastAsia" w:ascii="宋体" w:hAnsi="宋体" w:cs="宋体"/>
          <w:b w:val="0"/>
          <w:bCs w:val="0"/>
          <w:sz w:val="24"/>
          <w:u w:val="none"/>
        </w:rPr>
        <w:t>℃</w:t>
      </w:r>
      <w:r>
        <w:rPr>
          <w:b w:val="0"/>
          <w:bCs w:val="0"/>
          <w:sz w:val="24"/>
          <w:u w:val="none"/>
        </w:rPr>
        <w:t>时大多数嗜热性微生物已不再适应，并大批进入休眠和死亡阶段。</w:t>
      </w:r>
    </w:p>
    <w:p>
      <w:pPr>
        <w:adjustRightInd w:val="0"/>
        <w:snapToGrid w:val="0"/>
        <w:spacing w:line="520" w:lineRule="exact"/>
        <w:ind w:firstLine="480" w:firstLineChars="200"/>
        <w:rPr>
          <w:b w:val="0"/>
          <w:bCs w:val="0"/>
          <w:sz w:val="24"/>
          <w:u w:val="none"/>
        </w:rPr>
      </w:pPr>
      <w:r>
        <w:rPr>
          <w:b w:val="0"/>
          <w:bCs w:val="0"/>
          <w:sz w:val="24"/>
          <w:u w:val="none"/>
        </w:rPr>
        <w:t>公司采用现代化的工艺生产有机肥基肥，最佳温度为55</w:t>
      </w:r>
      <w:r>
        <w:rPr>
          <w:rFonts w:hint="eastAsia" w:ascii="宋体" w:hAnsi="宋体" w:cs="宋体"/>
          <w:b w:val="0"/>
          <w:bCs w:val="0"/>
          <w:sz w:val="24"/>
          <w:u w:val="none"/>
        </w:rPr>
        <w:t>℃</w:t>
      </w:r>
      <w:r>
        <w:rPr>
          <w:b w:val="0"/>
          <w:bCs w:val="0"/>
          <w:sz w:val="24"/>
          <w:u w:val="none"/>
        </w:rPr>
        <w:t>，这是因为大多数微生物在该温度范围内最活跃，最易分解有机物，而病原菌和寄生虫大多数可被杀死。</w:t>
      </w:r>
    </w:p>
    <w:p>
      <w:pPr>
        <w:adjustRightInd w:val="0"/>
        <w:snapToGrid w:val="0"/>
        <w:spacing w:line="520" w:lineRule="exact"/>
        <w:ind w:firstLine="480" w:firstLineChars="200"/>
        <w:rPr>
          <w:b w:val="0"/>
          <w:bCs w:val="0"/>
          <w:sz w:val="24"/>
          <w:u w:val="none"/>
        </w:rPr>
      </w:pPr>
      <w:r>
        <w:rPr>
          <w:b w:val="0"/>
          <w:bCs w:val="0"/>
          <w:sz w:val="24"/>
          <w:u w:val="none"/>
        </w:rPr>
        <w:t>C、降温阶段</w:t>
      </w:r>
    </w:p>
    <w:p>
      <w:pPr>
        <w:adjustRightInd w:val="0"/>
        <w:snapToGrid w:val="0"/>
        <w:spacing w:line="520" w:lineRule="exact"/>
        <w:ind w:firstLine="480" w:firstLineChars="200"/>
        <w:rPr>
          <w:b w:val="0"/>
          <w:bCs w:val="0"/>
          <w:sz w:val="24"/>
          <w:u w:val="none"/>
        </w:rPr>
      </w:pPr>
      <w:r>
        <w:rPr>
          <w:b w:val="0"/>
          <w:bCs w:val="0"/>
          <w:sz w:val="24"/>
          <w:u w:val="none"/>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pPr>
        <w:adjustRightInd w:val="0"/>
        <w:snapToGrid w:val="0"/>
        <w:spacing w:line="520" w:lineRule="exact"/>
        <w:ind w:firstLine="480" w:firstLineChars="200"/>
        <w:rPr>
          <w:b w:val="0"/>
          <w:bCs w:val="0"/>
          <w:sz w:val="24"/>
          <w:u w:val="none"/>
        </w:rPr>
      </w:pPr>
      <w:r>
        <w:rPr>
          <w:b w:val="0"/>
          <w:bCs w:val="0"/>
          <w:sz w:val="24"/>
          <w:u w:val="none"/>
        </w:rPr>
        <w:t>D、腐熟保肥阶段</w:t>
      </w:r>
    </w:p>
    <w:p>
      <w:pPr>
        <w:adjustRightInd w:val="0"/>
        <w:snapToGrid w:val="0"/>
        <w:spacing w:line="520" w:lineRule="exact"/>
        <w:ind w:firstLine="480" w:firstLineChars="200"/>
        <w:rPr>
          <w:b w:val="0"/>
          <w:bCs w:val="0"/>
          <w:sz w:val="24"/>
          <w:u w:val="none"/>
        </w:rPr>
      </w:pPr>
      <w:r>
        <w:rPr>
          <w:b w:val="0"/>
          <w:bCs w:val="0"/>
          <w:sz w:val="24"/>
          <w:u w:val="none"/>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发酵后的固体有机肥，经过腐熟度检测、质量检测、安全检测后在发酵场通过自然风干、晾晒等方法把含水量降至30%以下，然后进行人工装袋，外售。</w:t>
      </w:r>
    </w:p>
    <w:p>
      <w:pPr>
        <w:spacing w:line="520" w:lineRule="exact"/>
        <w:ind w:firstLine="480" w:firstLineChars="200"/>
        <w:rPr>
          <w:b w:val="0"/>
          <w:bCs w:val="0"/>
          <w:sz w:val="24"/>
          <w:u w:val="none"/>
        </w:rPr>
      </w:pPr>
      <w:r>
        <w:rPr>
          <w:b w:val="0"/>
          <w:bCs w:val="0"/>
          <w:sz w:val="24"/>
          <w:u w:val="none"/>
        </w:rPr>
        <w:t>本项目拟选取有机肥肥料工艺流程如下：</w:t>
      </w:r>
    </w:p>
    <w:p>
      <w:pPr>
        <w:rPr>
          <w:b w:val="0"/>
          <w:bCs w:val="0"/>
          <w:sz w:val="24"/>
          <w:u w:val="none"/>
        </w:rPr>
      </w:pPr>
      <w:r>
        <w:rPr>
          <w:b w:val="0"/>
          <w:bCs w:val="0"/>
          <w:sz w:val="24"/>
          <w:u w:val="none"/>
        </w:rPr>
        <w:pict>
          <v:rect id="_x0000_s2141" o:spid="_x0000_s2141" o:spt="1" style="position:absolute;left:0pt;margin-left:342.15pt;margin-top:45.05pt;height:24.75pt;width:87pt;z-index:251750400;mso-width-relative:page;mso-height-relative:page;" coordsize="21600,21600">
            <v:path/>
            <v:fill focussize="0,0"/>
            <v:stroke/>
            <v:imagedata o:title=""/>
            <o:lock v:ext="edit"/>
            <v:textbox>
              <w:txbxContent>
                <w:p>
                  <w:pPr>
                    <w:rPr>
                      <w:b/>
                      <w:bCs/>
                    </w:rPr>
                  </w:pPr>
                  <w:r>
                    <w:rPr>
                      <w:rFonts w:hint="eastAsia"/>
                      <w:b/>
                      <w:bCs/>
                    </w:rPr>
                    <w:t>有机肥基肥料</w:t>
                  </w:r>
                </w:p>
              </w:txbxContent>
            </v:textbox>
          </v:rect>
        </w:pict>
      </w:r>
      <w:r>
        <w:rPr>
          <w:b w:val="0"/>
          <w:bCs w:val="0"/>
          <w:sz w:val="24"/>
          <w:u w:val="none"/>
        </w:rPr>
        <w:pict>
          <v:rect id="_x0000_s2142" o:spid="_x0000_s2142" o:spt="1" style="position:absolute;left:0pt;margin-left:-6.6pt;margin-top:19.55pt;height:25.5pt;width:75.75pt;z-index:251749376;mso-width-relative:page;mso-height-relative:page;" stroked="f" coordsize="21600,21600">
            <v:path/>
            <v:fill focussize="0,0"/>
            <v:stroke on="f"/>
            <v:imagedata o:title=""/>
            <o:lock v:ext="edit"/>
            <v:textbox>
              <w:txbxContent>
                <w:p>
                  <w:pPr>
                    <w:rPr>
                      <w:b/>
                      <w:bCs/>
                    </w:rPr>
                  </w:pPr>
                  <w:r>
                    <w:rPr>
                      <w:rFonts w:hint="eastAsia"/>
                      <w:b/>
                      <w:bCs/>
                    </w:rPr>
                    <w:t>半成品肥料</w:t>
                  </w:r>
                </w:p>
              </w:txbxContent>
            </v:textbox>
          </v:rect>
        </w:pict>
      </w:r>
      <w:r>
        <w:rPr>
          <w:b w:val="0"/>
          <w:bCs w:val="0"/>
          <w:sz w:val="24"/>
          <w:u w:val="none"/>
        </w:rPr>
        <w:drawing>
          <wp:inline distT="0" distB="0" distL="0" distR="0">
            <wp:extent cx="5305425" cy="1104900"/>
            <wp:effectExtent l="19050" t="0" r="9525" b="0"/>
            <wp:docPr id="23" name="图片 7" descr="C:\Users\wl\AppData\Local\Temp\1544665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wl\AppData\Local\Temp\1544665736(1).png"/>
                    <pic:cNvPicPr>
                      <a:picLocks noChangeAspect="1" noChangeArrowheads="1"/>
                    </pic:cNvPicPr>
                  </pic:nvPicPr>
                  <pic:blipFill>
                    <a:blip r:embed="rId13" cstate="print"/>
                    <a:srcRect/>
                    <a:stretch>
                      <a:fillRect/>
                    </a:stretch>
                  </pic:blipFill>
                  <pic:spPr>
                    <a:xfrm>
                      <a:off x="0" y="0"/>
                      <a:ext cx="5305425" cy="1104900"/>
                    </a:xfrm>
                    <a:prstGeom prst="rect">
                      <a:avLst/>
                    </a:prstGeom>
                    <a:noFill/>
                    <a:ln w="9525">
                      <a:noFill/>
                      <a:miter lim="800000"/>
                      <a:headEnd/>
                      <a:tailEnd/>
                    </a:ln>
                  </pic:spPr>
                </pic:pic>
              </a:graphicData>
            </a:graphic>
          </wp:inline>
        </w:drawing>
      </w:r>
    </w:p>
    <w:p>
      <w:pPr>
        <w:spacing w:afterLines="30" w:line="500" w:lineRule="exact"/>
        <w:jc w:val="center"/>
        <w:rPr>
          <w:b w:val="0"/>
          <w:bCs w:val="0"/>
          <w:sz w:val="24"/>
          <w:u w:val="none"/>
        </w:rPr>
      </w:pPr>
      <w:r>
        <w:rPr>
          <w:b w:val="0"/>
          <w:bCs w:val="0"/>
          <w:sz w:val="24"/>
          <w:u w:val="none"/>
        </w:rPr>
        <w:t>图</w:t>
      </w:r>
      <w:r>
        <w:rPr>
          <w:rFonts w:hint="eastAsia"/>
          <w:b w:val="0"/>
          <w:bCs w:val="0"/>
          <w:sz w:val="24"/>
          <w:u w:val="none"/>
          <w:lang w:val="en-US" w:eastAsia="zh-CN"/>
        </w:rPr>
        <w:t>2</w:t>
      </w:r>
      <w:r>
        <w:rPr>
          <w:b w:val="0"/>
          <w:bCs w:val="0"/>
          <w:sz w:val="24"/>
          <w:u w:val="none"/>
        </w:rPr>
        <w:t>.2-7   制肥工艺流程及产污环节图</w:t>
      </w:r>
    </w:p>
    <w:p>
      <w:pPr>
        <w:spacing w:line="520" w:lineRule="exact"/>
        <w:ind w:firstLine="480" w:firstLineChars="200"/>
        <w:rPr>
          <w:b w:val="0"/>
          <w:bCs w:val="0"/>
          <w:sz w:val="24"/>
          <w:u w:val="none"/>
        </w:rPr>
      </w:pPr>
      <w:r>
        <w:rPr>
          <w:b w:val="0"/>
          <w:bCs w:val="0"/>
          <w:sz w:val="24"/>
          <w:u w:val="none"/>
        </w:rPr>
        <w:t>本项目设置1个固粪处置区（有机肥基肥料生产车间），固粪处置区三面设置1米高围挡，顶部设置顶棚，地面水泥混凝土硬化，能够有效起到防风、防雨、防渗的三防作用（具体布设见附图四厂区平面布置图）。</w:t>
      </w:r>
    </w:p>
    <w:p>
      <w:pPr>
        <w:spacing w:line="520" w:lineRule="exact"/>
        <w:ind w:firstLine="480" w:firstLineChars="200"/>
        <w:rPr>
          <w:b w:val="0"/>
          <w:bCs w:val="0"/>
          <w:sz w:val="24"/>
          <w:u w:val="none"/>
        </w:rPr>
      </w:pPr>
      <w:r>
        <w:rPr>
          <w:b w:val="0"/>
          <w:bCs w:val="0"/>
          <w:sz w:val="24"/>
          <w:u w:val="none"/>
        </w:rPr>
        <w:t>项目猪粪、沼渣暂存依托项目固粪处置区分区存放，根据后续分析，本次项目固粪处理区猪粪量为</w:t>
      </w:r>
      <w:r>
        <w:rPr>
          <w:rFonts w:hint="eastAsia"/>
          <w:b w:val="0"/>
          <w:bCs w:val="0"/>
          <w:sz w:val="24"/>
          <w:u w:val="none"/>
          <w:lang w:val="en-US" w:eastAsia="zh-CN"/>
        </w:rPr>
        <w:t>3</w:t>
      </w:r>
      <w:r>
        <w:rPr>
          <w:rFonts w:hint="eastAsia"/>
          <w:b w:val="0"/>
          <w:bCs w:val="0"/>
          <w:color w:val="000000"/>
          <w:sz w:val="24"/>
          <w:u w:val="none"/>
          <w:lang w:val="en-US" w:eastAsia="zh-CN"/>
        </w:rPr>
        <w:t>28.38</w:t>
      </w:r>
      <w:r>
        <w:rPr>
          <w:b w:val="0"/>
          <w:bCs w:val="0"/>
          <w:sz w:val="24"/>
          <w:u w:val="none"/>
        </w:rPr>
        <w:t>t/a（含水率</w:t>
      </w:r>
      <w:r>
        <w:rPr>
          <w:rFonts w:hint="eastAsia"/>
          <w:b w:val="0"/>
          <w:bCs w:val="0"/>
          <w:sz w:val="24"/>
          <w:u w:val="none"/>
          <w:lang w:val="en-US" w:eastAsia="zh-CN"/>
        </w:rPr>
        <w:t>5</w:t>
      </w:r>
      <w:r>
        <w:rPr>
          <w:b w:val="0"/>
          <w:bCs w:val="0"/>
          <w:sz w:val="24"/>
          <w:u w:val="none"/>
        </w:rPr>
        <w:t>5%），通过接种少量菌种（约2.0t/a）和发酵的半成品猪粪发酵生成有机肥基肥，发酵后的固体有机肥基肥料，经过腐熟度检测、质量检测、安全检测后在通过自然风干、晾晒等方法把含水量降至30%以下，</w:t>
      </w:r>
      <w:r>
        <w:rPr>
          <w:b w:val="0"/>
          <w:bCs w:val="0"/>
          <w:color w:val="000000"/>
          <w:sz w:val="24"/>
          <w:u w:val="none"/>
        </w:rPr>
        <w:t>然后称重后工人用铁锨装入40kg的袋中，经过封袋机封口后统一经货车拉走外售。</w:t>
      </w:r>
      <w:r>
        <w:rPr>
          <w:b w:val="0"/>
          <w:bCs w:val="0"/>
          <w:sz w:val="24"/>
          <w:u w:val="none"/>
        </w:rPr>
        <w:t>最终有机肥基肥料的产量为</w:t>
      </w:r>
      <w:r>
        <w:rPr>
          <w:rFonts w:hint="eastAsia"/>
          <w:b w:val="0"/>
          <w:bCs w:val="0"/>
          <w:sz w:val="24"/>
          <w:u w:val="none"/>
          <w:lang w:val="en-US" w:eastAsia="zh-CN"/>
        </w:rPr>
        <w:t>88.66</w:t>
      </w:r>
      <w:r>
        <w:rPr>
          <w:b w:val="0"/>
          <w:bCs w:val="0"/>
          <w:sz w:val="24"/>
          <w:u w:val="none"/>
        </w:rPr>
        <w:t>t/a。</w:t>
      </w:r>
    </w:p>
    <w:p>
      <w:pPr>
        <w:spacing w:line="520" w:lineRule="exact"/>
        <w:ind w:firstLine="480" w:firstLineChars="200"/>
        <w:rPr>
          <w:rFonts w:hint="default"/>
          <w:b w:val="0"/>
          <w:bCs w:val="0"/>
          <w:sz w:val="24"/>
          <w:u w:val="none"/>
          <w:lang w:val="en-US" w:eastAsia="zh-CN"/>
        </w:rPr>
      </w:pPr>
      <w:r>
        <w:rPr>
          <w:rFonts w:hint="eastAsia"/>
          <w:b w:val="0"/>
          <w:bCs w:val="0"/>
          <w:sz w:val="24"/>
          <w:u w:val="none"/>
          <w:lang w:eastAsia="zh-CN"/>
        </w:rPr>
        <w:t>（</w:t>
      </w:r>
      <w:r>
        <w:rPr>
          <w:rFonts w:hint="eastAsia"/>
          <w:b w:val="0"/>
          <w:bCs w:val="0"/>
          <w:sz w:val="24"/>
          <w:u w:val="none"/>
          <w:lang w:val="en-US" w:eastAsia="zh-CN"/>
        </w:rPr>
        <w:t>3</w:t>
      </w:r>
      <w:r>
        <w:rPr>
          <w:rFonts w:hint="eastAsia"/>
          <w:b w:val="0"/>
          <w:bCs w:val="0"/>
          <w:sz w:val="24"/>
          <w:u w:val="none"/>
          <w:lang w:eastAsia="zh-CN"/>
        </w:rPr>
        <w:t>）</w:t>
      </w:r>
      <w:r>
        <w:rPr>
          <w:rFonts w:hint="eastAsia"/>
          <w:b w:val="0"/>
          <w:bCs w:val="0"/>
          <w:sz w:val="24"/>
          <w:u w:val="none"/>
          <w:lang w:val="en-US" w:eastAsia="zh-CN"/>
        </w:rPr>
        <w:t>有机肥产品标准</w:t>
      </w:r>
    </w:p>
    <w:p>
      <w:pPr>
        <w:spacing w:line="520" w:lineRule="exact"/>
        <w:ind w:firstLine="480" w:firstLineChars="200"/>
        <w:rPr>
          <w:rFonts w:hint="eastAsia" w:hAnsi="宋体"/>
          <w:sz w:val="24"/>
        </w:rPr>
      </w:pPr>
      <w:r>
        <w:rPr>
          <w:rFonts w:hAnsi="宋体"/>
          <w:sz w:val="24"/>
        </w:rPr>
        <w:t>本项目有机肥产品标准见表</w:t>
      </w:r>
      <w:r>
        <w:rPr>
          <w:rFonts w:hint="eastAsia" w:hAnsi="宋体"/>
          <w:sz w:val="24"/>
        </w:rPr>
        <w:t>2</w:t>
      </w:r>
      <w:r>
        <w:rPr>
          <w:rFonts w:hAnsi="宋体"/>
          <w:sz w:val="24"/>
        </w:rPr>
        <w:t>.2-1。</w:t>
      </w:r>
    </w:p>
    <w:p>
      <w:pPr>
        <w:spacing w:line="520" w:lineRule="exact"/>
        <w:ind w:firstLine="1928" w:firstLineChars="800"/>
        <w:rPr>
          <w:rFonts w:hAnsi="宋体"/>
          <w:b/>
          <w:sz w:val="24"/>
        </w:rPr>
      </w:pPr>
      <w:r>
        <w:rPr>
          <w:rFonts w:hAnsi="宋体"/>
          <w:b/>
          <w:sz w:val="24"/>
        </w:rPr>
        <w:t>表</w:t>
      </w:r>
      <w:r>
        <w:rPr>
          <w:rFonts w:hint="eastAsia" w:hAnsi="宋体"/>
          <w:b/>
          <w:sz w:val="24"/>
        </w:rPr>
        <w:t>2</w:t>
      </w:r>
      <w:r>
        <w:rPr>
          <w:rFonts w:hAnsi="宋体"/>
          <w:b/>
          <w:sz w:val="24"/>
        </w:rPr>
        <w:t>.2-1      有机肥产品标准一览表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6"/>
        <w:gridCol w:w="69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0" w:type="pct"/>
            <w:noWrap w:val="0"/>
            <w:vAlign w:val="center"/>
          </w:tcPr>
          <w:p>
            <w:pPr>
              <w:ind w:firstLine="420" w:firstLineChars="200"/>
              <w:jc w:val="center"/>
              <w:rPr>
                <w:szCs w:val="21"/>
              </w:rPr>
            </w:pPr>
            <w:r>
              <w:rPr>
                <w:szCs w:val="21"/>
              </w:rPr>
              <w:t>项目</w:t>
            </w:r>
          </w:p>
        </w:tc>
        <w:tc>
          <w:tcPr>
            <w:tcW w:w="3890" w:type="pct"/>
            <w:noWrap w:val="0"/>
            <w:vAlign w:val="center"/>
          </w:tcPr>
          <w:p>
            <w:pPr>
              <w:ind w:firstLine="420" w:firstLineChars="200"/>
              <w:jc w:val="center"/>
              <w:rPr>
                <w:szCs w:val="21"/>
              </w:rPr>
            </w:pPr>
            <w:r>
              <w:rPr>
                <w:szCs w:val="21"/>
              </w:rPr>
              <w:t>产品标准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jc w:val="center"/>
              <w:rPr>
                <w:szCs w:val="21"/>
              </w:rPr>
            </w:pPr>
            <w:r>
              <w:rPr>
                <w:szCs w:val="21"/>
              </w:rPr>
              <w:t>产品形态、形状</w:t>
            </w:r>
          </w:p>
        </w:tc>
        <w:tc>
          <w:tcPr>
            <w:tcW w:w="3890" w:type="pct"/>
            <w:noWrap w:val="0"/>
            <w:vAlign w:val="center"/>
          </w:tcPr>
          <w:p>
            <w:pPr>
              <w:ind w:firstLine="420" w:firstLineChars="200"/>
              <w:jc w:val="center"/>
              <w:rPr>
                <w:szCs w:val="21"/>
              </w:rPr>
            </w:pPr>
            <w:r>
              <w:rPr>
                <w:szCs w:val="21"/>
              </w:rPr>
              <w:t>固态、粉状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noWrap w:val="0"/>
            <w:vAlign w:val="center"/>
          </w:tcPr>
          <w:p>
            <w:pPr>
              <w:jc w:val="center"/>
              <w:rPr>
                <w:szCs w:val="21"/>
              </w:rPr>
            </w:pPr>
            <w:r>
              <w:rPr>
                <w:szCs w:val="21"/>
              </w:rPr>
              <w:t>产品外观</w:t>
            </w:r>
          </w:p>
        </w:tc>
        <w:tc>
          <w:tcPr>
            <w:tcW w:w="3890" w:type="pct"/>
            <w:noWrap w:val="0"/>
            <w:vAlign w:val="center"/>
          </w:tcPr>
          <w:p>
            <w:pPr>
              <w:ind w:firstLine="420" w:firstLineChars="200"/>
              <w:jc w:val="center"/>
              <w:rPr>
                <w:szCs w:val="21"/>
              </w:rPr>
            </w:pPr>
            <w:r>
              <w:rPr>
                <w:szCs w:val="21"/>
              </w:rPr>
              <w:t>茶褐色或黑褐色、无恶臭、质地松散，具有泥土气味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restart"/>
            <w:noWrap w:val="0"/>
            <w:vAlign w:val="center"/>
          </w:tcPr>
          <w:p>
            <w:pPr>
              <w:jc w:val="center"/>
              <w:rPr>
                <w:szCs w:val="21"/>
              </w:rPr>
            </w:pPr>
            <w:r>
              <w:rPr>
                <w:szCs w:val="21"/>
              </w:rPr>
              <w:t>产品性能指标</w:t>
            </w:r>
          </w:p>
        </w:tc>
        <w:tc>
          <w:tcPr>
            <w:tcW w:w="3890" w:type="pct"/>
            <w:noWrap w:val="0"/>
            <w:vAlign w:val="center"/>
          </w:tcPr>
          <w:p>
            <w:pPr>
              <w:ind w:firstLine="420" w:firstLineChars="200"/>
              <w:jc w:val="center"/>
              <w:rPr>
                <w:szCs w:val="21"/>
              </w:rPr>
            </w:pPr>
            <w:r>
              <w:rPr>
                <w:szCs w:val="21"/>
              </w:rPr>
              <w:t>含水率≤30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continue"/>
            <w:noWrap w:val="0"/>
            <w:vAlign w:val="center"/>
          </w:tcPr>
          <w:p>
            <w:pPr>
              <w:ind w:firstLine="420" w:firstLineChars="200"/>
              <w:jc w:val="center"/>
              <w:rPr>
                <w:szCs w:val="21"/>
              </w:rPr>
            </w:pPr>
          </w:p>
        </w:tc>
        <w:tc>
          <w:tcPr>
            <w:tcW w:w="3890" w:type="pct"/>
            <w:noWrap w:val="0"/>
            <w:vAlign w:val="center"/>
          </w:tcPr>
          <w:p>
            <w:pPr>
              <w:ind w:firstLine="420" w:firstLineChars="200"/>
              <w:jc w:val="center"/>
              <w:rPr>
                <w:szCs w:val="21"/>
              </w:rPr>
            </w:pPr>
            <w:r>
              <w:rPr>
                <w:szCs w:val="21"/>
              </w:rPr>
              <w:t>碳氮比（C/N）≤20：1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continue"/>
            <w:noWrap w:val="0"/>
            <w:vAlign w:val="center"/>
          </w:tcPr>
          <w:p>
            <w:pPr>
              <w:ind w:firstLine="420" w:firstLineChars="200"/>
              <w:jc w:val="center"/>
              <w:rPr>
                <w:szCs w:val="21"/>
              </w:rPr>
            </w:pPr>
          </w:p>
        </w:tc>
        <w:tc>
          <w:tcPr>
            <w:tcW w:w="3890" w:type="pct"/>
            <w:noWrap w:val="0"/>
            <w:vAlign w:val="center"/>
          </w:tcPr>
          <w:p>
            <w:pPr>
              <w:ind w:firstLine="420" w:firstLineChars="200"/>
              <w:jc w:val="center"/>
              <w:rPr>
                <w:szCs w:val="21"/>
              </w:rPr>
            </w:pPr>
            <w:r>
              <w:rPr>
                <w:szCs w:val="21"/>
              </w:rPr>
              <w:t>腐熟度≥</w:t>
            </w:r>
            <w:r>
              <w:rPr>
                <w:rFonts w:hint="eastAsia" w:ascii="宋体" w:hAnsi="宋体" w:cs="宋体"/>
                <w:szCs w:val="21"/>
              </w:rPr>
              <w:t>Ⅳ</w:t>
            </w:r>
            <w:r>
              <w:rPr>
                <w:szCs w:val="21"/>
              </w:rPr>
              <w:t>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continue"/>
            <w:noWrap w:val="0"/>
            <w:vAlign w:val="center"/>
          </w:tcPr>
          <w:p>
            <w:pPr>
              <w:ind w:firstLine="420" w:firstLineChars="200"/>
              <w:jc w:val="center"/>
              <w:rPr>
                <w:szCs w:val="21"/>
              </w:rPr>
            </w:pPr>
          </w:p>
        </w:tc>
        <w:tc>
          <w:tcPr>
            <w:tcW w:w="3890" w:type="pct"/>
            <w:noWrap w:val="0"/>
            <w:vAlign w:val="center"/>
          </w:tcPr>
          <w:p>
            <w:pPr>
              <w:ind w:firstLine="420" w:firstLineChars="200"/>
              <w:jc w:val="center"/>
              <w:rPr>
                <w:szCs w:val="21"/>
              </w:rPr>
            </w:pPr>
            <w:r>
              <w:rPr>
                <w:szCs w:val="21"/>
              </w:rPr>
              <w:t>含盐量1%～2%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continue"/>
            <w:noWrap w:val="0"/>
            <w:vAlign w:val="center"/>
          </w:tcPr>
          <w:p>
            <w:pPr>
              <w:ind w:firstLine="420" w:firstLineChars="200"/>
              <w:jc w:val="center"/>
              <w:rPr>
                <w:szCs w:val="21"/>
              </w:rPr>
            </w:pPr>
          </w:p>
        </w:tc>
        <w:tc>
          <w:tcPr>
            <w:tcW w:w="3890" w:type="pct"/>
            <w:noWrap w:val="0"/>
            <w:vAlign w:val="center"/>
          </w:tcPr>
          <w:p>
            <w:pPr>
              <w:ind w:firstLine="420" w:firstLineChars="200"/>
              <w:jc w:val="center"/>
              <w:rPr>
                <w:szCs w:val="21"/>
              </w:rPr>
            </w:pPr>
            <w:r>
              <w:rPr>
                <w:szCs w:val="21"/>
              </w:rPr>
              <w:t>蛔虫卵死亡率≥95%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continue"/>
            <w:noWrap w:val="0"/>
            <w:vAlign w:val="center"/>
          </w:tcPr>
          <w:p>
            <w:pPr>
              <w:ind w:firstLine="420" w:firstLineChars="200"/>
              <w:jc w:val="center"/>
              <w:rPr>
                <w:szCs w:val="21"/>
              </w:rPr>
            </w:pPr>
          </w:p>
        </w:tc>
        <w:tc>
          <w:tcPr>
            <w:tcW w:w="3890" w:type="pct"/>
            <w:noWrap w:val="0"/>
            <w:vAlign w:val="center"/>
          </w:tcPr>
          <w:p>
            <w:pPr>
              <w:ind w:firstLine="420" w:firstLineChars="200"/>
              <w:jc w:val="center"/>
              <w:rPr>
                <w:szCs w:val="21"/>
              </w:rPr>
            </w:pPr>
            <w:r>
              <w:rPr>
                <w:szCs w:val="21"/>
              </w:rPr>
              <w:t>粪大肠菌群数≤105个/kg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0" w:type="pct"/>
            <w:vMerge w:val="continue"/>
            <w:noWrap w:val="0"/>
            <w:vAlign w:val="center"/>
          </w:tcPr>
          <w:p>
            <w:pPr>
              <w:ind w:firstLine="420" w:firstLineChars="200"/>
              <w:jc w:val="center"/>
              <w:rPr>
                <w:szCs w:val="21"/>
              </w:rPr>
            </w:pPr>
          </w:p>
        </w:tc>
        <w:tc>
          <w:tcPr>
            <w:tcW w:w="3890" w:type="pct"/>
            <w:noWrap w:val="0"/>
            <w:vAlign w:val="center"/>
          </w:tcPr>
          <w:p>
            <w:pPr>
              <w:ind w:firstLine="420" w:firstLineChars="200"/>
              <w:jc w:val="center"/>
              <w:rPr>
                <w:szCs w:val="21"/>
              </w:rPr>
            </w:pPr>
            <w:r>
              <w:rPr>
                <w:szCs w:val="21"/>
              </w:rPr>
              <w:t>苍蝇：有效地控制苍蝇孽生，堆体周围无活的蛆、蛹或新羽化的成蝇</w:t>
            </w:r>
          </w:p>
        </w:tc>
      </w:tr>
    </w:tbl>
    <w:p>
      <w:pPr>
        <w:spacing w:line="520" w:lineRule="exact"/>
        <w:ind w:firstLine="480" w:firstLineChars="200"/>
        <w:rPr>
          <w:b w:val="0"/>
          <w:bCs w:val="0"/>
          <w:sz w:val="24"/>
          <w:u w:val="none"/>
        </w:rPr>
      </w:pPr>
      <w:r>
        <w:rPr>
          <w:b w:val="0"/>
          <w:bCs w:val="0"/>
          <w:sz w:val="24"/>
          <w:u w:val="none"/>
          <w:lang w:val="en-US" w:eastAsia="zh-CN"/>
        </w:rPr>
        <w:t>发酵生产的有机肥应能够满足《畜禽粪便无害化处理技术规范》（NY/T1168-2006）中表1粪便无害化卫生学要求以及《畜禽养殖业污染治理工程技术规范》（HJ 497－2009）中第8.2.7款要求。</w:t>
      </w:r>
    </w:p>
    <w:p>
      <w:pPr>
        <w:pStyle w:val="8"/>
        <w:spacing w:before="0" w:after="0" w:line="520" w:lineRule="exact"/>
        <w:rPr>
          <w:rFonts w:hint="eastAsia"/>
          <w:bCs/>
          <w:sz w:val="24"/>
          <w:szCs w:val="24"/>
          <w:lang w:val="en-US" w:eastAsia="zh-CN"/>
        </w:rPr>
      </w:pPr>
      <w:bookmarkStart w:id="115" w:name="_Toc28534"/>
      <w:bookmarkStart w:id="116" w:name="_Toc31308"/>
      <w:bookmarkStart w:id="117" w:name="_Toc485996377"/>
      <w:bookmarkStart w:id="118" w:name="_Toc445457720"/>
      <w:r>
        <w:rPr>
          <w:rFonts w:hint="eastAsia"/>
          <w:bCs/>
          <w:sz w:val="24"/>
          <w:szCs w:val="24"/>
          <w:lang w:val="en-US" w:eastAsia="zh-CN"/>
        </w:rPr>
        <w:t>2.2.3.6卫生防疫系统</w:t>
      </w:r>
    </w:p>
    <w:p>
      <w:pPr>
        <w:spacing w:line="520" w:lineRule="exact"/>
        <w:ind w:firstLine="480" w:firstLineChars="200"/>
        <w:rPr>
          <w:b w:val="0"/>
          <w:bCs w:val="0"/>
          <w:sz w:val="24"/>
          <w:u w:val="none"/>
        </w:rPr>
      </w:pPr>
      <w:r>
        <w:rPr>
          <w:rFonts w:hint="eastAsia"/>
          <w:b w:val="0"/>
          <w:bCs w:val="0"/>
          <w:sz w:val="24"/>
          <w:u w:val="none"/>
          <w:lang w:eastAsia="zh-CN"/>
        </w:rPr>
        <w:t>（</w:t>
      </w:r>
      <w:r>
        <w:rPr>
          <w:rFonts w:hint="eastAsia"/>
          <w:b w:val="0"/>
          <w:bCs w:val="0"/>
          <w:sz w:val="24"/>
          <w:u w:val="none"/>
          <w:lang w:val="en-US" w:eastAsia="zh-CN"/>
        </w:rPr>
        <w:t>1</w:t>
      </w:r>
      <w:r>
        <w:rPr>
          <w:rFonts w:hint="eastAsia"/>
          <w:b w:val="0"/>
          <w:bCs w:val="0"/>
          <w:sz w:val="24"/>
          <w:u w:val="none"/>
          <w:lang w:eastAsia="zh-CN"/>
        </w:rPr>
        <w:t>）</w:t>
      </w:r>
      <w:r>
        <w:rPr>
          <w:b w:val="0"/>
          <w:bCs w:val="0"/>
          <w:sz w:val="24"/>
          <w:u w:val="none"/>
        </w:rPr>
        <w:t>卫生防疫(猪舍、人员、车辆消毒)</w:t>
      </w:r>
    </w:p>
    <w:p>
      <w:pPr>
        <w:spacing w:line="520" w:lineRule="exact"/>
        <w:ind w:firstLine="480" w:firstLineChars="200"/>
        <w:rPr>
          <w:b w:val="0"/>
          <w:bCs w:val="0"/>
          <w:sz w:val="24"/>
          <w:u w:val="none"/>
        </w:rPr>
      </w:pPr>
      <w:r>
        <w:rPr>
          <w:b w:val="0"/>
          <w:bCs w:val="0"/>
          <w:sz w:val="24"/>
          <w:u w:val="none"/>
        </w:rPr>
        <w:t>在猪出栏后，通过高压水枪喷淋过氧乙酸对猪舍进行消毒处理，发生特别疫情时用高锰酸钾消毒液进行消毒处理。场内部养殖区、办公生活区建设实体隔离墙；场区内人员通过密封通道到达猪舍单元，饲料车和其它车辆通过专门道路到达指定区域；场区、生产场区大门口建设与门同宽，长18m，宽3.5m的消毒池。</w:t>
      </w:r>
    </w:p>
    <w:p>
      <w:pPr>
        <w:spacing w:line="520" w:lineRule="exact"/>
        <w:ind w:firstLine="480" w:firstLineChars="200"/>
        <w:rPr>
          <w:b w:val="0"/>
          <w:bCs w:val="0"/>
          <w:sz w:val="24"/>
          <w:u w:val="none"/>
        </w:rPr>
      </w:pPr>
      <w:r>
        <w:rPr>
          <w:rFonts w:hint="eastAsia"/>
          <w:b w:val="0"/>
          <w:bCs w:val="0"/>
          <w:sz w:val="24"/>
          <w:u w:val="none"/>
          <w:lang w:eastAsia="zh-CN"/>
        </w:rPr>
        <w:t>（</w:t>
      </w:r>
      <w:r>
        <w:rPr>
          <w:rFonts w:hint="eastAsia"/>
          <w:b w:val="0"/>
          <w:bCs w:val="0"/>
          <w:sz w:val="24"/>
          <w:u w:val="none"/>
          <w:lang w:val="en-US" w:eastAsia="zh-CN"/>
        </w:rPr>
        <w:t>2</w:t>
      </w:r>
      <w:r>
        <w:rPr>
          <w:rFonts w:hint="eastAsia"/>
          <w:b w:val="0"/>
          <w:bCs w:val="0"/>
          <w:sz w:val="24"/>
          <w:u w:val="none"/>
          <w:lang w:eastAsia="zh-CN"/>
        </w:rPr>
        <w:t>）</w:t>
      </w:r>
      <w:r>
        <w:rPr>
          <w:b w:val="0"/>
          <w:bCs w:val="0"/>
          <w:sz w:val="24"/>
          <w:u w:val="none"/>
        </w:rPr>
        <w:t>消毒防疫管理制度</w:t>
      </w:r>
    </w:p>
    <w:p>
      <w:pPr>
        <w:spacing w:line="520" w:lineRule="exact"/>
        <w:ind w:firstLine="480" w:firstLineChars="200"/>
        <w:rPr>
          <w:b w:val="0"/>
          <w:bCs w:val="0"/>
          <w:sz w:val="24"/>
          <w:u w:val="none"/>
        </w:rPr>
      </w:pPr>
      <w:r>
        <w:rPr>
          <w:rFonts w:hint="eastAsia"/>
          <w:b w:val="0"/>
          <w:bCs w:val="0"/>
          <w:sz w:val="24"/>
          <w:u w:val="none"/>
        </w:rPr>
        <w:t>①</w:t>
      </w:r>
      <w:r>
        <w:rPr>
          <w:b w:val="0"/>
          <w:bCs w:val="0"/>
          <w:sz w:val="24"/>
          <w:u w:val="none"/>
        </w:rPr>
        <w:t>猪流管理制度</w:t>
      </w:r>
    </w:p>
    <w:p>
      <w:pPr>
        <w:adjustRightInd w:val="0"/>
        <w:snapToGrid w:val="0"/>
        <w:spacing w:line="360" w:lineRule="auto"/>
        <w:ind w:firstLine="523" w:firstLineChars="218"/>
        <w:rPr>
          <w:sz w:val="24"/>
        </w:rPr>
      </w:pPr>
      <w:r>
        <w:rPr>
          <w:sz w:val="24"/>
        </w:rPr>
        <w:t>段长之间要提前沟通，(哺乳转保育转育肥)。</w:t>
      </w:r>
    </w:p>
    <w:p>
      <w:pPr>
        <w:adjustRightInd w:val="0"/>
        <w:snapToGrid w:val="0"/>
        <w:spacing w:line="360" w:lineRule="auto"/>
        <w:ind w:firstLine="523" w:firstLineChars="218"/>
        <w:rPr>
          <w:sz w:val="24"/>
        </w:rPr>
      </w:pPr>
      <w:r>
        <w:rPr>
          <w:sz w:val="24"/>
        </w:rPr>
        <w:t>转猪群前先做好计划，安排好车辆，认真彻底消毒。</w:t>
      </w:r>
    </w:p>
    <w:p>
      <w:pPr>
        <w:adjustRightInd w:val="0"/>
        <w:snapToGrid w:val="0"/>
        <w:spacing w:line="360" w:lineRule="auto"/>
        <w:ind w:firstLine="523" w:firstLineChars="218"/>
        <w:rPr>
          <w:sz w:val="24"/>
        </w:rPr>
      </w:pPr>
      <w:r>
        <w:rPr>
          <w:sz w:val="24"/>
        </w:rPr>
        <w:t>死猪无害化处理——生产区内死亡猪尸体，应于同一天内妥善弃置于指定的区域内转走。</w:t>
      </w:r>
    </w:p>
    <w:p>
      <w:pPr>
        <w:adjustRightInd w:val="0"/>
        <w:snapToGrid w:val="0"/>
        <w:spacing w:line="360" w:lineRule="auto"/>
        <w:ind w:firstLine="523" w:firstLineChars="218"/>
        <w:rPr>
          <w:sz w:val="24"/>
        </w:rPr>
      </w:pPr>
      <w:r>
        <w:rPr>
          <w:rFonts w:hint="eastAsia" w:ascii="宋体" w:hAnsi="宋体" w:cs="宋体"/>
          <w:sz w:val="24"/>
        </w:rPr>
        <w:t>②</w:t>
      </w:r>
      <w:r>
        <w:rPr>
          <w:sz w:val="24"/>
        </w:rPr>
        <w:t>车流管理</w:t>
      </w:r>
    </w:p>
    <w:p>
      <w:pPr>
        <w:adjustRightInd w:val="0"/>
        <w:snapToGrid w:val="0"/>
        <w:spacing w:line="360" w:lineRule="auto"/>
        <w:ind w:firstLine="523" w:firstLineChars="218"/>
        <w:rPr>
          <w:sz w:val="24"/>
        </w:rPr>
      </w:pPr>
      <w:r>
        <w:rPr>
          <w:sz w:val="24"/>
        </w:rPr>
        <w:t>a、外部拉猪车</w:t>
      </w:r>
    </w:p>
    <w:p>
      <w:pPr>
        <w:adjustRightInd w:val="0"/>
        <w:snapToGrid w:val="0"/>
        <w:spacing w:line="360" w:lineRule="auto"/>
        <w:ind w:firstLine="523" w:firstLineChars="218"/>
        <w:rPr>
          <w:sz w:val="24"/>
        </w:rPr>
      </w:pPr>
      <w:r>
        <w:rPr>
          <w:sz w:val="24"/>
        </w:rPr>
        <w:t>包括种猪、商品猪、淘汰猪等运输车辆。</w:t>
      </w:r>
    </w:p>
    <w:p>
      <w:pPr>
        <w:adjustRightInd w:val="0"/>
        <w:snapToGrid w:val="0"/>
        <w:spacing w:line="360" w:lineRule="auto"/>
        <w:ind w:firstLine="523" w:firstLineChars="218"/>
        <w:rPr>
          <w:sz w:val="24"/>
        </w:rPr>
      </w:pPr>
      <w:r>
        <w:rPr>
          <w:sz w:val="24"/>
        </w:rPr>
        <w:t>活动范围：场外装猪台区域</w:t>
      </w:r>
    </w:p>
    <w:p>
      <w:pPr>
        <w:adjustRightInd w:val="0"/>
        <w:snapToGrid w:val="0"/>
        <w:spacing w:line="360" w:lineRule="auto"/>
        <w:ind w:firstLine="523" w:firstLineChars="218"/>
        <w:rPr>
          <w:sz w:val="24"/>
        </w:rPr>
      </w:pPr>
      <w:r>
        <w:rPr>
          <w:sz w:val="24"/>
        </w:rPr>
        <w:t>消毒要求：进场检查消毒情况，出示消毒凭证，装猪后及时清刷，消毒装猪台。必须根据车辆来源，运输猪的危险性做好相应的防控，避免车辆的接触，人员的接触，乃至车辆内物品，人员的衣物等的处理。</w:t>
      </w:r>
    </w:p>
    <w:p>
      <w:pPr>
        <w:adjustRightInd w:val="0"/>
        <w:snapToGrid w:val="0"/>
        <w:spacing w:line="360" w:lineRule="auto"/>
        <w:ind w:firstLine="523" w:firstLineChars="218"/>
        <w:rPr>
          <w:sz w:val="24"/>
        </w:rPr>
      </w:pPr>
      <w:r>
        <w:rPr>
          <w:sz w:val="24"/>
        </w:rPr>
        <w:t>b、公司送料车</w:t>
      </w:r>
    </w:p>
    <w:p>
      <w:pPr>
        <w:adjustRightInd w:val="0"/>
        <w:snapToGrid w:val="0"/>
        <w:spacing w:line="360" w:lineRule="auto"/>
        <w:ind w:firstLine="523" w:firstLineChars="218"/>
        <w:rPr>
          <w:sz w:val="24"/>
        </w:rPr>
      </w:pPr>
      <w:r>
        <w:rPr>
          <w:sz w:val="24"/>
        </w:rPr>
        <w:t>活动范围：生产区指定的路线</w:t>
      </w:r>
    </w:p>
    <w:p>
      <w:pPr>
        <w:adjustRightInd w:val="0"/>
        <w:snapToGrid w:val="0"/>
        <w:spacing w:line="360" w:lineRule="auto"/>
        <w:ind w:firstLine="523" w:firstLineChars="218"/>
        <w:rPr>
          <w:sz w:val="24"/>
        </w:rPr>
      </w:pPr>
      <w:r>
        <w:rPr>
          <w:sz w:val="24"/>
        </w:rPr>
        <w:t>消毒要求：进入大门时要对车辆全面清洗消毒，经过消毒池进入场内，在生产区内卸料时要避免饲养员直接接触饲料车，可以指定专人操作，杜绝司机下车。</w:t>
      </w:r>
    </w:p>
    <w:p>
      <w:pPr>
        <w:adjustRightInd w:val="0"/>
        <w:snapToGrid w:val="0"/>
        <w:spacing w:line="360" w:lineRule="auto"/>
        <w:ind w:firstLine="523" w:firstLineChars="218"/>
        <w:rPr>
          <w:sz w:val="24"/>
        </w:rPr>
      </w:pPr>
      <w:r>
        <w:rPr>
          <w:sz w:val="24"/>
        </w:rPr>
        <w:t>c、内部转猪车辆</w:t>
      </w:r>
    </w:p>
    <w:p>
      <w:pPr>
        <w:adjustRightInd w:val="0"/>
        <w:snapToGrid w:val="0"/>
        <w:spacing w:line="360" w:lineRule="auto"/>
        <w:ind w:firstLine="523" w:firstLineChars="218"/>
        <w:rPr>
          <w:sz w:val="24"/>
        </w:rPr>
      </w:pPr>
      <w:r>
        <w:rPr>
          <w:sz w:val="24"/>
        </w:rPr>
        <w:t>活动范围：生产区内----转猪台</w:t>
      </w:r>
    </w:p>
    <w:p>
      <w:pPr>
        <w:adjustRightInd w:val="0"/>
        <w:snapToGrid w:val="0"/>
        <w:spacing w:line="360" w:lineRule="auto"/>
        <w:ind w:firstLine="523" w:firstLineChars="218"/>
        <w:rPr>
          <w:sz w:val="24"/>
        </w:rPr>
      </w:pPr>
      <w:r>
        <w:rPr>
          <w:sz w:val="24"/>
        </w:rPr>
        <w:t>消毒要求：装猪前后都要消毒，活动范围尽量缩小，在装猪台清洗消毒，清洗污水入粪池。</w:t>
      </w:r>
    </w:p>
    <w:p>
      <w:pPr>
        <w:adjustRightInd w:val="0"/>
        <w:snapToGrid w:val="0"/>
        <w:spacing w:line="360" w:lineRule="auto"/>
        <w:ind w:firstLine="523" w:firstLineChars="218"/>
        <w:rPr>
          <w:sz w:val="24"/>
        </w:rPr>
      </w:pPr>
      <w:r>
        <w:rPr>
          <w:sz w:val="24"/>
        </w:rPr>
        <w:t>d、场外其他办公车辆</w:t>
      </w:r>
    </w:p>
    <w:p>
      <w:pPr>
        <w:adjustRightInd w:val="0"/>
        <w:snapToGrid w:val="0"/>
        <w:spacing w:line="360" w:lineRule="auto"/>
        <w:ind w:firstLine="523" w:firstLineChars="218"/>
        <w:rPr>
          <w:sz w:val="24"/>
        </w:rPr>
      </w:pPr>
      <w:r>
        <w:rPr>
          <w:sz w:val="24"/>
        </w:rPr>
        <w:t>活动范围：非必要进场的车辆一律在场外，需进场车辆在生活区内停放。</w:t>
      </w:r>
    </w:p>
    <w:p>
      <w:pPr>
        <w:adjustRightInd w:val="0"/>
        <w:snapToGrid w:val="0"/>
        <w:spacing w:line="360" w:lineRule="auto"/>
        <w:ind w:firstLine="523" w:firstLineChars="218"/>
        <w:rPr>
          <w:sz w:val="24"/>
        </w:rPr>
      </w:pPr>
      <w:r>
        <w:rPr>
          <w:sz w:val="24"/>
        </w:rPr>
        <w:t>消毒要求：大门口消毒后进入。</w:t>
      </w:r>
    </w:p>
    <w:p>
      <w:pPr>
        <w:adjustRightInd w:val="0"/>
        <w:snapToGrid w:val="0"/>
        <w:spacing w:line="360" w:lineRule="auto"/>
        <w:ind w:firstLine="523" w:firstLineChars="218"/>
        <w:rPr>
          <w:sz w:val="24"/>
        </w:rPr>
      </w:pPr>
      <w:r>
        <w:rPr>
          <w:rFonts w:hint="eastAsia" w:ascii="宋体" w:hAnsi="宋体" w:cs="宋体"/>
          <w:sz w:val="24"/>
        </w:rPr>
        <w:t>③</w:t>
      </w:r>
      <w:r>
        <w:rPr>
          <w:sz w:val="24"/>
        </w:rPr>
        <w:t>人员流动管理</w:t>
      </w:r>
    </w:p>
    <w:p>
      <w:pPr>
        <w:adjustRightInd w:val="0"/>
        <w:snapToGrid w:val="0"/>
        <w:spacing w:line="360" w:lineRule="auto"/>
        <w:ind w:firstLine="523" w:firstLineChars="218"/>
        <w:rPr>
          <w:sz w:val="24"/>
        </w:rPr>
      </w:pPr>
      <w:r>
        <w:rPr>
          <w:sz w:val="24"/>
        </w:rPr>
        <w:t>请假制度：员工外出必须到办公室领取请假条，注明场区、工段、请假时间段、单元代理人后，交予领导签批(1—3天由段长签批，3天以上需由场长签批)，领导签批后将假条交予办公室存档。</w:t>
      </w:r>
    </w:p>
    <w:p>
      <w:pPr>
        <w:adjustRightInd w:val="0"/>
        <w:snapToGrid w:val="0"/>
        <w:spacing w:line="360" w:lineRule="auto"/>
        <w:ind w:firstLine="523" w:firstLineChars="218"/>
        <w:rPr>
          <w:sz w:val="24"/>
        </w:rPr>
      </w:pPr>
      <w:r>
        <w:rPr>
          <w:sz w:val="24"/>
        </w:rPr>
        <w:t>进场流程(从黑区进入灰区)：</w:t>
      </w:r>
    </w:p>
    <w:p>
      <w:pPr>
        <w:pStyle w:val="168"/>
        <w:ind w:left="2"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029200" cy="40005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5029200" cy="40005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进入生产区流程(灰区进入白区)：</w:t>
      </w:r>
    </w:p>
    <w:p>
      <w:pPr>
        <w:pStyle w:val="168"/>
        <w:ind w:left="2"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267325" cy="419100"/>
            <wp:effectExtent l="1905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5" cstate="print"/>
                    <a:srcRect/>
                    <a:stretch>
                      <a:fillRect/>
                    </a:stretch>
                  </pic:blipFill>
                  <pic:spPr>
                    <a:xfrm>
                      <a:off x="0" y="0"/>
                      <a:ext cx="5267325" cy="41910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进单元：</w:t>
      </w:r>
    </w:p>
    <w:p>
      <w:pPr>
        <w:pStyle w:val="168"/>
        <w:ind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4533900" cy="352425"/>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6" cstate="print"/>
                    <a:srcRect/>
                    <a:stretch>
                      <a:fillRect/>
                    </a:stretch>
                  </pic:blipFill>
                  <pic:spPr>
                    <a:xfrm>
                      <a:off x="0" y="0"/>
                      <a:ext cx="4533900" cy="352425"/>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30"/>
          <w:szCs w:val="30"/>
        </w:rPr>
      </w:pPr>
      <w:r>
        <w:rPr>
          <w:sz w:val="24"/>
        </w:rPr>
        <w:t>其他饲养员帮忙转猪生物安全流程：</w:t>
      </w:r>
    </w:p>
    <w:p>
      <w:pPr>
        <w:pStyle w:val="168"/>
        <w:ind w:left="1"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715000" cy="49530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7" cstate="print"/>
                    <a:srcRect/>
                    <a:stretch>
                      <a:fillRect/>
                    </a:stretch>
                  </pic:blipFill>
                  <pic:spPr>
                    <a:xfrm>
                      <a:off x="0" y="0"/>
                      <a:ext cx="5715000" cy="49530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外来施工人员进入生产区生物安全流程</w:t>
      </w:r>
    </w:p>
    <w:p>
      <w:pPr>
        <w:pStyle w:val="168"/>
        <w:ind w:left="1"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734050" cy="457200"/>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18" cstate="print"/>
                    <a:srcRect/>
                    <a:stretch>
                      <a:fillRect/>
                    </a:stretch>
                  </pic:blipFill>
                  <pic:spPr>
                    <a:xfrm>
                      <a:off x="0" y="0"/>
                      <a:ext cx="5734050" cy="45720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病死猪剖检台生物安全流程：</w:t>
      </w:r>
    </w:p>
    <w:p>
      <w:pPr>
        <w:pStyle w:val="168"/>
        <w:ind w:left="2"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657850" cy="85725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9" cstate="print"/>
                    <a:srcRect/>
                    <a:stretch>
                      <a:fillRect/>
                    </a:stretch>
                  </pic:blipFill>
                  <pic:spPr>
                    <a:xfrm>
                      <a:off x="0" y="0"/>
                      <a:ext cx="5657850" cy="85725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p>
    <w:p>
      <w:pPr>
        <w:adjustRightInd w:val="0"/>
        <w:snapToGrid w:val="0"/>
        <w:spacing w:line="360" w:lineRule="auto"/>
        <w:ind w:firstLine="523" w:firstLineChars="218"/>
        <w:rPr>
          <w:sz w:val="24"/>
        </w:rPr>
      </w:pPr>
      <w:r>
        <w:rPr>
          <w:sz w:val="24"/>
        </w:rPr>
        <w:t>各岗位人员执行生物安全流程注意事项：</w:t>
      </w:r>
    </w:p>
    <w:p>
      <w:pPr>
        <w:adjustRightInd w:val="0"/>
        <w:snapToGrid w:val="0"/>
        <w:spacing w:line="360" w:lineRule="auto"/>
        <w:ind w:firstLine="523" w:firstLineChars="218"/>
        <w:rPr>
          <w:sz w:val="24"/>
        </w:rPr>
      </w:pPr>
      <w:r>
        <w:rPr>
          <w:sz w:val="24"/>
        </w:rPr>
        <w:t>人员跨场调动--生活区隔离3天后方可进生产。</w:t>
      </w:r>
    </w:p>
    <w:p>
      <w:pPr>
        <w:adjustRightInd w:val="0"/>
        <w:snapToGrid w:val="0"/>
        <w:spacing w:line="360" w:lineRule="auto"/>
        <w:ind w:firstLine="523" w:firstLineChars="218"/>
        <w:rPr>
          <w:sz w:val="24"/>
        </w:rPr>
      </w:pPr>
      <w:r>
        <w:rPr>
          <w:sz w:val="24"/>
        </w:rPr>
        <w:t>家属(学生放假，家属驻场)洗澡更衣后进场，活动区域仅限生活区。</w:t>
      </w:r>
    </w:p>
    <w:p>
      <w:pPr>
        <w:adjustRightInd w:val="0"/>
        <w:snapToGrid w:val="0"/>
        <w:spacing w:line="360" w:lineRule="auto"/>
        <w:ind w:firstLine="523" w:firstLineChars="218"/>
        <w:rPr>
          <w:sz w:val="24"/>
        </w:rPr>
      </w:pPr>
      <w:r>
        <w:rPr>
          <w:sz w:val="24"/>
        </w:rPr>
        <w:t>施工人员——门口洗手，沾脚后在指定施工区域内作业，区域受限，警戒标示。</w:t>
      </w:r>
    </w:p>
    <w:p>
      <w:pPr>
        <w:adjustRightInd w:val="0"/>
        <w:snapToGrid w:val="0"/>
        <w:spacing w:line="360" w:lineRule="auto"/>
        <w:ind w:firstLine="523" w:firstLineChars="218"/>
        <w:rPr>
          <w:sz w:val="24"/>
        </w:rPr>
      </w:pPr>
      <w:r>
        <w:rPr>
          <w:sz w:val="24"/>
        </w:rPr>
        <w:t>巡场人员——生产管理，技术人员，财务等进出厂区，在生产区洗澡更衣方可进入。</w:t>
      </w:r>
    </w:p>
    <w:p>
      <w:pPr>
        <w:adjustRightInd w:val="0"/>
        <w:snapToGrid w:val="0"/>
        <w:spacing w:line="360" w:lineRule="auto"/>
        <w:ind w:firstLine="523" w:firstLineChars="218"/>
        <w:rPr>
          <w:sz w:val="24"/>
        </w:rPr>
      </w:pPr>
      <w:r>
        <w:rPr>
          <w:sz w:val="24"/>
        </w:rPr>
        <w:t>场内后勤服务人员—水电维修等进段更衣，进单元换鞋。料车司机不下车。治污人员划定活动路线。</w:t>
      </w:r>
    </w:p>
    <w:p>
      <w:pPr>
        <w:adjustRightInd w:val="0"/>
        <w:snapToGrid w:val="0"/>
        <w:spacing w:line="360" w:lineRule="auto"/>
        <w:ind w:firstLine="523" w:firstLineChars="218"/>
        <w:rPr>
          <w:sz w:val="24"/>
        </w:rPr>
      </w:pPr>
      <w:r>
        <w:rPr>
          <w:sz w:val="24"/>
        </w:rPr>
        <w:t>生产区内所有人员统一着工装，不允许有其他衣服，所有工装不允许带出生产区。</w:t>
      </w:r>
    </w:p>
    <w:p>
      <w:pPr>
        <w:snapToGrid w:val="0"/>
        <w:spacing w:line="360" w:lineRule="auto"/>
        <w:ind w:firstLine="482" w:firstLineChars="200"/>
        <w:rPr>
          <w:b/>
          <w:sz w:val="24"/>
        </w:rPr>
      </w:pPr>
      <w:r>
        <w:rPr>
          <w:b/>
          <w:sz w:val="24"/>
        </w:rPr>
        <w:t>2.2.3.7</w:t>
      </w:r>
      <w:r>
        <w:rPr>
          <w:rFonts w:hint="eastAsia"/>
          <w:b/>
          <w:sz w:val="24"/>
          <w:lang w:val="en-US" w:eastAsia="zh-CN"/>
        </w:rPr>
        <w:t>病死猪</w:t>
      </w:r>
      <w:r>
        <w:rPr>
          <w:b/>
          <w:sz w:val="24"/>
        </w:rPr>
        <w:t>处理</w:t>
      </w:r>
    </w:p>
    <w:p>
      <w:pPr>
        <w:pStyle w:val="99"/>
        <w:spacing w:line="520" w:lineRule="exact"/>
        <w:ind w:firstLine="480"/>
        <w:rPr>
          <w:bCs/>
          <w:kern w:val="0"/>
        </w:rPr>
      </w:pPr>
      <w:r>
        <w:rPr>
          <w:bCs/>
          <w:iCs/>
        </w:rPr>
        <w:t>病猪进入隔离猪舍进行注射治疗；一旦发现疫猪（疫死猪），</w:t>
      </w:r>
      <w:r>
        <w:rPr>
          <w:bCs/>
          <w:kern w:val="0"/>
        </w:rPr>
        <w:t>第一时间对疫猪及所在猪舍进行隔离，并向场内防疫部及</w:t>
      </w:r>
      <w:r>
        <w:rPr>
          <w:rFonts w:hint="eastAsia"/>
          <w:bCs/>
          <w:kern w:val="0"/>
          <w:lang w:val="en-US" w:eastAsia="zh-CN"/>
        </w:rPr>
        <w:t>正阳县</w:t>
      </w:r>
      <w:r>
        <w:rPr>
          <w:bCs/>
          <w:kern w:val="0"/>
        </w:rPr>
        <w:t>动物卫生监督所汇报，在卫生监督所的监督指导下进行处理，并对猪舍进行消毒，防止疫情扩散。</w:t>
      </w:r>
    </w:p>
    <w:p>
      <w:pPr>
        <w:widowControl/>
        <w:spacing w:line="520" w:lineRule="exact"/>
        <w:ind w:firstLine="480" w:firstLineChars="200"/>
        <w:rPr>
          <w:bCs/>
          <w:iCs/>
          <w:sz w:val="24"/>
        </w:rPr>
      </w:pPr>
      <w:r>
        <w:rPr>
          <w:bCs/>
          <w:iCs/>
          <w:sz w:val="24"/>
        </w:rPr>
        <w:t>根据《畜禽养殖业污染防治技术政策》（环发[2010]151号）中有关内容，畜禽尸体应按照有关卫生防疫规定单独进行妥善处置。染疫畜禽及其排泄物、染疫畜禽产品，病死或者死因不明的畜禽尸体等污染物，应就地进行无害化处理，严禁随意丢弃，严禁出售或作为饲料再利用。</w:t>
      </w:r>
    </w:p>
    <w:p>
      <w:pPr>
        <w:spacing w:line="520" w:lineRule="exact"/>
        <w:ind w:firstLine="480" w:firstLineChars="200"/>
        <w:rPr>
          <w:color w:val="000000"/>
          <w:sz w:val="24"/>
        </w:rPr>
      </w:pPr>
      <w:r>
        <w:rPr>
          <w:sz w:val="24"/>
        </w:rPr>
        <w:t>本项目营运期间产生的病死猪尸体</w:t>
      </w:r>
      <w:r>
        <w:rPr>
          <w:rFonts w:hint="eastAsia"/>
          <w:sz w:val="24"/>
          <w:lang w:val="en-US" w:eastAsia="zh-CN"/>
        </w:rPr>
        <w:t>委托正阳畜禽</w:t>
      </w:r>
      <w:r>
        <w:rPr>
          <w:sz w:val="24"/>
        </w:rPr>
        <w:t>无害化处理有限公司</w:t>
      </w:r>
      <w:r>
        <w:rPr>
          <w:rFonts w:hint="eastAsia"/>
          <w:sz w:val="24"/>
        </w:rPr>
        <w:t>进行处理</w:t>
      </w:r>
      <w:r>
        <w:rPr>
          <w:bCs/>
          <w:sz w:val="24"/>
        </w:rPr>
        <w:t>。</w:t>
      </w:r>
    </w:p>
    <w:p>
      <w:pPr>
        <w:pStyle w:val="5"/>
        <w:spacing w:before="156" w:after="156" w:line="360" w:lineRule="auto"/>
        <w:rPr>
          <w:rFonts w:hAnsi="Times New Roman"/>
          <w:color w:val="000000"/>
        </w:rPr>
      </w:pPr>
      <w:bookmarkStart w:id="119" w:name="_Toc23595"/>
      <w:r>
        <w:rPr>
          <w:rFonts w:hint="eastAsia" w:hAnsi="Times New Roman"/>
          <w:color w:val="000000"/>
          <w:lang w:val="en-US" w:eastAsia="zh-CN"/>
        </w:rPr>
        <w:t>2</w:t>
      </w:r>
      <w:r>
        <w:rPr>
          <w:rFonts w:hAnsi="Times New Roman"/>
          <w:color w:val="000000"/>
        </w:rPr>
        <w:t>.3主要产污环节分析</w:t>
      </w:r>
      <w:bookmarkEnd w:id="115"/>
      <w:bookmarkEnd w:id="116"/>
      <w:bookmarkEnd w:id="117"/>
      <w:bookmarkEnd w:id="118"/>
      <w:bookmarkEnd w:id="119"/>
    </w:p>
    <w:p>
      <w:pPr>
        <w:adjustRightInd w:val="0"/>
        <w:snapToGrid w:val="0"/>
        <w:spacing w:line="520" w:lineRule="exact"/>
        <w:ind w:firstLine="480" w:firstLineChars="200"/>
        <w:rPr>
          <w:sz w:val="24"/>
        </w:rPr>
      </w:pPr>
      <w:r>
        <w:rPr>
          <w:sz w:val="24"/>
        </w:rPr>
        <w:t>本项目为</w:t>
      </w:r>
      <w:r>
        <w:rPr>
          <w:rFonts w:hint="eastAsia"/>
          <w:sz w:val="24"/>
          <w:lang w:val="en-US" w:eastAsia="zh-CN"/>
        </w:rPr>
        <w:t>新</w:t>
      </w:r>
      <w:r>
        <w:rPr>
          <w:sz w:val="24"/>
        </w:rPr>
        <w:t>建项目，</w:t>
      </w:r>
      <w:r>
        <w:rPr>
          <w:rFonts w:hint="eastAsia"/>
          <w:sz w:val="24"/>
          <w:lang w:val="en-US" w:eastAsia="zh-CN"/>
        </w:rPr>
        <w:t>需要新建猪舍及对配套粪污处理设施。</w:t>
      </w:r>
      <w:r>
        <w:rPr>
          <w:sz w:val="24"/>
        </w:rPr>
        <w:t>主要的污染源分为施工建设期污染源以及项目正常运营期污染源。</w:t>
      </w:r>
    </w:p>
    <w:p>
      <w:pPr>
        <w:pStyle w:val="6"/>
        <w:snapToGrid w:val="0"/>
        <w:spacing w:before="0" w:after="0" w:line="520" w:lineRule="exact"/>
        <w:rPr>
          <w:rFonts w:eastAsia="黑体"/>
          <w:bCs w:val="0"/>
          <w:sz w:val="24"/>
          <w:szCs w:val="24"/>
        </w:rPr>
      </w:pPr>
      <w:bookmarkStart w:id="120" w:name="_Toc311979855"/>
      <w:bookmarkStart w:id="121" w:name="_Toc311979809"/>
      <w:bookmarkStart w:id="122" w:name="_Toc311979923"/>
      <w:bookmarkStart w:id="123" w:name="_Toc388881912"/>
      <w:bookmarkStart w:id="124" w:name="_Toc237749133"/>
      <w:bookmarkStart w:id="125" w:name="_Toc269400679"/>
      <w:bookmarkStart w:id="126" w:name="_Toc406847411"/>
      <w:bookmarkStart w:id="127" w:name="_Toc413166131"/>
      <w:bookmarkStart w:id="128" w:name="_Toc15022"/>
      <w:bookmarkStart w:id="129" w:name="_Toc407001404"/>
      <w:r>
        <w:rPr>
          <w:rFonts w:hint="eastAsia" w:eastAsia="黑体"/>
          <w:bCs w:val="0"/>
          <w:sz w:val="24"/>
          <w:szCs w:val="24"/>
          <w:lang w:val="en-US" w:eastAsia="zh-CN"/>
        </w:rPr>
        <w:t>2</w:t>
      </w:r>
      <w:r>
        <w:rPr>
          <w:rFonts w:eastAsia="黑体"/>
          <w:bCs w:val="0"/>
          <w:sz w:val="24"/>
          <w:szCs w:val="24"/>
        </w:rPr>
        <w:t>.3.1施工期污染源</w:t>
      </w:r>
      <w:bookmarkEnd w:id="120"/>
      <w:bookmarkEnd w:id="121"/>
      <w:bookmarkEnd w:id="122"/>
      <w:bookmarkEnd w:id="123"/>
      <w:bookmarkEnd w:id="124"/>
      <w:bookmarkEnd w:id="125"/>
      <w:bookmarkEnd w:id="126"/>
      <w:bookmarkEnd w:id="127"/>
      <w:bookmarkEnd w:id="128"/>
      <w:bookmarkEnd w:id="129"/>
    </w:p>
    <w:p>
      <w:pPr>
        <w:pStyle w:val="8"/>
        <w:spacing w:before="0" w:after="0" w:line="520" w:lineRule="exact"/>
        <w:rPr>
          <w:b w:val="0"/>
          <w:sz w:val="24"/>
          <w:szCs w:val="24"/>
        </w:rPr>
      </w:pPr>
      <w:bookmarkStart w:id="130" w:name="_Toc269400680"/>
      <w:r>
        <w:rPr>
          <w:rFonts w:hint="eastAsia"/>
          <w:sz w:val="24"/>
          <w:szCs w:val="24"/>
          <w:lang w:val="en-US" w:eastAsia="zh-CN"/>
        </w:rPr>
        <w:t>2</w:t>
      </w:r>
      <w:r>
        <w:rPr>
          <w:sz w:val="24"/>
          <w:szCs w:val="24"/>
        </w:rPr>
        <w:t>.3.1.1 大气污染源</w:t>
      </w:r>
      <w:bookmarkEnd w:id="130"/>
    </w:p>
    <w:p>
      <w:pPr>
        <w:adjustRightInd w:val="0"/>
        <w:snapToGrid w:val="0"/>
        <w:spacing w:line="520" w:lineRule="exact"/>
        <w:ind w:firstLine="480" w:firstLineChars="200"/>
        <w:rPr>
          <w:sz w:val="24"/>
        </w:rPr>
      </w:pPr>
      <w:r>
        <w:rPr>
          <w:sz w:val="24"/>
        </w:rPr>
        <w:t>主要为建筑材料堆场造成的无组织排放粉尘、施工机械产生的机械废气以及运输车辆产生的汽车尾气和运输扬尘。</w:t>
      </w:r>
    </w:p>
    <w:p>
      <w:pPr>
        <w:pStyle w:val="8"/>
        <w:spacing w:before="0" w:after="0" w:line="520" w:lineRule="exact"/>
        <w:rPr>
          <w:rFonts w:hint="eastAsia" w:eastAsia="宋体"/>
          <w:sz w:val="24"/>
          <w:szCs w:val="24"/>
          <w:lang w:val="en-US" w:eastAsia="zh-CN"/>
        </w:rPr>
      </w:pPr>
      <w:bookmarkStart w:id="131" w:name="_Toc269400681"/>
      <w:r>
        <w:rPr>
          <w:rFonts w:hint="eastAsia"/>
          <w:sz w:val="24"/>
          <w:szCs w:val="24"/>
          <w:lang w:val="en-US" w:eastAsia="zh-CN"/>
        </w:rPr>
        <w:t>2</w:t>
      </w:r>
      <w:r>
        <w:rPr>
          <w:sz w:val="24"/>
          <w:szCs w:val="24"/>
        </w:rPr>
        <w:t>.3.1.2废水</w:t>
      </w:r>
      <w:bookmarkEnd w:id="131"/>
      <w:r>
        <w:rPr>
          <w:rFonts w:hint="eastAsia"/>
          <w:sz w:val="24"/>
          <w:szCs w:val="24"/>
          <w:lang w:val="en-US" w:eastAsia="zh-CN"/>
        </w:rPr>
        <w:t>污染源</w:t>
      </w:r>
    </w:p>
    <w:p>
      <w:pPr>
        <w:adjustRightInd w:val="0"/>
        <w:snapToGrid w:val="0"/>
        <w:spacing w:line="520" w:lineRule="exact"/>
        <w:ind w:firstLine="480" w:firstLineChars="200"/>
        <w:rPr>
          <w:sz w:val="24"/>
        </w:rPr>
      </w:pPr>
      <w:bookmarkStart w:id="132" w:name="_Toc269400682"/>
      <w:r>
        <w:rPr>
          <w:sz w:val="24"/>
        </w:rPr>
        <w:t>主要分为建筑废水以及施工人员生活污水。</w:t>
      </w:r>
    </w:p>
    <w:p>
      <w:pPr>
        <w:adjustRightInd w:val="0"/>
        <w:snapToGrid w:val="0"/>
        <w:spacing w:line="520" w:lineRule="exact"/>
        <w:ind w:firstLine="480" w:firstLineChars="200"/>
        <w:rPr>
          <w:sz w:val="24"/>
        </w:rPr>
      </w:pPr>
      <w:r>
        <w:rPr>
          <w:sz w:val="24"/>
        </w:rPr>
        <w:t>建筑废水主要为各种施工机械设备运转的冷却及洗涤用水和施工现场清洗、建材清洗、混凝土养护产生的废水。建筑废水产生量很小，约为0.2</w:t>
      </w:r>
      <w:r>
        <w:rPr>
          <w:bCs/>
          <w:sz w:val="24"/>
        </w:rPr>
        <w:t>m</w:t>
      </w:r>
      <w:r>
        <w:rPr>
          <w:bCs/>
          <w:sz w:val="24"/>
          <w:vertAlign w:val="superscript"/>
        </w:rPr>
        <w:t>3</w:t>
      </w:r>
      <w:r>
        <w:rPr>
          <w:bCs/>
          <w:sz w:val="24"/>
        </w:rPr>
        <w:t>/d</w:t>
      </w:r>
      <w:r>
        <w:rPr>
          <w:sz w:val="24"/>
        </w:rPr>
        <w:t>，经沉淀后用于地面洒水除尘。</w:t>
      </w:r>
    </w:p>
    <w:p>
      <w:pPr>
        <w:spacing w:line="520" w:lineRule="exact"/>
        <w:ind w:firstLine="480" w:firstLineChars="200"/>
        <w:rPr>
          <w:sz w:val="24"/>
        </w:rPr>
      </w:pPr>
      <w:r>
        <w:rPr>
          <w:sz w:val="24"/>
        </w:rPr>
        <w:t>生活污水为施工人员日常生活产生的废水，生活污水主要包括粪便污水及洗漱污水等，本项目施工期施工人员50人，施工期为6个月，施工人员每人每天生活污水量为30</w:t>
      </w:r>
      <w:r>
        <w:rPr>
          <w:bCs/>
          <w:sz w:val="24"/>
        </w:rPr>
        <w:t>L，</w:t>
      </w:r>
      <w:r>
        <w:rPr>
          <w:sz w:val="24"/>
        </w:rPr>
        <w:t>则施工期生活污水产生量为1.5</w:t>
      </w:r>
      <w:r>
        <w:rPr>
          <w:bCs/>
          <w:sz w:val="24"/>
        </w:rPr>
        <w:t>m</w:t>
      </w:r>
      <w:r>
        <w:rPr>
          <w:bCs/>
          <w:sz w:val="24"/>
          <w:vertAlign w:val="superscript"/>
        </w:rPr>
        <w:t>3</w:t>
      </w:r>
      <w:r>
        <w:rPr>
          <w:bCs/>
          <w:sz w:val="24"/>
        </w:rPr>
        <w:t>/d</w:t>
      </w:r>
      <w:r>
        <w:rPr>
          <w:sz w:val="24"/>
        </w:rPr>
        <w:t>，整个施工期的生活污水产生量为273</w:t>
      </w:r>
      <w:r>
        <w:rPr>
          <w:bCs/>
          <w:sz w:val="24"/>
        </w:rPr>
        <w:t>m</w:t>
      </w:r>
      <w:r>
        <w:rPr>
          <w:bCs/>
          <w:sz w:val="24"/>
          <w:vertAlign w:val="superscript"/>
        </w:rPr>
        <w:t>3</w:t>
      </w:r>
      <w:r>
        <w:rPr>
          <w:sz w:val="24"/>
        </w:rPr>
        <w:t>，生活污水经化粪池处理后定期由附近农民拉走堆肥，不外排，对环境影响不大。</w:t>
      </w:r>
    </w:p>
    <w:p>
      <w:pPr>
        <w:pStyle w:val="8"/>
        <w:spacing w:before="0" w:after="0" w:line="520" w:lineRule="exact"/>
        <w:rPr>
          <w:b w:val="0"/>
          <w:sz w:val="24"/>
          <w:szCs w:val="24"/>
        </w:rPr>
      </w:pPr>
      <w:r>
        <w:rPr>
          <w:rFonts w:hint="eastAsia"/>
          <w:sz w:val="24"/>
          <w:szCs w:val="24"/>
          <w:lang w:val="en-US" w:eastAsia="zh-CN"/>
        </w:rPr>
        <w:t>2</w:t>
      </w:r>
      <w:r>
        <w:rPr>
          <w:sz w:val="24"/>
          <w:szCs w:val="24"/>
        </w:rPr>
        <w:t>.3.1.3噪声污染源</w:t>
      </w:r>
      <w:bookmarkEnd w:id="132"/>
    </w:p>
    <w:p>
      <w:pPr>
        <w:adjustRightInd w:val="0"/>
        <w:snapToGrid w:val="0"/>
        <w:spacing w:line="520" w:lineRule="exact"/>
        <w:ind w:firstLine="480" w:firstLineChars="200"/>
        <w:rPr>
          <w:sz w:val="24"/>
        </w:rPr>
      </w:pPr>
      <w:r>
        <w:rPr>
          <w:sz w:val="24"/>
        </w:rPr>
        <w:t>本项目施工建设期涉及的施工机械在施工过程中将会产生噪声，噪声源强为72~90dB(A)。</w:t>
      </w:r>
    </w:p>
    <w:p>
      <w:pPr>
        <w:pStyle w:val="8"/>
        <w:spacing w:before="0" w:after="0" w:line="520" w:lineRule="exact"/>
        <w:rPr>
          <w:sz w:val="24"/>
          <w:szCs w:val="24"/>
        </w:rPr>
      </w:pPr>
      <w:bookmarkStart w:id="133" w:name="_Toc269400683"/>
      <w:r>
        <w:rPr>
          <w:rFonts w:hint="eastAsia"/>
          <w:sz w:val="24"/>
          <w:szCs w:val="24"/>
          <w:lang w:val="en-US" w:eastAsia="zh-CN"/>
        </w:rPr>
        <w:t>2</w:t>
      </w:r>
      <w:r>
        <w:rPr>
          <w:sz w:val="24"/>
          <w:szCs w:val="24"/>
        </w:rPr>
        <w:t>.3.1.4 固体废物</w:t>
      </w:r>
      <w:bookmarkEnd w:id="133"/>
    </w:p>
    <w:p>
      <w:pPr>
        <w:spacing w:line="520" w:lineRule="exact"/>
        <w:ind w:firstLine="480" w:firstLineChars="200"/>
        <w:rPr>
          <w:sz w:val="24"/>
        </w:rPr>
      </w:pPr>
      <w:r>
        <w:rPr>
          <w:sz w:val="24"/>
        </w:rPr>
        <w:t>本项目在施工过程产生的主要固体废物为：建筑垃圾、施工人员产生的生活垃圾及施工土方等。</w:t>
      </w:r>
    </w:p>
    <w:p>
      <w:pPr>
        <w:spacing w:line="520" w:lineRule="exact"/>
        <w:ind w:firstLine="480" w:firstLineChars="200"/>
        <w:rPr>
          <w:color w:val="000000"/>
          <w:sz w:val="24"/>
        </w:rPr>
      </w:pPr>
      <w:r>
        <w:rPr>
          <w:color w:val="000000"/>
          <w:sz w:val="24"/>
        </w:rPr>
        <w:t>项目生活垃圾按照0.5kg/人·d计，本项目施工期施工人员50人，施工期为6个月，则项目施工期生活垃圾产生量为25kg/d，整个施工期生活垃圾产生量为4.5t。项目建筑垃圾产生量按照1.0kg/</w:t>
      </w:r>
      <w:r>
        <w:rPr>
          <w:bCs/>
          <w:color w:val="000000"/>
          <w:sz w:val="24"/>
        </w:rPr>
        <w:t>m</w:t>
      </w:r>
      <w:r>
        <w:rPr>
          <w:bCs/>
          <w:color w:val="000000"/>
          <w:sz w:val="24"/>
          <w:vertAlign w:val="superscript"/>
        </w:rPr>
        <w:t>2</w:t>
      </w:r>
      <w:r>
        <w:rPr>
          <w:color w:val="000000"/>
          <w:sz w:val="24"/>
        </w:rPr>
        <w:t>，项目总建筑面积</w:t>
      </w:r>
      <w:r>
        <w:rPr>
          <w:rFonts w:hint="eastAsia"/>
          <w:color w:val="000000"/>
          <w:sz w:val="24"/>
          <w:lang w:val="en-US" w:eastAsia="zh-CN"/>
        </w:rPr>
        <w:t>11330</w:t>
      </w:r>
      <w:r>
        <w:rPr>
          <w:color w:val="000000"/>
          <w:sz w:val="24"/>
        </w:rPr>
        <w:t>m</w:t>
      </w:r>
      <w:r>
        <w:rPr>
          <w:color w:val="000000"/>
          <w:sz w:val="24"/>
          <w:vertAlign w:val="superscript"/>
        </w:rPr>
        <w:t>2</w:t>
      </w:r>
      <w:r>
        <w:rPr>
          <w:color w:val="000000"/>
          <w:sz w:val="24"/>
        </w:rPr>
        <w:t>，则项目建筑垃圾产生量为</w:t>
      </w:r>
      <w:r>
        <w:rPr>
          <w:rFonts w:hint="eastAsia"/>
          <w:color w:val="000000"/>
          <w:sz w:val="24"/>
          <w:lang w:val="en-US" w:eastAsia="zh-CN"/>
        </w:rPr>
        <w:t>11.33</w:t>
      </w:r>
      <w:r>
        <w:rPr>
          <w:color w:val="000000"/>
          <w:sz w:val="24"/>
        </w:rPr>
        <w:t>t，</w:t>
      </w:r>
      <w:r>
        <w:rPr>
          <w:bCs/>
          <w:color w:val="000000"/>
          <w:sz w:val="24"/>
        </w:rPr>
        <w:t>施工建筑垃圾与</w:t>
      </w:r>
      <w:r>
        <w:rPr>
          <w:color w:val="000000"/>
          <w:sz w:val="24"/>
        </w:rPr>
        <w:t>生活垃圾一起交由当地环卫部门定时统一清运处理，以减少对区域生态环境及景观的影响。</w:t>
      </w:r>
    </w:p>
    <w:p>
      <w:pPr>
        <w:spacing w:line="520" w:lineRule="exact"/>
        <w:ind w:firstLine="480" w:firstLineChars="200"/>
        <w:rPr>
          <w:sz w:val="24"/>
        </w:rPr>
      </w:pPr>
      <w:r>
        <w:rPr>
          <w:color w:val="000000"/>
          <w:sz w:val="24"/>
        </w:rPr>
        <w:t>根据项目建设方案，本工程预计挖方约</w:t>
      </w:r>
      <w:r>
        <w:rPr>
          <w:rFonts w:hint="eastAsia"/>
          <w:color w:val="000000"/>
          <w:sz w:val="24"/>
          <w:lang w:val="en-US" w:eastAsia="zh-CN"/>
        </w:rPr>
        <w:t>3</w:t>
      </w:r>
      <w:r>
        <w:rPr>
          <w:color w:val="000000"/>
          <w:sz w:val="24"/>
        </w:rPr>
        <w:t>0000m</w:t>
      </w:r>
      <w:r>
        <w:rPr>
          <w:color w:val="000000"/>
          <w:sz w:val="24"/>
          <w:vertAlign w:val="superscript"/>
        </w:rPr>
        <w:t>3</w:t>
      </w:r>
      <w:r>
        <w:rPr>
          <w:color w:val="000000"/>
          <w:sz w:val="24"/>
        </w:rPr>
        <w:t>，填方</w:t>
      </w:r>
      <w:r>
        <w:rPr>
          <w:rFonts w:hint="eastAsia"/>
          <w:color w:val="000000"/>
          <w:sz w:val="24"/>
          <w:lang w:val="en-US" w:eastAsia="zh-CN"/>
        </w:rPr>
        <w:t>3</w:t>
      </w:r>
      <w:r>
        <w:rPr>
          <w:color w:val="000000"/>
          <w:sz w:val="24"/>
        </w:rPr>
        <w:t>000m</w:t>
      </w:r>
      <w:r>
        <w:rPr>
          <w:color w:val="000000"/>
          <w:sz w:val="24"/>
          <w:vertAlign w:val="superscript"/>
        </w:rPr>
        <w:t>3</w:t>
      </w:r>
      <w:r>
        <w:rPr>
          <w:color w:val="000000"/>
          <w:sz w:val="24"/>
        </w:rPr>
        <w:t>，</w:t>
      </w:r>
      <w:r>
        <w:rPr>
          <w:sz w:val="24"/>
        </w:rPr>
        <w:t>剩余土方全部用于后期绿化覆土。</w:t>
      </w:r>
    </w:p>
    <w:p>
      <w:pPr>
        <w:pStyle w:val="8"/>
        <w:spacing w:before="0" w:after="0" w:line="520" w:lineRule="exact"/>
        <w:rPr>
          <w:sz w:val="24"/>
          <w:szCs w:val="24"/>
        </w:rPr>
      </w:pPr>
      <w:r>
        <w:rPr>
          <w:rFonts w:hint="eastAsia"/>
          <w:sz w:val="24"/>
          <w:szCs w:val="24"/>
          <w:lang w:val="en-US" w:eastAsia="zh-CN"/>
        </w:rPr>
        <w:t>2</w:t>
      </w:r>
      <w:r>
        <w:rPr>
          <w:sz w:val="24"/>
          <w:szCs w:val="24"/>
        </w:rPr>
        <w:t>.3.1.5生态影响</w:t>
      </w:r>
    </w:p>
    <w:p>
      <w:pPr>
        <w:spacing w:line="520" w:lineRule="exact"/>
        <w:ind w:firstLine="567"/>
        <w:rPr>
          <w:sz w:val="24"/>
        </w:rPr>
      </w:pPr>
      <w:bookmarkStart w:id="134" w:name="_Toc413166132"/>
      <w:bookmarkStart w:id="135" w:name="_Toc407001405"/>
      <w:bookmarkStart w:id="136" w:name="_Toc406847412"/>
      <w:bookmarkStart w:id="137" w:name="_Toc237749134"/>
      <w:bookmarkStart w:id="138" w:name="_Toc269400684"/>
      <w:bookmarkStart w:id="139" w:name="_Toc388881913"/>
      <w:bookmarkStart w:id="140" w:name="_Toc311979810"/>
      <w:bookmarkStart w:id="141" w:name="_Toc311979924"/>
      <w:bookmarkStart w:id="142" w:name="_Toc311979856"/>
      <w:r>
        <w:rPr>
          <w:sz w:val="24"/>
        </w:rPr>
        <w:t>项目场区占地</w:t>
      </w:r>
      <w:r>
        <w:rPr>
          <w:rFonts w:hint="eastAsia"/>
          <w:sz w:val="24"/>
          <w:lang w:val="en-US" w:eastAsia="zh-CN"/>
        </w:rPr>
        <w:t>67.4999亩</w:t>
      </w:r>
      <w:r>
        <w:rPr>
          <w:sz w:val="24"/>
        </w:rPr>
        <w:t>，全部为</w:t>
      </w:r>
      <w:r>
        <w:rPr>
          <w:rFonts w:hint="eastAsia"/>
          <w:sz w:val="24"/>
          <w:lang w:val="en-US" w:eastAsia="zh-CN"/>
        </w:rPr>
        <w:t>林地。</w:t>
      </w:r>
      <w:r>
        <w:rPr>
          <w:sz w:val="24"/>
        </w:rPr>
        <w:t>根据实地调查，</w:t>
      </w:r>
      <w:r>
        <w:rPr>
          <w:rFonts w:hint="eastAsia"/>
          <w:sz w:val="24"/>
          <w:lang w:val="en-US" w:eastAsia="zh-CN"/>
        </w:rPr>
        <w:t>本项目立项前期，该林场林地已全部被砍伐完毕，项目区域内目前为空地</w:t>
      </w:r>
      <w:r>
        <w:rPr>
          <w:sz w:val="24"/>
        </w:rPr>
        <w:t>。</w:t>
      </w:r>
    </w:p>
    <w:p>
      <w:pPr>
        <w:adjustRightInd w:val="0"/>
        <w:snapToGrid w:val="0"/>
        <w:spacing w:line="520" w:lineRule="exact"/>
        <w:ind w:firstLine="480" w:firstLineChars="200"/>
        <w:rPr>
          <w:sz w:val="24"/>
        </w:rPr>
      </w:pPr>
      <w:r>
        <w:rPr>
          <w:sz w:val="24"/>
        </w:rPr>
        <w:t>项目在建设完成后将对厂区进行绿化，从而对减少的生物量进行补偿。</w:t>
      </w:r>
    </w:p>
    <w:p>
      <w:pPr>
        <w:spacing w:line="500" w:lineRule="exact"/>
        <w:ind w:firstLine="480" w:firstLineChars="200"/>
        <w:rPr>
          <w:sz w:val="24"/>
        </w:rPr>
      </w:pPr>
      <w:r>
        <w:rPr>
          <w:sz w:val="24"/>
        </w:rPr>
        <w:t>项目施工期建筑材料及土方临时堆放在厂区的东南侧，并加蓬覆盖，避免产生扬尘。本项目所用建筑材料，如砂砾、二灰砂砾、环保砖、沥青砼均在</w:t>
      </w:r>
      <w:r>
        <w:rPr>
          <w:rFonts w:hint="eastAsia"/>
          <w:sz w:val="24"/>
          <w:lang w:eastAsia="zh-CN"/>
        </w:rPr>
        <w:t>正阳</w:t>
      </w:r>
      <w:r>
        <w:rPr>
          <w:sz w:val="24"/>
        </w:rPr>
        <w:t>购买，采用汽车运输。在建筑材料运输过程应加蓬覆盖，尽量避开村庄运输。</w:t>
      </w:r>
    </w:p>
    <w:p>
      <w:pPr>
        <w:spacing w:line="500" w:lineRule="exact"/>
        <w:ind w:firstLine="480" w:firstLineChars="200"/>
        <w:rPr>
          <w:sz w:val="24"/>
        </w:rPr>
      </w:pPr>
      <w:r>
        <w:rPr>
          <w:sz w:val="24"/>
        </w:rPr>
        <w:t>建筑材料和尚未回填的剩余土方临时放置于施工场地东南角，建筑材料搭棚覆盖，剩余土方采用防尘网覆盖，撒播草籽，以减少水土流失，在项目建设完成后用于绿化覆土，提高植被覆盖率，以最大限度降低项目对生态环境的影响。</w:t>
      </w:r>
    </w:p>
    <w:p>
      <w:pPr>
        <w:adjustRightInd w:val="0"/>
        <w:snapToGrid w:val="0"/>
        <w:spacing w:line="520" w:lineRule="exact"/>
        <w:ind w:firstLine="480" w:firstLineChars="200"/>
        <w:rPr>
          <w:bCs/>
          <w:sz w:val="24"/>
        </w:rPr>
      </w:pPr>
      <w:r>
        <w:rPr>
          <w:sz w:val="24"/>
        </w:rPr>
        <w:t>通过采取相应的生态保护和恢复措施，尤其是通过施工管理和强化施工期的保护和恢复，则本项目建设对生态环境影响是可接受的。</w:t>
      </w:r>
    </w:p>
    <w:p>
      <w:pPr>
        <w:pStyle w:val="6"/>
        <w:snapToGrid w:val="0"/>
        <w:spacing w:before="0" w:after="0" w:line="520" w:lineRule="exact"/>
        <w:rPr>
          <w:bCs w:val="0"/>
          <w:sz w:val="28"/>
          <w:szCs w:val="28"/>
        </w:rPr>
      </w:pPr>
      <w:bookmarkStart w:id="143" w:name="_Toc14347"/>
      <w:r>
        <w:rPr>
          <w:rFonts w:hint="eastAsia"/>
          <w:bCs w:val="0"/>
          <w:sz w:val="28"/>
          <w:szCs w:val="28"/>
          <w:lang w:val="en-US" w:eastAsia="zh-CN"/>
        </w:rPr>
        <w:t>2</w:t>
      </w:r>
      <w:r>
        <w:rPr>
          <w:bCs w:val="0"/>
          <w:sz w:val="28"/>
          <w:szCs w:val="28"/>
        </w:rPr>
        <w:t>.3.2 运营期主要污染源分析</w:t>
      </w:r>
      <w:bookmarkEnd w:id="134"/>
      <w:bookmarkEnd w:id="135"/>
      <w:bookmarkEnd w:id="136"/>
      <w:bookmarkEnd w:id="137"/>
      <w:bookmarkEnd w:id="138"/>
      <w:bookmarkEnd w:id="139"/>
      <w:bookmarkEnd w:id="140"/>
      <w:bookmarkEnd w:id="141"/>
      <w:bookmarkEnd w:id="142"/>
      <w:bookmarkEnd w:id="143"/>
    </w:p>
    <w:p>
      <w:pPr>
        <w:adjustRightInd w:val="0"/>
        <w:snapToGrid w:val="0"/>
        <w:spacing w:line="520" w:lineRule="exact"/>
        <w:ind w:firstLine="480" w:firstLineChars="200"/>
        <w:rPr>
          <w:bCs/>
          <w:sz w:val="24"/>
        </w:rPr>
      </w:pPr>
      <w:r>
        <w:rPr>
          <w:bCs/>
          <w:sz w:val="24"/>
        </w:rPr>
        <w:t>营运期间的主要污染环节见表2.3-2。</w:t>
      </w:r>
    </w:p>
    <w:p>
      <w:pPr>
        <w:spacing w:afterLines="30" w:line="520" w:lineRule="exact"/>
        <w:jc w:val="center"/>
        <w:rPr>
          <w:b/>
          <w:sz w:val="24"/>
        </w:rPr>
      </w:pPr>
      <w:r>
        <w:rPr>
          <w:b/>
          <w:sz w:val="24"/>
        </w:rPr>
        <w:t>表2.3-2    工程产排污环节一览表</w:t>
      </w:r>
    </w:p>
    <w:tbl>
      <w:tblPr>
        <w:tblStyle w:val="45"/>
        <w:tblW w:w="89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79"/>
        <w:gridCol w:w="735"/>
        <w:gridCol w:w="1656"/>
        <w:gridCol w:w="1468"/>
        <w:gridCol w:w="3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709" w:type="dxa"/>
            <w:gridSpan w:val="2"/>
            <w:vAlign w:val="center"/>
          </w:tcPr>
          <w:p>
            <w:pPr>
              <w:spacing w:line="360" w:lineRule="exact"/>
              <w:jc w:val="center"/>
              <w:rPr>
                <w:b/>
                <w:szCs w:val="21"/>
              </w:rPr>
            </w:pPr>
            <w:r>
              <w:rPr>
                <w:b/>
                <w:szCs w:val="21"/>
              </w:rPr>
              <w:t>产排污环节</w:t>
            </w:r>
          </w:p>
        </w:tc>
        <w:tc>
          <w:tcPr>
            <w:tcW w:w="735" w:type="dxa"/>
            <w:vAlign w:val="center"/>
          </w:tcPr>
          <w:p>
            <w:pPr>
              <w:spacing w:line="360" w:lineRule="exact"/>
              <w:jc w:val="center"/>
              <w:rPr>
                <w:b/>
                <w:szCs w:val="21"/>
              </w:rPr>
            </w:pPr>
            <w:r>
              <w:rPr>
                <w:b/>
                <w:szCs w:val="21"/>
              </w:rPr>
              <w:t>编号</w:t>
            </w:r>
          </w:p>
        </w:tc>
        <w:tc>
          <w:tcPr>
            <w:tcW w:w="1656" w:type="dxa"/>
            <w:vAlign w:val="center"/>
          </w:tcPr>
          <w:p>
            <w:pPr>
              <w:spacing w:line="360" w:lineRule="exact"/>
              <w:jc w:val="center"/>
              <w:rPr>
                <w:b/>
                <w:szCs w:val="21"/>
              </w:rPr>
            </w:pPr>
            <w:r>
              <w:rPr>
                <w:b/>
                <w:szCs w:val="21"/>
              </w:rPr>
              <w:t>污染源</w:t>
            </w:r>
          </w:p>
        </w:tc>
        <w:tc>
          <w:tcPr>
            <w:tcW w:w="1468" w:type="dxa"/>
            <w:vAlign w:val="center"/>
          </w:tcPr>
          <w:p>
            <w:pPr>
              <w:spacing w:line="360" w:lineRule="exact"/>
              <w:jc w:val="center"/>
              <w:rPr>
                <w:b/>
                <w:szCs w:val="21"/>
              </w:rPr>
            </w:pPr>
            <w:r>
              <w:rPr>
                <w:b/>
                <w:szCs w:val="21"/>
              </w:rPr>
              <w:t>成分</w:t>
            </w:r>
          </w:p>
        </w:tc>
        <w:tc>
          <w:tcPr>
            <w:tcW w:w="3420" w:type="dxa"/>
            <w:vAlign w:val="center"/>
          </w:tcPr>
          <w:p>
            <w:pPr>
              <w:spacing w:line="360" w:lineRule="exact"/>
              <w:jc w:val="center"/>
              <w:rPr>
                <w:b/>
                <w:szCs w:val="21"/>
              </w:rPr>
            </w:pPr>
            <w:r>
              <w:rPr>
                <w:b/>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09" w:type="dxa"/>
            <w:gridSpan w:val="2"/>
            <w:vMerge w:val="restart"/>
            <w:vAlign w:val="center"/>
          </w:tcPr>
          <w:p>
            <w:pPr>
              <w:spacing w:line="360" w:lineRule="exact"/>
              <w:jc w:val="center"/>
              <w:rPr>
                <w:szCs w:val="21"/>
              </w:rPr>
            </w:pPr>
            <w:r>
              <w:rPr>
                <w:szCs w:val="21"/>
              </w:rPr>
              <w:t>猪舍</w:t>
            </w:r>
          </w:p>
        </w:tc>
        <w:tc>
          <w:tcPr>
            <w:tcW w:w="735" w:type="dxa"/>
            <w:vAlign w:val="center"/>
          </w:tcPr>
          <w:p>
            <w:pPr>
              <w:spacing w:line="360" w:lineRule="exact"/>
              <w:jc w:val="center"/>
              <w:rPr>
                <w:szCs w:val="21"/>
              </w:rPr>
            </w:pPr>
            <w:r>
              <w:rPr>
                <w:szCs w:val="21"/>
              </w:rPr>
              <w:t>G</w:t>
            </w:r>
            <w:r>
              <w:rPr>
                <w:szCs w:val="21"/>
                <w:vertAlign w:val="subscript"/>
              </w:rPr>
              <w:t>1</w:t>
            </w:r>
          </w:p>
        </w:tc>
        <w:tc>
          <w:tcPr>
            <w:tcW w:w="1656" w:type="dxa"/>
            <w:vAlign w:val="center"/>
          </w:tcPr>
          <w:p>
            <w:pPr>
              <w:spacing w:line="360" w:lineRule="exact"/>
              <w:jc w:val="center"/>
              <w:rPr>
                <w:szCs w:val="21"/>
              </w:rPr>
            </w:pPr>
            <w:r>
              <w:rPr>
                <w:szCs w:val="21"/>
              </w:rPr>
              <w:t>恶臭</w:t>
            </w:r>
          </w:p>
        </w:tc>
        <w:tc>
          <w:tcPr>
            <w:tcW w:w="1468" w:type="dxa"/>
            <w:vAlign w:val="center"/>
          </w:tcPr>
          <w:p>
            <w:pPr>
              <w:spacing w:line="360" w:lineRule="exact"/>
              <w:jc w:val="center"/>
              <w:rPr>
                <w:szCs w:val="21"/>
              </w:rPr>
            </w:pPr>
            <w:r>
              <w:rPr>
                <w:szCs w:val="21"/>
              </w:rPr>
              <w:t>H</w:t>
            </w:r>
            <w:r>
              <w:rPr>
                <w:szCs w:val="21"/>
                <w:vertAlign w:val="subscript"/>
              </w:rPr>
              <w:t>2</w:t>
            </w:r>
            <w:r>
              <w:rPr>
                <w:szCs w:val="21"/>
              </w:rPr>
              <w:t>S、NH</w:t>
            </w:r>
            <w:r>
              <w:rPr>
                <w:szCs w:val="21"/>
                <w:vertAlign w:val="subscript"/>
              </w:rPr>
              <w:t>3</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W</w:t>
            </w:r>
            <w:r>
              <w:rPr>
                <w:szCs w:val="21"/>
                <w:vertAlign w:val="subscript"/>
              </w:rPr>
              <w:t>1</w:t>
            </w:r>
          </w:p>
        </w:tc>
        <w:tc>
          <w:tcPr>
            <w:tcW w:w="1656" w:type="dxa"/>
            <w:vAlign w:val="center"/>
          </w:tcPr>
          <w:p>
            <w:pPr>
              <w:spacing w:line="360" w:lineRule="exact"/>
              <w:jc w:val="center"/>
              <w:rPr>
                <w:szCs w:val="21"/>
              </w:rPr>
            </w:pPr>
            <w:r>
              <w:rPr>
                <w:szCs w:val="21"/>
              </w:rPr>
              <w:t>猪尿液</w:t>
            </w:r>
          </w:p>
        </w:tc>
        <w:tc>
          <w:tcPr>
            <w:tcW w:w="1468" w:type="dxa"/>
            <w:vMerge w:val="restart"/>
            <w:vAlign w:val="center"/>
          </w:tcPr>
          <w:p>
            <w:pPr>
              <w:spacing w:line="360" w:lineRule="exact"/>
              <w:jc w:val="center"/>
              <w:rPr>
                <w:szCs w:val="21"/>
              </w:rPr>
            </w:pPr>
            <w:r>
              <w:rPr>
                <w:szCs w:val="21"/>
              </w:rPr>
              <w:t>COD、NH</w:t>
            </w:r>
            <w:r>
              <w:rPr>
                <w:szCs w:val="21"/>
                <w:vertAlign w:val="subscript"/>
              </w:rPr>
              <w:t>3</w:t>
            </w:r>
            <w:r>
              <w:rPr>
                <w:szCs w:val="21"/>
              </w:rPr>
              <w:t>-N</w:t>
            </w:r>
          </w:p>
        </w:tc>
        <w:tc>
          <w:tcPr>
            <w:tcW w:w="3420" w:type="dxa"/>
            <w:vMerge w:val="restart"/>
            <w:vAlign w:val="center"/>
          </w:tcPr>
          <w:p>
            <w:pPr>
              <w:spacing w:line="360" w:lineRule="exact"/>
              <w:jc w:val="center"/>
              <w:rPr>
                <w:szCs w:val="21"/>
              </w:rPr>
            </w:pPr>
            <w:r>
              <w:rPr>
                <w:szCs w:val="21"/>
              </w:rPr>
              <w:t>经</w:t>
            </w:r>
            <w:r>
              <w:rPr>
                <w:rFonts w:hint="eastAsia"/>
                <w:szCs w:val="21"/>
                <w:lang w:eastAsia="zh-CN"/>
              </w:rPr>
              <w:t>黑膜</w:t>
            </w:r>
            <w:r>
              <w:rPr>
                <w:szCs w:val="21"/>
              </w:rPr>
              <w:t>沼气池处理后作液体肥还田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W</w:t>
            </w:r>
            <w:r>
              <w:rPr>
                <w:szCs w:val="21"/>
                <w:vertAlign w:val="subscript"/>
              </w:rPr>
              <w:t>2</w:t>
            </w:r>
          </w:p>
        </w:tc>
        <w:tc>
          <w:tcPr>
            <w:tcW w:w="1656" w:type="dxa"/>
            <w:vAlign w:val="center"/>
          </w:tcPr>
          <w:p>
            <w:pPr>
              <w:spacing w:line="360" w:lineRule="exact"/>
              <w:jc w:val="center"/>
              <w:rPr>
                <w:szCs w:val="21"/>
              </w:rPr>
            </w:pPr>
            <w:r>
              <w:rPr>
                <w:szCs w:val="21"/>
              </w:rPr>
              <w:t>猪舍冲洗水</w:t>
            </w:r>
          </w:p>
        </w:tc>
        <w:tc>
          <w:tcPr>
            <w:tcW w:w="1468" w:type="dxa"/>
            <w:vMerge w:val="continue"/>
            <w:vAlign w:val="center"/>
          </w:tcPr>
          <w:p>
            <w:pPr>
              <w:spacing w:line="360" w:lineRule="exact"/>
              <w:jc w:val="center"/>
              <w:rPr>
                <w:szCs w:val="21"/>
              </w:rPr>
            </w:pPr>
          </w:p>
        </w:tc>
        <w:tc>
          <w:tcPr>
            <w:tcW w:w="3420" w:type="dxa"/>
            <w:vMerge w:val="continue"/>
            <w:vAlign w:val="center"/>
          </w:tcPr>
          <w:p>
            <w:pPr>
              <w:spacing w:line="36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1</w:t>
            </w:r>
          </w:p>
        </w:tc>
        <w:tc>
          <w:tcPr>
            <w:tcW w:w="1656" w:type="dxa"/>
            <w:vAlign w:val="center"/>
          </w:tcPr>
          <w:p>
            <w:pPr>
              <w:spacing w:line="360" w:lineRule="exact"/>
              <w:jc w:val="center"/>
              <w:rPr>
                <w:szCs w:val="21"/>
              </w:rPr>
            </w:pPr>
            <w:r>
              <w:rPr>
                <w:szCs w:val="21"/>
              </w:rPr>
              <w:t>猪叫</w:t>
            </w:r>
          </w:p>
        </w:tc>
        <w:tc>
          <w:tcPr>
            <w:tcW w:w="1468" w:type="dxa"/>
            <w:vAlign w:val="center"/>
          </w:tcPr>
          <w:p>
            <w:pPr>
              <w:spacing w:line="360" w:lineRule="exact"/>
              <w:jc w:val="center"/>
              <w:rPr>
                <w:szCs w:val="21"/>
              </w:rPr>
            </w:pPr>
            <w:r>
              <w:rPr>
                <w:szCs w:val="21"/>
              </w:rPr>
              <w:t>/</w:t>
            </w:r>
          </w:p>
        </w:tc>
        <w:tc>
          <w:tcPr>
            <w:tcW w:w="3420" w:type="dxa"/>
            <w:vMerge w:val="restart"/>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2</w:t>
            </w:r>
          </w:p>
        </w:tc>
        <w:tc>
          <w:tcPr>
            <w:tcW w:w="1656" w:type="dxa"/>
            <w:vAlign w:val="center"/>
          </w:tcPr>
          <w:p>
            <w:pPr>
              <w:spacing w:line="360" w:lineRule="exact"/>
              <w:jc w:val="center"/>
              <w:rPr>
                <w:szCs w:val="21"/>
              </w:rPr>
            </w:pPr>
            <w:r>
              <w:rPr>
                <w:szCs w:val="21"/>
              </w:rPr>
              <w:t>机械噪声</w:t>
            </w:r>
          </w:p>
        </w:tc>
        <w:tc>
          <w:tcPr>
            <w:tcW w:w="1468" w:type="dxa"/>
            <w:vAlign w:val="center"/>
          </w:tcPr>
          <w:p>
            <w:pPr>
              <w:spacing w:line="360" w:lineRule="exact"/>
              <w:jc w:val="center"/>
              <w:rPr>
                <w:szCs w:val="21"/>
              </w:rPr>
            </w:pPr>
            <w:r>
              <w:rPr>
                <w:szCs w:val="21"/>
              </w:rPr>
              <w:t>/</w:t>
            </w:r>
          </w:p>
        </w:tc>
        <w:tc>
          <w:tcPr>
            <w:tcW w:w="3420" w:type="dxa"/>
            <w:vMerge w:val="continue"/>
            <w:vAlign w:val="center"/>
          </w:tcPr>
          <w:p>
            <w:pPr>
              <w:spacing w:line="36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1</w:t>
            </w:r>
          </w:p>
        </w:tc>
        <w:tc>
          <w:tcPr>
            <w:tcW w:w="1656" w:type="dxa"/>
            <w:vAlign w:val="center"/>
          </w:tcPr>
          <w:p>
            <w:pPr>
              <w:spacing w:line="360" w:lineRule="exact"/>
              <w:jc w:val="center"/>
              <w:rPr>
                <w:szCs w:val="21"/>
              </w:rPr>
            </w:pPr>
            <w:r>
              <w:rPr>
                <w:szCs w:val="21"/>
              </w:rPr>
              <w:t>猪粪</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生产有机肥基肥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2</w:t>
            </w:r>
          </w:p>
        </w:tc>
        <w:tc>
          <w:tcPr>
            <w:tcW w:w="1656" w:type="dxa"/>
            <w:vAlign w:val="center"/>
          </w:tcPr>
          <w:p>
            <w:pPr>
              <w:spacing w:line="360" w:lineRule="exact"/>
              <w:jc w:val="center"/>
              <w:rPr>
                <w:szCs w:val="21"/>
              </w:rPr>
            </w:pPr>
            <w:r>
              <w:rPr>
                <w:szCs w:val="21"/>
              </w:rPr>
              <w:t>病死猪尸体</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bCs/>
                <w:color w:val="000000"/>
                <w:szCs w:val="21"/>
              </w:rPr>
              <w:t>由</w:t>
            </w:r>
            <w:r>
              <w:rPr>
                <w:szCs w:val="21"/>
              </w:rPr>
              <w:t>无害化处理</w:t>
            </w:r>
            <w:r>
              <w:rPr>
                <w:rFonts w:hint="eastAsia"/>
                <w:szCs w:val="21"/>
                <w:lang w:val="en-US" w:eastAsia="zh-CN"/>
              </w:rPr>
              <w:t>中心</w:t>
            </w:r>
            <w:r>
              <w:rPr>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3</w:t>
            </w:r>
          </w:p>
        </w:tc>
        <w:tc>
          <w:tcPr>
            <w:tcW w:w="1656" w:type="dxa"/>
            <w:vAlign w:val="center"/>
          </w:tcPr>
          <w:p>
            <w:pPr>
              <w:spacing w:line="360" w:lineRule="exact"/>
              <w:jc w:val="center"/>
              <w:rPr>
                <w:szCs w:val="21"/>
              </w:rPr>
            </w:pPr>
            <w:r>
              <w:rPr>
                <w:szCs w:val="21"/>
              </w:rPr>
              <w:t>医疗废物</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highlight w:val="yellow"/>
              </w:rPr>
            </w:pPr>
            <w:r>
              <w:rPr>
                <w:rFonts w:hint="eastAsia"/>
                <w:bCs/>
                <w:color w:val="000000"/>
                <w:szCs w:val="21"/>
                <w:lang w:val="en-US" w:eastAsia="zh-CN"/>
              </w:rPr>
              <w:t>委托有资质单位</w:t>
            </w:r>
            <w:r>
              <w:rPr>
                <w:bCs/>
                <w:color w:val="000000"/>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30" w:type="dxa"/>
            <w:vMerge w:val="restart"/>
            <w:vAlign w:val="center"/>
          </w:tcPr>
          <w:p>
            <w:pPr>
              <w:spacing w:line="360" w:lineRule="exact"/>
              <w:jc w:val="center"/>
              <w:rPr>
                <w:szCs w:val="21"/>
              </w:rPr>
            </w:pPr>
            <w:r>
              <w:rPr>
                <w:szCs w:val="21"/>
              </w:rPr>
              <w:t>粪污处理区</w:t>
            </w:r>
          </w:p>
        </w:tc>
        <w:tc>
          <w:tcPr>
            <w:tcW w:w="1079" w:type="dxa"/>
            <w:vMerge w:val="restart"/>
            <w:vAlign w:val="center"/>
          </w:tcPr>
          <w:p>
            <w:pPr>
              <w:spacing w:line="360" w:lineRule="exact"/>
              <w:jc w:val="center"/>
              <w:rPr>
                <w:szCs w:val="21"/>
              </w:rPr>
            </w:pPr>
            <w:r>
              <w:rPr>
                <w:szCs w:val="21"/>
              </w:rPr>
              <w:t>沼气工程</w:t>
            </w:r>
          </w:p>
        </w:tc>
        <w:tc>
          <w:tcPr>
            <w:tcW w:w="735" w:type="dxa"/>
            <w:vAlign w:val="center"/>
          </w:tcPr>
          <w:p>
            <w:pPr>
              <w:spacing w:line="360" w:lineRule="exact"/>
              <w:jc w:val="center"/>
              <w:rPr>
                <w:szCs w:val="21"/>
              </w:rPr>
            </w:pPr>
            <w:r>
              <w:rPr>
                <w:szCs w:val="21"/>
              </w:rPr>
              <w:t>G</w:t>
            </w:r>
            <w:r>
              <w:rPr>
                <w:szCs w:val="21"/>
                <w:vertAlign w:val="subscript"/>
              </w:rPr>
              <w:t>2</w:t>
            </w:r>
          </w:p>
        </w:tc>
        <w:tc>
          <w:tcPr>
            <w:tcW w:w="1656" w:type="dxa"/>
            <w:vAlign w:val="center"/>
          </w:tcPr>
          <w:p>
            <w:pPr>
              <w:spacing w:line="360" w:lineRule="exact"/>
              <w:jc w:val="center"/>
              <w:rPr>
                <w:szCs w:val="21"/>
              </w:rPr>
            </w:pPr>
            <w:r>
              <w:rPr>
                <w:szCs w:val="21"/>
              </w:rPr>
              <w:t>恶臭</w:t>
            </w:r>
          </w:p>
        </w:tc>
        <w:tc>
          <w:tcPr>
            <w:tcW w:w="1468" w:type="dxa"/>
            <w:vAlign w:val="center"/>
          </w:tcPr>
          <w:p>
            <w:pPr>
              <w:spacing w:line="360" w:lineRule="exact"/>
              <w:jc w:val="center"/>
              <w:rPr>
                <w:szCs w:val="21"/>
              </w:rPr>
            </w:pPr>
            <w:r>
              <w:rPr>
                <w:szCs w:val="21"/>
              </w:rPr>
              <w:t>H</w:t>
            </w:r>
            <w:r>
              <w:rPr>
                <w:szCs w:val="21"/>
                <w:vertAlign w:val="subscript"/>
              </w:rPr>
              <w:t>2</w:t>
            </w:r>
            <w:r>
              <w:rPr>
                <w:szCs w:val="21"/>
              </w:rPr>
              <w:t>S、NH</w:t>
            </w:r>
            <w:r>
              <w:rPr>
                <w:szCs w:val="21"/>
                <w:vertAlign w:val="subscript"/>
              </w:rPr>
              <w:t>3</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30" w:type="dxa"/>
            <w:vMerge w:val="continue"/>
            <w:vAlign w:val="center"/>
          </w:tcPr>
          <w:p>
            <w:pPr>
              <w:spacing w:line="360" w:lineRule="exact"/>
              <w:jc w:val="center"/>
              <w:rPr>
                <w:szCs w:val="21"/>
              </w:rPr>
            </w:pPr>
          </w:p>
        </w:tc>
        <w:tc>
          <w:tcPr>
            <w:tcW w:w="1079" w:type="dxa"/>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3</w:t>
            </w:r>
          </w:p>
        </w:tc>
        <w:tc>
          <w:tcPr>
            <w:tcW w:w="1656" w:type="dxa"/>
            <w:vAlign w:val="center"/>
          </w:tcPr>
          <w:p>
            <w:pPr>
              <w:spacing w:line="360" w:lineRule="exact"/>
              <w:jc w:val="center"/>
              <w:rPr>
                <w:szCs w:val="21"/>
              </w:rPr>
            </w:pPr>
            <w:r>
              <w:rPr>
                <w:szCs w:val="21"/>
              </w:rPr>
              <w:t>机械噪声</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30" w:type="dxa"/>
            <w:vMerge w:val="continue"/>
            <w:vAlign w:val="center"/>
          </w:tcPr>
          <w:p>
            <w:pPr>
              <w:spacing w:line="360" w:lineRule="exact"/>
              <w:jc w:val="center"/>
              <w:rPr>
                <w:szCs w:val="21"/>
              </w:rPr>
            </w:pPr>
          </w:p>
        </w:tc>
        <w:tc>
          <w:tcPr>
            <w:tcW w:w="1079" w:type="dxa"/>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4</w:t>
            </w:r>
          </w:p>
        </w:tc>
        <w:tc>
          <w:tcPr>
            <w:tcW w:w="1656" w:type="dxa"/>
            <w:vAlign w:val="center"/>
          </w:tcPr>
          <w:p>
            <w:pPr>
              <w:spacing w:line="360" w:lineRule="exact"/>
              <w:jc w:val="center"/>
              <w:rPr>
                <w:szCs w:val="21"/>
              </w:rPr>
            </w:pPr>
            <w:r>
              <w:rPr>
                <w:szCs w:val="21"/>
              </w:rPr>
              <w:t>沼渣</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堆肥区暂存后外售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dxa"/>
            <w:vMerge w:val="continue"/>
            <w:vAlign w:val="center"/>
          </w:tcPr>
          <w:p>
            <w:pPr>
              <w:spacing w:line="360" w:lineRule="exact"/>
              <w:jc w:val="center"/>
              <w:rPr>
                <w:szCs w:val="21"/>
              </w:rPr>
            </w:pPr>
          </w:p>
        </w:tc>
        <w:tc>
          <w:tcPr>
            <w:tcW w:w="1079" w:type="dxa"/>
            <w:vMerge w:val="restart"/>
            <w:vAlign w:val="center"/>
          </w:tcPr>
          <w:p>
            <w:pPr>
              <w:spacing w:line="360" w:lineRule="exact"/>
              <w:jc w:val="center"/>
              <w:rPr>
                <w:szCs w:val="21"/>
              </w:rPr>
            </w:pPr>
            <w:r>
              <w:rPr>
                <w:szCs w:val="21"/>
              </w:rPr>
              <w:t>堆肥区</w:t>
            </w:r>
          </w:p>
        </w:tc>
        <w:tc>
          <w:tcPr>
            <w:tcW w:w="735" w:type="dxa"/>
            <w:vAlign w:val="center"/>
          </w:tcPr>
          <w:p>
            <w:pPr>
              <w:spacing w:line="360" w:lineRule="exact"/>
              <w:jc w:val="center"/>
              <w:rPr>
                <w:szCs w:val="21"/>
              </w:rPr>
            </w:pPr>
            <w:r>
              <w:rPr>
                <w:szCs w:val="21"/>
              </w:rPr>
              <w:t>G</w:t>
            </w:r>
            <w:r>
              <w:rPr>
                <w:szCs w:val="21"/>
                <w:vertAlign w:val="subscript"/>
              </w:rPr>
              <w:t>2</w:t>
            </w:r>
          </w:p>
        </w:tc>
        <w:tc>
          <w:tcPr>
            <w:tcW w:w="1656" w:type="dxa"/>
            <w:vAlign w:val="center"/>
          </w:tcPr>
          <w:p>
            <w:pPr>
              <w:spacing w:line="360" w:lineRule="exact"/>
              <w:jc w:val="center"/>
              <w:rPr>
                <w:szCs w:val="21"/>
              </w:rPr>
            </w:pPr>
            <w:r>
              <w:rPr>
                <w:szCs w:val="21"/>
              </w:rPr>
              <w:t>恶臭</w:t>
            </w:r>
          </w:p>
        </w:tc>
        <w:tc>
          <w:tcPr>
            <w:tcW w:w="1468" w:type="dxa"/>
            <w:vAlign w:val="center"/>
          </w:tcPr>
          <w:p>
            <w:pPr>
              <w:spacing w:line="360" w:lineRule="exact"/>
              <w:jc w:val="center"/>
              <w:rPr>
                <w:szCs w:val="21"/>
              </w:rPr>
            </w:pPr>
            <w:r>
              <w:rPr>
                <w:szCs w:val="21"/>
              </w:rPr>
              <w:t>H</w:t>
            </w:r>
            <w:r>
              <w:rPr>
                <w:szCs w:val="21"/>
                <w:vertAlign w:val="subscript"/>
              </w:rPr>
              <w:t>2</w:t>
            </w:r>
            <w:r>
              <w:rPr>
                <w:szCs w:val="21"/>
              </w:rPr>
              <w:t>S、NH</w:t>
            </w:r>
            <w:r>
              <w:rPr>
                <w:szCs w:val="21"/>
                <w:vertAlign w:val="subscript"/>
              </w:rPr>
              <w:t>3</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0" w:type="dxa"/>
            <w:vMerge w:val="continue"/>
            <w:vAlign w:val="center"/>
          </w:tcPr>
          <w:p>
            <w:pPr>
              <w:spacing w:line="360" w:lineRule="exact"/>
              <w:jc w:val="center"/>
              <w:rPr>
                <w:szCs w:val="21"/>
              </w:rPr>
            </w:pPr>
          </w:p>
        </w:tc>
        <w:tc>
          <w:tcPr>
            <w:tcW w:w="1079" w:type="dxa"/>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4</w:t>
            </w:r>
          </w:p>
        </w:tc>
        <w:tc>
          <w:tcPr>
            <w:tcW w:w="1656" w:type="dxa"/>
            <w:vAlign w:val="center"/>
          </w:tcPr>
          <w:p>
            <w:pPr>
              <w:spacing w:line="360" w:lineRule="exact"/>
              <w:jc w:val="center"/>
              <w:rPr>
                <w:szCs w:val="21"/>
              </w:rPr>
            </w:pPr>
            <w:r>
              <w:rPr>
                <w:szCs w:val="21"/>
              </w:rPr>
              <w:t>机械噪声</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709" w:type="dxa"/>
            <w:gridSpan w:val="2"/>
            <w:vMerge w:val="restart"/>
            <w:vAlign w:val="center"/>
          </w:tcPr>
          <w:p>
            <w:pPr>
              <w:spacing w:line="360" w:lineRule="exact"/>
              <w:jc w:val="center"/>
              <w:rPr>
                <w:szCs w:val="21"/>
              </w:rPr>
            </w:pPr>
            <w:r>
              <w:rPr>
                <w:szCs w:val="21"/>
              </w:rPr>
              <w:t>职工生活</w:t>
            </w:r>
          </w:p>
        </w:tc>
        <w:tc>
          <w:tcPr>
            <w:tcW w:w="735" w:type="dxa"/>
            <w:vAlign w:val="center"/>
          </w:tcPr>
          <w:p>
            <w:pPr>
              <w:spacing w:line="360" w:lineRule="exact"/>
              <w:jc w:val="center"/>
              <w:rPr>
                <w:szCs w:val="21"/>
              </w:rPr>
            </w:pPr>
            <w:r>
              <w:rPr>
                <w:szCs w:val="21"/>
              </w:rPr>
              <w:t>G</w:t>
            </w:r>
            <w:r>
              <w:rPr>
                <w:szCs w:val="21"/>
                <w:vertAlign w:val="subscript"/>
              </w:rPr>
              <w:t>4</w:t>
            </w:r>
          </w:p>
        </w:tc>
        <w:tc>
          <w:tcPr>
            <w:tcW w:w="1656" w:type="dxa"/>
            <w:vAlign w:val="center"/>
          </w:tcPr>
          <w:p>
            <w:pPr>
              <w:spacing w:line="360" w:lineRule="exact"/>
              <w:jc w:val="center"/>
              <w:rPr>
                <w:szCs w:val="21"/>
              </w:rPr>
            </w:pPr>
            <w:r>
              <w:rPr>
                <w:szCs w:val="21"/>
              </w:rPr>
              <w:t>伙房</w:t>
            </w:r>
          </w:p>
        </w:tc>
        <w:tc>
          <w:tcPr>
            <w:tcW w:w="1468" w:type="dxa"/>
            <w:vAlign w:val="center"/>
          </w:tcPr>
          <w:p>
            <w:pPr>
              <w:spacing w:line="360" w:lineRule="exact"/>
              <w:jc w:val="center"/>
              <w:rPr>
                <w:szCs w:val="21"/>
              </w:rPr>
            </w:pPr>
            <w:r>
              <w:rPr>
                <w:szCs w:val="21"/>
              </w:rPr>
              <w:t>油烟</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G</w:t>
            </w:r>
            <w:r>
              <w:rPr>
                <w:szCs w:val="21"/>
                <w:vertAlign w:val="subscript"/>
              </w:rPr>
              <w:t>3</w:t>
            </w:r>
          </w:p>
        </w:tc>
        <w:tc>
          <w:tcPr>
            <w:tcW w:w="1656" w:type="dxa"/>
            <w:vAlign w:val="center"/>
          </w:tcPr>
          <w:p>
            <w:pPr>
              <w:spacing w:line="360" w:lineRule="exact"/>
              <w:jc w:val="center"/>
              <w:rPr>
                <w:rFonts w:hint="eastAsia" w:eastAsia="宋体"/>
                <w:szCs w:val="21"/>
                <w:lang w:eastAsia="zh-CN"/>
              </w:rPr>
            </w:pPr>
            <w:r>
              <w:rPr>
                <w:szCs w:val="21"/>
              </w:rPr>
              <w:t>沼气</w:t>
            </w:r>
            <w:r>
              <w:rPr>
                <w:rFonts w:hint="eastAsia"/>
                <w:szCs w:val="21"/>
                <w:lang w:val="en-US" w:eastAsia="zh-CN"/>
              </w:rPr>
              <w:t>燃烧</w:t>
            </w:r>
          </w:p>
        </w:tc>
        <w:tc>
          <w:tcPr>
            <w:tcW w:w="1468" w:type="dxa"/>
            <w:vAlign w:val="center"/>
          </w:tcPr>
          <w:p>
            <w:pPr>
              <w:spacing w:line="360" w:lineRule="exact"/>
              <w:jc w:val="center"/>
              <w:rPr>
                <w:szCs w:val="21"/>
              </w:rPr>
            </w:pPr>
            <w:r>
              <w:rPr>
                <w:szCs w:val="21"/>
              </w:rPr>
              <w:t>SO</w:t>
            </w:r>
            <w:r>
              <w:rPr>
                <w:szCs w:val="21"/>
                <w:vertAlign w:val="subscript"/>
              </w:rPr>
              <w:t>2</w:t>
            </w:r>
            <w:r>
              <w:rPr>
                <w:szCs w:val="21"/>
              </w:rPr>
              <w:t>、NOx</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W</w:t>
            </w:r>
            <w:r>
              <w:rPr>
                <w:szCs w:val="21"/>
                <w:vertAlign w:val="subscript"/>
              </w:rPr>
              <w:t>3</w:t>
            </w:r>
          </w:p>
        </w:tc>
        <w:tc>
          <w:tcPr>
            <w:tcW w:w="1656" w:type="dxa"/>
            <w:vAlign w:val="center"/>
          </w:tcPr>
          <w:p>
            <w:pPr>
              <w:spacing w:line="360" w:lineRule="exact"/>
              <w:jc w:val="center"/>
              <w:rPr>
                <w:szCs w:val="21"/>
              </w:rPr>
            </w:pPr>
            <w:r>
              <w:rPr>
                <w:szCs w:val="21"/>
              </w:rPr>
              <w:t>生活污水</w:t>
            </w:r>
          </w:p>
        </w:tc>
        <w:tc>
          <w:tcPr>
            <w:tcW w:w="1468" w:type="dxa"/>
            <w:vAlign w:val="center"/>
          </w:tcPr>
          <w:p>
            <w:pPr>
              <w:spacing w:line="360" w:lineRule="exact"/>
              <w:jc w:val="center"/>
              <w:rPr>
                <w:szCs w:val="21"/>
              </w:rPr>
            </w:pPr>
            <w:r>
              <w:rPr>
                <w:szCs w:val="21"/>
              </w:rPr>
              <w:t>COD、BOD</w:t>
            </w:r>
            <w:r>
              <w:rPr>
                <w:szCs w:val="21"/>
                <w:vertAlign w:val="subscript"/>
              </w:rPr>
              <w:t>5</w:t>
            </w:r>
            <w:r>
              <w:rPr>
                <w:szCs w:val="21"/>
              </w:rPr>
              <w:t>、NH</w:t>
            </w:r>
            <w:r>
              <w:rPr>
                <w:szCs w:val="21"/>
                <w:vertAlign w:val="subscript"/>
              </w:rPr>
              <w:t>3</w:t>
            </w:r>
            <w:r>
              <w:rPr>
                <w:szCs w:val="21"/>
              </w:rPr>
              <w:t>-N</w:t>
            </w:r>
          </w:p>
        </w:tc>
        <w:tc>
          <w:tcPr>
            <w:tcW w:w="3420" w:type="dxa"/>
            <w:vAlign w:val="center"/>
          </w:tcPr>
          <w:p>
            <w:pPr>
              <w:spacing w:line="360" w:lineRule="exact"/>
              <w:jc w:val="center"/>
              <w:rPr>
                <w:szCs w:val="21"/>
              </w:rPr>
            </w:pPr>
            <w:r>
              <w:rPr>
                <w:szCs w:val="21"/>
              </w:rPr>
              <w:t>经处理后作农肥还田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5</w:t>
            </w:r>
          </w:p>
        </w:tc>
        <w:tc>
          <w:tcPr>
            <w:tcW w:w="1656" w:type="dxa"/>
            <w:vAlign w:val="center"/>
          </w:tcPr>
          <w:p>
            <w:pPr>
              <w:spacing w:line="360" w:lineRule="exact"/>
              <w:jc w:val="center"/>
              <w:rPr>
                <w:szCs w:val="21"/>
              </w:rPr>
            </w:pPr>
            <w:r>
              <w:rPr>
                <w:szCs w:val="21"/>
              </w:rPr>
              <w:t>生活垃圾</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Align w:val="center"/>
          </w:tcPr>
          <w:p>
            <w:pPr>
              <w:spacing w:line="360" w:lineRule="exact"/>
              <w:jc w:val="center"/>
              <w:rPr>
                <w:szCs w:val="21"/>
              </w:rPr>
            </w:pPr>
            <w:r>
              <w:rPr>
                <w:szCs w:val="21"/>
              </w:rPr>
              <w:t>沼气脱硫装置</w:t>
            </w:r>
          </w:p>
        </w:tc>
        <w:tc>
          <w:tcPr>
            <w:tcW w:w="735" w:type="dxa"/>
            <w:vAlign w:val="center"/>
          </w:tcPr>
          <w:p>
            <w:pPr>
              <w:spacing w:line="360" w:lineRule="exact"/>
              <w:jc w:val="center"/>
              <w:rPr>
                <w:szCs w:val="21"/>
              </w:rPr>
            </w:pPr>
            <w:r>
              <w:rPr>
                <w:szCs w:val="21"/>
              </w:rPr>
              <w:t>S</w:t>
            </w:r>
            <w:r>
              <w:rPr>
                <w:szCs w:val="21"/>
                <w:vertAlign w:val="subscript"/>
              </w:rPr>
              <w:t>6</w:t>
            </w:r>
          </w:p>
        </w:tc>
        <w:tc>
          <w:tcPr>
            <w:tcW w:w="1656" w:type="dxa"/>
            <w:vAlign w:val="center"/>
          </w:tcPr>
          <w:p>
            <w:pPr>
              <w:spacing w:line="360" w:lineRule="exact"/>
              <w:jc w:val="center"/>
              <w:rPr>
                <w:szCs w:val="21"/>
              </w:rPr>
            </w:pPr>
            <w:r>
              <w:rPr>
                <w:szCs w:val="21"/>
              </w:rPr>
              <w:t>废脱硫剂</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生产厂家统一回收处置</w:t>
            </w:r>
          </w:p>
        </w:tc>
      </w:tr>
    </w:tbl>
    <w:p>
      <w:pPr>
        <w:rPr>
          <w:kern w:val="0"/>
          <w:sz w:val="24"/>
        </w:rPr>
      </w:pPr>
    </w:p>
    <w:p>
      <w:pPr>
        <w:pStyle w:val="8"/>
        <w:spacing w:before="0" w:after="0" w:line="520" w:lineRule="exact"/>
        <w:rPr>
          <w:b w:val="0"/>
          <w:sz w:val="24"/>
          <w:szCs w:val="24"/>
        </w:rPr>
      </w:pPr>
      <w:r>
        <w:rPr>
          <w:rFonts w:hint="eastAsia"/>
          <w:b w:val="0"/>
          <w:sz w:val="24"/>
          <w:szCs w:val="24"/>
          <w:lang w:val="en-US" w:eastAsia="zh-CN"/>
        </w:rPr>
        <w:t>2</w:t>
      </w:r>
      <w:r>
        <w:rPr>
          <w:b w:val="0"/>
          <w:sz w:val="24"/>
          <w:szCs w:val="24"/>
        </w:rPr>
        <w:t>.3.2.1大气污染源</w:t>
      </w:r>
    </w:p>
    <w:p>
      <w:pPr>
        <w:spacing w:line="520" w:lineRule="exact"/>
        <w:ind w:firstLine="480" w:firstLineChars="200"/>
        <w:rPr>
          <w:sz w:val="24"/>
        </w:rPr>
      </w:pPr>
      <w:r>
        <w:rPr>
          <w:sz w:val="24"/>
        </w:rPr>
        <w:t>本项目产生的废气主要是养殖区恶臭、污水处理工程恶臭、固粪处置区恶臭、沼气燃烧废气和生活区食堂油烟等。</w:t>
      </w:r>
    </w:p>
    <w:p>
      <w:pPr>
        <w:pStyle w:val="99"/>
        <w:spacing w:line="520" w:lineRule="exact"/>
        <w:ind w:firstLine="480"/>
      </w:pPr>
      <w:r>
        <w:t>（1）无组织排放恶臭气体</w:t>
      </w:r>
    </w:p>
    <w:p>
      <w:pPr>
        <w:pStyle w:val="99"/>
        <w:spacing w:line="520" w:lineRule="exact"/>
        <w:ind w:firstLine="480"/>
      </w:pPr>
      <w:r>
        <w:rPr>
          <w:rFonts w:hint="eastAsia" w:ascii="宋体" w:hAnsi="宋体" w:cs="宋体"/>
        </w:rPr>
        <w:t>①</w:t>
      </w:r>
      <w:r>
        <w:t>污染因素分析</w:t>
      </w:r>
    </w:p>
    <w:p>
      <w:pPr>
        <w:pStyle w:val="99"/>
        <w:spacing w:line="520" w:lineRule="exact"/>
        <w:ind w:firstLine="480"/>
      </w:pPr>
      <w:r>
        <w:t>恶臭主要来源为有机物腐败时所产生的氨气、动物有机体中蛋白质腐败时所产生的硫化氢等。</w:t>
      </w:r>
    </w:p>
    <w:p>
      <w:pPr>
        <w:pStyle w:val="99"/>
        <w:spacing w:line="520" w:lineRule="exact"/>
        <w:ind w:firstLine="480"/>
      </w:pPr>
      <w:r>
        <w:t>猪舍中刚排泄出的粪尿中有氨、硫化氢等有害气体，在高温季节尤为明显。以上有害气体及生产中产生的尘埃、微生物排入大气，刺激人、畜呼吸道，可引起呼吸道疾病；恶臭气体使人产生不愉快的感觉，影响人的工作效率，也常引起猪只生产力下降。猪场排出的各种微生物以尘埃为载体，随风传播，可引起疫病蔓延，场区孳生大量蚊蝇也易传播疫病、污染环境。影响畜禽场恶臭产生的的主要原因是清粪方式、管理水平、粪便和污水处理程度，同时也与场址选择、场地规划和布局、畜舍设计、畜舍通风等有关。</w:t>
      </w:r>
    </w:p>
    <w:p>
      <w:pPr>
        <w:pStyle w:val="99"/>
        <w:spacing w:line="520" w:lineRule="exact"/>
        <w:ind w:firstLine="556" w:firstLineChars="232"/>
      </w:pPr>
      <w:r>
        <w:rPr>
          <w:rFonts w:hint="eastAsia" w:ascii="宋体" w:hAnsi="宋体" w:cs="宋体"/>
        </w:rPr>
        <w:t>②</w:t>
      </w:r>
      <w:r>
        <w:t>污染物源强确定</w:t>
      </w:r>
    </w:p>
    <w:p>
      <w:pPr>
        <w:spacing w:line="520" w:lineRule="exact"/>
        <w:ind w:firstLine="480" w:firstLineChars="200"/>
        <w:rPr>
          <w:sz w:val="24"/>
        </w:rPr>
      </w:pPr>
      <w:r>
        <w:rPr>
          <w:sz w:val="24"/>
        </w:rPr>
        <w:t>项目区内恶臭气体主要来自养殖区恶臭、污水处理工程恶臭、固粪处置区恶臭。</w:t>
      </w:r>
    </w:p>
    <w:p>
      <w:pPr>
        <w:spacing w:line="520" w:lineRule="exact"/>
        <w:ind w:firstLine="480" w:firstLineChars="200"/>
        <w:rPr>
          <w:sz w:val="24"/>
        </w:rPr>
      </w:pPr>
      <w:r>
        <w:rPr>
          <w:sz w:val="24"/>
        </w:rPr>
        <w:t>A、猪舍恶臭</w:t>
      </w:r>
    </w:p>
    <w:p>
      <w:pPr>
        <w:spacing w:line="520" w:lineRule="exact"/>
        <w:ind w:firstLine="480" w:firstLineChars="200"/>
        <w:rPr>
          <w:sz w:val="24"/>
        </w:rPr>
      </w:pPr>
      <w:bookmarkStart w:id="144" w:name="_Toc311979817"/>
      <w:bookmarkStart w:id="145" w:name="_Toc269400717"/>
      <w:bookmarkStart w:id="146" w:name="_Toc311979930"/>
      <w:bookmarkStart w:id="147" w:name="_Toc311979862"/>
      <w:r>
        <w:rPr>
          <w:sz w:val="24"/>
        </w:rPr>
        <w:t>养殖过程恶臭气体主要产生于猪舍内，为了有效核定出臭气中NH</w:t>
      </w:r>
      <w:r>
        <w:rPr>
          <w:sz w:val="24"/>
          <w:vertAlign w:val="subscript"/>
        </w:rPr>
        <w:t>3</w:t>
      </w:r>
      <w:r>
        <w:rPr>
          <w:sz w:val="24"/>
        </w:rPr>
        <w:t>、H</w:t>
      </w:r>
      <w:r>
        <w:rPr>
          <w:sz w:val="24"/>
          <w:vertAlign w:val="subscript"/>
        </w:rPr>
        <w:t>2</w:t>
      </w:r>
      <w:r>
        <w:rPr>
          <w:sz w:val="24"/>
        </w:rPr>
        <w:t>S产生情况</w:t>
      </w:r>
      <w:r>
        <w:rPr>
          <w:color w:val="000000"/>
          <w:sz w:val="24"/>
        </w:rPr>
        <w:t>类比</w:t>
      </w:r>
      <w:r>
        <w:rPr>
          <w:rFonts w:hint="eastAsia"/>
          <w:color w:val="000000"/>
          <w:sz w:val="24"/>
          <w:lang w:val="en-US" w:eastAsia="zh-CN"/>
        </w:rPr>
        <w:t>同类项目</w:t>
      </w:r>
      <w:r>
        <w:rPr>
          <w:color w:val="000000"/>
          <w:sz w:val="24"/>
        </w:rPr>
        <w:t>。育肥猪NH</w:t>
      </w:r>
      <w:r>
        <w:rPr>
          <w:color w:val="000000"/>
          <w:sz w:val="24"/>
          <w:vertAlign w:val="subscript"/>
        </w:rPr>
        <w:t>3</w:t>
      </w:r>
      <w:r>
        <w:rPr>
          <w:color w:val="000000"/>
          <w:sz w:val="24"/>
        </w:rPr>
        <w:t>产生源强为0.2g/头·d，H</w:t>
      </w:r>
      <w:r>
        <w:rPr>
          <w:color w:val="000000"/>
          <w:sz w:val="24"/>
          <w:vertAlign w:val="subscript"/>
        </w:rPr>
        <w:t>2</w:t>
      </w:r>
      <w:r>
        <w:rPr>
          <w:color w:val="000000"/>
          <w:sz w:val="24"/>
        </w:rPr>
        <w:t>S产生源强为0.017g/头·d（保育猪乘以0.2的系数</w:t>
      </w:r>
      <w:r>
        <w:rPr>
          <w:rFonts w:hint="eastAsia"/>
          <w:color w:val="000000"/>
          <w:sz w:val="24"/>
          <w:lang w:eastAsia="zh-CN"/>
        </w:rPr>
        <w:t>，</w:t>
      </w:r>
      <w:r>
        <w:rPr>
          <w:rFonts w:hint="eastAsia"/>
          <w:color w:val="000000"/>
          <w:sz w:val="24"/>
          <w:lang w:val="en-US" w:eastAsia="zh-CN"/>
        </w:rPr>
        <w:t>后备猪同育肥猪</w:t>
      </w:r>
      <w:r>
        <w:rPr>
          <w:color w:val="000000"/>
          <w:sz w:val="24"/>
        </w:rPr>
        <w:t>）。以上数据是在猪舍没有采取任何措施的情况下的产生量。</w:t>
      </w:r>
    </w:p>
    <w:p>
      <w:pPr>
        <w:spacing w:line="520" w:lineRule="exact"/>
        <w:ind w:firstLine="480" w:firstLineChars="200"/>
        <w:rPr>
          <w:sz w:val="24"/>
          <w:vertAlign w:val="subscript"/>
        </w:rPr>
      </w:pPr>
      <w:r>
        <w:rPr>
          <w:sz w:val="24"/>
        </w:rPr>
        <w:t>多年研究结果表明采取以下措施可以从源头减少恶臭的产生：温度高时恶臭浓度高，猪粪在1～2周后发酵较快，粪便暴露面积大的发酵率高。猪舍采用漏缝地板，保证粪便冷却，并尽快从猪舍内清粪，在猪舍内加强通风，加速粪便干燥，可减少猪粪污染；喷洒除臭剂；通过合理搭配日粮，可以一方面抑制了腐败细菌的生长，改善有机物的分解途径，减少NH</w:t>
      </w:r>
      <w:r>
        <w:rPr>
          <w:sz w:val="24"/>
          <w:vertAlign w:val="subscript"/>
        </w:rPr>
        <w:t>3</w:t>
      </w:r>
      <w:r>
        <w:rPr>
          <w:sz w:val="24"/>
        </w:rPr>
        <w:t>和H</w:t>
      </w:r>
      <w:r>
        <w:rPr>
          <w:sz w:val="24"/>
          <w:vertAlign w:val="subscript"/>
        </w:rPr>
        <w:t>2</w:t>
      </w:r>
      <w:r>
        <w:rPr>
          <w:sz w:val="24"/>
        </w:rPr>
        <w:t>S的释放量和胺类物质的产生；另一方面它又可利用H</w:t>
      </w:r>
      <w:r>
        <w:rPr>
          <w:sz w:val="24"/>
          <w:vertAlign w:val="subscript"/>
        </w:rPr>
        <w:t>2</w:t>
      </w:r>
      <w:r>
        <w:rPr>
          <w:sz w:val="24"/>
        </w:rPr>
        <w:t>S作氢供体，消耗H</w:t>
      </w:r>
      <w:r>
        <w:rPr>
          <w:sz w:val="24"/>
          <w:vertAlign w:val="subscript"/>
        </w:rPr>
        <w:t>2</w:t>
      </w:r>
      <w:r>
        <w:rPr>
          <w:sz w:val="24"/>
        </w:rPr>
        <w:t>S，从而减轻环境中的恶臭。通过以上措施可以有效抑制和去除H</w:t>
      </w:r>
      <w:r>
        <w:rPr>
          <w:sz w:val="24"/>
          <w:vertAlign w:val="subscript"/>
        </w:rPr>
        <w:t>2</w:t>
      </w:r>
      <w:r>
        <w:rPr>
          <w:sz w:val="24"/>
        </w:rPr>
        <w:t>S和NH</w:t>
      </w:r>
      <w:r>
        <w:rPr>
          <w:sz w:val="24"/>
          <w:vertAlign w:val="subscript"/>
        </w:rPr>
        <w:t>3</w:t>
      </w:r>
      <w:r>
        <w:rPr>
          <w:sz w:val="24"/>
        </w:rPr>
        <w:t>的产生量，恶臭控制及处置措施可行。</w:t>
      </w:r>
    </w:p>
    <w:p>
      <w:pPr>
        <w:spacing w:line="520" w:lineRule="exact"/>
        <w:ind w:firstLine="480" w:firstLineChars="200"/>
        <w:rPr>
          <w:sz w:val="24"/>
        </w:rPr>
      </w:pPr>
      <w:r>
        <w:rPr>
          <w:sz w:val="24"/>
        </w:rPr>
        <w:t>根据企业提供的资料，本次项目生猪存栏量为：保育猪</w:t>
      </w:r>
      <w:r>
        <w:rPr>
          <w:rFonts w:hint="eastAsia"/>
          <w:sz w:val="24"/>
          <w:lang w:val="en-US" w:eastAsia="zh-CN"/>
        </w:rPr>
        <w:t>175</w:t>
      </w:r>
      <w:r>
        <w:rPr>
          <w:sz w:val="24"/>
        </w:rPr>
        <w:t>0头，育肥猪</w:t>
      </w:r>
      <w:r>
        <w:rPr>
          <w:rFonts w:hint="eastAsia"/>
          <w:sz w:val="24"/>
          <w:lang w:val="en-US" w:eastAsia="zh-CN"/>
        </w:rPr>
        <w:t>3250</w:t>
      </w:r>
      <w:r>
        <w:rPr>
          <w:sz w:val="24"/>
        </w:rPr>
        <w:t>头</w:t>
      </w:r>
      <w:r>
        <w:rPr>
          <w:rFonts w:hint="eastAsia"/>
          <w:sz w:val="24"/>
          <w:lang w:eastAsia="zh-CN"/>
        </w:rPr>
        <w:t>，</w:t>
      </w:r>
      <w:r>
        <w:rPr>
          <w:rFonts w:hint="eastAsia"/>
          <w:sz w:val="24"/>
          <w:lang w:val="en-US" w:eastAsia="zh-CN"/>
        </w:rPr>
        <w:t>后备猪100头</w:t>
      </w:r>
      <w:r>
        <w:rPr>
          <w:sz w:val="24"/>
        </w:rPr>
        <w:t>。根据以上参数及存栏情况计算恶臭气体产排情况，计算结果见表</w:t>
      </w:r>
      <w:r>
        <w:rPr>
          <w:rFonts w:hint="eastAsia"/>
          <w:sz w:val="24"/>
          <w:lang w:val="en-US" w:eastAsia="zh-CN"/>
        </w:rPr>
        <w:t>2</w:t>
      </w:r>
      <w:r>
        <w:rPr>
          <w:sz w:val="24"/>
        </w:rPr>
        <w:t>.3-3。</w:t>
      </w:r>
    </w:p>
    <w:p>
      <w:pPr>
        <w:spacing w:afterLines="30" w:line="520" w:lineRule="exact"/>
        <w:jc w:val="center"/>
        <w:rPr>
          <w:b/>
          <w:sz w:val="24"/>
        </w:rPr>
      </w:pPr>
      <w:r>
        <w:rPr>
          <w:b/>
          <w:sz w:val="24"/>
        </w:rPr>
        <w:t>表</w:t>
      </w:r>
      <w:r>
        <w:rPr>
          <w:rFonts w:hint="eastAsia"/>
          <w:b/>
          <w:sz w:val="24"/>
          <w:lang w:val="en-US" w:eastAsia="zh-CN"/>
        </w:rPr>
        <w:t>2</w:t>
      </w:r>
      <w:r>
        <w:rPr>
          <w:b/>
          <w:sz w:val="24"/>
        </w:rPr>
        <w:t>.3-3    项目养殖过程猪舍恶臭气体产生及排放情况一览表</w:t>
      </w:r>
    </w:p>
    <w:tbl>
      <w:tblPr>
        <w:tblStyle w:val="45"/>
        <w:tblW w:w="88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83"/>
        <w:gridCol w:w="1021"/>
        <w:gridCol w:w="3919"/>
        <w:gridCol w:w="961"/>
        <w:gridCol w:w="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adjustRightInd w:val="0"/>
              <w:snapToGrid w:val="0"/>
              <w:jc w:val="center"/>
              <w:rPr>
                <w:b w:val="0"/>
                <w:bCs/>
                <w:szCs w:val="21"/>
                <w:u w:val="none"/>
              </w:rPr>
            </w:pPr>
            <w:r>
              <w:rPr>
                <w:b w:val="0"/>
                <w:bCs/>
                <w:szCs w:val="21"/>
                <w:u w:val="none"/>
              </w:rPr>
              <w:t>污染源</w:t>
            </w:r>
          </w:p>
        </w:tc>
        <w:tc>
          <w:tcPr>
            <w:tcW w:w="1904" w:type="dxa"/>
            <w:gridSpan w:val="2"/>
            <w:tcMar>
              <w:left w:w="0" w:type="dxa"/>
              <w:right w:w="0" w:type="dxa"/>
            </w:tcMar>
            <w:vAlign w:val="center"/>
          </w:tcPr>
          <w:p>
            <w:pPr>
              <w:adjustRightInd w:val="0"/>
              <w:snapToGrid w:val="0"/>
              <w:jc w:val="center"/>
              <w:rPr>
                <w:b w:val="0"/>
                <w:bCs/>
                <w:szCs w:val="21"/>
                <w:u w:val="none"/>
              </w:rPr>
            </w:pPr>
            <w:r>
              <w:rPr>
                <w:b w:val="0"/>
                <w:bCs/>
                <w:szCs w:val="21"/>
                <w:u w:val="none"/>
              </w:rPr>
              <w:t>未采取措施时污染物产生情况</w:t>
            </w:r>
          </w:p>
        </w:tc>
        <w:tc>
          <w:tcPr>
            <w:tcW w:w="3919" w:type="dxa"/>
            <w:vMerge w:val="restart"/>
            <w:tcMar>
              <w:left w:w="0" w:type="dxa"/>
              <w:right w:w="0" w:type="dxa"/>
            </w:tcMar>
            <w:vAlign w:val="center"/>
          </w:tcPr>
          <w:p>
            <w:pPr>
              <w:adjustRightInd w:val="0"/>
              <w:snapToGrid w:val="0"/>
              <w:jc w:val="center"/>
              <w:rPr>
                <w:b w:val="0"/>
                <w:bCs/>
                <w:szCs w:val="21"/>
                <w:u w:val="none"/>
              </w:rPr>
            </w:pPr>
            <w:r>
              <w:rPr>
                <w:b w:val="0"/>
                <w:bCs/>
                <w:szCs w:val="21"/>
                <w:u w:val="none"/>
              </w:rPr>
              <w:t>拟处理措施</w:t>
            </w:r>
          </w:p>
        </w:tc>
        <w:tc>
          <w:tcPr>
            <w:tcW w:w="1931" w:type="dxa"/>
            <w:gridSpan w:val="2"/>
            <w:tcMar>
              <w:left w:w="0" w:type="dxa"/>
              <w:right w:w="0" w:type="dxa"/>
            </w:tcMar>
            <w:vAlign w:val="center"/>
          </w:tcPr>
          <w:p>
            <w:pPr>
              <w:adjustRightInd w:val="0"/>
              <w:snapToGrid w:val="0"/>
              <w:jc w:val="center"/>
              <w:rPr>
                <w:b w:val="0"/>
                <w:bCs/>
                <w:szCs w:val="21"/>
                <w:u w:val="none"/>
              </w:rPr>
            </w:pPr>
            <w:r>
              <w:rPr>
                <w:b w:val="0"/>
                <w:bCs/>
                <w:szCs w:val="21"/>
                <w:u w:val="none"/>
              </w:rPr>
              <w:t>采取措施后污染物排放情况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adjustRightInd w:val="0"/>
              <w:snapToGrid w:val="0"/>
              <w:jc w:val="center"/>
              <w:rPr>
                <w:b w:val="0"/>
                <w:bCs/>
                <w:szCs w:val="21"/>
                <w:u w:val="none"/>
              </w:rPr>
            </w:pPr>
          </w:p>
        </w:tc>
        <w:tc>
          <w:tcPr>
            <w:tcW w:w="883" w:type="dxa"/>
            <w:tcMar>
              <w:left w:w="0" w:type="dxa"/>
              <w:right w:w="0" w:type="dxa"/>
            </w:tcMar>
            <w:vAlign w:val="center"/>
          </w:tcPr>
          <w:p>
            <w:pPr>
              <w:adjustRightInd w:val="0"/>
              <w:snapToGrid w:val="0"/>
              <w:jc w:val="center"/>
              <w:rPr>
                <w:b w:val="0"/>
                <w:bCs/>
                <w:szCs w:val="21"/>
                <w:u w:val="none"/>
              </w:rPr>
            </w:pPr>
            <w:r>
              <w:rPr>
                <w:b w:val="0"/>
                <w:bCs/>
                <w:szCs w:val="21"/>
                <w:u w:val="none"/>
              </w:rPr>
              <w:t>H</w:t>
            </w:r>
            <w:r>
              <w:rPr>
                <w:b w:val="0"/>
                <w:bCs/>
                <w:szCs w:val="21"/>
                <w:u w:val="none"/>
                <w:vertAlign w:val="subscript"/>
              </w:rPr>
              <w:t>2</w:t>
            </w:r>
            <w:r>
              <w:rPr>
                <w:b w:val="0"/>
                <w:bCs/>
                <w:szCs w:val="21"/>
                <w:u w:val="none"/>
              </w:rPr>
              <w:t>S</w:t>
            </w:r>
          </w:p>
          <w:p>
            <w:pPr>
              <w:adjustRightInd w:val="0"/>
              <w:snapToGrid w:val="0"/>
              <w:jc w:val="center"/>
              <w:rPr>
                <w:b w:val="0"/>
                <w:bCs/>
                <w:szCs w:val="21"/>
                <w:u w:val="none"/>
              </w:rPr>
            </w:pPr>
            <w:r>
              <w:rPr>
                <w:b w:val="0"/>
                <w:bCs/>
                <w:szCs w:val="21"/>
                <w:u w:val="none"/>
              </w:rPr>
              <w:t>（t/a）</w:t>
            </w:r>
          </w:p>
        </w:tc>
        <w:tc>
          <w:tcPr>
            <w:tcW w:w="1021" w:type="dxa"/>
            <w:tcMar>
              <w:left w:w="0" w:type="dxa"/>
              <w:right w:w="0" w:type="dxa"/>
            </w:tcMar>
            <w:vAlign w:val="center"/>
          </w:tcPr>
          <w:p>
            <w:pPr>
              <w:adjustRightInd w:val="0"/>
              <w:snapToGrid w:val="0"/>
              <w:jc w:val="center"/>
              <w:rPr>
                <w:b w:val="0"/>
                <w:bCs/>
                <w:szCs w:val="21"/>
                <w:u w:val="none"/>
                <w:vertAlign w:val="subscript"/>
              </w:rPr>
            </w:pPr>
            <w:r>
              <w:rPr>
                <w:b w:val="0"/>
                <w:bCs/>
                <w:szCs w:val="21"/>
                <w:u w:val="none"/>
              </w:rPr>
              <w:t>NH</w:t>
            </w:r>
            <w:r>
              <w:rPr>
                <w:b w:val="0"/>
                <w:bCs/>
                <w:szCs w:val="21"/>
                <w:u w:val="none"/>
                <w:vertAlign w:val="subscript"/>
              </w:rPr>
              <w:t>3</w:t>
            </w:r>
          </w:p>
          <w:p>
            <w:pPr>
              <w:adjustRightInd w:val="0"/>
              <w:snapToGrid w:val="0"/>
              <w:jc w:val="center"/>
              <w:rPr>
                <w:b w:val="0"/>
                <w:bCs/>
                <w:szCs w:val="21"/>
                <w:u w:val="none"/>
              </w:rPr>
            </w:pPr>
            <w:r>
              <w:rPr>
                <w:b w:val="0"/>
                <w:bCs/>
                <w:szCs w:val="21"/>
                <w:u w:val="none"/>
              </w:rPr>
              <w:t>（t/a）</w:t>
            </w:r>
          </w:p>
        </w:tc>
        <w:tc>
          <w:tcPr>
            <w:tcW w:w="3919" w:type="dxa"/>
            <w:vMerge w:val="continue"/>
            <w:tcMar>
              <w:left w:w="0" w:type="dxa"/>
              <w:right w:w="0" w:type="dxa"/>
            </w:tcMar>
            <w:vAlign w:val="center"/>
          </w:tcPr>
          <w:p>
            <w:pPr>
              <w:adjustRightInd w:val="0"/>
              <w:snapToGrid w:val="0"/>
              <w:jc w:val="center"/>
              <w:rPr>
                <w:b w:val="0"/>
                <w:bCs/>
                <w:szCs w:val="21"/>
                <w:u w:val="none"/>
              </w:rPr>
            </w:pPr>
          </w:p>
        </w:tc>
        <w:tc>
          <w:tcPr>
            <w:tcW w:w="961" w:type="dxa"/>
            <w:tcMar>
              <w:left w:w="0" w:type="dxa"/>
              <w:right w:w="0" w:type="dxa"/>
            </w:tcMar>
            <w:vAlign w:val="center"/>
          </w:tcPr>
          <w:p>
            <w:pPr>
              <w:adjustRightInd w:val="0"/>
              <w:snapToGrid w:val="0"/>
              <w:jc w:val="center"/>
              <w:rPr>
                <w:b w:val="0"/>
                <w:bCs/>
                <w:szCs w:val="21"/>
                <w:u w:val="none"/>
              </w:rPr>
            </w:pPr>
            <w:r>
              <w:rPr>
                <w:b w:val="0"/>
                <w:bCs/>
                <w:szCs w:val="21"/>
                <w:u w:val="none"/>
              </w:rPr>
              <w:t>H</w:t>
            </w:r>
            <w:r>
              <w:rPr>
                <w:b w:val="0"/>
                <w:bCs/>
                <w:szCs w:val="21"/>
                <w:u w:val="none"/>
                <w:vertAlign w:val="subscript"/>
              </w:rPr>
              <w:t>2</w:t>
            </w:r>
            <w:r>
              <w:rPr>
                <w:b w:val="0"/>
                <w:bCs/>
                <w:szCs w:val="21"/>
                <w:u w:val="none"/>
              </w:rPr>
              <w:t>S</w:t>
            </w:r>
          </w:p>
          <w:p>
            <w:pPr>
              <w:adjustRightInd w:val="0"/>
              <w:snapToGrid w:val="0"/>
              <w:jc w:val="center"/>
              <w:rPr>
                <w:b w:val="0"/>
                <w:bCs/>
                <w:szCs w:val="21"/>
                <w:u w:val="none"/>
              </w:rPr>
            </w:pPr>
            <w:r>
              <w:rPr>
                <w:b w:val="0"/>
                <w:bCs/>
                <w:szCs w:val="21"/>
                <w:u w:val="none"/>
              </w:rPr>
              <w:t>（t/a）</w:t>
            </w:r>
          </w:p>
        </w:tc>
        <w:tc>
          <w:tcPr>
            <w:tcW w:w="970" w:type="dxa"/>
            <w:tcMar>
              <w:left w:w="0" w:type="dxa"/>
              <w:right w:w="0" w:type="dxa"/>
            </w:tcMar>
            <w:vAlign w:val="center"/>
          </w:tcPr>
          <w:p>
            <w:pPr>
              <w:adjustRightInd w:val="0"/>
              <w:snapToGrid w:val="0"/>
              <w:jc w:val="center"/>
              <w:rPr>
                <w:b w:val="0"/>
                <w:bCs/>
                <w:szCs w:val="21"/>
                <w:u w:val="none"/>
                <w:vertAlign w:val="subscript"/>
              </w:rPr>
            </w:pPr>
            <w:r>
              <w:rPr>
                <w:b w:val="0"/>
                <w:bCs/>
                <w:szCs w:val="21"/>
                <w:u w:val="none"/>
              </w:rPr>
              <w:t>NH</w:t>
            </w:r>
            <w:r>
              <w:rPr>
                <w:b w:val="0"/>
                <w:bCs/>
                <w:szCs w:val="21"/>
                <w:u w:val="none"/>
                <w:vertAlign w:val="subscript"/>
              </w:rPr>
              <w:t>3</w:t>
            </w:r>
          </w:p>
          <w:p>
            <w:pPr>
              <w:adjustRightInd w:val="0"/>
              <w:snapToGrid w:val="0"/>
              <w:jc w:val="center"/>
              <w:rPr>
                <w:b w:val="0"/>
                <w:bCs/>
                <w:szCs w:val="21"/>
                <w:u w:val="none"/>
              </w:rPr>
            </w:pPr>
            <w:r>
              <w:rPr>
                <w:b w:val="0"/>
                <w:bCs/>
                <w:szCs w:val="21"/>
                <w:u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01" w:type="dxa"/>
            <w:vAlign w:val="center"/>
          </w:tcPr>
          <w:p>
            <w:pPr>
              <w:adjustRightInd w:val="0"/>
              <w:snapToGrid w:val="0"/>
              <w:jc w:val="center"/>
              <w:rPr>
                <w:b w:val="0"/>
                <w:bCs/>
                <w:szCs w:val="21"/>
                <w:u w:val="none"/>
              </w:rPr>
            </w:pPr>
            <w:r>
              <w:rPr>
                <w:b w:val="0"/>
                <w:bCs/>
                <w:szCs w:val="21"/>
                <w:u w:val="none"/>
              </w:rPr>
              <w:t>猪舍</w:t>
            </w:r>
          </w:p>
        </w:tc>
        <w:tc>
          <w:tcPr>
            <w:tcW w:w="883" w:type="dxa"/>
            <w:tcMar>
              <w:left w:w="0" w:type="dxa"/>
              <w:right w:w="0" w:type="dxa"/>
            </w:tcMar>
            <w:vAlign w:val="center"/>
          </w:tcPr>
          <w:p>
            <w:pPr>
              <w:jc w:val="center"/>
              <w:rPr>
                <w:b w:val="0"/>
                <w:bCs/>
                <w:sz w:val="22"/>
                <w:szCs w:val="22"/>
                <w:u w:val="none"/>
              </w:rPr>
            </w:pPr>
            <w:r>
              <w:rPr>
                <w:b w:val="0"/>
                <w:bCs/>
                <w:sz w:val="22"/>
                <w:szCs w:val="22"/>
                <w:u w:val="none"/>
              </w:rPr>
              <w:t>0.</w:t>
            </w:r>
            <w:r>
              <w:rPr>
                <w:rFonts w:hint="eastAsia"/>
                <w:b w:val="0"/>
                <w:bCs/>
                <w:sz w:val="22"/>
                <w:szCs w:val="22"/>
                <w:u w:val="none"/>
                <w:lang w:val="en-US" w:eastAsia="zh-CN"/>
              </w:rPr>
              <w:t>02</w:t>
            </w:r>
            <w:r>
              <w:rPr>
                <w:b w:val="0"/>
                <w:bCs/>
                <w:sz w:val="22"/>
                <w:szCs w:val="22"/>
                <w:u w:val="none"/>
              </w:rPr>
              <w:t>3</w:t>
            </w:r>
          </w:p>
        </w:tc>
        <w:tc>
          <w:tcPr>
            <w:tcW w:w="1021" w:type="dxa"/>
            <w:tcMar>
              <w:left w:w="0" w:type="dxa"/>
              <w:right w:w="0" w:type="dxa"/>
            </w:tcMar>
            <w:vAlign w:val="center"/>
          </w:tcPr>
          <w:p>
            <w:pPr>
              <w:jc w:val="center"/>
              <w:rPr>
                <w:rFonts w:hint="default" w:eastAsia="宋体"/>
                <w:b w:val="0"/>
                <w:bCs/>
                <w:sz w:val="22"/>
                <w:szCs w:val="22"/>
                <w:u w:val="none"/>
                <w:lang w:val="en-US" w:eastAsia="zh-CN"/>
              </w:rPr>
            </w:pPr>
            <w:r>
              <w:rPr>
                <w:rFonts w:hint="eastAsia"/>
                <w:b w:val="0"/>
                <w:bCs/>
                <w:sz w:val="22"/>
                <w:szCs w:val="22"/>
                <w:u w:val="none"/>
                <w:lang w:val="en-US" w:eastAsia="zh-CN"/>
              </w:rPr>
              <w:t>0.2702</w:t>
            </w:r>
          </w:p>
        </w:tc>
        <w:tc>
          <w:tcPr>
            <w:tcW w:w="3919" w:type="dxa"/>
            <w:tcMar>
              <w:left w:w="0" w:type="dxa"/>
              <w:right w:w="0" w:type="dxa"/>
            </w:tcMar>
            <w:vAlign w:val="center"/>
          </w:tcPr>
          <w:p>
            <w:pPr>
              <w:adjustRightInd w:val="0"/>
              <w:snapToGrid w:val="0"/>
              <w:jc w:val="center"/>
              <w:rPr>
                <w:b w:val="0"/>
                <w:bCs/>
                <w:szCs w:val="21"/>
                <w:u w:val="none"/>
              </w:rPr>
            </w:pPr>
            <w:r>
              <w:rPr>
                <w:b w:val="0"/>
                <w:bCs/>
                <w:szCs w:val="21"/>
                <w:u w:val="none"/>
              </w:rPr>
              <w:t>控制饲养密度、采用节水型饮水器、加强通风、全漏缝地板并及时清粪，喷洒除臭剂，去除效率可达到70%</w:t>
            </w:r>
          </w:p>
        </w:tc>
        <w:tc>
          <w:tcPr>
            <w:tcW w:w="961" w:type="dxa"/>
            <w:tcMar>
              <w:left w:w="0" w:type="dxa"/>
              <w:right w:w="0" w:type="dxa"/>
            </w:tcMar>
            <w:vAlign w:val="center"/>
          </w:tcPr>
          <w:p>
            <w:pPr>
              <w:jc w:val="center"/>
              <w:rPr>
                <w:rFonts w:hint="default" w:eastAsia="宋体"/>
                <w:b w:val="0"/>
                <w:bCs/>
                <w:sz w:val="22"/>
                <w:szCs w:val="22"/>
                <w:u w:val="none"/>
                <w:lang w:val="en-US" w:eastAsia="zh-CN"/>
              </w:rPr>
            </w:pPr>
            <w:r>
              <w:rPr>
                <w:b w:val="0"/>
                <w:bCs/>
                <w:sz w:val="22"/>
                <w:szCs w:val="22"/>
                <w:u w:val="none"/>
              </w:rPr>
              <w:t>0.</w:t>
            </w:r>
            <w:r>
              <w:rPr>
                <w:rFonts w:hint="eastAsia"/>
                <w:b w:val="0"/>
                <w:bCs/>
                <w:sz w:val="22"/>
                <w:szCs w:val="22"/>
                <w:u w:val="none"/>
                <w:lang w:val="en-US" w:eastAsia="zh-CN"/>
              </w:rPr>
              <w:t>0069</w:t>
            </w:r>
          </w:p>
        </w:tc>
        <w:tc>
          <w:tcPr>
            <w:tcW w:w="970" w:type="dxa"/>
            <w:tcMar>
              <w:left w:w="0" w:type="dxa"/>
              <w:right w:w="0" w:type="dxa"/>
            </w:tcMar>
            <w:vAlign w:val="center"/>
          </w:tcPr>
          <w:p>
            <w:pPr>
              <w:jc w:val="center"/>
              <w:rPr>
                <w:rFonts w:hint="default" w:eastAsia="宋体"/>
                <w:b w:val="0"/>
                <w:bCs/>
                <w:sz w:val="22"/>
                <w:szCs w:val="22"/>
                <w:u w:val="none"/>
                <w:lang w:val="en-US" w:eastAsia="zh-CN"/>
              </w:rPr>
            </w:pPr>
            <w:r>
              <w:rPr>
                <w:rFonts w:hint="eastAsia"/>
                <w:b w:val="0"/>
                <w:bCs/>
                <w:sz w:val="22"/>
                <w:szCs w:val="22"/>
                <w:u w:val="none"/>
                <w:lang w:val="en-US" w:eastAsia="zh-CN"/>
              </w:rPr>
              <w:t>0.081</w:t>
            </w:r>
          </w:p>
        </w:tc>
      </w:tr>
    </w:tbl>
    <w:p>
      <w:pPr>
        <w:spacing w:line="520" w:lineRule="exact"/>
        <w:ind w:firstLine="480" w:firstLineChars="200"/>
        <w:rPr>
          <w:sz w:val="24"/>
        </w:rPr>
      </w:pPr>
      <w:bookmarkStart w:id="148" w:name="_Toc406847416"/>
      <w:bookmarkStart w:id="149" w:name="_Toc388881917"/>
      <w:bookmarkStart w:id="150" w:name="_Toc407001409"/>
      <w:bookmarkStart w:id="151" w:name="_Toc413166136"/>
      <w:r>
        <w:rPr>
          <w:sz w:val="24"/>
        </w:rPr>
        <w:t>B、污水前处理系统恶臭</w:t>
      </w:r>
    </w:p>
    <w:p>
      <w:pPr>
        <w:widowControl/>
        <w:spacing w:line="520" w:lineRule="exact"/>
        <w:ind w:firstLine="480" w:firstLineChars="200"/>
        <w:jc w:val="left"/>
        <w:rPr>
          <w:sz w:val="24"/>
        </w:rPr>
      </w:pPr>
      <w:r>
        <w:rPr>
          <w:rFonts w:hint="eastAsia"/>
          <w:sz w:val="24"/>
          <w:lang w:eastAsia="zh-CN"/>
        </w:rPr>
        <w:t>黑膜</w:t>
      </w:r>
      <w:r>
        <w:rPr>
          <w:sz w:val="24"/>
        </w:rPr>
        <w:t>沼气池在接入污水前将进行固液分离，因前期固液分离环节由于设备要求，上方不能全部封闭，而</w:t>
      </w:r>
      <w:r>
        <w:rPr>
          <w:rFonts w:hint="eastAsia"/>
          <w:sz w:val="24"/>
          <w:lang w:eastAsia="zh-CN"/>
        </w:rPr>
        <w:t>黑膜</w:t>
      </w:r>
      <w:r>
        <w:rPr>
          <w:sz w:val="24"/>
        </w:rPr>
        <w:t>沼气池为密闭的，因此只有在固液分离机、收集池部分会产生恶臭气体。</w:t>
      </w:r>
    </w:p>
    <w:p>
      <w:pPr>
        <w:spacing w:line="520" w:lineRule="exact"/>
        <w:ind w:firstLine="480" w:firstLineChars="200"/>
        <w:rPr>
          <w:kern w:val="0"/>
          <w:szCs w:val="22"/>
        </w:rPr>
      </w:pPr>
      <w:r>
        <w:rPr>
          <w:kern w:val="0"/>
          <w:sz w:val="24"/>
        </w:rPr>
        <w:t>收集池恶臭源强：</w:t>
      </w:r>
      <w:r>
        <w:rPr>
          <w:sz w:val="24"/>
        </w:rPr>
        <w:t>根据美国EPA对城市污水处理厂恶臭污染物产生情况的研究，每处理1gBOD</w:t>
      </w:r>
      <w:r>
        <w:rPr>
          <w:sz w:val="24"/>
          <w:vertAlign w:val="subscript"/>
        </w:rPr>
        <w:t>5</w:t>
      </w:r>
      <w:r>
        <w:rPr>
          <w:sz w:val="24"/>
        </w:rPr>
        <w:t>可产生0.0031g氨气和0.00012g硫化氢。本项目</w:t>
      </w:r>
      <w:r>
        <w:rPr>
          <w:snapToGrid w:val="0"/>
          <w:kern w:val="0"/>
          <w:sz w:val="24"/>
        </w:rPr>
        <w:t>废水产生量为</w:t>
      </w:r>
      <w:r>
        <w:rPr>
          <w:rFonts w:hint="eastAsia"/>
          <w:bCs/>
          <w:color w:val="000000"/>
          <w:sz w:val="24"/>
          <w:lang w:val="en-US" w:eastAsia="zh-CN"/>
        </w:rPr>
        <w:t>9024.494</w:t>
      </w:r>
      <w:r>
        <w:rPr>
          <w:bCs/>
          <w:sz w:val="24"/>
        </w:rPr>
        <w:t>m</w:t>
      </w:r>
      <w:r>
        <w:rPr>
          <w:bCs/>
          <w:sz w:val="24"/>
          <w:vertAlign w:val="superscript"/>
        </w:rPr>
        <w:t>3</w:t>
      </w:r>
      <w:r>
        <w:rPr>
          <w:bCs/>
          <w:sz w:val="24"/>
        </w:rPr>
        <w:t>/a</w:t>
      </w:r>
      <w:r>
        <w:rPr>
          <w:snapToGrid w:val="0"/>
          <w:kern w:val="0"/>
          <w:sz w:val="24"/>
        </w:rPr>
        <w:t>，</w:t>
      </w:r>
      <w:r>
        <w:rPr>
          <w:sz w:val="24"/>
        </w:rPr>
        <w:t>BOD</w:t>
      </w:r>
      <w:r>
        <w:rPr>
          <w:sz w:val="24"/>
          <w:vertAlign w:val="subscript"/>
        </w:rPr>
        <w:t>5</w:t>
      </w:r>
      <w:r>
        <w:rPr>
          <w:sz w:val="24"/>
        </w:rPr>
        <w:t>去除量为</w:t>
      </w:r>
      <w:r>
        <w:rPr>
          <w:rFonts w:hint="eastAsia"/>
          <w:sz w:val="24"/>
          <w:lang w:val="en-US" w:eastAsia="zh-CN"/>
        </w:rPr>
        <w:t>37.42</w:t>
      </w:r>
      <w:r>
        <w:rPr>
          <w:sz w:val="24"/>
        </w:rPr>
        <w:t>t/a，</w:t>
      </w:r>
      <w:r>
        <w:rPr>
          <w:snapToGrid w:val="0"/>
          <w:kern w:val="0"/>
          <w:sz w:val="24"/>
        </w:rPr>
        <w:t>则</w:t>
      </w:r>
      <w:r>
        <w:rPr>
          <w:sz w:val="24"/>
        </w:rPr>
        <w:t>收集池NH</w:t>
      </w:r>
      <w:r>
        <w:rPr>
          <w:sz w:val="24"/>
          <w:vertAlign w:val="subscript"/>
        </w:rPr>
        <w:t>3</w:t>
      </w:r>
      <w:r>
        <w:rPr>
          <w:sz w:val="24"/>
        </w:rPr>
        <w:t>产生量为0.</w:t>
      </w:r>
      <w:r>
        <w:rPr>
          <w:rFonts w:hint="eastAsia"/>
          <w:sz w:val="24"/>
          <w:lang w:val="en-US" w:eastAsia="zh-CN"/>
        </w:rPr>
        <w:t>116</w:t>
      </w:r>
      <w:r>
        <w:rPr>
          <w:sz w:val="24"/>
        </w:rPr>
        <w:t>t/a，H</w:t>
      </w:r>
      <w:r>
        <w:rPr>
          <w:sz w:val="24"/>
          <w:vertAlign w:val="subscript"/>
        </w:rPr>
        <w:t>2</w:t>
      </w:r>
      <w:r>
        <w:rPr>
          <w:sz w:val="24"/>
        </w:rPr>
        <w:t>S产生量为0.0</w:t>
      </w:r>
      <w:r>
        <w:rPr>
          <w:rFonts w:hint="eastAsia"/>
          <w:sz w:val="24"/>
          <w:lang w:val="en-US" w:eastAsia="zh-CN"/>
        </w:rPr>
        <w:t>045</w:t>
      </w:r>
      <w:r>
        <w:rPr>
          <w:sz w:val="24"/>
        </w:rPr>
        <w:t>t/a。</w:t>
      </w:r>
      <w:r>
        <w:rPr>
          <w:kern w:val="0"/>
          <w:sz w:val="24"/>
        </w:rPr>
        <w:t>为进一步减小项目污水处理过程恶臭气体对周边环境的影响，对污水前处理系统收集池区域喷洒除臭剂，并加强场区绿化。</w:t>
      </w:r>
    </w:p>
    <w:p>
      <w:pPr>
        <w:spacing w:line="520" w:lineRule="exact"/>
        <w:ind w:firstLine="480" w:firstLineChars="200"/>
        <w:rPr>
          <w:sz w:val="24"/>
        </w:rPr>
      </w:pPr>
      <w:r>
        <w:rPr>
          <w:sz w:val="24"/>
        </w:rPr>
        <w:t>C、沼液暂存池恶臭</w:t>
      </w:r>
    </w:p>
    <w:p>
      <w:pPr>
        <w:spacing w:line="520" w:lineRule="exact"/>
        <w:ind w:firstLine="480" w:firstLineChars="200"/>
        <w:rPr>
          <w:sz w:val="24"/>
        </w:rPr>
      </w:pPr>
      <w:r>
        <w:rPr>
          <w:sz w:val="24"/>
        </w:rPr>
        <w:t>本项目场内设1座沼液储存池，容积为</w:t>
      </w:r>
      <w:r>
        <w:rPr>
          <w:rFonts w:hint="eastAsia"/>
          <w:sz w:val="24"/>
          <w:lang w:val="en-US" w:eastAsia="zh-CN"/>
        </w:rPr>
        <w:t>5000</w:t>
      </w:r>
      <w:r>
        <w:rPr>
          <w:sz w:val="24"/>
        </w:rPr>
        <w:t>m</w:t>
      </w:r>
      <w:r>
        <w:rPr>
          <w:sz w:val="24"/>
          <w:vertAlign w:val="superscript"/>
        </w:rPr>
        <w:t>3</w:t>
      </w:r>
      <w:r>
        <w:rPr>
          <w:sz w:val="24"/>
        </w:rPr>
        <w:t>，占地面积</w:t>
      </w:r>
      <w:r>
        <w:rPr>
          <w:rFonts w:hint="eastAsia"/>
          <w:sz w:val="24"/>
          <w:lang w:val="en-US" w:eastAsia="zh-CN"/>
        </w:rPr>
        <w:t>833</w:t>
      </w:r>
      <w:r>
        <w:rPr>
          <w:sz w:val="24"/>
        </w:rPr>
        <w:t>m</w:t>
      </w:r>
      <w:r>
        <w:rPr>
          <w:sz w:val="24"/>
          <w:vertAlign w:val="superscript"/>
        </w:rPr>
        <w:t>2</w:t>
      </w:r>
      <w:r>
        <w:rPr>
          <w:sz w:val="24"/>
        </w:rPr>
        <w:t>，根据</w:t>
      </w:r>
      <w:r>
        <w:rPr>
          <w:rFonts w:hint="eastAsia"/>
          <w:sz w:val="24"/>
          <w:lang w:val="en-US" w:eastAsia="zh-CN"/>
        </w:rPr>
        <w:t>同类</w:t>
      </w:r>
      <w:r>
        <w:rPr>
          <w:bCs/>
          <w:sz w:val="24"/>
        </w:rPr>
        <w:t>沼液储存池</w:t>
      </w:r>
      <w:r>
        <w:rPr>
          <w:sz w:val="24"/>
        </w:rPr>
        <w:t>：</w:t>
      </w:r>
      <w:r>
        <w:rPr>
          <w:rFonts w:hint="eastAsia"/>
          <w:sz w:val="24"/>
          <w:lang w:val="en-US" w:eastAsia="zh-CN"/>
        </w:rPr>
        <w:t>恶臭</w:t>
      </w:r>
      <w:r>
        <w:rPr>
          <w:sz w:val="24"/>
        </w:rPr>
        <w:t>产生量分别为H</w:t>
      </w:r>
      <w:r>
        <w:rPr>
          <w:sz w:val="24"/>
          <w:vertAlign w:val="subscript"/>
        </w:rPr>
        <w:t>2</w:t>
      </w:r>
      <w:r>
        <w:rPr>
          <w:sz w:val="24"/>
        </w:rPr>
        <w:t>S 0.0023g/m</w:t>
      </w:r>
      <w:r>
        <w:rPr>
          <w:sz w:val="24"/>
          <w:vertAlign w:val="superscript"/>
        </w:rPr>
        <w:t>2</w:t>
      </w:r>
      <w:r>
        <w:rPr>
          <w:sz w:val="24"/>
        </w:rPr>
        <w:t>·d，NH</w:t>
      </w:r>
      <w:r>
        <w:rPr>
          <w:sz w:val="24"/>
          <w:vertAlign w:val="subscript"/>
        </w:rPr>
        <w:t>3</w:t>
      </w:r>
      <w:r>
        <w:rPr>
          <w:sz w:val="24"/>
        </w:rPr>
        <w:t>0.03g/m</w:t>
      </w:r>
      <w:r>
        <w:rPr>
          <w:sz w:val="24"/>
          <w:vertAlign w:val="superscript"/>
        </w:rPr>
        <w:t>2</w:t>
      </w:r>
      <w:r>
        <w:rPr>
          <w:sz w:val="24"/>
        </w:rPr>
        <w:t>·d。本项目沼液储存池占地面积</w:t>
      </w:r>
      <w:r>
        <w:rPr>
          <w:rFonts w:hint="eastAsia"/>
          <w:sz w:val="24"/>
          <w:lang w:val="en-US" w:eastAsia="zh-CN"/>
        </w:rPr>
        <w:t>833</w:t>
      </w:r>
      <w:r>
        <w:rPr>
          <w:sz w:val="24"/>
        </w:rPr>
        <w:t>m</w:t>
      </w:r>
      <w:r>
        <w:rPr>
          <w:sz w:val="24"/>
          <w:vertAlign w:val="superscript"/>
        </w:rPr>
        <w:t>2</w:t>
      </w:r>
      <w:r>
        <w:rPr>
          <w:sz w:val="24"/>
        </w:rPr>
        <w:t>，则沼液储存池H</w:t>
      </w:r>
      <w:r>
        <w:rPr>
          <w:sz w:val="24"/>
          <w:vertAlign w:val="subscript"/>
        </w:rPr>
        <w:t>2</w:t>
      </w:r>
      <w:r>
        <w:rPr>
          <w:sz w:val="24"/>
        </w:rPr>
        <w:t>S的产生量为0.0</w:t>
      </w:r>
      <w:r>
        <w:rPr>
          <w:rFonts w:hint="eastAsia"/>
          <w:sz w:val="24"/>
          <w:lang w:val="en-US" w:eastAsia="zh-CN"/>
        </w:rPr>
        <w:t>019</w:t>
      </w:r>
      <w:r>
        <w:rPr>
          <w:sz w:val="24"/>
        </w:rPr>
        <w:t>kg/d（0.00</w:t>
      </w:r>
      <w:r>
        <w:rPr>
          <w:rFonts w:hint="eastAsia"/>
          <w:sz w:val="24"/>
          <w:lang w:val="en-US" w:eastAsia="zh-CN"/>
        </w:rPr>
        <w:t>07</w:t>
      </w:r>
      <w:r>
        <w:rPr>
          <w:sz w:val="24"/>
        </w:rPr>
        <w:t xml:space="preserve"> t/a），NH</w:t>
      </w:r>
      <w:r>
        <w:rPr>
          <w:sz w:val="24"/>
          <w:vertAlign w:val="subscript"/>
        </w:rPr>
        <w:t>3</w:t>
      </w:r>
      <w:r>
        <w:rPr>
          <w:sz w:val="24"/>
        </w:rPr>
        <w:t>的产生量为0.</w:t>
      </w:r>
      <w:r>
        <w:rPr>
          <w:rFonts w:hint="eastAsia"/>
          <w:sz w:val="24"/>
          <w:lang w:val="en-US" w:eastAsia="zh-CN"/>
        </w:rPr>
        <w:t>025</w:t>
      </w:r>
      <w:r>
        <w:rPr>
          <w:sz w:val="24"/>
        </w:rPr>
        <w:t>kg/d（0.</w:t>
      </w:r>
      <w:r>
        <w:rPr>
          <w:rFonts w:hint="eastAsia"/>
          <w:sz w:val="24"/>
          <w:lang w:val="en-US" w:eastAsia="zh-CN"/>
        </w:rPr>
        <w:t>0091</w:t>
      </w:r>
      <w:r>
        <w:rPr>
          <w:sz w:val="24"/>
        </w:rPr>
        <w:t>t/a）。</w:t>
      </w:r>
    </w:p>
    <w:p>
      <w:pPr>
        <w:spacing w:line="520" w:lineRule="exact"/>
        <w:ind w:firstLine="480" w:firstLineChars="200"/>
        <w:rPr>
          <w:kern w:val="0"/>
          <w:szCs w:val="22"/>
        </w:rPr>
      </w:pPr>
      <w:r>
        <w:rPr>
          <w:sz w:val="24"/>
        </w:rPr>
        <w:t>评价建议采取在沼液储存池周边加强绿化来吸收产生的恶臭气体。使其对周围环境的影响降至最低。</w:t>
      </w:r>
    </w:p>
    <w:p>
      <w:pPr>
        <w:spacing w:line="520" w:lineRule="exact"/>
        <w:ind w:firstLine="480" w:firstLineChars="200"/>
        <w:rPr>
          <w:sz w:val="24"/>
        </w:rPr>
      </w:pPr>
      <w:r>
        <w:rPr>
          <w:sz w:val="24"/>
        </w:rPr>
        <w:t>污水处理区恶臭排放情况见表</w:t>
      </w:r>
      <w:r>
        <w:rPr>
          <w:rFonts w:hint="eastAsia"/>
          <w:sz w:val="24"/>
          <w:lang w:val="en-US" w:eastAsia="zh-CN"/>
        </w:rPr>
        <w:t>2</w:t>
      </w:r>
      <w:r>
        <w:rPr>
          <w:sz w:val="24"/>
        </w:rPr>
        <w:t>.3-4。</w:t>
      </w:r>
    </w:p>
    <w:p>
      <w:pPr>
        <w:spacing w:afterLines="30" w:line="520" w:lineRule="exact"/>
        <w:jc w:val="center"/>
        <w:rPr>
          <w:b/>
          <w:sz w:val="24"/>
        </w:rPr>
      </w:pPr>
      <w:r>
        <w:rPr>
          <w:b/>
          <w:sz w:val="24"/>
        </w:rPr>
        <w:t>表</w:t>
      </w:r>
      <w:r>
        <w:rPr>
          <w:rFonts w:hint="eastAsia"/>
          <w:b/>
          <w:sz w:val="24"/>
          <w:lang w:val="en-US" w:eastAsia="zh-CN"/>
        </w:rPr>
        <w:t>2</w:t>
      </w:r>
      <w:r>
        <w:rPr>
          <w:b/>
          <w:sz w:val="24"/>
        </w:rPr>
        <w:t>.3-4    污水处理区臭气产生及排放一览表</w:t>
      </w:r>
    </w:p>
    <w:tbl>
      <w:tblPr>
        <w:tblStyle w:val="45"/>
        <w:tblW w:w="8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649"/>
        <w:gridCol w:w="975"/>
        <w:gridCol w:w="1056"/>
        <w:gridCol w:w="2555"/>
        <w:gridCol w:w="1277"/>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Merge w:val="restart"/>
            <w:vAlign w:val="center"/>
          </w:tcPr>
          <w:p>
            <w:pPr>
              <w:pStyle w:val="146"/>
              <w:rPr>
                <w:rFonts w:eastAsia="宋体"/>
                <w:sz w:val="21"/>
                <w:szCs w:val="21"/>
              </w:rPr>
            </w:pPr>
            <w:r>
              <w:rPr>
                <w:rFonts w:eastAsia="宋体"/>
                <w:sz w:val="21"/>
                <w:szCs w:val="21"/>
              </w:rPr>
              <w:t>污染源</w:t>
            </w:r>
          </w:p>
        </w:tc>
        <w:tc>
          <w:tcPr>
            <w:tcW w:w="2031" w:type="dxa"/>
            <w:gridSpan w:val="2"/>
            <w:vAlign w:val="center"/>
          </w:tcPr>
          <w:p>
            <w:pPr>
              <w:pStyle w:val="146"/>
              <w:rPr>
                <w:rFonts w:eastAsia="宋体"/>
                <w:sz w:val="21"/>
                <w:szCs w:val="21"/>
              </w:rPr>
            </w:pPr>
            <w:r>
              <w:rPr>
                <w:rFonts w:eastAsia="宋体"/>
                <w:sz w:val="21"/>
                <w:szCs w:val="21"/>
              </w:rPr>
              <w:t>污染物产生量（t/a）</w:t>
            </w:r>
          </w:p>
        </w:tc>
        <w:tc>
          <w:tcPr>
            <w:tcW w:w="2555" w:type="dxa"/>
            <w:vMerge w:val="restart"/>
            <w:vAlign w:val="center"/>
          </w:tcPr>
          <w:p>
            <w:pPr>
              <w:pStyle w:val="146"/>
              <w:rPr>
                <w:rFonts w:eastAsia="宋体"/>
                <w:sz w:val="21"/>
                <w:szCs w:val="21"/>
              </w:rPr>
            </w:pPr>
            <w:r>
              <w:rPr>
                <w:rFonts w:eastAsia="宋体"/>
                <w:sz w:val="21"/>
                <w:szCs w:val="21"/>
              </w:rPr>
              <w:t>拟处理措施</w:t>
            </w:r>
          </w:p>
        </w:tc>
        <w:tc>
          <w:tcPr>
            <w:tcW w:w="2553" w:type="dxa"/>
            <w:gridSpan w:val="2"/>
            <w:vAlign w:val="center"/>
          </w:tcPr>
          <w:p>
            <w:pPr>
              <w:pStyle w:val="146"/>
              <w:rPr>
                <w:rFonts w:eastAsia="宋体"/>
                <w:sz w:val="21"/>
                <w:szCs w:val="21"/>
              </w:rPr>
            </w:pPr>
            <w:r>
              <w:rPr>
                <w:rFonts w:eastAsia="宋体"/>
                <w:sz w:val="21"/>
                <w:szCs w:val="21"/>
              </w:rPr>
              <w:t>污染物排放源强（t/a）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Merge w:val="continue"/>
            <w:vAlign w:val="center"/>
          </w:tcPr>
          <w:p>
            <w:pPr>
              <w:pStyle w:val="146"/>
              <w:rPr>
                <w:rFonts w:eastAsia="宋体"/>
                <w:sz w:val="21"/>
                <w:szCs w:val="21"/>
              </w:rPr>
            </w:pPr>
          </w:p>
        </w:tc>
        <w:tc>
          <w:tcPr>
            <w:tcW w:w="975" w:type="dxa"/>
            <w:vAlign w:val="center"/>
          </w:tcPr>
          <w:p>
            <w:pPr>
              <w:pStyle w:val="146"/>
              <w:rPr>
                <w:rFonts w:eastAsia="宋体"/>
                <w:sz w:val="21"/>
                <w:szCs w:val="21"/>
              </w:rPr>
            </w:pPr>
            <w:r>
              <w:rPr>
                <w:rFonts w:eastAsia="宋体"/>
                <w:sz w:val="21"/>
                <w:szCs w:val="21"/>
              </w:rPr>
              <w:t>H</w:t>
            </w:r>
            <w:r>
              <w:rPr>
                <w:rFonts w:eastAsia="宋体"/>
                <w:sz w:val="21"/>
                <w:szCs w:val="21"/>
                <w:vertAlign w:val="subscript"/>
              </w:rPr>
              <w:t>2</w:t>
            </w:r>
            <w:r>
              <w:rPr>
                <w:rFonts w:eastAsia="宋体"/>
                <w:sz w:val="21"/>
                <w:szCs w:val="21"/>
              </w:rPr>
              <w:t>S</w:t>
            </w:r>
          </w:p>
        </w:tc>
        <w:tc>
          <w:tcPr>
            <w:tcW w:w="1056" w:type="dxa"/>
            <w:vAlign w:val="center"/>
          </w:tcPr>
          <w:p>
            <w:pPr>
              <w:pStyle w:val="146"/>
              <w:rPr>
                <w:rFonts w:eastAsia="宋体"/>
                <w:sz w:val="21"/>
                <w:szCs w:val="21"/>
              </w:rPr>
            </w:pPr>
            <w:r>
              <w:rPr>
                <w:rFonts w:eastAsia="宋体"/>
                <w:sz w:val="21"/>
                <w:szCs w:val="21"/>
              </w:rPr>
              <w:t>NH</w:t>
            </w:r>
            <w:r>
              <w:rPr>
                <w:rFonts w:eastAsia="宋体"/>
                <w:sz w:val="21"/>
                <w:szCs w:val="21"/>
                <w:vertAlign w:val="subscript"/>
              </w:rPr>
              <w:t>3</w:t>
            </w:r>
          </w:p>
        </w:tc>
        <w:tc>
          <w:tcPr>
            <w:tcW w:w="2555" w:type="dxa"/>
            <w:vMerge w:val="continue"/>
            <w:vAlign w:val="center"/>
          </w:tcPr>
          <w:p>
            <w:pPr>
              <w:pStyle w:val="146"/>
              <w:rPr>
                <w:rFonts w:eastAsia="宋体"/>
                <w:sz w:val="21"/>
                <w:szCs w:val="21"/>
              </w:rPr>
            </w:pPr>
          </w:p>
        </w:tc>
        <w:tc>
          <w:tcPr>
            <w:tcW w:w="1277" w:type="dxa"/>
            <w:vAlign w:val="center"/>
          </w:tcPr>
          <w:p>
            <w:pPr>
              <w:pStyle w:val="146"/>
              <w:rPr>
                <w:rFonts w:eastAsia="宋体"/>
                <w:sz w:val="21"/>
                <w:szCs w:val="21"/>
              </w:rPr>
            </w:pPr>
            <w:r>
              <w:rPr>
                <w:rFonts w:eastAsia="宋体"/>
                <w:sz w:val="21"/>
                <w:szCs w:val="21"/>
              </w:rPr>
              <w:t>H</w:t>
            </w:r>
            <w:r>
              <w:rPr>
                <w:rFonts w:eastAsia="宋体"/>
                <w:sz w:val="21"/>
                <w:szCs w:val="21"/>
                <w:vertAlign w:val="subscript"/>
              </w:rPr>
              <w:t>2</w:t>
            </w:r>
            <w:r>
              <w:rPr>
                <w:rFonts w:eastAsia="宋体"/>
                <w:sz w:val="21"/>
                <w:szCs w:val="21"/>
              </w:rPr>
              <w:t>S</w:t>
            </w:r>
          </w:p>
        </w:tc>
        <w:tc>
          <w:tcPr>
            <w:tcW w:w="1276" w:type="dxa"/>
            <w:vAlign w:val="center"/>
          </w:tcPr>
          <w:p>
            <w:pPr>
              <w:pStyle w:val="146"/>
              <w:rPr>
                <w:rFonts w:eastAsia="宋体"/>
                <w:sz w:val="21"/>
                <w:szCs w:val="21"/>
              </w:rPr>
            </w:pPr>
            <w:r>
              <w:rPr>
                <w:rFonts w:eastAsia="宋体"/>
                <w:sz w:val="21"/>
                <w:szCs w:val="21"/>
              </w:rPr>
              <w:t>NH</w:t>
            </w:r>
            <w:r>
              <w:rPr>
                <w:rFonts w:eastAsia="宋体"/>
                <w:sz w:val="21"/>
                <w:szCs w:val="21"/>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Align w:val="center"/>
          </w:tcPr>
          <w:p>
            <w:pPr>
              <w:pStyle w:val="146"/>
              <w:rPr>
                <w:rFonts w:eastAsia="宋体"/>
                <w:sz w:val="21"/>
                <w:szCs w:val="21"/>
              </w:rPr>
            </w:pPr>
            <w:r>
              <w:rPr>
                <w:rFonts w:eastAsia="宋体"/>
                <w:sz w:val="21"/>
                <w:szCs w:val="21"/>
              </w:rPr>
              <w:t>收集池恶臭</w:t>
            </w:r>
          </w:p>
        </w:tc>
        <w:tc>
          <w:tcPr>
            <w:tcW w:w="975" w:type="dxa"/>
            <w:vAlign w:val="bottom"/>
          </w:tcPr>
          <w:p>
            <w:pPr>
              <w:jc w:val="center"/>
              <w:rPr>
                <w:rFonts w:hint="default" w:eastAsia="宋体"/>
                <w:bCs/>
                <w:szCs w:val="21"/>
                <w:lang w:val="en-US" w:eastAsia="zh-CN"/>
              </w:rPr>
            </w:pPr>
            <w:r>
              <w:rPr>
                <w:rFonts w:hint="eastAsia"/>
                <w:bCs/>
                <w:szCs w:val="21"/>
                <w:lang w:val="en-US" w:eastAsia="zh-CN"/>
              </w:rPr>
              <w:t>0.0045</w:t>
            </w:r>
          </w:p>
        </w:tc>
        <w:tc>
          <w:tcPr>
            <w:tcW w:w="1056" w:type="dxa"/>
            <w:vAlign w:val="bottom"/>
          </w:tcPr>
          <w:p>
            <w:pPr>
              <w:jc w:val="center"/>
              <w:rPr>
                <w:rFonts w:hint="default" w:eastAsia="宋体"/>
                <w:bCs/>
                <w:szCs w:val="21"/>
                <w:lang w:val="en-US" w:eastAsia="zh-CN"/>
              </w:rPr>
            </w:pPr>
            <w:r>
              <w:rPr>
                <w:rFonts w:hint="eastAsia"/>
                <w:bCs/>
                <w:szCs w:val="21"/>
                <w:lang w:val="en-US" w:eastAsia="zh-CN"/>
              </w:rPr>
              <w:t>0.116</w:t>
            </w:r>
          </w:p>
        </w:tc>
        <w:tc>
          <w:tcPr>
            <w:tcW w:w="2555" w:type="dxa"/>
            <w:vMerge w:val="restart"/>
            <w:vAlign w:val="center"/>
          </w:tcPr>
          <w:p>
            <w:pPr>
              <w:pStyle w:val="146"/>
              <w:rPr>
                <w:rFonts w:eastAsia="宋体"/>
                <w:sz w:val="21"/>
                <w:szCs w:val="21"/>
              </w:rPr>
            </w:pPr>
            <w:r>
              <w:rPr>
                <w:rFonts w:eastAsia="宋体"/>
                <w:sz w:val="21"/>
                <w:szCs w:val="21"/>
              </w:rPr>
              <w:t>恶臭产气区域喷洒除臭剂，绿化，去除效率可达到70%</w:t>
            </w:r>
          </w:p>
        </w:tc>
        <w:tc>
          <w:tcPr>
            <w:tcW w:w="1277" w:type="dxa"/>
            <w:vAlign w:val="bottom"/>
          </w:tcPr>
          <w:p>
            <w:pPr>
              <w:jc w:val="center"/>
              <w:rPr>
                <w:rFonts w:hint="default" w:eastAsia="宋体"/>
                <w:bCs/>
                <w:color w:val="000000"/>
                <w:szCs w:val="21"/>
                <w:lang w:val="en-US" w:eastAsia="zh-CN"/>
              </w:rPr>
            </w:pPr>
            <w:r>
              <w:rPr>
                <w:rFonts w:hint="eastAsia"/>
                <w:bCs/>
                <w:color w:val="000000"/>
                <w:szCs w:val="21"/>
                <w:lang w:val="en-US" w:eastAsia="zh-CN"/>
              </w:rPr>
              <w:t>0.00135</w:t>
            </w:r>
          </w:p>
        </w:tc>
        <w:tc>
          <w:tcPr>
            <w:tcW w:w="1276" w:type="dxa"/>
            <w:vAlign w:val="bottom"/>
          </w:tcPr>
          <w:p>
            <w:pPr>
              <w:jc w:val="center"/>
              <w:rPr>
                <w:rFonts w:hint="default" w:eastAsia="宋体"/>
                <w:bCs/>
                <w:color w:val="000000"/>
                <w:szCs w:val="21"/>
                <w:lang w:val="en-US" w:eastAsia="zh-CN"/>
              </w:rPr>
            </w:pPr>
            <w:r>
              <w:rPr>
                <w:rFonts w:hint="eastAsia"/>
                <w:bCs/>
                <w:color w:val="000000"/>
                <w:szCs w:val="21"/>
                <w:lang w:val="en-US" w:eastAsia="zh-CN"/>
              </w:rPr>
              <w:t>0.0348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Align w:val="center"/>
          </w:tcPr>
          <w:p>
            <w:pPr>
              <w:pStyle w:val="146"/>
              <w:rPr>
                <w:rFonts w:eastAsia="宋体"/>
                <w:sz w:val="21"/>
                <w:szCs w:val="21"/>
              </w:rPr>
            </w:pPr>
            <w:r>
              <w:rPr>
                <w:rFonts w:eastAsia="宋体"/>
                <w:sz w:val="21"/>
                <w:szCs w:val="21"/>
              </w:rPr>
              <w:t>沼液暂存池恶臭</w:t>
            </w:r>
          </w:p>
        </w:tc>
        <w:tc>
          <w:tcPr>
            <w:tcW w:w="975" w:type="dxa"/>
            <w:vAlign w:val="bottom"/>
          </w:tcPr>
          <w:p>
            <w:pPr>
              <w:jc w:val="center"/>
              <w:rPr>
                <w:rFonts w:hint="default" w:eastAsia="宋体"/>
                <w:bCs/>
                <w:szCs w:val="21"/>
                <w:lang w:val="en-US" w:eastAsia="zh-CN"/>
              </w:rPr>
            </w:pPr>
            <w:r>
              <w:rPr>
                <w:rFonts w:hint="eastAsia"/>
                <w:bCs/>
                <w:szCs w:val="21"/>
                <w:lang w:val="en-US" w:eastAsia="zh-CN"/>
              </w:rPr>
              <w:t>0.0007</w:t>
            </w:r>
          </w:p>
        </w:tc>
        <w:tc>
          <w:tcPr>
            <w:tcW w:w="1056" w:type="dxa"/>
            <w:vAlign w:val="bottom"/>
          </w:tcPr>
          <w:p>
            <w:pPr>
              <w:jc w:val="center"/>
              <w:rPr>
                <w:rFonts w:hint="default" w:eastAsia="宋体"/>
                <w:bCs/>
                <w:szCs w:val="21"/>
                <w:lang w:val="en-US" w:eastAsia="zh-CN"/>
              </w:rPr>
            </w:pPr>
            <w:r>
              <w:rPr>
                <w:rFonts w:hint="eastAsia"/>
                <w:bCs/>
                <w:szCs w:val="21"/>
                <w:lang w:val="en-US" w:eastAsia="zh-CN"/>
              </w:rPr>
              <w:t>0.0091</w:t>
            </w:r>
          </w:p>
        </w:tc>
        <w:tc>
          <w:tcPr>
            <w:tcW w:w="2555" w:type="dxa"/>
            <w:vMerge w:val="continue"/>
            <w:vAlign w:val="center"/>
          </w:tcPr>
          <w:p>
            <w:pPr>
              <w:pStyle w:val="146"/>
              <w:rPr>
                <w:rFonts w:eastAsia="宋体"/>
                <w:sz w:val="21"/>
                <w:szCs w:val="21"/>
              </w:rPr>
            </w:pPr>
          </w:p>
        </w:tc>
        <w:tc>
          <w:tcPr>
            <w:tcW w:w="1277" w:type="dxa"/>
            <w:vAlign w:val="bottom"/>
          </w:tcPr>
          <w:p>
            <w:pPr>
              <w:jc w:val="center"/>
              <w:rPr>
                <w:rFonts w:hint="default" w:eastAsia="宋体"/>
                <w:bCs/>
                <w:color w:val="000000"/>
                <w:szCs w:val="21"/>
                <w:lang w:val="en-US" w:eastAsia="zh-CN"/>
              </w:rPr>
            </w:pPr>
            <w:r>
              <w:rPr>
                <w:rFonts w:hint="eastAsia"/>
                <w:bCs/>
                <w:color w:val="000000"/>
                <w:szCs w:val="21"/>
                <w:lang w:val="en-US" w:eastAsia="zh-CN"/>
              </w:rPr>
              <w:t>0.00021</w:t>
            </w:r>
          </w:p>
        </w:tc>
        <w:tc>
          <w:tcPr>
            <w:tcW w:w="1276" w:type="dxa"/>
            <w:vAlign w:val="bottom"/>
          </w:tcPr>
          <w:p>
            <w:pPr>
              <w:jc w:val="center"/>
              <w:rPr>
                <w:rFonts w:hint="default" w:eastAsia="宋体"/>
                <w:bCs/>
                <w:color w:val="000000"/>
                <w:szCs w:val="21"/>
                <w:lang w:val="en-US" w:eastAsia="zh-CN"/>
              </w:rPr>
            </w:pPr>
            <w:r>
              <w:rPr>
                <w:rFonts w:hint="eastAsia"/>
                <w:bCs/>
                <w:color w:val="000000"/>
                <w:szCs w:val="21"/>
                <w:lang w:val="en-US" w:eastAsia="zh-CN"/>
              </w:rPr>
              <w:t>0.0027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Align w:val="center"/>
          </w:tcPr>
          <w:p>
            <w:pPr>
              <w:pStyle w:val="146"/>
              <w:rPr>
                <w:rFonts w:eastAsia="宋体"/>
                <w:sz w:val="21"/>
                <w:szCs w:val="21"/>
              </w:rPr>
            </w:pPr>
            <w:r>
              <w:rPr>
                <w:rFonts w:eastAsia="宋体"/>
                <w:sz w:val="21"/>
                <w:szCs w:val="21"/>
              </w:rPr>
              <w:t>合计</w:t>
            </w:r>
          </w:p>
        </w:tc>
        <w:tc>
          <w:tcPr>
            <w:tcW w:w="975" w:type="dxa"/>
            <w:vAlign w:val="bottom"/>
          </w:tcPr>
          <w:p>
            <w:pPr>
              <w:jc w:val="center"/>
              <w:rPr>
                <w:rFonts w:hint="default" w:eastAsia="宋体"/>
                <w:bCs/>
                <w:color w:val="000000"/>
                <w:szCs w:val="21"/>
                <w:lang w:val="en-US" w:eastAsia="zh-CN"/>
              </w:rPr>
            </w:pPr>
            <w:r>
              <w:rPr>
                <w:rFonts w:hint="eastAsia"/>
                <w:bCs/>
                <w:color w:val="000000"/>
                <w:szCs w:val="21"/>
                <w:lang w:val="en-US" w:eastAsia="zh-CN"/>
              </w:rPr>
              <w:t>0.0052</w:t>
            </w:r>
          </w:p>
        </w:tc>
        <w:tc>
          <w:tcPr>
            <w:tcW w:w="1056" w:type="dxa"/>
            <w:vAlign w:val="bottom"/>
          </w:tcPr>
          <w:p>
            <w:pPr>
              <w:jc w:val="center"/>
              <w:rPr>
                <w:rFonts w:hint="default" w:eastAsia="宋体"/>
                <w:bCs/>
                <w:color w:val="000000"/>
                <w:szCs w:val="21"/>
                <w:lang w:val="en-US" w:eastAsia="zh-CN"/>
              </w:rPr>
            </w:pPr>
            <w:r>
              <w:rPr>
                <w:rFonts w:hint="eastAsia"/>
                <w:bCs/>
                <w:color w:val="000000"/>
                <w:szCs w:val="21"/>
                <w:lang w:val="en-US" w:eastAsia="zh-CN"/>
              </w:rPr>
              <w:t>0.1251</w:t>
            </w:r>
          </w:p>
        </w:tc>
        <w:tc>
          <w:tcPr>
            <w:tcW w:w="2555" w:type="dxa"/>
            <w:vMerge w:val="continue"/>
            <w:vAlign w:val="center"/>
          </w:tcPr>
          <w:p>
            <w:pPr>
              <w:pStyle w:val="146"/>
              <w:rPr>
                <w:rFonts w:eastAsia="宋体"/>
                <w:sz w:val="21"/>
                <w:szCs w:val="21"/>
              </w:rPr>
            </w:pPr>
          </w:p>
        </w:tc>
        <w:tc>
          <w:tcPr>
            <w:tcW w:w="1277" w:type="dxa"/>
            <w:vAlign w:val="bottom"/>
          </w:tcPr>
          <w:p>
            <w:pPr>
              <w:jc w:val="center"/>
              <w:rPr>
                <w:rFonts w:hint="default" w:eastAsia="宋体"/>
                <w:bCs/>
                <w:color w:val="000000"/>
                <w:szCs w:val="21"/>
                <w:lang w:val="en-US" w:eastAsia="zh-CN"/>
              </w:rPr>
            </w:pPr>
            <w:r>
              <w:rPr>
                <w:rFonts w:hint="eastAsia"/>
                <w:bCs/>
                <w:color w:val="000000"/>
                <w:szCs w:val="21"/>
                <w:lang w:val="en-US" w:eastAsia="zh-CN"/>
              </w:rPr>
              <w:t>0.00156</w:t>
            </w:r>
          </w:p>
        </w:tc>
        <w:tc>
          <w:tcPr>
            <w:tcW w:w="1276" w:type="dxa"/>
            <w:vAlign w:val="bottom"/>
          </w:tcPr>
          <w:p>
            <w:pPr>
              <w:jc w:val="center"/>
              <w:rPr>
                <w:rFonts w:hint="default" w:eastAsia="宋体"/>
                <w:bCs/>
                <w:color w:val="000000"/>
                <w:szCs w:val="21"/>
                <w:lang w:val="en-US" w:eastAsia="zh-CN"/>
              </w:rPr>
            </w:pPr>
            <w:r>
              <w:rPr>
                <w:rFonts w:hint="eastAsia"/>
                <w:bCs/>
                <w:color w:val="000000"/>
                <w:szCs w:val="21"/>
                <w:lang w:val="en-US" w:eastAsia="zh-CN"/>
              </w:rPr>
              <w:t>0.0375</w:t>
            </w:r>
          </w:p>
        </w:tc>
      </w:tr>
    </w:tbl>
    <w:p>
      <w:pPr>
        <w:spacing w:line="520" w:lineRule="exact"/>
        <w:rPr>
          <w:sz w:val="24"/>
        </w:rPr>
      </w:pPr>
      <w:r>
        <w:rPr>
          <w:sz w:val="24"/>
        </w:rPr>
        <w:t>D、固粪处置区恶臭</w:t>
      </w:r>
    </w:p>
    <w:p>
      <w:pPr>
        <w:spacing w:line="500" w:lineRule="exact"/>
        <w:ind w:firstLine="480" w:firstLineChars="200"/>
        <w:rPr>
          <w:b w:val="0"/>
          <w:bCs/>
          <w:sz w:val="24"/>
          <w:u w:val="none"/>
        </w:rPr>
      </w:pPr>
      <w:r>
        <w:rPr>
          <w:b w:val="0"/>
          <w:bCs/>
          <w:sz w:val="24"/>
          <w:u w:val="none"/>
        </w:rPr>
        <w:t>项目猪粪经固液分离后清至固粪处置区进行堆肥发酵，沼渣经固液分离后泵至固粪处置区暂存。建设单位拟设置1个固粪处置区（固粪处置区三面设置1m高的围墙、顶部设置彩瓦顶棚、底部地面硬化防渗处理，底部设置渗滤液导流沟，渗滤液经污道进入收集池进行处理）和固粪处置区，在暂存场通过喷洒植物型除臭剂对恶臭气体进行脱臭处理，通过</w:t>
      </w:r>
      <w:r>
        <w:rPr>
          <w:rFonts w:hint="eastAsia"/>
          <w:b w:val="0"/>
          <w:bCs/>
          <w:sz w:val="24"/>
          <w:u w:val="none"/>
          <w:lang w:val="en-US" w:eastAsia="zh-CN"/>
        </w:rPr>
        <w:t>类比同类</w:t>
      </w:r>
      <w:r>
        <w:rPr>
          <w:b w:val="0"/>
          <w:bCs/>
          <w:sz w:val="24"/>
          <w:u w:val="none"/>
        </w:rPr>
        <w:t>公司实际运营的固粪处置区的H</w:t>
      </w:r>
      <w:r>
        <w:rPr>
          <w:b w:val="0"/>
          <w:bCs/>
          <w:sz w:val="24"/>
          <w:u w:val="none"/>
          <w:vertAlign w:val="subscript"/>
        </w:rPr>
        <w:t>2</w:t>
      </w:r>
      <w:r>
        <w:rPr>
          <w:b w:val="0"/>
          <w:bCs/>
          <w:sz w:val="24"/>
          <w:u w:val="none"/>
        </w:rPr>
        <w:t>S和NH</w:t>
      </w:r>
      <w:r>
        <w:rPr>
          <w:b w:val="0"/>
          <w:bCs/>
          <w:sz w:val="24"/>
          <w:u w:val="none"/>
          <w:vertAlign w:val="subscript"/>
        </w:rPr>
        <w:t>3</w:t>
      </w:r>
      <w:r>
        <w:rPr>
          <w:b w:val="0"/>
          <w:bCs/>
          <w:sz w:val="24"/>
          <w:u w:val="none"/>
        </w:rPr>
        <w:t>的产生速率，其中H</w:t>
      </w:r>
      <w:r>
        <w:rPr>
          <w:b w:val="0"/>
          <w:bCs/>
          <w:sz w:val="24"/>
          <w:u w:val="none"/>
          <w:vertAlign w:val="subscript"/>
        </w:rPr>
        <w:t>2</w:t>
      </w:r>
      <w:r>
        <w:rPr>
          <w:b w:val="0"/>
          <w:bCs/>
          <w:sz w:val="24"/>
          <w:u w:val="none"/>
        </w:rPr>
        <w:t>S产生速率为0.3g/m</w:t>
      </w:r>
      <w:r>
        <w:rPr>
          <w:b w:val="0"/>
          <w:bCs/>
          <w:sz w:val="24"/>
          <w:u w:val="none"/>
          <w:vertAlign w:val="superscript"/>
        </w:rPr>
        <w:t>2</w:t>
      </w:r>
      <w:r>
        <w:rPr>
          <w:b w:val="0"/>
          <w:bCs/>
          <w:sz w:val="24"/>
          <w:u w:val="none"/>
        </w:rPr>
        <w:t>*d，NH</w:t>
      </w:r>
      <w:r>
        <w:rPr>
          <w:b w:val="0"/>
          <w:bCs/>
          <w:sz w:val="24"/>
          <w:u w:val="none"/>
          <w:vertAlign w:val="subscript"/>
        </w:rPr>
        <w:t>3</w:t>
      </w:r>
      <w:r>
        <w:rPr>
          <w:b w:val="0"/>
          <w:bCs/>
          <w:sz w:val="24"/>
          <w:u w:val="none"/>
        </w:rPr>
        <w:t>的产生速率为5g/m</w:t>
      </w:r>
      <w:r>
        <w:rPr>
          <w:b w:val="0"/>
          <w:bCs/>
          <w:sz w:val="24"/>
          <w:u w:val="none"/>
          <w:vertAlign w:val="superscript"/>
        </w:rPr>
        <w:t>2</w:t>
      </w:r>
      <w:r>
        <w:rPr>
          <w:b w:val="0"/>
          <w:bCs/>
          <w:sz w:val="24"/>
          <w:u w:val="none"/>
        </w:rPr>
        <w:t>*d，本项目固粪处置区面积为</w:t>
      </w:r>
      <w:r>
        <w:rPr>
          <w:rFonts w:hint="eastAsia"/>
          <w:b w:val="0"/>
          <w:bCs/>
          <w:sz w:val="24"/>
          <w:u w:val="none"/>
          <w:lang w:val="en-US" w:eastAsia="zh-CN"/>
        </w:rPr>
        <w:t>360</w:t>
      </w:r>
      <w:r>
        <w:rPr>
          <w:b w:val="0"/>
          <w:bCs/>
          <w:sz w:val="24"/>
          <w:u w:val="none"/>
        </w:rPr>
        <w:t>m</w:t>
      </w:r>
      <w:r>
        <w:rPr>
          <w:b w:val="0"/>
          <w:bCs/>
          <w:sz w:val="24"/>
          <w:u w:val="none"/>
          <w:vertAlign w:val="superscript"/>
        </w:rPr>
        <w:t>2</w:t>
      </w:r>
      <w:r>
        <w:rPr>
          <w:b w:val="0"/>
          <w:bCs/>
          <w:sz w:val="24"/>
          <w:u w:val="none"/>
        </w:rPr>
        <w:t>，则H</w:t>
      </w:r>
      <w:r>
        <w:rPr>
          <w:b w:val="0"/>
          <w:bCs/>
          <w:sz w:val="24"/>
          <w:u w:val="none"/>
          <w:vertAlign w:val="subscript"/>
        </w:rPr>
        <w:t>2</w:t>
      </w:r>
      <w:r>
        <w:rPr>
          <w:b w:val="0"/>
          <w:bCs/>
          <w:sz w:val="24"/>
          <w:u w:val="none"/>
        </w:rPr>
        <w:t>S的产生量为0.0</w:t>
      </w:r>
      <w:r>
        <w:rPr>
          <w:rFonts w:hint="eastAsia"/>
          <w:b w:val="0"/>
          <w:bCs/>
          <w:sz w:val="24"/>
          <w:u w:val="none"/>
          <w:lang w:val="en-US" w:eastAsia="zh-CN"/>
        </w:rPr>
        <w:t>39</w:t>
      </w:r>
      <w:r>
        <w:rPr>
          <w:b w:val="0"/>
          <w:bCs/>
          <w:sz w:val="24"/>
          <w:u w:val="none"/>
        </w:rPr>
        <w:t>t/a，NH</w:t>
      </w:r>
      <w:r>
        <w:rPr>
          <w:b w:val="0"/>
          <w:bCs/>
          <w:sz w:val="24"/>
          <w:u w:val="none"/>
          <w:vertAlign w:val="subscript"/>
        </w:rPr>
        <w:t>3</w:t>
      </w:r>
      <w:r>
        <w:rPr>
          <w:b w:val="0"/>
          <w:bCs/>
          <w:sz w:val="24"/>
          <w:u w:val="none"/>
        </w:rPr>
        <w:t>的产生量为</w:t>
      </w:r>
      <w:r>
        <w:rPr>
          <w:rFonts w:hint="eastAsia"/>
          <w:b w:val="0"/>
          <w:bCs/>
          <w:sz w:val="24"/>
          <w:u w:val="none"/>
          <w:lang w:val="en-US" w:eastAsia="zh-CN"/>
        </w:rPr>
        <w:t>0.657</w:t>
      </w:r>
      <w:r>
        <w:rPr>
          <w:b w:val="0"/>
          <w:bCs/>
          <w:sz w:val="24"/>
          <w:u w:val="none"/>
        </w:rPr>
        <w:t>t/a。各恶臭气体产排情况结果见表</w:t>
      </w:r>
      <w:r>
        <w:rPr>
          <w:rFonts w:hint="eastAsia"/>
          <w:b w:val="0"/>
          <w:bCs/>
          <w:sz w:val="24"/>
          <w:u w:val="none"/>
          <w:lang w:val="en-US" w:eastAsia="zh-CN"/>
        </w:rPr>
        <w:t>2</w:t>
      </w:r>
      <w:r>
        <w:rPr>
          <w:b w:val="0"/>
          <w:bCs/>
          <w:sz w:val="24"/>
          <w:u w:val="none"/>
        </w:rPr>
        <w:t>.3-5。</w:t>
      </w:r>
    </w:p>
    <w:p>
      <w:pPr>
        <w:kinsoku w:val="0"/>
        <w:overflowPunct w:val="0"/>
        <w:spacing w:afterLines="30" w:line="500" w:lineRule="exact"/>
        <w:jc w:val="center"/>
        <w:rPr>
          <w:b w:val="0"/>
          <w:bCs/>
          <w:sz w:val="24"/>
          <w:u w:val="none"/>
        </w:rPr>
      </w:pPr>
      <w:r>
        <w:rPr>
          <w:b w:val="0"/>
          <w:bCs/>
          <w:sz w:val="24"/>
          <w:u w:val="none"/>
        </w:rPr>
        <w:t>表</w:t>
      </w:r>
      <w:r>
        <w:rPr>
          <w:rFonts w:hint="eastAsia"/>
          <w:b w:val="0"/>
          <w:bCs/>
          <w:sz w:val="24"/>
          <w:u w:val="none"/>
          <w:lang w:val="en-US" w:eastAsia="zh-CN"/>
        </w:rPr>
        <w:t>2</w:t>
      </w:r>
      <w:r>
        <w:rPr>
          <w:b w:val="0"/>
          <w:bCs/>
          <w:sz w:val="24"/>
          <w:u w:val="none"/>
        </w:rPr>
        <w:t>.3-5    项目养殖过程猪舍恶臭气体产生及排放情况一览表</w:t>
      </w:r>
    </w:p>
    <w:tbl>
      <w:tblPr>
        <w:tblStyle w:val="45"/>
        <w:tblpPr w:leftFromText="180" w:rightFromText="180" w:vertAnchor="text" w:tblpY="1"/>
        <w:tblW w:w="8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84"/>
        <w:gridCol w:w="1121"/>
        <w:gridCol w:w="1571"/>
        <w:gridCol w:w="821"/>
        <w:gridCol w:w="3676"/>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序号</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主要污染物</w:t>
            </w:r>
          </w:p>
        </w:tc>
        <w:tc>
          <w:tcPr>
            <w:tcW w:w="1571" w:type="dxa"/>
            <w:vAlign w:val="center"/>
          </w:tcPr>
          <w:p>
            <w:pPr>
              <w:spacing w:line="280" w:lineRule="exact"/>
              <w:jc w:val="center"/>
              <w:rPr>
                <w:b w:val="0"/>
                <w:bCs/>
                <w:szCs w:val="21"/>
                <w:u w:val="none"/>
              </w:rPr>
            </w:pPr>
            <w:r>
              <w:rPr>
                <w:b w:val="0"/>
                <w:bCs/>
                <w:szCs w:val="21"/>
                <w:u w:val="none"/>
              </w:rPr>
              <w:t>污  染  源</w:t>
            </w:r>
          </w:p>
        </w:tc>
        <w:tc>
          <w:tcPr>
            <w:tcW w:w="821" w:type="dxa"/>
            <w:vAlign w:val="center"/>
          </w:tcPr>
          <w:p>
            <w:pPr>
              <w:spacing w:line="280" w:lineRule="exact"/>
              <w:jc w:val="center"/>
              <w:rPr>
                <w:b w:val="0"/>
                <w:bCs/>
                <w:snapToGrid w:val="0"/>
                <w:spacing w:val="-4"/>
                <w:szCs w:val="21"/>
                <w:u w:val="none"/>
              </w:rPr>
            </w:pPr>
            <w:r>
              <w:rPr>
                <w:b w:val="0"/>
                <w:bCs/>
                <w:snapToGrid w:val="0"/>
                <w:spacing w:val="-4"/>
                <w:szCs w:val="21"/>
                <w:u w:val="none"/>
              </w:rPr>
              <w:t>产生量</w:t>
            </w:r>
          </w:p>
          <w:p>
            <w:pPr>
              <w:spacing w:line="280" w:lineRule="exact"/>
              <w:jc w:val="center"/>
              <w:rPr>
                <w:b w:val="0"/>
                <w:bCs/>
                <w:snapToGrid w:val="0"/>
                <w:spacing w:val="-4"/>
                <w:szCs w:val="21"/>
                <w:u w:val="none"/>
              </w:rPr>
            </w:pPr>
            <w:r>
              <w:rPr>
                <w:b w:val="0"/>
                <w:bCs/>
                <w:snapToGrid w:val="0"/>
                <w:spacing w:val="-4"/>
                <w:szCs w:val="21"/>
                <w:u w:val="none"/>
              </w:rPr>
              <w:t>(t/a)</w:t>
            </w:r>
          </w:p>
        </w:tc>
        <w:tc>
          <w:tcPr>
            <w:tcW w:w="3676" w:type="dxa"/>
            <w:vAlign w:val="center"/>
          </w:tcPr>
          <w:p>
            <w:pPr>
              <w:spacing w:line="280" w:lineRule="exact"/>
              <w:jc w:val="center"/>
              <w:rPr>
                <w:b w:val="0"/>
                <w:bCs/>
                <w:snapToGrid w:val="0"/>
                <w:spacing w:val="-4"/>
                <w:szCs w:val="21"/>
                <w:u w:val="none"/>
              </w:rPr>
            </w:pPr>
            <w:r>
              <w:rPr>
                <w:b w:val="0"/>
                <w:bCs/>
                <w:snapToGrid w:val="0"/>
                <w:spacing w:val="-4"/>
                <w:szCs w:val="21"/>
                <w:u w:val="none"/>
              </w:rPr>
              <w:t>拟处理措施</w:t>
            </w:r>
          </w:p>
        </w:tc>
        <w:tc>
          <w:tcPr>
            <w:tcW w:w="1115" w:type="dxa"/>
            <w:vAlign w:val="center"/>
          </w:tcPr>
          <w:p>
            <w:pPr>
              <w:spacing w:line="280" w:lineRule="exact"/>
              <w:jc w:val="center"/>
              <w:rPr>
                <w:b w:val="0"/>
                <w:bCs/>
                <w:snapToGrid w:val="0"/>
                <w:spacing w:val="-4"/>
                <w:szCs w:val="21"/>
                <w:u w:val="none"/>
              </w:rPr>
            </w:pPr>
            <w:r>
              <w:rPr>
                <w:b w:val="0"/>
                <w:bCs/>
                <w:snapToGrid w:val="0"/>
                <w:spacing w:val="-4"/>
                <w:szCs w:val="21"/>
                <w:u w:val="non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1</w:t>
            </w:r>
          </w:p>
        </w:tc>
        <w:tc>
          <w:tcPr>
            <w:tcW w:w="1121" w:type="dxa"/>
            <w:vAlign w:val="center"/>
          </w:tcPr>
          <w:p>
            <w:pPr>
              <w:spacing w:line="280" w:lineRule="exact"/>
              <w:jc w:val="center"/>
              <w:rPr>
                <w:b w:val="0"/>
                <w:bCs/>
                <w:snapToGrid w:val="0"/>
                <w:spacing w:val="-4"/>
                <w:szCs w:val="21"/>
                <w:u w:val="none"/>
                <w:vertAlign w:val="subscript"/>
              </w:rPr>
            </w:pPr>
            <w:r>
              <w:rPr>
                <w:b w:val="0"/>
                <w:bCs/>
                <w:snapToGrid w:val="0"/>
                <w:spacing w:val="-4"/>
                <w:szCs w:val="21"/>
                <w:u w:val="none"/>
              </w:rPr>
              <w:t>NH</w:t>
            </w:r>
            <w:r>
              <w:rPr>
                <w:b w:val="0"/>
                <w:bCs/>
                <w:snapToGrid w:val="0"/>
                <w:spacing w:val="-4"/>
                <w:szCs w:val="21"/>
                <w:u w:val="none"/>
                <w:vertAlign w:val="subscript"/>
              </w:rPr>
              <w:t>3</w:t>
            </w:r>
          </w:p>
        </w:tc>
        <w:tc>
          <w:tcPr>
            <w:tcW w:w="1571" w:type="dxa"/>
            <w:vMerge w:val="restart"/>
            <w:vAlign w:val="center"/>
          </w:tcPr>
          <w:p>
            <w:pPr>
              <w:spacing w:line="280" w:lineRule="exact"/>
              <w:jc w:val="center"/>
              <w:rPr>
                <w:b w:val="0"/>
                <w:bCs/>
                <w:szCs w:val="21"/>
                <w:u w:val="none"/>
              </w:rPr>
            </w:pPr>
            <w:r>
              <w:rPr>
                <w:b w:val="0"/>
                <w:bCs/>
                <w:szCs w:val="21"/>
                <w:u w:val="none"/>
              </w:rPr>
              <w:t>猪舍</w:t>
            </w: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0.2702</w:t>
            </w:r>
          </w:p>
        </w:tc>
        <w:tc>
          <w:tcPr>
            <w:tcW w:w="3676" w:type="dxa"/>
            <w:vMerge w:val="restart"/>
            <w:vAlign w:val="center"/>
          </w:tcPr>
          <w:p>
            <w:pPr>
              <w:spacing w:line="280" w:lineRule="exact"/>
              <w:jc w:val="center"/>
              <w:rPr>
                <w:b w:val="0"/>
                <w:bCs/>
                <w:snapToGrid w:val="0"/>
                <w:spacing w:val="-4"/>
                <w:szCs w:val="21"/>
                <w:u w:val="none"/>
              </w:rPr>
            </w:pPr>
            <w:r>
              <w:rPr>
                <w:b w:val="0"/>
                <w:bCs/>
                <w:snapToGrid w:val="0"/>
                <w:spacing w:val="-4"/>
                <w:szCs w:val="21"/>
                <w:u w:val="none"/>
              </w:rPr>
              <w:t>调整日粮结构，喷洒除臭剂，加强通风，去除率可达70%，设施绿化带</w:t>
            </w: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2</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H</w:t>
            </w:r>
            <w:r>
              <w:rPr>
                <w:b w:val="0"/>
                <w:bCs/>
                <w:snapToGrid w:val="0"/>
                <w:spacing w:val="-4"/>
                <w:szCs w:val="21"/>
                <w:u w:val="none"/>
                <w:vertAlign w:val="subscript"/>
              </w:rPr>
              <w:t>2</w:t>
            </w:r>
            <w:r>
              <w:rPr>
                <w:b w:val="0"/>
                <w:bCs/>
                <w:snapToGrid w:val="0"/>
                <w:spacing w:val="-4"/>
                <w:szCs w:val="21"/>
                <w:u w:val="none"/>
              </w:rPr>
              <w:t>S</w:t>
            </w:r>
          </w:p>
        </w:tc>
        <w:tc>
          <w:tcPr>
            <w:tcW w:w="1571" w:type="dxa"/>
            <w:vMerge w:val="continue"/>
            <w:vAlign w:val="center"/>
          </w:tcPr>
          <w:p>
            <w:pPr>
              <w:spacing w:line="280" w:lineRule="exact"/>
              <w:jc w:val="center"/>
              <w:rPr>
                <w:b w:val="0"/>
                <w:bCs/>
                <w:szCs w:val="21"/>
                <w:u w:val="none"/>
              </w:rPr>
            </w:pP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0.023</w:t>
            </w:r>
          </w:p>
        </w:tc>
        <w:tc>
          <w:tcPr>
            <w:tcW w:w="3676" w:type="dxa"/>
            <w:vMerge w:val="continue"/>
            <w:vAlign w:val="center"/>
          </w:tcPr>
          <w:p>
            <w:pPr>
              <w:spacing w:line="280" w:lineRule="exact"/>
              <w:jc w:val="center"/>
              <w:rPr>
                <w:b w:val="0"/>
                <w:bCs/>
                <w:snapToGrid w:val="0"/>
                <w:spacing w:val="-4"/>
                <w:szCs w:val="21"/>
                <w:u w:val="none"/>
              </w:rPr>
            </w:pP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3</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NH</w:t>
            </w:r>
            <w:r>
              <w:rPr>
                <w:b w:val="0"/>
                <w:bCs/>
                <w:snapToGrid w:val="0"/>
                <w:spacing w:val="-4"/>
                <w:szCs w:val="21"/>
                <w:u w:val="none"/>
                <w:vertAlign w:val="subscript"/>
              </w:rPr>
              <w:t>3</w:t>
            </w:r>
          </w:p>
        </w:tc>
        <w:tc>
          <w:tcPr>
            <w:tcW w:w="1571" w:type="dxa"/>
            <w:vMerge w:val="restart"/>
            <w:vAlign w:val="center"/>
          </w:tcPr>
          <w:p>
            <w:pPr>
              <w:spacing w:line="280" w:lineRule="exact"/>
              <w:jc w:val="center"/>
              <w:rPr>
                <w:b w:val="0"/>
                <w:bCs/>
                <w:szCs w:val="21"/>
                <w:u w:val="none"/>
              </w:rPr>
            </w:pPr>
            <w:r>
              <w:rPr>
                <w:b w:val="0"/>
                <w:bCs/>
                <w:szCs w:val="21"/>
                <w:u w:val="none"/>
              </w:rPr>
              <w:t>收集池恶臭</w:t>
            </w: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0.116</w:t>
            </w:r>
          </w:p>
        </w:tc>
        <w:tc>
          <w:tcPr>
            <w:tcW w:w="3676" w:type="dxa"/>
            <w:vMerge w:val="restart"/>
            <w:vAlign w:val="center"/>
          </w:tcPr>
          <w:p>
            <w:pPr>
              <w:spacing w:line="280" w:lineRule="exact"/>
              <w:jc w:val="center"/>
              <w:rPr>
                <w:b w:val="0"/>
                <w:bCs/>
                <w:snapToGrid w:val="0"/>
                <w:spacing w:val="-4"/>
                <w:szCs w:val="21"/>
                <w:u w:val="none"/>
              </w:rPr>
            </w:pPr>
            <w:r>
              <w:rPr>
                <w:b w:val="0"/>
                <w:bCs/>
                <w:snapToGrid w:val="0"/>
                <w:spacing w:val="-4"/>
                <w:szCs w:val="21"/>
                <w:u w:val="none"/>
              </w:rPr>
              <w:t>喷洒除臭剂，设置绿化带，去除率可达70%，设施绿化带</w:t>
            </w: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4</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H</w:t>
            </w:r>
            <w:r>
              <w:rPr>
                <w:b w:val="0"/>
                <w:bCs/>
                <w:snapToGrid w:val="0"/>
                <w:spacing w:val="-4"/>
                <w:szCs w:val="21"/>
                <w:u w:val="none"/>
                <w:vertAlign w:val="subscript"/>
              </w:rPr>
              <w:t>2</w:t>
            </w:r>
            <w:r>
              <w:rPr>
                <w:b w:val="0"/>
                <w:bCs/>
                <w:snapToGrid w:val="0"/>
                <w:spacing w:val="-4"/>
                <w:szCs w:val="21"/>
                <w:u w:val="none"/>
              </w:rPr>
              <w:t>S</w:t>
            </w:r>
          </w:p>
        </w:tc>
        <w:tc>
          <w:tcPr>
            <w:tcW w:w="1571" w:type="dxa"/>
            <w:vMerge w:val="continue"/>
            <w:vAlign w:val="center"/>
          </w:tcPr>
          <w:p>
            <w:pPr>
              <w:spacing w:line="280" w:lineRule="exact"/>
              <w:jc w:val="center"/>
              <w:rPr>
                <w:b w:val="0"/>
                <w:bCs/>
                <w:szCs w:val="21"/>
                <w:u w:val="none"/>
              </w:rPr>
            </w:pP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0.0045</w:t>
            </w:r>
          </w:p>
        </w:tc>
        <w:tc>
          <w:tcPr>
            <w:tcW w:w="3676" w:type="dxa"/>
            <w:vMerge w:val="continue"/>
            <w:vAlign w:val="center"/>
          </w:tcPr>
          <w:p>
            <w:pPr>
              <w:spacing w:line="280" w:lineRule="exact"/>
              <w:jc w:val="center"/>
              <w:rPr>
                <w:b w:val="0"/>
                <w:bCs/>
                <w:snapToGrid w:val="0"/>
                <w:color w:val="FF0000"/>
                <w:spacing w:val="-4"/>
                <w:szCs w:val="21"/>
                <w:u w:val="none"/>
              </w:rPr>
            </w:pP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5</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NH</w:t>
            </w:r>
            <w:r>
              <w:rPr>
                <w:b w:val="0"/>
                <w:bCs/>
                <w:snapToGrid w:val="0"/>
                <w:spacing w:val="-4"/>
                <w:szCs w:val="21"/>
                <w:u w:val="none"/>
                <w:vertAlign w:val="subscript"/>
              </w:rPr>
              <w:t>3</w:t>
            </w:r>
          </w:p>
        </w:tc>
        <w:tc>
          <w:tcPr>
            <w:tcW w:w="1571" w:type="dxa"/>
            <w:vMerge w:val="restart"/>
            <w:vAlign w:val="center"/>
          </w:tcPr>
          <w:p>
            <w:pPr>
              <w:spacing w:line="280" w:lineRule="exact"/>
              <w:jc w:val="center"/>
              <w:rPr>
                <w:b w:val="0"/>
                <w:bCs/>
                <w:szCs w:val="21"/>
                <w:u w:val="none"/>
              </w:rPr>
            </w:pPr>
            <w:r>
              <w:rPr>
                <w:b w:val="0"/>
                <w:bCs/>
                <w:szCs w:val="21"/>
                <w:u w:val="none"/>
              </w:rPr>
              <w:t>沼液暂存池</w:t>
            </w: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0.0091</w:t>
            </w:r>
          </w:p>
        </w:tc>
        <w:tc>
          <w:tcPr>
            <w:tcW w:w="3676" w:type="dxa"/>
            <w:vMerge w:val="continue"/>
            <w:vAlign w:val="center"/>
          </w:tcPr>
          <w:p>
            <w:pPr>
              <w:spacing w:line="280" w:lineRule="exact"/>
              <w:jc w:val="center"/>
              <w:rPr>
                <w:b w:val="0"/>
                <w:bCs/>
                <w:snapToGrid w:val="0"/>
                <w:spacing w:val="-4"/>
                <w:szCs w:val="21"/>
                <w:u w:val="none"/>
              </w:rPr>
            </w:pP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6</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H</w:t>
            </w:r>
            <w:r>
              <w:rPr>
                <w:b w:val="0"/>
                <w:bCs/>
                <w:snapToGrid w:val="0"/>
                <w:spacing w:val="-4"/>
                <w:szCs w:val="21"/>
                <w:u w:val="none"/>
                <w:vertAlign w:val="subscript"/>
              </w:rPr>
              <w:t>2</w:t>
            </w:r>
            <w:r>
              <w:rPr>
                <w:b w:val="0"/>
                <w:bCs/>
                <w:snapToGrid w:val="0"/>
                <w:spacing w:val="-4"/>
                <w:szCs w:val="21"/>
                <w:u w:val="none"/>
              </w:rPr>
              <w:t>S</w:t>
            </w:r>
          </w:p>
        </w:tc>
        <w:tc>
          <w:tcPr>
            <w:tcW w:w="1571" w:type="dxa"/>
            <w:vMerge w:val="continue"/>
            <w:vAlign w:val="center"/>
          </w:tcPr>
          <w:p>
            <w:pPr>
              <w:spacing w:line="280" w:lineRule="exact"/>
              <w:jc w:val="center"/>
              <w:rPr>
                <w:b w:val="0"/>
                <w:bCs/>
                <w:szCs w:val="21"/>
                <w:u w:val="none"/>
              </w:rPr>
            </w:pP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0.0007</w:t>
            </w:r>
          </w:p>
        </w:tc>
        <w:tc>
          <w:tcPr>
            <w:tcW w:w="3676" w:type="dxa"/>
            <w:vMerge w:val="continue"/>
            <w:vAlign w:val="center"/>
          </w:tcPr>
          <w:p>
            <w:pPr>
              <w:spacing w:line="280" w:lineRule="exact"/>
              <w:jc w:val="center"/>
              <w:rPr>
                <w:b w:val="0"/>
                <w:bCs/>
                <w:snapToGrid w:val="0"/>
                <w:spacing w:val="-4"/>
                <w:szCs w:val="21"/>
                <w:u w:val="none"/>
              </w:rPr>
            </w:pP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7</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NH</w:t>
            </w:r>
            <w:r>
              <w:rPr>
                <w:b w:val="0"/>
                <w:bCs/>
                <w:snapToGrid w:val="0"/>
                <w:spacing w:val="-4"/>
                <w:szCs w:val="21"/>
                <w:u w:val="none"/>
                <w:vertAlign w:val="subscript"/>
              </w:rPr>
              <w:t>3</w:t>
            </w:r>
          </w:p>
        </w:tc>
        <w:tc>
          <w:tcPr>
            <w:tcW w:w="1571" w:type="dxa"/>
            <w:vMerge w:val="restart"/>
            <w:vAlign w:val="center"/>
          </w:tcPr>
          <w:p>
            <w:pPr>
              <w:spacing w:line="280" w:lineRule="exact"/>
              <w:jc w:val="center"/>
              <w:rPr>
                <w:b w:val="0"/>
                <w:bCs/>
                <w:szCs w:val="21"/>
                <w:u w:val="none"/>
              </w:rPr>
            </w:pPr>
            <w:r>
              <w:rPr>
                <w:b w:val="0"/>
                <w:bCs/>
                <w:szCs w:val="21"/>
                <w:u w:val="none"/>
              </w:rPr>
              <w:t>固粪处置区</w:t>
            </w: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0.657</w:t>
            </w:r>
          </w:p>
        </w:tc>
        <w:tc>
          <w:tcPr>
            <w:tcW w:w="3676" w:type="dxa"/>
            <w:vMerge w:val="continue"/>
            <w:vAlign w:val="center"/>
          </w:tcPr>
          <w:p>
            <w:pPr>
              <w:spacing w:line="280" w:lineRule="exact"/>
              <w:jc w:val="center"/>
              <w:rPr>
                <w:b w:val="0"/>
                <w:bCs/>
                <w:snapToGrid w:val="0"/>
                <w:spacing w:val="-4"/>
                <w:szCs w:val="21"/>
                <w:u w:val="none"/>
              </w:rPr>
            </w:pP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0.1971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val="0"/>
                <w:bCs/>
                <w:snapToGrid w:val="0"/>
                <w:spacing w:val="-4"/>
                <w:szCs w:val="21"/>
                <w:u w:val="none"/>
              </w:rPr>
            </w:pPr>
            <w:r>
              <w:rPr>
                <w:b w:val="0"/>
                <w:bCs/>
                <w:snapToGrid w:val="0"/>
                <w:spacing w:val="-4"/>
                <w:szCs w:val="21"/>
                <w:u w:val="none"/>
              </w:rPr>
              <w:t>8</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H</w:t>
            </w:r>
            <w:r>
              <w:rPr>
                <w:b w:val="0"/>
                <w:bCs/>
                <w:snapToGrid w:val="0"/>
                <w:spacing w:val="-4"/>
                <w:szCs w:val="21"/>
                <w:u w:val="none"/>
                <w:vertAlign w:val="subscript"/>
              </w:rPr>
              <w:t>2</w:t>
            </w:r>
            <w:r>
              <w:rPr>
                <w:b w:val="0"/>
                <w:bCs/>
                <w:snapToGrid w:val="0"/>
                <w:spacing w:val="-4"/>
                <w:szCs w:val="21"/>
                <w:u w:val="none"/>
              </w:rPr>
              <w:t>S</w:t>
            </w:r>
          </w:p>
        </w:tc>
        <w:tc>
          <w:tcPr>
            <w:tcW w:w="1571" w:type="dxa"/>
            <w:vMerge w:val="continue"/>
            <w:vAlign w:val="center"/>
          </w:tcPr>
          <w:p>
            <w:pPr>
              <w:spacing w:line="280" w:lineRule="exact"/>
              <w:jc w:val="center"/>
              <w:rPr>
                <w:b w:val="0"/>
                <w:bCs/>
                <w:snapToGrid w:val="0"/>
                <w:spacing w:val="-4"/>
                <w:szCs w:val="21"/>
                <w:u w:val="none"/>
              </w:rPr>
            </w:pPr>
          </w:p>
        </w:tc>
        <w:tc>
          <w:tcPr>
            <w:tcW w:w="821"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0.039</w:t>
            </w:r>
          </w:p>
        </w:tc>
        <w:tc>
          <w:tcPr>
            <w:tcW w:w="3676" w:type="dxa"/>
            <w:vMerge w:val="continue"/>
            <w:vAlign w:val="center"/>
          </w:tcPr>
          <w:p>
            <w:pPr>
              <w:spacing w:line="280" w:lineRule="exact"/>
              <w:jc w:val="center"/>
              <w:rPr>
                <w:b w:val="0"/>
                <w:bCs/>
                <w:snapToGrid w:val="0"/>
                <w:spacing w:val="-4"/>
                <w:szCs w:val="21"/>
                <w:u w:val="none"/>
              </w:rPr>
            </w:pPr>
          </w:p>
        </w:tc>
        <w:tc>
          <w:tcPr>
            <w:tcW w:w="1115" w:type="dxa"/>
            <w:vAlign w:val="bottom"/>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0.0117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Merge w:val="restart"/>
            <w:vAlign w:val="center"/>
          </w:tcPr>
          <w:p>
            <w:pPr>
              <w:spacing w:line="280" w:lineRule="exact"/>
              <w:jc w:val="center"/>
              <w:rPr>
                <w:b w:val="0"/>
                <w:bCs/>
                <w:snapToGrid w:val="0"/>
                <w:spacing w:val="-4"/>
                <w:szCs w:val="21"/>
                <w:u w:val="none"/>
              </w:rPr>
            </w:pPr>
            <w:r>
              <w:rPr>
                <w:b w:val="0"/>
                <w:bCs/>
                <w:snapToGrid w:val="0"/>
                <w:spacing w:val="-4"/>
                <w:szCs w:val="21"/>
                <w:u w:val="none"/>
              </w:rPr>
              <w:t>合计</w:t>
            </w:r>
          </w:p>
        </w:tc>
        <w:tc>
          <w:tcPr>
            <w:tcW w:w="1121" w:type="dxa"/>
            <w:vAlign w:val="center"/>
          </w:tcPr>
          <w:p>
            <w:pPr>
              <w:spacing w:line="280" w:lineRule="exact"/>
              <w:jc w:val="center"/>
              <w:rPr>
                <w:b w:val="0"/>
                <w:bCs/>
                <w:snapToGrid w:val="0"/>
                <w:spacing w:val="-4"/>
                <w:szCs w:val="21"/>
                <w:u w:val="none"/>
              </w:rPr>
            </w:pPr>
            <w:r>
              <w:rPr>
                <w:b w:val="0"/>
                <w:bCs/>
                <w:snapToGrid w:val="0"/>
                <w:spacing w:val="-4"/>
                <w:szCs w:val="21"/>
                <w:u w:val="none"/>
              </w:rPr>
              <w:t>NH</w:t>
            </w:r>
            <w:r>
              <w:rPr>
                <w:b w:val="0"/>
                <w:bCs/>
                <w:snapToGrid w:val="0"/>
                <w:spacing w:val="-4"/>
                <w:szCs w:val="21"/>
                <w:u w:val="none"/>
                <w:vertAlign w:val="subscript"/>
              </w:rPr>
              <w:t>3</w:t>
            </w:r>
          </w:p>
        </w:tc>
        <w:tc>
          <w:tcPr>
            <w:tcW w:w="1571" w:type="dxa"/>
            <w:vMerge w:val="restart"/>
            <w:vAlign w:val="center"/>
          </w:tcPr>
          <w:p>
            <w:pPr>
              <w:spacing w:line="280" w:lineRule="exact"/>
              <w:jc w:val="center"/>
              <w:rPr>
                <w:b w:val="0"/>
                <w:bCs/>
                <w:snapToGrid w:val="0"/>
                <w:spacing w:val="-4"/>
                <w:szCs w:val="21"/>
                <w:u w:val="none"/>
              </w:rPr>
            </w:pPr>
            <w:r>
              <w:rPr>
                <w:b w:val="0"/>
                <w:bCs/>
                <w:snapToGrid w:val="0"/>
                <w:spacing w:val="-4"/>
                <w:szCs w:val="21"/>
                <w:u w:val="none"/>
              </w:rPr>
              <w:t>养殖区</w:t>
            </w:r>
          </w:p>
        </w:tc>
        <w:tc>
          <w:tcPr>
            <w:tcW w:w="821" w:type="dxa"/>
            <w:vAlign w:val="bottom"/>
          </w:tcPr>
          <w:p>
            <w:pPr>
              <w:jc w:val="center"/>
              <w:rPr>
                <w:rFonts w:hint="default" w:eastAsia="宋体"/>
                <w:b w:val="0"/>
                <w:bCs/>
                <w:sz w:val="22"/>
                <w:szCs w:val="22"/>
                <w:u w:val="none"/>
                <w:lang w:val="en-US" w:eastAsia="zh-CN"/>
              </w:rPr>
            </w:pPr>
            <w:r>
              <w:rPr>
                <w:rFonts w:hint="eastAsia"/>
                <w:b w:val="0"/>
                <w:bCs/>
                <w:sz w:val="22"/>
                <w:szCs w:val="22"/>
                <w:u w:val="none"/>
                <w:lang w:val="en-US" w:eastAsia="zh-CN"/>
              </w:rPr>
              <w:t>1.0523</w:t>
            </w:r>
          </w:p>
        </w:tc>
        <w:tc>
          <w:tcPr>
            <w:tcW w:w="3676" w:type="dxa"/>
            <w:vMerge w:val="restart"/>
            <w:vAlign w:val="center"/>
          </w:tcPr>
          <w:p>
            <w:pPr>
              <w:spacing w:line="280" w:lineRule="exact"/>
              <w:jc w:val="center"/>
              <w:rPr>
                <w:b w:val="0"/>
                <w:bCs/>
                <w:snapToGrid w:val="0"/>
                <w:spacing w:val="-4"/>
                <w:szCs w:val="21"/>
                <w:u w:val="none"/>
              </w:rPr>
            </w:pPr>
            <w:r>
              <w:rPr>
                <w:b w:val="0"/>
                <w:bCs/>
                <w:snapToGrid w:val="0"/>
                <w:spacing w:val="-4"/>
                <w:szCs w:val="21"/>
                <w:u w:val="none"/>
              </w:rPr>
              <w:t>/</w:t>
            </w:r>
          </w:p>
        </w:tc>
        <w:tc>
          <w:tcPr>
            <w:tcW w:w="1115" w:type="dxa"/>
            <w:vAlign w:val="bottom"/>
          </w:tcPr>
          <w:p>
            <w:pPr>
              <w:jc w:val="center"/>
              <w:rPr>
                <w:rFonts w:hint="default" w:eastAsia="宋体"/>
                <w:b w:val="0"/>
                <w:bCs/>
                <w:sz w:val="22"/>
                <w:szCs w:val="22"/>
                <w:u w:val="none"/>
                <w:lang w:val="en-US" w:eastAsia="zh-CN"/>
              </w:rPr>
            </w:pPr>
            <w:r>
              <w:rPr>
                <w:rFonts w:hint="eastAsia"/>
                <w:b w:val="0"/>
                <w:bCs/>
                <w:sz w:val="22"/>
                <w:szCs w:val="22"/>
                <w:u w:val="none"/>
                <w:lang w:val="en-US" w:eastAsia="zh-CN"/>
              </w:rPr>
              <w:t>0.3156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Merge w:val="continue"/>
            <w:vAlign w:val="center"/>
          </w:tcPr>
          <w:p>
            <w:pPr>
              <w:spacing w:line="280" w:lineRule="exact"/>
              <w:jc w:val="center"/>
              <w:rPr>
                <w:b w:val="0"/>
                <w:bCs/>
                <w:snapToGrid w:val="0"/>
                <w:color w:val="000000"/>
                <w:spacing w:val="-4"/>
                <w:szCs w:val="21"/>
                <w:u w:val="none"/>
              </w:rPr>
            </w:pPr>
          </w:p>
        </w:tc>
        <w:tc>
          <w:tcPr>
            <w:tcW w:w="1121" w:type="dxa"/>
            <w:vAlign w:val="center"/>
          </w:tcPr>
          <w:p>
            <w:pPr>
              <w:spacing w:line="280" w:lineRule="exact"/>
              <w:jc w:val="center"/>
              <w:rPr>
                <w:b w:val="0"/>
                <w:bCs/>
                <w:snapToGrid w:val="0"/>
                <w:color w:val="000000"/>
                <w:spacing w:val="-4"/>
                <w:szCs w:val="21"/>
                <w:u w:val="none"/>
              </w:rPr>
            </w:pPr>
            <w:r>
              <w:rPr>
                <w:b w:val="0"/>
                <w:bCs/>
                <w:snapToGrid w:val="0"/>
                <w:color w:val="000000"/>
                <w:spacing w:val="-4"/>
                <w:szCs w:val="21"/>
                <w:u w:val="none"/>
              </w:rPr>
              <w:t>H</w:t>
            </w:r>
            <w:r>
              <w:rPr>
                <w:b w:val="0"/>
                <w:bCs/>
                <w:snapToGrid w:val="0"/>
                <w:color w:val="000000"/>
                <w:spacing w:val="-4"/>
                <w:szCs w:val="21"/>
                <w:u w:val="none"/>
                <w:vertAlign w:val="subscript"/>
              </w:rPr>
              <w:t>2</w:t>
            </w:r>
            <w:r>
              <w:rPr>
                <w:b w:val="0"/>
                <w:bCs/>
                <w:snapToGrid w:val="0"/>
                <w:color w:val="000000"/>
                <w:spacing w:val="-4"/>
                <w:szCs w:val="21"/>
                <w:u w:val="none"/>
              </w:rPr>
              <w:t>S</w:t>
            </w:r>
          </w:p>
        </w:tc>
        <w:tc>
          <w:tcPr>
            <w:tcW w:w="1571" w:type="dxa"/>
            <w:vMerge w:val="continue"/>
            <w:vAlign w:val="center"/>
          </w:tcPr>
          <w:p>
            <w:pPr>
              <w:spacing w:line="280" w:lineRule="exact"/>
              <w:jc w:val="center"/>
              <w:rPr>
                <w:b w:val="0"/>
                <w:bCs/>
                <w:snapToGrid w:val="0"/>
                <w:color w:val="000000"/>
                <w:spacing w:val="-4"/>
                <w:szCs w:val="21"/>
                <w:u w:val="none"/>
              </w:rPr>
            </w:pPr>
          </w:p>
        </w:tc>
        <w:tc>
          <w:tcPr>
            <w:tcW w:w="821" w:type="dxa"/>
            <w:vAlign w:val="bottom"/>
          </w:tcPr>
          <w:p>
            <w:pPr>
              <w:jc w:val="center"/>
              <w:rPr>
                <w:rFonts w:hint="default" w:eastAsia="宋体"/>
                <w:b w:val="0"/>
                <w:bCs/>
                <w:sz w:val="22"/>
                <w:szCs w:val="22"/>
                <w:u w:val="none"/>
                <w:lang w:val="en-US" w:eastAsia="zh-CN"/>
              </w:rPr>
            </w:pPr>
            <w:r>
              <w:rPr>
                <w:rFonts w:hint="eastAsia"/>
                <w:b w:val="0"/>
                <w:bCs/>
                <w:sz w:val="22"/>
                <w:szCs w:val="22"/>
                <w:u w:val="none"/>
                <w:lang w:val="en-US" w:eastAsia="zh-CN"/>
              </w:rPr>
              <w:t>0.0672</w:t>
            </w:r>
          </w:p>
        </w:tc>
        <w:tc>
          <w:tcPr>
            <w:tcW w:w="3676" w:type="dxa"/>
            <w:vMerge w:val="continue"/>
            <w:vAlign w:val="center"/>
          </w:tcPr>
          <w:p>
            <w:pPr>
              <w:spacing w:line="280" w:lineRule="exact"/>
              <w:jc w:val="center"/>
              <w:rPr>
                <w:b w:val="0"/>
                <w:bCs/>
                <w:snapToGrid w:val="0"/>
                <w:color w:val="000000"/>
                <w:spacing w:val="-4"/>
                <w:szCs w:val="21"/>
                <w:u w:val="none"/>
              </w:rPr>
            </w:pPr>
          </w:p>
        </w:tc>
        <w:tc>
          <w:tcPr>
            <w:tcW w:w="1115" w:type="dxa"/>
            <w:vAlign w:val="bottom"/>
          </w:tcPr>
          <w:p>
            <w:pPr>
              <w:jc w:val="center"/>
              <w:rPr>
                <w:rFonts w:hint="default" w:eastAsia="宋体"/>
                <w:b w:val="0"/>
                <w:bCs/>
                <w:sz w:val="22"/>
                <w:szCs w:val="22"/>
                <w:u w:val="none"/>
                <w:lang w:val="en-US" w:eastAsia="zh-CN"/>
              </w:rPr>
            </w:pPr>
            <w:r>
              <w:rPr>
                <w:rFonts w:hint="eastAsia"/>
                <w:b w:val="0"/>
                <w:bCs/>
                <w:sz w:val="22"/>
                <w:szCs w:val="22"/>
                <w:u w:val="none"/>
                <w:lang w:val="en-US" w:eastAsia="zh-CN"/>
              </w:rPr>
              <w:t>0.0202</w:t>
            </w:r>
          </w:p>
        </w:tc>
      </w:tr>
    </w:tbl>
    <w:p>
      <w:pPr>
        <w:spacing w:line="360" w:lineRule="auto"/>
        <w:ind w:firstLine="480" w:firstLineChars="200"/>
        <w:jc w:val="left"/>
        <w:rPr>
          <w:color w:val="000000"/>
          <w:sz w:val="24"/>
        </w:rPr>
      </w:pPr>
      <w:r>
        <w:rPr>
          <w:color w:val="000000"/>
          <w:sz w:val="24"/>
        </w:rPr>
        <w:t>（2）沼气热水炉燃烧废气</w:t>
      </w:r>
    </w:p>
    <w:p>
      <w:pPr>
        <w:spacing w:line="500" w:lineRule="exact"/>
        <w:ind w:firstLine="480" w:firstLineChars="200"/>
        <w:rPr>
          <w:rFonts w:hint="eastAsia" w:hAnsi="宋体"/>
          <w:sz w:val="24"/>
        </w:rPr>
      </w:pPr>
      <w:r>
        <w:rPr>
          <w:rFonts w:hAnsi="宋体"/>
          <w:sz w:val="24"/>
        </w:rPr>
        <w:t>项目产生的沼气通过气水分离、脱硫后H</w:t>
      </w:r>
      <w:r>
        <w:rPr>
          <w:rFonts w:hAnsi="宋体"/>
          <w:sz w:val="24"/>
          <w:vertAlign w:val="subscript"/>
        </w:rPr>
        <w:t>2</w:t>
      </w:r>
      <w:r>
        <w:rPr>
          <w:rFonts w:hAnsi="宋体"/>
          <w:sz w:val="24"/>
        </w:rPr>
        <w:t>S含量≤20mg/m</w:t>
      </w:r>
      <w:r>
        <w:rPr>
          <w:rFonts w:hAnsi="宋体"/>
          <w:sz w:val="24"/>
          <w:vertAlign w:val="superscript"/>
        </w:rPr>
        <w:t>3</w:t>
      </w:r>
      <w:r>
        <w:rPr>
          <w:rFonts w:hAnsi="宋体"/>
          <w:sz w:val="24"/>
        </w:rPr>
        <w:t>，用于食堂灶台燃料，多余</w:t>
      </w:r>
      <w:r>
        <w:rPr>
          <w:rFonts w:hint="eastAsia" w:hAnsi="宋体"/>
          <w:sz w:val="24"/>
        </w:rPr>
        <w:t>部分</w:t>
      </w:r>
      <w:r>
        <w:rPr>
          <w:rFonts w:hAnsi="宋体"/>
          <w:sz w:val="24"/>
        </w:rPr>
        <w:t>经火炬燃烧器放空燃</w:t>
      </w:r>
      <w:r>
        <w:rPr>
          <w:rFonts w:hint="eastAsia" w:hAnsi="宋体"/>
          <w:sz w:val="24"/>
        </w:rPr>
        <w:t>。</w:t>
      </w:r>
    </w:p>
    <w:p>
      <w:pPr>
        <w:pStyle w:val="99"/>
        <w:spacing w:line="520" w:lineRule="exact"/>
        <w:rPr>
          <w:kern w:val="0"/>
          <w:szCs w:val="20"/>
        </w:rPr>
      </w:pPr>
      <w:r>
        <w:rPr>
          <w:rFonts w:hint="eastAsia"/>
          <w:kern w:val="0"/>
          <w:szCs w:val="20"/>
          <w:lang w:val="en-US" w:eastAsia="zh-CN"/>
        </w:rPr>
        <w:t>本项目年沼气产生量为</w:t>
      </w:r>
      <w:r>
        <w:rPr>
          <w:rFonts w:hint="eastAsia"/>
          <w:sz w:val="24"/>
          <w:lang w:val="en-US" w:eastAsia="zh-CN"/>
        </w:rPr>
        <w:t>24500m</w:t>
      </w:r>
      <w:r>
        <w:rPr>
          <w:rFonts w:hint="eastAsia"/>
          <w:sz w:val="24"/>
          <w:vertAlign w:val="superscript"/>
          <w:lang w:val="en-US" w:eastAsia="zh-CN"/>
        </w:rPr>
        <w:t>3</w:t>
      </w:r>
      <w:r>
        <w:rPr>
          <w:rFonts w:hint="eastAsia"/>
          <w:sz w:val="24"/>
          <w:lang w:val="en-US" w:eastAsia="zh-CN"/>
        </w:rPr>
        <w:t>/a。</w:t>
      </w:r>
      <w:r>
        <w:rPr>
          <w:kern w:val="0"/>
          <w:szCs w:val="20"/>
        </w:rPr>
        <w:t>沼气是清洁能源，燃烧后主要为CO</w:t>
      </w:r>
      <w:r>
        <w:rPr>
          <w:kern w:val="0"/>
          <w:szCs w:val="20"/>
          <w:vertAlign w:val="subscript"/>
        </w:rPr>
        <w:t>2</w:t>
      </w:r>
      <w:r>
        <w:rPr>
          <w:kern w:val="0"/>
          <w:szCs w:val="20"/>
        </w:rPr>
        <w:t>和H</w:t>
      </w:r>
      <w:r>
        <w:rPr>
          <w:kern w:val="0"/>
          <w:szCs w:val="20"/>
          <w:vertAlign w:val="subscript"/>
        </w:rPr>
        <w:t>2</w:t>
      </w:r>
      <w:r>
        <w:rPr>
          <w:kern w:val="0"/>
          <w:szCs w:val="20"/>
        </w:rPr>
        <w:t>O，但沼气中含有少量的H</w:t>
      </w:r>
      <w:r>
        <w:rPr>
          <w:kern w:val="0"/>
          <w:szCs w:val="20"/>
          <w:vertAlign w:val="subscript"/>
        </w:rPr>
        <w:t>2</w:t>
      </w:r>
      <w:r>
        <w:rPr>
          <w:kern w:val="0"/>
          <w:szCs w:val="20"/>
        </w:rPr>
        <w:t>S成分，H</w:t>
      </w:r>
      <w:r>
        <w:rPr>
          <w:kern w:val="0"/>
          <w:szCs w:val="20"/>
          <w:vertAlign w:val="subscript"/>
        </w:rPr>
        <w:t>2</w:t>
      </w:r>
      <w:r>
        <w:rPr>
          <w:kern w:val="0"/>
          <w:szCs w:val="20"/>
        </w:rPr>
        <w:t>S燃烧会产生一定量的SO</w:t>
      </w:r>
      <w:r>
        <w:rPr>
          <w:kern w:val="0"/>
          <w:szCs w:val="20"/>
          <w:vertAlign w:val="subscript"/>
        </w:rPr>
        <w:t>2</w:t>
      </w:r>
      <w:r>
        <w:rPr>
          <w:kern w:val="0"/>
          <w:szCs w:val="20"/>
        </w:rPr>
        <w:t>，同时沼气燃烧还会产生少量NO</w:t>
      </w:r>
      <w:r>
        <w:rPr>
          <w:kern w:val="0"/>
          <w:szCs w:val="20"/>
          <w:vertAlign w:val="subscript"/>
        </w:rPr>
        <w:t>X</w:t>
      </w:r>
      <w:r>
        <w:rPr>
          <w:kern w:val="0"/>
          <w:szCs w:val="20"/>
        </w:rPr>
        <w:t>。根据王钢主编的《沼气脱硫技术研究》文章（来自《化学工程师》杂志，文章编号：1002-1124（2008）01-0032-03），类比确定项目沼气中H</w:t>
      </w:r>
      <w:r>
        <w:rPr>
          <w:kern w:val="0"/>
          <w:szCs w:val="20"/>
          <w:vertAlign w:val="subscript"/>
        </w:rPr>
        <w:t>2</w:t>
      </w:r>
      <w:r>
        <w:rPr>
          <w:kern w:val="0"/>
          <w:szCs w:val="20"/>
        </w:rPr>
        <w:t>S质量浓度为2g/m</w:t>
      </w:r>
      <w:r>
        <w:rPr>
          <w:kern w:val="0"/>
          <w:szCs w:val="20"/>
          <w:vertAlign w:val="superscript"/>
        </w:rPr>
        <w:t>3</w:t>
      </w:r>
      <w:r>
        <w:rPr>
          <w:kern w:val="0"/>
          <w:szCs w:val="20"/>
        </w:rPr>
        <w:t>，经脱硫设备处理后（脱硫效率为99.2%），沼气中H</w:t>
      </w:r>
      <w:r>
        <w:rPr>
          <w:kern w:val="0"/>
          <w:szCs w:val="20"/>
          <w:vertAlign w:val="subscript"/>
        </w:rPr>
        <w:t>2</w:t>
      </w:r>
      <w:r>
        <w:rPr>
          <w:kern w:val="0"/>
          <w:szCs w:val="20"/>
        </w:rPr>
        <w:t>S含量为16mg/m</w:t>
      </w:r>
      <w:r>
        <w:rPr>
          <w:kern w:val="0"/>
          <w:szCs w:val="20"/>
          <w:vertAlign w:val="superscript"/>
        </w:rPr>
        <w:t>3</w:t>
      </w:r>
      <w:r>
        <w:rPr>
          <w:kern w:val="0"/>
          <w:szCs w:val="20"/>
        </w:rPr>
        <w:t>，能够满足《规模化畜禽养殖场沼气工程设计规范》（NYT1222-2006）中关于沼气净化系统处理后的硫化氢小于20mg/m</w:t>
      </w:r>
      <w:r>
        <w:rPr>
          <w:kern w:val="0"/>
          <w:szCs w:val="20"/>
          <w:vertAlign w:val="superscript"/>
        </w:rPr>
        <w:t>3</w:t>
      </w:r>
      <w:r>
        <w:rPr>
          <w:kern w:val="0"/>
          <w:szCs w:val="20"/>
        </w:rPr>
        <w:t>的要求。</w:t>
      </w:r>
    </w:p>
    <w:p>
      <w:pPr>
        <w:spacing w:line="520" w:lineRule="exact"/>
        <w:ind w:firstLine="480" w:firstLineChars="200"/>
        <w:rPr>
          <w:sz w:val="24"/>
        </w:rPr>
      </w:pPr>
      <w:r>
        <w:rPr>
          <w:sz w:val="24"/>
        </w:rPr>
        <w:t>根据《第一次全国污染源普查工业产排污系数手册》中的产生系数核算（即136259.17m</w:t>
      </w:r>
      <w:r>
        <w:rPr>
          <w:sz w:val="24"/>
          <w:vertAlign w:val="superscript"/>
        </w:rPr>
        <w:t>3</w:t>
      </w:r>
      <w:r>
        <w:rPr>
          <w:sz w:val="24"/>
        </w:rPr>
        <w:t>/万m</w:t>
      </w:r>
      <w:r>
        <w:rPr>
          <w:sz w:val="24"/>
          <w:vertAlign w:val="superscript"/>
        </w:rPr>
        <w:t>3</w:t>
      </w:r>
      <w:r>
        <w:rPr>
          <w:sz w:val="24"/>
        </w:rPr>
        <w:t>-原料），沼气燃烧产生的烟气量为</w:t>
      </w:r>
      <w:r>
        <w:rPr>
          <w:rFonts w:hint="eastAsia"/>
          <w:color w:val="000000"/>
          <w:sz w:val="24"/>
          <w:szCs w:val="22"/>
          <w:lang w:val="en-US" w:eastAsia="zh-CN"/>
        </w:rPr>
        <w:t>333835</w:t>
      </w:r>
      <w:r>
        <w:rPr>
          <w:sz w:val="24"/>
        </w:rPr>
        <w:t>m</w:t>
      </w:r>
      <w:r>
        <w:rPr>
          <w:sz w:val="24"/>
          <w:vertAlign w:val="superscript"/>
        </w:rPr>
        <w:t>3</w:t>
      </w:r>
      <w:r>
        <w:rPr>
          <w:sz w:val="24"/>
        </w:rPr>
        <w:t>/a。</w:t>
      </w:r>
    </w:p>
    <w:p>
      <w:pPr>
        <w:spacing w:line="500" w:lineRule="exact"/>
        <w:ind w:firstLine="480" w:firstLineChars="200"/>
        <w:rPr>
          <w:sz w:val="24"/>
        </w:rPr>
      </w:pPr>
      <w:r>
        <w:rPr>
          <w:sz w:val="24"/>
        </w:rPr>
        <w:t>沼气锅炉燃烧沼气产生SO</w:t>
      </w:r>
      <w:r>
        <w:rPr>
          <w:sz w:val="24"/>
          <w:vertAlign w:val="subscript"/>
        </w:rPr>
        <w:t>2</w:t>
      </w:r>
      <w:r>
        <w:rPr>
          <w:sz w:val="24"/>
        </w:rPr>
        <w:t>量为</w:t>
      </w:r>
      <w:r>
        <w:rPr>
          <w:rFonts w:hint="eastAsia"/>
          <w:sz w:val="24"/>
          <w:lang w:val="en-US" w:eastAsia="zh-CN"/>
        </w:rPr>
        <w:t>24500</w:t>
      </w:r>
      <w:r>
        <w:rPr>
          <w:sz w:val="24"/>
        </w:rPr>
        <w:t>×16×10</w:t>
      </w:r>
      <w:r>
        <w:rPr>
          <w:sz w:val="24"/>
          <w:vertAlign w:val="superscript"/>
        </w:rPr>
        <w:t>-6</w:t>
      </w:r>
      <w:r>
        <w:rPr>
          <w:sz w:val="24"/>
        </w:rPr>
        <w:t>×64÷34=</w:t>
      </w:r>
      <w:r>
        <w:rPr>
          <w:rFonts w:hint="eastAsia"/>
          <w:sz w:val="24"/>
          <w:lang w:val="en-US" w:eastAsia="zh-CN"/>
        </w:rPr>
        <w:t>0.74</w:t>
      </w:r>
      <w:r>
        <w:rPr>
          <w:sz w:val="24"/>
        </w:rPr>
        <w:t>kg/a，即0.00</w:t>
      </w:r>
      <w:r>
        <w:rPr>
          <w:rFonts w:hint="eastAsia"/>
          <w:sz w:val="24"/>
          <w:lang w:val="en-US" w:eastAsia="zh-CN"/>
        </w:rPr>
        <w:t>07</w:t>
      </w:r>
      <w:r>
        <w:rPr>
          <w:sz w:val="24"/>
        </w:rPr>
        <w:t>t/a。</w:t>
      </w:r>
    </w:p>
    <w:p>
      <w:pPr>
        <w:spacing w:line="520" w:lineRule="exact"/>
        <w:ind w:firstLine="480" w:firstLineChars="200"/>
        <w:rPr>
          <w:sz w:val="24"/>
        </w:rPr>
      </w:pPr>
      <w:r>
        <w:rPr>
          <w:sz w:val="24"/>
        </w:rPr>
        <w:t>根据《2006年全国氮氧化物排放统计技术要求》，沼气燃烧过程NO</w:t>
      </w:r>
      <w:r>
        <w:rPr>
          <w:sz w:val="24"/>
          <w:vertAlign w:val="subscript"/>
        </w:rPr>
        <w:t>X</w:t>
      </w:r>
      <w:r>
        <w:rPr>
          <w:sz w:val="24"/>
        </w:rPr>
        <w:t>排放系数为5.0kg/10</w:t>
      </w:r>
      <w:r>
        <w:rPr>
          <w:sz w:val="24"/>
          <w:vertAlign w:val="superscript"/>
        </w:rPr>
        <w:t>8</w:t>
      </w:r>
      <w:r>
        <w:rPr>
          <w:sz w:val="24"/>
        </w:rPr>
        <w:t>kJ，沼气的发热值为21524kJ/m</w:t>
      </w:r>
      <w:r>
        <w:rPr>
          <w:sz w:val="24"/>
          <w:vertAlign w:val="superscript"/>
        </w:rPr>
        <w:t>3</w:t>
      </w:r>
      <w:r>
        <w:rPr>
          <w:sz w:val="24"/>
        </w:rPr>
        <w:t>，则本项目NO</w:t>
      </w:r>
      <w:r>
        <w:rPr>
          <w:sz w:val="24"/>
          <w:vertAlign w:val="subscript"/>
        </w:rPr>
        <w:t>X</w:t>
      </w:r>
      <w:r>
        <w:rPr>
          <w:sz w:val="24"/>
        </w:rPr>
        <w:t>产生量为0.0</w:t>
      </w:r>
      <w:r>
        <w:rPr>
          <w:rFonts w:hint="eastAsia"/>
          <w:sz w:val="24"/>
          <w:lang w:val="en-US" w:eastAsia="zh-CN"/>
        </w:rPr>
        <w:t>26</w:t>
      </w:r>
      <w:r>
        <w:rPr>
          <w:sz w:val="24"/>
        </w:rPr>
        <w:t>t/a。</w:t>
      </w:r>
    </w:p>
    <w:p>
      <w:pPr>
        <w:spacing w:line="520" w:lineRule="exact"/>
        <w:jc w:val="center"/>
        <w:rPr>
          <w:b/>
          <w:sz w:val="24"/>
        </w:rPr>
      </w:pPr>
      <w:r>
        <w:rPr>
          <w:b/>
          <w:sz w:val="24"/>
        </w:rPr>
        <w:t>表</w:t>
      </w:r>
      <w:r>
        <w:rPr>
          <w:rFonts w:hint="eastAsia"/>
          <w:b/>
          <w:sz w:val="24"/>
          <w:lang w:val="en-US" w:eastAsia="zh-CN"/>
        </w:rPr>
        <w:t>2</w:t>
      </w:r>
      <w:r>
        <w:rPr>
          <w:b/>
          <w:sz w:val="24"/>
        </w:rPr>
        <w:t>.3-6  沼气燃烧废气产排情况一览表</w:t>
      </w:r>
    </w:p>
    <w:tbl>
      <w:tblPr>
        <w:tblStyle w:val="45"/>
        <w:tblW w:w="89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64"/>
        <w:gridCol w:w="693"/>
        <w:gridCol w:w="1045"/>
        <w:gridCol w:w="1602"/>
        <w:gridCol w:w="1602"/>
        <w:gridCol w:w="1602"/>
        <w:gridCol w:w="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9" w:type="dxa"/>
            <w:gridSpan w:val="2"/>
            <w:vAlign w:val="center"/>
          </w:tcPr>
          <w:p>
            <w:pPr>
              <w:jc w:val="center"/>
              <w:rPr>
                <w:b/>
                <w:sz w:val="21"/>
                <w:szCs w:val="21"/>
              </w:rPr>
            </w:pPr>
            <w:r>
              <w:rPr>
                <w:b/>
                <w:sz w:val="21"/>
                <w:szCs w:val="21"/>
              </w:rPr>
              <w:t>沼气用量</w:t>
            </w:r>
          </w:p>
          <w:p>
            <w:pPr>
              <w:jc w:val="center"/>
              <w:rPr>
                <w:b/>
                <w:sz w:val="21"/>
                <w:szCs w:val="21"/>
              </w:rPr>
            </w:pPr>
            <w:r>
              <w:rPr>
                <w:b/>
                <w:sz w:val="21"/>
                <w:szCs w:val="21"/>
              </w:rPr>
              <w:t>(m</w:t>
            </w:r>
            <w:r>
              <w:rPr>
                <w:b/>
                <w:sz w:val="21"/>
                <w:szCs w:val="21"/>
                <w:vertAlign w:val="superscript"/>
              </w:rPr>
              <w:t>3</w:t>
            </w:r>
            <w:r>
              <w:rPr>
                <w:b/>
                <w:sz w:val="21"/>
                <w:szCs w:val="21"/>
              </w:rPr>
              <w:t>/a)</w:t>
            </w:r>
          </w:p>
        </w:tc>
        <w:tc>
          <w:tcPr>
            <w:tcW w:w="693" w:type="dxa"/>
            <w:vAlign w:val="center"/>
          </w:tcPr>
          <w:p>
            <w:pPr>
              <w:jc w:val="center"/>
              <w:rPr>
                <w:b/>
                <w:sz w:val="21"/>
                <w:szCs w:val="21"/>
              </w:rPr>
            </w:pPr>
            <w:r>
              <w:rPr>
                <w:b/>
                <w:sz w:val="21"/>
                <w:szCs w:val="21"/>
              </w:rPr>
              <w:t>污染物名称</w:t>
            </w:r>
          </w:p>
        </w:tc>
        <w:tc>
          <w:tcPr>
            <w:tcW w:w="1045" w:type="dxa"/>
            <w:vAlign w:val="center"/>
          </w:tcPr>
          <w:p>
            <w:pPr>
              <w:jc w:val="center"/>
              <w:rPr>
                <w:b/>
                <w:sz w:val="21"/>
                <w:szCs w:val="21"/>
              </w:rPr>
            </w:pPr>
            <w:r>
              <w:rPr>
                <w:b/>
                <w:sz w:val="21"/>
                <w:szCs w:val="21"/>
              </w:rPr>
              <w:t>烟气量</w:t>
            </w:r>
          </w:p>
          <w:p>
            <w:pPr>
              <w:jc w:val="center"/>
              <w:rPr>
                <w:b/>
                <w:sz w:val="21"/>
                <w:szCs w:val="21"/>
              </w:rPr>
            </w:pPr>
            <w:r>
              <w:rPr>
                <w:b/>
                <w:sz w:val="21"/>
                <w:szCs w:val="21"/>
              </w:rPr>
              <w:t>（m</w:t>
            </w:r>
            <w:r>
              <w:rPr>
                <w:b/>
                <w:sz w:val="21"/>
                <w:szCs w:val="21"/>
                <w:vertAlign w:val="superscript"/>
              </w:rPr>
              <w:t>3</w:t>
            </w:r>
            <w:r>
              <w:rPr>
                <w:b/>
                <w:sz w:val="21"/>
                <w:szCs w:val="21"/>
              </w:rPr>
              <w:t>/a）</w:t>
            </w:r>
          </w:p>
        </w:tc>
        <w:tc>
          <w:tcPr>
            <w:tcW w:w="1602" w:type="dxa"/>
            <w:vAlign w:val="center"/>
          </w:tcPr>
          <w:p>
            <w:pPr>
              <w:jc w:val="center"/>
              <w:rPr>
                <w:b/>
                <w:sz w:val="21"/>
                <w:szCs w:val="21"/>
              </w:rPr>
            </w:pPr>
            <w:r>
              <w:rPr>
                <w:b/>
                <w:sz w:val="21"/>
                <w:szCs w:val="21"/>
              </w:rPr>
              <w:t>产生浓度</w:t>
            </w:r>
          </w:p>
          <w:p>
            <w:pPr>
              <w:jc w:val="center"/>
              <w:rPr>
                <w:b/>
                <w:sz w:val="21"/>
                <w:szCs w:val="21"/>
              </w:rPr>
            </w:pPr>
            <w:r>
              <w:rPr>
                <w:b/>
                <w:sz w:val="21"/>
                <w:szCs w:val="21"/>
              </w:rPr>
              <w:t>（mg/m</w:t>
            </w:r>
            <w:r>
              <w:rPr>
                <w:b/>
                <w:sz w:val="21"/>
                <w:szCs w:val="21"/>
                <w:vertAlign w:val="superscript"/>
              </w:rPr>
              <w:t>3</w:t>
            </w:r>
            <w:r>
              <w:rPr>
                <w:b/>
                <w:sz w:val="21"/>
                <w:szCs w:val="21"/>
              </w:rPr>
              <w:t>）</w:t>
            </w:r>
          </w:p>
        </w:tc>
        <w:tc>
          <w:tcPr>
            <w:tcW w:w="1602" w:type="dxa"/>
            <w:vAlign w:val="center"/>
          </w:tcPr>
          <w:p>
            <w:pPr>
              <w:jc w:val="center"/>
              <w:rPr>
                <w:b/>
                <w:sz w:val="21"/>
                <w:szCs w:val="21"/>
              </w:rPr>
            </w:pPr>
            <w:r>
              <w:rPr>
                <w:b/>
                <w:sz w:val="21"/>
                <w:szCs w:val="21"/>
              </w:rPr>
              <w:t>产生量（t/a）</w:t>
            </w:r>
          </w:p>
        </w:tc>
        <w:tc>
          <w:tcPr>
            <w:tcW w:w="1602" w:type="dxa"/>
            <w:vAlign w:val="center"/>
          </w:tcPr>
          <w:p>
            <w:pPr>
              <w:jc w:val="center"/>
              <w:rPr>
                <w:b/>
                <w:sz w:val="21"/>
                <w:szCs w:val="21"/>
              </w:rPr>
            </w:pPr>
            <w:r>
              <w:rPr>
                <w:b/>
                <w:sz w:val="21"/>
                <w:szCs w:val="21"/>
              </w:rPr>
              <w:t>排放浓度</w:t>
            </w:r>
          </w:p>
          <w:p>
            <w:pPr>
              <w:jc w:val="center"/>
              <w:rPr>
                <w:b/>
                <w:sz w:val="21"/>
                <w:szCs w:val="21"/>
              </w:rPr>
            </w:pPr>
            <w:r>
              <w:rPr>
                <w:b/>
                <w:sz w:val="21"/>
                <w:szCs w:val="21"/>
              </w:rPr>
              <w:t>（mg/m</w:t>
            </w:r>
            <w:r>
              <w:rPr>
                <w:b/>
                <w:sz w:val="21"/>
                <w:szCs w:val="21"/>
                <w:vertAlign w:val="superscript"/>
              </w:rPr>
              <w:t>3</w:t>
            </w:r>
            <w:r>
              <w:rPr>
                <w:b/>
                <w:sz w:val="21"/>
                <w:szCs w:val="21"/>
              </w:rPr>
              <w:t>）</w:t>
            </w:r>
          </w:p>
        </w:tc>
        <w:tc>
          <w:tcPr>
            <w:tcW w:w="965" w:type="dxa"/>
            <w:vAlign w:val="center"/>
          </w:tcPr>
          <w:p>
            <w:pPr>
              <w:jc w:val="center"/>
              <w:rPr>
                <w:b/>
                <w:sz w:val="21"/>
                <w:szCs w:val="21"/>
              </w:rPr>
            </w:pPr>
            <w:r>
              <w:rPr>
                <w:b/>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restart"/>
            <w:vAlign w:val="center"/>
          </w:tcPr>
          <w:p>
            <w:pPr>
              <w:jc w:val="center"/>
              <w:rPr>
                <w:rFonts w:hint="default" w:eastAsia="宋体"/>
                <w:sz w:val="21"/>
                <w:szCs w:val="21"/>
                <w:lang w:val="en-US" w:eastAsia="zh-CN"/>
              </w:rPr>
            </w:pPr>
            <w:r>
              <w:rPr>
                <w:rFonts w:hint="eastAsia"/>
                <w:sz w:val="21"/>
                <w:szCs w:val="21"/>
                <w:lang w:val="en-US" w:eastAsia="zh-CN"/>
              </w:rPr>
              <w:t>火炬燃烧</w:t>
            </w:r>
          </w:p>
        </w:tc>
        <w:tc>
          <w:tcPr>
            <w:tcW w:w="764" w:type="dxa"/>
            <w:vMerge w:val="restart"/>
            <w:vAlign w:val="center"/>
          </w:tcPr>
          <w:p>
            <w:pPr>
              <w:jc w:val="center"/>
              <w:rPr>
                <w:color w:val="000000"/>
                <w:sz w:val="21"/>
                <w:szCs w:val="21"/>
              </w:rPr>
            </w:pPr>
            <w:r>
              <w:rPr>
                <w:rFonts w:hint="eastAsia"/>
                <w:sz w:val="21"/>
                <w:szCs w:val="21"/>
                <w:lang w:val="en-US" w:eastAsia="zh-CN"/>
              </w:rPr>
              <w:t>24500</w:t>
            </w:r>
          </w:p>
        </w:tc>
        <w:tc>
          <w:tcPr>
            <w:tcW w:w="693" w:type="dxa"/>
            <w:vAlign w:val="center"/>
          </w:tcPr>
          <w:p>
            <w:pPr>
              <w:jc w:val="center"/>
              <w:rPr>
                <w:sz w:val="21"/>
                <w:szCs w:val="21"/>
              </w:rPr>
            </w:pPr>
            <w:r>
              <w:rPr>
                <w:sz w:val="21"/>
                <w:szCs w:val="21"/>
              </w:rPr>
              <w:t>SO</w:t>
            </w:r>
            <w:r>
              <w:rPr>
                <w:sz w:val="21"/>
                <w:szCs w:val="21"/>
                <w:vertAlign w:val="subscript"/>
              </w:rPr>
              <w:t>2</w:t>
            </w:r>
          </w:p>
        </w:tc>
        <w:tc>
          <w:tcPr>
            <w:tcW w:w="1045" w:type="dxa"/>
            <w:vMerge w:val="restart"/>
            <w:vAlign w:val="center"/>
          </w:tcPr>
          <w:p>
            <w:pPr>
              <w:jc w:val="center"/>
              <w:rPr>
                <w:color w:val="000000"/>
                <w:sz w:val="21"/>
                <w:szCs w:val="21"/>
              </w:rPr>
            </w:pPr>
            <w:r>
              <w:rPr>
                <w:rFonts w:hint="eastAsia"/>
                <w:color w:val="000000"/>
                <w:sz w:val="21"/>
                <w:szCs w:val="21"/>
                <w:lang w:val="en-US" w:eastAsia="zh-CN"/>
              </w:rPr>
              <w:t>333835</w:t>
            </w:r>
          </w:p>
        </w:tc>
        <w:tc>
          <w:tcPr>
            <w:tcW w:w="1602" w:type="dxa"/>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2.09</w:t>
            </w:r>
          </w:p>
        </w:tc>
        <w:tc>
          <w:tcPr>
            <w:tcW w:w="1602" w:type="dxa"/>
            <w:vAlign w:val="center"/>
          </w:tcPr>
          <w:p>
            <w:pPr>
              <w:jc w:val="center"/>
              <w:rPr>
                <w:sz w:val="21"/>
                <w:szCs w:val="21"/>
              </w:rPr>
            </w:pPr>
            <w:r>
              <w:rPr>
                <w:sz w:val="21"/>
                <w:szCs w:val="21"/>
              </w:rPr>
              <w:t>0.00</w:t>
            </w:r>
            <w:r>
              <w:rPr>
                <w:rFonts w:hint="eastAsia"/>
                <w:sz w:val="21"/>
                <w:szCs w:val="21"/>
                <w:lang w:val="en-US" w:eastAsia="zh-CN"/>
              </w:rPr>
              <w:t>07</w:t>
            </w:r>
          </w:p>
        </w:tc>
        <w:tc>
          <w:tcPr>
            <w:tcW w:w="1602" w:type="dxa"/>
            <w:vAlign w:val="center"/>
          </w:tcPr>
          <w:p>
            <w:pPr>
              <w:jc w:val="center"/>
              <w:rPr>
                <w:rFonts w:hint="default" w:eastAsia="宋体"/>
                <w:sz w:val="21"/>
                <w:szCs w:val="21"/>
                <w:lang w:val="en-US" w:eastAsia="zh-CN"/>
              </w:rPr>
            </w:pPr>
            <w:r>
              <w:rPr>
                <w:rFonts w:hint="eastAsia"/>
                <w:sz w:val="21"/>
                <w:szCs w:val="21"/>
                <w:lang w:val="en-US" w:eastAsia="zh-CN"/>
              </w:rPr>
              <w:t>2.09</w:t>
            </w:r>
          </w:p>
        </w:tc>
        <w:tc>
          <w:tcPr>
            <w:tcW w:w="965" w:type="dxa"/>
            <w:vAlign w:val="center"/>
          </w:tcPr>
          <w:p>
            <w:pPr>
              <w:jc w:val="center"/>
              <w:rPr>
                <w:sz w:val="21"/>
                <w:szCs w:val="21"/>
              </w:rPr>
            </w:pPr>
            <w:r>
              <w:rPr>
                <w:sz w:val="21"/>
                <w:szCs w:val="21"/>
              </w:rPr>
              <w:t>0.00</w:t>
            </w:r>
            <w:r>
              <w:rPr>
                <w:rFonts w:hint="eastAsia"/>
                <w:sz w:val="21"/>
                <w:szCs w:val="21"/>
                <w:lang w:val="en-US" w:eastAsia="zh-CN"/>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vAlign w:val="center"/>
          </w:tcPr>
          <w:p>
            <w:pPr>
              <w:jc w:val="center"/>
              <w:rPr>
                <w:sz w:val="21"/>
                <w:szCs w:val="21"/>
              </w:rPr>
            </w:pPr>
          </w:p>
        </w:tc>
        <w:tc>
          <w:tcPr>
            <w:tcW w:w="764" w:type="dxa"/>
            <w:vMerge w:val="continue"/>
            <w:vAlign w:val="center"/>
          </w:tcPr>
          <w:p>
            <w:pPr>
              <w:jc w:val="center"/>
              <w:rPr>
                <w:sz w:val="21"/>
                <w:szCs w:val="21"/>
              </w:rPr>
            </w:pPr>
          </w:p>
        </w:tc>
        <w:tc>
          <w:tcPr>
            <w:tcW w:w="693" w:type="dxa"/>
            <w:vAlign w:val="center"/>
          </w:tcPr>
          <w:p>
            <w:pPr>
              <w:jc w:val="center"/>
              <w:rPr>
                <w:sz w:val="21"/>
                <w:szCs w:val="21"/>
              </w:rPr>
            </w:pPr>
            <w:r>
              <w:rPr>
                <w:sz w:val="21"/>
                <w:szCs w:val="21"/>
              </w:rPr>
              <w:t>NO</w:t>
            </w:r>
            <w:r>
              <w:rPr>
                <w:sz w:val="21"/>
                <w:szCs w:val="21"/>
                <w:vertAlign w:val="subscript"/>
              </w:rPr>
              <w:t>X</w:t>
            </w:r>
          </w:p>
        </w:tc>
        <w:tc>
          <w:tcPr>
            <w:tcW w:w="1045" w:type="dxa"/>
            <w:vMerge w:val="continue"/>
            <w:vAlign w:val="center"/>
          </w:tcPr>
          <w:p>
            <w:pPr>
              <w:jc w:val="center"/>
              <w:rPr>
                <w:sz w:val="21"/>
                <w:szCs w:val="21"/>
              </w:rPr>
            </w:pPr>
          </w:p>
        </w:tc>
        <w:tc>
          <w:tcPr>
            <w:tcW w:w="1602" w:type="dxa"/>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78</w:t>
            </w:r>
          </w:p>
        </w:tc>
        <w:tc>
          <w:tcPr>
            <w:tcW w:w="1602" w:type="dxa"/>
            <w:vAlign w:val="center"/>
          </w:tcPr>
          <w:p>
            <w:pPr>
              <w:jc w:val="center"/>
              <w:rPr>
                <w:sz w:val="21"/>
                <w:szCs w:val="21"/>
              </w:rPr>
            </w:pPr>
            <w:r>
              <w:rPr>
                <w:sz w:val="21"/>
                <w:szCs w:val="21"/>
              </w:rPr>
              <w:t>0.0</w:t>
            </w:r>
            <w:r>
              <w:rPr>
                <w:rFonts w:hint="eastAsia"/>
                <w:sz w:val="21"/>
                <w:szCs w:val="21"/>
                <w:lang w:val="en-US" w:eastAsia="zh-CN"/>
              </w:rPr>
              <w:t>26</w:t>
            </w:r>
          </w:p>
        </w:tc>
        <w:tc>
          <w:tcPr>
            <w:tcW w:w="1602" w:type="dxa"/>
            <w:vAlign w:val="center"/>
          </w:tcPr>
          <w:p>
            <w:pPr>
              <w:jc w:val="center"/>
              <w:rPr>
                <w:rFonts w:hint="default" w:eastAsia="宋体"/>
                <w:sz w:val="21"/>
                <w:szCs w:val="21"/>
                <w:lang w:val="en-US" w:eastAsia="zh-CN"/>
              </w:rPr>
            </w:pPr>
            <w:r>
              <w:rPr>
                <w:rFonts w:hint="eastAsia"/>
                <w:sz w:val="21"/>
                <w:szCs w:val="21"/>
                <w:lang w:val="en-US" w:eastAsia="zh-CN"/>
              </w:rPr>
              <w:t>78</w:t>
            </w:r>
          </w:p>
        </w:tc>
        <w:tc>
          <w:tcPr>
            <w:tcW w:w="965" w:type="dxa"/>
            <w:vAlign w:val="center"/>
          </w:tcPr>
          <w:p>
            <w:pPr>
              <w:jc w:val="center"/>
              <w:rPr>
                <w:sz w:val="21"/>
                <w:szCs w:val="21"/>
              </w:rPr>
            </w:pPr>
            <w:r>
              <w:rPr>
                <w:sz w:val="21"/>
                <w:szCs w:val="21"/>
              </w:rPr>
              <w:t>0.0</w:t>
            </w:r>
            <w:r>
              <w:rPr>
                <w:rFonts w:hint="eastAsia"/>
                <w:sz w:val="21"/>
                <w:szCs w:val="21"/>
                <w:lang w:val="en-US" w:eastAsia="zh-CN"/>
              </w:rPr>
              <w:t>26</w:t>
            </w:r>
          </w:p>
        </w:tc>
      </w:tr>
    </w:tbl>
    <w:p>
      <w:pPr>
        <w:spacing w:line="520" w:lineRule="exact"/>
        <w:ind w:firstLine="480" w:firstLineChars="200"/>
        <w:rPr>
          <w:sz w:val="24"/>
        </w:rPr>
      </w:pPr>
      <w:r>
        <w:rPr>
          <w:sz w:val="24"/>
        </w:rPr>
        <w:t>（5）食堂油烟废气源强分析</w:t>
      </w:r>
    </w:p>
    <w:p>
      <w:pPr>
        <w:spacing w:line="520" w:lineRule="exact"/>
        <w:ind w:firstLine="480" w:firstLineChars="200"/>
        <w:rPr>
          <w:color w:val="FF0000"/>
          <w:sz w:val="24"/>
        </w:rPr>
      </w:pPr>
      <w:r>
        <w:rPr>
          <w:sz w:val="24"/>
        </w:rPr>
        <w:t>该项目厨房设灶台1个，使用沼气作为日常餐饮烹饪的能源，厨房在烹饪炒作时将产生厨房油烟废气污染。该项目建成后劳动定员</w:t>
      </w:r>
      <w:r>
        <w:rPr>
          <w:rFonts w:hint="eastAsia"/>
          <w:sz w:val="24"/>
          <w:lang w:val="en-US" w:eastAsia="zh-CN"/>
        </w:rPr>
        <w:t>2</w:t>
      </w:r>
      <w:r>
        <w:rPr>
          <w:sz w:val="24"/>
        </w:rPr>
        <w:t>0人，食堂每天供应三餐，每人每日消耗动植物油以25g/d计，</w:t>
      </w:r>
      <w:r>
        <w:rPr>
          <w:color w:val="000000"/>
          <w:sz w:val="24"/>
        </w:rPr>
        <w:t>年消耗食用油</w:t>
      </w:r>
      <w:r>
        <w:rPr>
          <w:rFonts w:hint="eastAsia"/>
          <w:color w:val="000000"/>
          <w:sz w:val="24"/>
          <w:lang w:val="en-US" w:eastAsia="zh-CN"/>
        </w:rPr>
        <w:t>0.</w:t>
      </w:r>
      <w:r>
        <w:rPr>
          <w:color w:val="000000"/>
          <w:sz w:val="24"/>
        </w:rPr>
        <w:t>5kg/d、0.</w:t>
      </w:r>
      <w:r>
        <w:rPr>
          <w:rFonts w:hint="eastAsia"/>
          <w:color w:val="000000"/>
          <w:sz w:val="24"/>
          <w:lang w:val="en-US" w:eastAsia="zh-CN"/>
        </w:rPr>
        <w:t>1825</w:t>
      </w:r>
      <w:r>
        <w:rPr>
          <w:color w:val="000000"/>
          <w:sz w:val="24"/>
        </w:rPr>
        <w:t>t/a，做饭时挥发损失约3%，则厨房油烟产生量约0.0</w:t>
      </w:r>
      <w:r>
        <w:rPr>
          <w:rFonts w:hint="eastAsia"/>
          <w:color w:val="000000"/>
          <w:sz w:val="24"/>
          <w:lang w:val="en-US" w:eastAsia="zh-CN"/>
        </w:rPr>
        <w:t>15</w:t>
      </w:r>
      <w:r>
        <w:rPr>
          <w:color w:val="000000"/>
          <w:sz w:val="24"/>
        </w:rPr>
        <w:t>kg/d、0.0</w:t>
      </w:r>
      <w:r>
        <w:rPr>
          <w:rFonts w:hint="eastAsia"/>
          <w:color w:val="000000"/>
          <w:sz w:val="24"/>
          <w:lang w:val="en-US" w:eastAsia="zh-CN"/>
        </w:rPr>
        <w:t>055</w:t>
      </w:r>
      <w:r>
        <w:rPr>
          <w:color w:val="000000"/>
          <w:sz w:val="24"/>
        </w:rPr>
        <w:t>t/a。项目废气量为4500m</w:t>
      </w:r>
      <w:r>
        <w:rPr>
          <w:color w:val="000000"/>
          <w:sz w:val="24"/>
          <w:vertAlign w:val="superscript"/>
        </w:rPr>
        <w:t>3</w:t>
      </w:r>
      <w:r>
        <w:rPr>
          <w:color w:val="000000"/>
          <w:sz w:val="24"/>
        </w:rPr>
        <w:t>/h，每天运行4h，则油烟产生浓度为</w:t>
      </w:r>
      <w:r>
        <w:rPr>
          <w:rFonts w:hint="eastAsia"/>
          <w:color w:val="000000"/>
          <w:sz w:val="24"/>
          <w:lang w:val="en-US" w:eastAsia="zh-CN"/>
        </w:rPr>
        <w:t>0.83</w:t>
      </w:r>
      <w:r>
        <w:rPr>
          <w:color w:val="000000"/>
          <w:sz w:val="24"/>
        </w:rPr>
        <w:t>mg/m</w:t>
      </w:r>
      <w:r>
        <w:rPr>
          <w:color w:val="000000"/>
          <w:sz w:val="24"/>
          <w:vertAlign w:val="superscript"/>
        </w:rPr>
        <w:t>3</w:t>
      </w:r>
      <w:r>
        <w:rPr>
          <w:color w:val="000000"/>
          <w:sz w:val="24"/>
        </w:rPr>
        <w:t>，建设单位安装净化效率不低于90%的油烟净化装置，经处理后排放。经计算，处理后餐厅油烟年排放量为0.0</w:t>
      </w:r>
      <w:r>
        <w:rPr>
          <w:rFonts w:hint="eastAsia"/>
          <w:color w:val="000000"/>
          <w:sz w:val="24"/>
          <w:lang w:val="en-US" w:eastAsia="zh-CN"/>
        </w:rPr>
        <w:t>005</w:t>
      </w:r>
      <w:r>
        <w:rPr>
          <w:color w:val="000000"/>
          <w:sz w:val="24"/>
        </w:rPr>
        <w:t>t/a，排放浓度为0.</w:t>
      </w:r>
      <w:r>
        <w:rPr>
          <w:rFonts w:hint="eastAsia"/>
          <w:color w:val="000000"/>
          <w:sz w:val="24"/>
          <w:lang w:val="en-US" w:eastAsia="zh-CN"/>
        </w:rPr>
        <w:t>08</w:t>
      </w:r>
      <w:r>
        <w:rPr>
          <w:color w:val="000000"/>
          <w:sz w:val="24"/>
        </w:rPr>
        <w:t>mg/m</w:t>
      </w:r>
      <w:r>
        <w:rPr>
          <w:color w:val="000000"/>
          <w:sz w:val="24"/>
          <w:vertAlign w:val="superscript"/>
        </w:rPr>
        <w:t>3</w:t>
      </w:r>
      <w:r>
        <w:rPr>
          <w:color w:val="000000"/>
          <w:sz w:val="24"/>
        </w:rPr>
        <w:t>，能够满足《餐饮业油烟污染物排放标准》(DB41/1604—2018)规定限值油烟1.5 mg/m</w:t>
      </w:r>
      <w:r>
        <w:rPr>
          <w:color w:val="000000"/>
          <w:sz w:val="24"/>
          <w:vertAlign w:val="superscript"/>
        </w:rPr>
        <w:t>3</w:t>
      </w:r>
      <w:r>
        <w:rPr>
          <w:color w:val="000000"/>
          <w:sz w:val="24"/>
        </w:rPr>
        <w:t>要求，实现达标排放。</w:t>
      </w:r>
    </w:p>
    <w:p>
      <w:pPr>
        <w:adjustRightInd w:val="0"/>
        <w:snapToGrid w:val="0"/>
        <w:spacing w:line="360" w:lineRule="auto"/>
        <w:ind w:firstLine="1807" w:firstLineChars="750"/>
        <w:rPr>
          <w:b/>
          <w:color w:val="000000"/>
          <w:sz w:val="24"/>
        </w:rPr>
      </w:pPr>
      <w:r>
        <w:rPr>
          <w:b/>
          <w:color w:val="000000"/>
          <w:sz w:val="24"/>
        </w:rPr>
        <w:t>表</w:t>
      </w:r>
      <w:r>
        <w:rPr>
          <w:rFonts w:hint="eastAsia"/>
          <w:b/>
          <w:sz w:val="24"/>
          <w:lang w:val="en-US" w:eastAsia="zh-CN"/>
        </w:rPr>
        <w:t>2</w:t>
      </w:r>
      <w:r>
        <w:rPr>
          <w:b/>
          <w:sz w:val="24"/>
        </w:rPr>
        <w:t>.3-7</w:t>
      </w:r>
      <w:r>
        <w:rPr>
          <w:b/>
          <w:color w:val="000000"/>
          <w:sz w:val="24"/>
        </w:rPr>
        <w:t xml:space="preserve">          厨房油烟产生与排放情况</w:t>
      </w:r>
    </w:p>
    <w:tbl>
      <w:tblPr>
        <w:tblStyle w:val="45"/>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11"/>
        <w:gridCol w:w="682"/>
        <w:gridCol w:w="1187"/>
        <w:gridCol w:w="1160"/>
        <w:gridCol w:w="1233"/>
        <w:gridCol w:w="1049"/>
        <w:gridCol w:w="1049"/>
        <w:gridCol w:w="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81" w:type="dxa"/>
            <w:vAlign w:val="center"/>
          </w:tcPr>
          <w:p>
            <w:pPr>
              <w:snapToGrid w:val="0"/>
              <w:jc w:val="center"/>
              <w:rPr>
                <w:color w:val="000000"/>
                <w:szCs w:val="21"/>
              </w:rPr>
            </w:pPr>
            <w:r>
              <w:rPr>
                <w:color w:val="000000"/>
                <w:szCs w:val="21"/>
              </w:rPr>
              <w:t>污染源</w:t>
            </w:r>
          </w:p>
        </w:tc>
        <w:tc>
          <w:tcPr>
            <w:tcW w:w="911" w:type="dxa"/>
            <w:vAlign w:val="center"/>
          </w:tcPr>
          <w:p>
            <w:pPr>
              <w:snapToGrid w:val="0"/>
              <w:jc w:val="center"/>
              <w:rPr>
                <w:color w:val="000000"/>
                <w:szCs w:val="21"/>
              </w:rPr>
            </w:pPr>
            <w:r>
              <w:rPr>
                <w:color w:val="000000"/>
                <w:szCs w:val="21"/>
              </w:rPr>
              <w:t>用油指标</w:t>
            </w:r>
          </w:p>
          <w:p>
            <w:pPr>
              <w:snapToGrid w:val="0"/>
              <w:jc w:val="center"/>
              <w:rPr>
                <w:color w:val="000000"/>
                <w:szCs w:val="21"/>
              </w:rPr>
            </w:pPr>
            <w:r>
              <w:rPr>
                <w:color w:val="000000"/>
                <w:szCs w:val="21"/>
              </w:rPr>
              <w:t>(g/人·d)</w:t>
            </w:r>
          </w:p>
        </w:tc>
        <w:tc>
          <w:tcPr>
            <w:tcW w:w="682" w:type="dxa"/>
          </w:tcPr>
          <w:p>
            <w:pPr>
              <w:snapToGrid w:val="0"/>
              <w:jc w:val="center"/>
              <w:rPr>
                <w:color w:val="000000"/>
                <w:szCs w:val="21"/>
              </w:rPr>
            </w:pPr>
            <w:r>
              <w:rPr>
                <w:color w:val="000000"/>
                <w:szCs w:val="21"/>
              </w:rPr>
              <w:t>定员</w:t>
            </w:r>
          </w:p>
        </w:tc>
        <w:tc>
          <w:tcPr>
            <w:tcW w:w="1187" w:type="dxa"/>
            <w:vAlign w:val="center"/>
          </w:tcPr>
          <w:p>
            <w:pPr>
              <w:snapToGrid w:val="0"/>
              <w:jc w:val="center"/>
              <w:rPr>
                <w:color w:val="000000"/>
                <w:szCs w:val="21"/>
              </w:rPr>
            </w:pPr>
            <w:r>
              <w:rPr>
                <w:color w:val="000000"/>
                <w:szCs w:val="21"/>
              </w:rPr>
              <w:t>耗油量</w:t>
            </w:r>
          </w:p>
          <w:p>
            <w:pPr>
              <w:snapToGrid w:val="0"/>
              <w:jc w:val="center"/>
              <w:rPr>
                <w:color w:val="000000"/>
                <w:szCs w:val="21"/>
              </w:rPr>
            </w:pPr>
            <w:r>
              <w:rPr>
                <w:color w:val="000000"/>
                <w:szCs w:val="21"/>
              </w:rPr>
              <w:t>(t/a)</w:t>
            </w:r>
          </w:p>
        </w:tc>
        <w:tc>
          <w:tcPr>
            <w:tcW w:w="1160" w:type="dxa"/>
            <w:vAlign w:val="center"/>
          </w:tcPr>
          <w:p>
            <w:pPr>
              <w:snapToGrid w:val="0"/>
              <w:jc w:val="center"/>
              <w:rPr>
                <w:color w:val="000000"/>
                <w:szCs w:val="21"/>
              </w:rPr>
            </w:pPr>
            <w:r>
              <w:rPr>
                <w:color w:val="000000"/>
                <w:szCs w:val="21"/>
              </w:rPr>
              <w:t>油烟挥</w:t>
            </w:r>
          </w:p>
          <w:p>
            <w:pPr>
              <w:snapToGrid w:val="0"/>
              <w:jc w:val="center"/>
              <w:rPr>
                <w:color w:val="000000"/>
                <w:szCs w:val="21"/>
              </w:rPr>
            </w:pPr>
            <w:r>
              <w:rPr>
                <w:color w:val="000000"/>
                <w:szCs w:val="21"/>
              </w:rPr>
              <w:t>发系数</w:t>
            </w:r>
          </w:p>
        </w:tc>
        <w:tc>
          <w:tcPr>
            <w:tcW w:w="1233" w:type="dxa"/>
            <w:vAlign w:val="center"/>
          </w:tcPr>
          <w:p>
            <w:pPr>
              <w:snapToGrid w:val="0"/>
              <w:jc w:val="center"/>
              <w:rPr>
                <w:color w:val="000000"/>
                <w:szCs w:val="21"/>
              </w:rPr>
            </w:pPr>
            <w:r>
              <w:rPr>
                <w:color w:val="000000"/>
                <w:szCs w:val="21"/>
              </w:rPr>
              <w:t>油烟产生量</w:t>
            </w:r>
          </w:p>
          <w:p>
            <w:pPr>
              <w:snapToGrid w:val="0"/>
              <w:jc w:val="center"/>
              <w:rPr>
                <w:color w:val="000000"/>
                <w:szCs w:val="21"/>
              </w:rPr>
            </w:pPr>
            <w:r>
              <w:rPr>
                <w:color w:val="000000"/>
                <w:szCs w:val="21"/>
              </w:rPr>
              <w:t>(t/a)</w:t>
            </w:r>
          </w:p>
        </w:tc>
        <w:tc>
          <w:tcPr>
            <w:tcW w:w="1049" w:type="dxa"/>
          </w:tcPr>
          <w:p>
            <w:pPr>
              <w:snapToGrid w:val="0"/>
              <w:jc w:val="center"/>
              <w:rPr>
                <w:color w:val="000000"/>
                <w:szCs w:val="21"/>
              </w:rPr>
            </w:pPr>
            <w:r>
              <w:rPr>
                <w:color w:val="000000"/>
                <w:szCs w:val="21"/>
              </w:rPr>
              <w:t>产生浓度</w:t>
            </w:r>
          </w:p>
          <w:p>
            <w:pPr>
              <w:snapToGrid w:val="0"/>
              <w:jc w:val="center"/>
              <w:rPr>
                <w:color w:val="000000"/>
                <w:szCs w:val="21"/>
              </w:rPr>
            </w:pPr>
            <w:r>
              <w:rPr>
                <w:color w:val="000000"/>
                <w:szCs w:val="21"/>
              </w:rPr>
              <w:t>(</w:t>
            </w:r>
            <w:r>
              <w:rPr>
                <w:szCs w:val="21"/>
              </w:rPr>
              <w:t>mg/m</w:t>
            </w:r>
            <w:r>
              <w:rPr>
                <w:szCs w:val="21"/>
                <w:vertAlign w:val="superscript"/>
              </w:rPr>
              <w:t>3</w:t>
            </w:r>
            <w:r>
              <w:rPr>
                <w:color w:val="000000"/>
                <w:szCs w:val="21"/>
              </w:rPr>
              <w:t>)</w:t>
            </w:r>
          </w:p>
        </w:tc>
        <w:tc>
          <w:tcPr>
            <w:tcW w:w="1049" w:type="dxa"/>
            <w:vAlign w:val="center"/>
          </w:tcPr>
          <w:p>
            <w:pPr>
              <w:snapToGrid w:val="0"/>
              <w:jc w:val="center"/>
              <w:rPr>
                <w:color w:val="000000"/>
                <w:szCs w:val="21"/>
              </w:rPr>
            </w:pPr>
            <w:r>
              <w:rPr>
                <w:color w:val="000000"/>
                <w:szCs w:val="21"/>
              </w:rPr>
              <w:t>油烟排放量</w:t>
            </w:r>
          </w:p>
          <w:p>
            <w:pPr>
              <w:snapToGrid w:val="0"/>
              <w:jc w:val="center"/>
              <w:rPr>
                <w:color w:val="000000"/>
                <w:szCs w:val="21"/>
              </w:rPr>
            </w:pPr>
            <w:r>
              <w:rPr>
                <w:color w:val="000000"/>
                <w:szCs w:val="21"/>
              </w:rPr>
              <w:t>(t/a)</w:t>
            </w:r>
          </w:p>
        </w:tc>
        <w:tc>
          <w:tcPr>
            <w:tcW w:w="996" w:type="dxa"/>
            <w:vAlign w:val="center"/>
          </w:tcPr>
          <w:p>
            <w:pPr>
              <w:snapToGrid w:val="0"/>
              <w:jc w:val="center"/>
              <w:rPr>
                <w:color w:val="000000"/>
                <w:szCs w:val="21"/>
              </w:rPr>
            </w:pPr>
            <w:r>
              <w:rPr>
                <w:color w:val="000000"/>
                <w:szCs w:val="21"/>
              </w:rPr>
              <w:t>排放浓度</w:t>
            </w:r>
          </w:p>
          <w:p>
            <w:pPr>
              <w:snapToGrid w:val="0"/>
              <w:jc w:val="center"/>
              <w:rPr>
                <w:color w:val="000000"/>
                <w:szCs w:val="21"/>
              </w:rPr>
            </w:pPr>
            <w:r>
              <w:rPr>
                <w:color w:val="000000"/>
                <w:szCs w:val="21"/>
              </w:rPr>
              <w:t>(</w:t>
            </w:r>
            <w:r>
              <w:rPr>
                <w:szCs w:val="21"/>
              </w:rPr>
              <w:t>mg/m</w:t>
            </w:r>
            <w:r>
              <w:rPr>
                <w:szCs w:val="21"/>
                <w:vertAlign w:val="superscript"/>
              </w:rPr>
              <w:t>3</w:t>
            </w: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81" w:type="dxa"/>
            <w:vAlign w:val="center"/>
          </w:tcPr>
          <w:p>
            <w:pPr>
              <w:snapToGrid w:val="0"/>
              <w:jc w:val="center"/>
              <w:rPr>
                <w:color w:val="000000"/>
                <w:szCs w:val="21"/>
              </w:rPr>
            </w:pPr>
            <w:r>
              <w:rPr>
                <w:color w:val="000000"/>
                <w:szCs w:val="21"/>
              </w:rPr>
              <w:t>餐厅</w:t>
            </w:r>
          </w:p>
        </w:tc>
        <w:tc>
          <w:tcPr>
            <w:tcW w:w="911" w:type="dxa"/>
            <w:vAlign w:val="center"/>
          </w:tcPr>
          <w:p>
            <w:pPr>
              <w:snapToGrid w:val="0"/>
              <w:jc w:val="center"/>
              <w:rPr>
                <w:color w:val="000000"/>
                <w:szCs w:val="21"/>
              </w:rPr>
            </w:pPr>
            <w:r>
              <w:rPr>
                <w:color w:val="000000"/>
                <w:szCs w:val="21"/>
              </w:rPr>
              <w:t>25</w:t>
            </w:r>
          </w:p>
        </w:tc>
        <w:tc>
          <w:tcPr>
            <w:tcW w:w="682" w:type="dxa"/>
          </w:tcPr>
          <w:p>
            <w:pPr>
              <w:snapToGrid w:val="0"/>
              <w:jc w:val="center"/>
              <w:rPr>
                <w:color w:val="000000"/>
                <w:szCs w:val="21"/>
              </w:rPr>
            </w:pPr>
            <w:r>
              <w:rPr>
                <w:rFonts w:hint="eastAsia"/>
                <w:color w:val="000000"/>
                <w:szCs w:val="21"/>
                <w:lang w:val="en-US" w:eastAsia="zh-CN"/>
              </w:rPr>
              <w:t>2</w:t>
            </w:r>
            <w:r>
              <w:rPr>
                <w:color w:val="000000"/>
                <w:szCs w:val="21"/>
              </w:rPr>
              <w:t>0</w:t>
            </w:r>
          </w:p>
        </w:tc>
        <w:tc>
          <w:tcPr>
            <w:tcW w:w="1187" w:type="dxa"/>
            <w:vAlign w:val="center"/>
          </w:tcPr>
          <w:p>
            <w:pPr>
              <w:snapToGrid w:val="0"/>
              <w:jc w:val="center"/>
              <w:rPr>
                <w:rFonts w:hint="default" w:eastAsia="宋体"/>
                <w:color w:val="000000"/>
                <w:szCs w:val="21"/>
                <w:lang w:val="en-US" w:eastAsia="zh-CN"/>
              </w:rPr>
            </w:pPr>
            <w:r>
              <w:rPr>
                <w:color w:val="000000"/>
                <w:szCs w:val="21"/>
              </w:rPr>
              <w:t>0.</w:t>
            </w:r>
            <w:r>
              <w:rPr>
                <w:rFonts w:hint="eastAsia"/>
                <w:color w:val="000000"/>
                <w:szCs w:val="21"/>
                <w:lang w:val="en-US" w:eastAsia="zh-CN"/>
              </w:rPr>
              <w:t>1825</w:t>
            </w:r>
          </w:p>
        </w:tc>
        <w:tc>
          <w:tcPr>
            <w:tcW w:w="1160" w:type="dxa"/>
            <w:vAlign w:val="center"/>
          </w:tcPr>
          <w:p>
            <w:pPr>
              <w:snapToGrid w:val="0"/>
              <w:jc w:val="center"/>
              <w:rPr>
                <w:color w:val="000000"/>
                <w:szCs w:val="21"/>
              </w:rPr>
            </w:pPr>
            <w:r>
              <w:rPr>
                <w:color w:val="000000"/>
                <w:szCs w:val="21"/>
              </w:rPr>
              <w:t>3%</w:t>
            </w:r>
          </w:p>
        </w:tc>
        <w:tc>
          <w:tcPr>
            <w:tcW w:w="1233" w:type="dxa"/>
            <w:vAlign w:val="center"/>
          </w:tcPr>
          <w:p>
            <w:pPr>
              <w:snapToGrid w:val="0"/>
              <w:jc w:val="center"/>
              <w:rPr>
                <w:rFonts w:hint="default" w:eastAsia="宋体"/>
                <w:color w:val="000000"/>
                <w:szCs w:val="21"/>
                <w:lang w:val="en-US" w:eastAsia="zh-CN"/>
              </w:rPr>
            </w:pPr>
            <w:r>
              <w:rPr>
                <w:color w:val="000000"/>
                <w:szCs w:val="21"/>
              </w:rPr>
              <w:t>0.0</w:t>
            </w:r>
            <w:r>
              <w:rPr>
                <w:rFonts w:hint="eastAsia"/>
                <w:color w:val="000000"/>
                <w:szCs w:val="21"/>
                <w:lang w:val="en-US" w:eastAsia="zh-CN"/>
              </w:rPr>
              <w:t>055</w:t>
            </w:r>
          </w:p>
        </w:tc>
        <w:tc>
          <w:tcPr>
            <w:tcW w:w="1049" w:type="dxa"/>
          </w:tcPr>
          <w:p>
            <w:pPr>
              <w:snapToGrid w:val="0"/>
              <w:jc w:val="center"/>
              <w:rPr>
                <w:rFonts w:hint="default" w:eastAsia="宋体"/>
                <w:color w:val="000000"/>
                <w:szCs w:val="21"/>
                <w:lang w:val="en-US" w:eastAsia="zh-CN"/>
              </w:rPr>
            </w:pPr>
            <w:r>
              <w:rPr>
                <w:rFonts w:hint="eastAsia"/>
                <w:szCs w:val="21"/>
                <w:lang w:val="en-US" w:eastAsia="zh-CN"/>
              </w:rPr>
              <w:t>0.83</w:t>
            </w:r>
          </w:p>
        </w:tc>
        <w:tc>
          <w:tcPr>
            <w:tcW w:w="1049" w:type="dxa"/>
            <w:vAlign w:val="center"/>
          </w:tcPr>
          <w:p>
            <w:pPr>
              <w:snapToGrid w:val="0"/>
              <w:jc w:val="center"/>
              <w:rPr>
                <w:rFonts w:hint="default" w:eastAsia="宋体"/>
                <w:color w:val="000000"/>
                <w:szCs w:val="21"/>
                <w:lang w:val="en-US" w:eastAsia="zh-CN"/>
              </w:rPr>
            </w:pPr>
            <w:r>
              <w:rPr>
                <w:color w:val="000000"/>
                <w:szCs w:val="21"/>
              </w:rPr>
              <w:t>0.00</w:t>
            </w:r>
            <w:r>
              <w:rPr>
                <w:rFonts w:hint="eastAsia"/>
                <w:color w:val="000000"/>
                <w:szCs w:val="21"/>
                <w:lang w:val="en-US" w:eastAsia="zh-CN"/>
              </w:rPr>
              <w:t>05</w:t>
            </w:r>
          </w:p>
        </w:tc>
        <w:tc>
          <w:tcPr>
            <w:tcW w:w="996" w:type="dxa"/>
            <w:vAlign w:val="center"/>
          </w:tcPr>
          <w:p>
            <w:pPr>
              <w:snapToGrid w:val="0"/>
              <w:jc w:val="center"/>
              <w:rPr>
                <w:rFonts w:hint="default" w:eastAsia="宋体"/>
                <w:color w:val="000000"/>
                <w:szCs w:val="21"/>
                <w:lang w:val="en-US" w:eastAsia="zh-CN"/>
              </w:rPr>
            </w:pPr>
            <w:r>
              <w:rPr>
                <w:color w:val="000000"/>
                <w:szCs w:val="21"/>
              </w:rPr>
              <w:t>0.</w:t>
            </w:r>
            <w:r>
              <w:rPr>
                <w:rFonts w:hint="eastAsia"/>
                <w:color w:val="000000"/>
                <w:szCs w:val="21"/>
                <w:lang w:val="en-US" w:eastAsia="zh-CN"/>
              </w:rPr>
              <w:t>08</w:t>
            </w:r>
          </w:p>
        </w:tc>
      </w:tr>
      <w:bookmarkEnd w:id="144"/>
      <w:bookmarkEnd w:id="145"/>
      <w:bookmarkEnd w:id="146"/>
      <w:bookmarkEnd w:id="147"/>
      <w:bookmarkEnd w:id="148"/>
      <w:bookmarkEnd w:id="149"/>
      <w:bookmarkEnd w:id="150"/>
      <w:bookmarkEnd w:id="151"/>
    </w:tbl>
    <w:p>
      <w:pPr>
        <w:snapToGrid w:val="0"/>
        <w:spacing w:line="360" w:lineRule="auto"/>
        <w:ind w:firstLine="480" w:firstLineChars="200"/>
        <w:rPr>
          <w:color w:val="000000"/>
          <w:sz w:val="24"/>
        </w:rPr>
      </w:pPr>
      <w:r>
        <w:rPr>
          <w:color w:val="000000"/>
          <w:sz w:val="24"/>
        </w:rPr>
        <w:t>项目建成后全厂废气污染物产排情况见表</w:t>
      </w:r>
      <w:r>
        <w:rPr>
          <w:rFonts w:hint="eastAsia"/>
          <w:color w:val="000000"/>
          <w:sz w:val="24"/>
          <w:lang w:val="en-US" w:eastAsia="zh-CN"/>
        </w:rPr>
        <w:t>2</w:t>
      </w:r>
      <w:r>
        <w:rPr>
          <w:color w:val="000000"/>
          <w:sz w:val="24"/>
        </w:rPr>
        <w:t>.3-8。</w:t>
      </w:r>
    </w:p>
    <w:p>
      <w:pPr>
        <w:snapToGrid w:val="0"/>
        <w:spacing w:line="360" w:lineRule="auto"/>
        <w:ind w:firstLine="1084" w:firstLineChars="450"/>
        <w:rPr>
          <w:b/>
          <w:color w:val="000000"/>
          <w:sz w:val="24"/>
        </w:rPr>
      </w:pPr>
      <w:r>
        <w:rPr>
          <w:b/>
          <w:color w:val="000000"/>
          <w:sz w:val="24"/>
        </w:rPr>
        <w:t>表</w:t>
      </w:r>
      <w:r>
        <w:rPr>
          <w:b/>
          <w:sz w:val="24"/>
        </w:rPr>
        <w:t>2.3-8</w:t>
      </w:r>
      <w:r>
        <w:rPr>
          <w:b/>
          <w:color w:val="000000"/>
          <w:sz w:val="24"/>
        </w:rPr>
        <w:t xml:space="preserve">        项目建成后全厂废气污染物产排情况一览表</w:t>
      </w:r>
    </w:p>
    <w:tbl>
      <w:tblPr>
        <w:tblStyle w:val="45"/>
        <w:tblW w:w="91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475"/>
        <w:gridCol w:w="1954"/>
        <w:gridCol w:w="1939"/>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24" w:type="dxa"/>
            <w:vAlign w:val="center"/>
          </w:tcPr>
          <w:p>
            <w:pPr>
              <w:adjustRightInd w:val="0"/>
              <w:snapToGrid w:val="0"/>
              <w:ind w:left="-53" w:leftChars="-25" w:right="-94" w:rightChars="-45"/>
              <w:jc w:val="center"/>
              <w:rPr>
                <w:color w:val="000000"/>
                <w:szCs w:val="21"/>
              </w:rPr>
            </w:pPr>
            <w:r>
              <w:rPr>
                <w:color w:val="000000"/>
                <w:szCs w:val="21"/>
              </w:rPr>
              <w:t>产生部位</w:t>
            </w:r>
          </w:p>
        </w:tc>
        <w:tc>
          <w:tcPr>
            <w:tcW w:w="1475" w:type="dxa"/>
            <w:vAlign w:val="center"/>
          </w:tcPr>
          <w:p>
            <w:pPr>
              <w:adjustRightInd w:val="0"/>
              <w:snapToGrid w:val="0"/>
              <w:ind w:left="-53" w:leftChars="-25" w:right="-94" w:rightChars="-45"/>
              <w:jc w:val="center"/>
              <w:rPr>
                <w:color w:val="000000"/>
                <w:szCs w:val="21"/>
              </w:rPr>
            </w:pPr>
            <w:r>
              <w:rPr>
                <w:color w:val="000000"/>
                <w:szCs w:val="21"/>
              </w:rPr>
              <w:t>主要污染物</w:t>
            </w:r>
          </w:p>
        </w:tc>
        <w:tc>
          <w:tcPr>
            <w:tcW w:w="1954" w:type="dxa"/>
            <w:vAlign w:val="center"/>
          </w:tcPr>
          <w:p>
            <w:pPr>
              <w:adjustRightInd w:val="0"/>
              <w:snapToGrid w:val="0"/>
              <w:ind w:left="-53" w:leftChars="-25" w:right="-94" w:rightChars="-45"/>
              <w:jc w:val="center"/>
              <w:rPr>
                <w:color w:val="000000"/>
                <w:szCs w:val="21"/>
              </w:rPr>
            </w:pPr>
            <w:r>
              <w:rPr>
                <w:color w:val="000000"/>
                <w:szCs w:val="21"/>
              </w:rPr>
              <w:t>产生量</w:t>
            </w:r>
          </w:p>
        </w:tc>
        <w:tc>
          <w:tcPr>
            <w:tcW w:w="1939" w:type="dxa"/>
            <w:vAlign w:val="center"/>
          </w:tcPr>
          <w:p>
            <w:pPr>
              <w:adjustRightInd w:val="0"/>
              <w:snapToGrid w:val="0"/>
              <w:ind w:left="-53" w:leftChars="-25" w:right="-94" w:rightChars="-45"/>
              <w:jc w:val="center"/>
              <w:rPr>
                <w:color w:val="000000"/>
                <w:szCs w:val="21"/>
              </w:rPr>
            </w:pPr>
            <w:r>
              <w:rPr>
                <w:color w:val="000000"/>
                <w:szCs w:val="21"/>
              </w:rPr>
              <w:t>削减量</w:t>
            </w:r>
          </w:p>
        </w:tc>
        <w:tc>
          <w:tcPr>
            <w:tcW w:w="2339" w:type="dxa"/>
            <w:vAlign w:val="center"/>
          </w:tcPr>
          <w:p>
            <w:pPr>
              <w:adjustRightInd w:val="0"/>
              <w:snapToGrid w:val="0"/>
              <w:ind w:left="-53" w:leftChars="-25" w:right="-94" w:rightChars="-45"/>
              <w:jc w:val="center"/>
              <w:rPr>
                <w:color w:val="000000"/>
                <w:szCs w:val="21"/>
              </w:rPr>
            </w:pPr>
            <w:r>
              <w:rPr>
                <w:color w:val="000000"/>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24" w:type="dxa"/>
            <w:vMerge w:val="restart"/>
            <w:vAlign w:val="center"/>
          </w:tcPr>
          <w:p>
            <w:pPr>
              <w:adjustRightInd w:val="0"/>
              <w:snapToGrid w:val="0"/>
              <w:ind w:left="-53" w:leftChars="-25" w:right="-94" w:rightChars="-45"/>
              <w:jc w:val="center"/>
              <w:rPr>
                <w:color w:val="000000"/>
                <w:szCs w:val="21"/>
              </w:rPr>
            </w:pPr>
            <w:r>
              <w:rPr>
                <w:color w:val="000000"/>
                <w:szCs w:val="21"/>
              </w:rPr>
              <w:t>养殖区无组织废气</w:t>
            </w:r>
          </w:p>
        </w:tc>
        <w:tc>
          <w:tcPr>
            <w:tcW w:w="1475" w:type="dxa"/>
            <w:vAlign w:val="center"/>
          </w:tcPr>
          <w:p>
            <w:pPr>
              <w:snapToGrid w:val="0"/>
              <w:ind w:left="-53" w:leftChars="-25" w:right="-94" w:rightChars="-45"/>
              <w:jc w:val="center"/>
              <w:rPr>
                <w:color w:val="000000"/>
                <w:szCs w:val="21"/>
              </w:rPr>
            </w:pPr>
            <w:r>
              <w:rPr>
                <w:snapToGrid w:val="0"/>
                <w:spacing w:val="-4"/>
                <w:szCs w:val="21"/>
              </w:rPr>
              <w:t>NH</w:t>
            </w:r>
            <w:r>
              <w:rPr>
                <w:snapToGrid w:val="0"/>
                <w:spacing w:val="-4"/>
                <w:szCs w:val="21"/>
                <w:vertAlign w:val="subscript"/>
              </w:rPr>
              <w:t>3</w:t>
            </w:r>
            <w:r>
              <w:rPr>
                <w:color w:val="000000"/>
                <w:szCs w:val="21"/>
              </w:rPr>
              <w:t xml:space="preserve"> (t/a)</w:t>
            </w:r>
          </w:p>
        </w:tc>
        <w:tc>
          <w:tcPr>
            <w:tcW w:w="1954" w:type="dxa"/>
            <w:vAlign w:val="bottom"/>
          </w:tcPr>
          <w:p>
            <w:pPr>
              <w:jc w:val="center"/>
              <w:rPr>
                <w:rFonts w:hint="default" w:eastAsia="宋体"/>
                <w:sz w:val="22"/>
                <w:szCs w:val="22"/>
                <w:lang w:val="en-US" w:eastAsia="zh-CN"/>
              </w:rPr>
            </w:pPr>
            <w:r>
              <w:rPr>
                <w:rFonts w:hint="eastAsia"/>
                <w:sz w:val="22"/>
                <w:szCs w:val="22"/>
                <w:lang w:val="en-US" w:eastAsia="zh-CN"/>
              </w:rPr>
              <w:t>1.0523</w:t>
            </w:r>
          </w:p>
        </w:tc>
        <w:tc>
          <w:tcPr>
            <w:tcW w:w="1939" w:type="dxa"/>
            <w:vAlign w:val="bottom"/>
          </w:tcPr>
          <w:p>
            <w:pPr>
              <w:jc w:val="center"/>
              <w:rPr>
                <w:rFonts w:hint="default" w:eastAsia="宋体"/>
                <w:szCs w:val="21"/>
                <w:lang w:val="en-US" w:eastAsia="zh-CN"/>
              </w:rPr>
            </w:pPr>
            <w:r>
              <w:rPr>
                <w:rFonts w:hint="eastAsia"/>
                <w:szCs w:val="21"/>
                <w:lang w:val="en-US" w:eastAsia="zh-CN"/>
              </w:rPr>
              <w:t>0.7367</w:t>
            </w:r>
          </w:p>
        </w:tc>
        <w:tc>
          <w:tcPr>
            <w:tcW w:w="2339" w:type="dxa"/>
            <w:vAlign w:val="bottom"/>
          </w:tcPr>
          <w:p>
            <w:pPr>
              <w:jc w:val="center"/>
              <w:rPr>
                <w:rFonts w:hint="default" w:eastAsia="宋体"/>
                <w:sz w:val="22"/>
                <w:szCs w:val="22"/>
                <w:lang w:val="en-US" w:eastAsia="zh-CN"/>
              </w:rPr>
            </w:pPr>
            <w:r>
              <w:rPr>
                <w:rFonts w:hint="eastAsia"/>
                <w:sz w:val="22"/>
                <w:szCs w:val="22"/>
                <w:lang w:val="en-US" w:eastAsia="zh-CN"/>
              </w:rPr>
              <w:t>0.3156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24" w:type="dxa"/>
            <w:vMerge w:val="continue"/>
            <w:vAlign w:val="center"/>
          </w:tcPr>
          <w:p>
            <w:pPr>
              <w:jc w:val="center"/>
              <w:rPr>
                <w:color w:val="000000"/>
                <w:szCs w:val="21"/>
              </w:rPr>
            </w:pPr>
          </w:p>
        </w:tc>
        <w:tc>
          <w:tcPr>
            <w:tcW w:w="1475" w:type="dxa"/>
            <w:vAlign w:val="center"/>
          </w:tcPr>
          <w:p>
            <w:pPr>
              <w:snapToGrid w:val="0"/>
              <w:ind w:left="-53" w:leftChars="-25" w:right="-94" w:rightChars="-45"/>
              <w:jc w:val="center"/>
              <w:rPr>
                <w:color w:val="000000"/>
                <w:szCs w:val="21"/>
              </w:rPr>
            </w:pPr>
            <w:r>
              <w:rPr>
                <w:snapToGrid w:val="0"/>
                <w:spacing w:val="-4"/>
                <w:szCs w:val="21"/>
              </w:rPr>
              <w:t>H</w:t>
            </w:r>
            <w:r>
              <w:rPr>
                <w:snapToGrid w:val="0"/>
                <w:spacing w:val="-4"/>
                <w:szCs w:val="21"/>
                <w:vertAlign w:val="subscript"/>
              </w:rPr>
              <w:t>2</w:t>
            </w:r>
            <w:r>
              <w:rPr>
                <w:snapToGrid w:val="0"/>
                <w:spacing w:val="-4"/>
                <w:szCs w:val="21"/>
              </w:rPr>
              <w:t>S</w:t>
            </w:r>
            <w:r>
              <w:rPr>
                <w:color w:val="000000"/>
                <w:szCs w:val="21"/>
              </w:rPr>
              <w:t xml:space="preserve"> (t/a)</w:t>
            </w:r>
          </w:p>
        </w:tc>
        <w:tc>
          <w:tcPr>
            <w:tcW w:w="1954" w:type="dxa"/>
            <w:vAlign w:val="bottom"/>
          </w:tcPr>
          <w:p>
            <w:pPr>
              <w:jc w:val="center"/>
              <w:rPr>
                <w:rFonts w:hint="default" w:eastAsia="宋体"/>
                <w:sz w:val="22"/>
                <w:szCs w:val="22"/>
                <w:lang w:val="en-US" w:eastAsia="zh-CN"/>
              </w:rPr>
            </w:pPr>
            <w:r>
              <w:rPr>
                <w:rFonts w:hint="eastAsia"/>
                <w:sz w:val="22"/>
                <w:szCs w:val="22"/>
                <w:lang w:val="en-US" w:eastAsia="zh-CN"/>
              </w:rPr>
              <w:t>0.0672</w:t>
            </w:r>
          </w:p>
        </w:tc>
        <w:tc>
          <w:tcPr>
            <w:tcW w:w="1939" w:type="dxa"/>
            <w:vAlign w:val="bottom"/>
          </w:tcPr>
          <w:p>
            <w:pPr>
              <w:jc w:val="center"/>
              <w:rPr>
                <w:rFonts w:hint="default" w:eastAsia="宋体"/>
                <w:szCs w:val="21"/>
                <w:lang w:val="en-US" w:eastAsia="zh-CN"/>
              </w:rPr>
            </w:pPr>
            <w:r>
              <w:rPr>
                <w:rFonts w:hint="eastAsia"/>
                <w:szCs w:val="21"/>
                <w:lang w:val="en-US" w:eastAsia="zh-CN"/>
              </w:rPr>
              <w:t>0.047</w:t>
            </w:r>
          </w:p>
        </w:tc>
        <w:tc>
          <w:tcPr>
            <w:tcW w:w="2339" w:type="dxa"/>
            <w:vAlign w:val="bottom"/>
          </w:tcPr>
          <w:p>
            <w:pPr>
              <w:jc w:val="center"/>
              <w:rPr>
                <w:rFonts w:hint="default" w:eastAsia="宋体"/>
                <w:sz w:val="22"/>
                <w:szCs w:val="22"/>
                <w:lang w:val="en-US" w:eastAsia="zh-CN"/>
              </w:rPr>
            </w:pPr>
            <w:r>
              <w:rPr>
                <w:rFonts w:hint="eastAsia"/>
                <w:sz w:val="22"/>
                <w:szCs w:val="22"/>
                <w:lang w:val="en-US" w:eastAsia="zh-CN"/>
              </w:rPr>
              <w:t>0.0202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24" w:type="dxa"/>
            <w:vMerge w:val="restart"/>
            <w:vAlign w:val="center"/>
          </w:tcPr>
          <w:p>
            <w:pPr>
              <w:jc w:val="center"/>
              <w:rPr>
                <w:color w:val="000000"/>
                <w:szCs w:val="21"/>
              </w:rPr>
            </w:pPr>
            <w:r>
              <w:rPr>
                <w:color w:val="000000"/>
                <w:szCs w:val="21"/>
              </w:rPr>
              <w:t>沼气燃烧</w:t>
            </w:r>
          </w:p>
        </w:tc>
        <w:tc>
          <w:tcPr>
            <w:tcW w:w="1475" w:type="dxa"/>
            <w:vAlign w:val="center"/>
          </w:tcPr>
          <w:p>
            <w:pPr>
              <w:snapToGrid w:val="0"/>
              <w:ind w:left="-53" w:leftChars="-25" w:right="-94" w:rightChars="-45"/>
              <w:jc w:val="center"/>
              <w:rPr>
                <w:color w:val="000000"/>
                <w:szCs w:val="21"/>
              </w:rPr>
            </w:pPr>
            <w:r>
              <w:rPr>
                <w:color w:val="000000"/>
                <w:szCs w:val="21"/>
              </w:rPr>
              <w:t>废气量(</w:t>
            </w:r>
            <w:r>
              <w:rPr>
                <w:color w:val="000000"/>
                <w:kern w:val="0"/>
                <w:szCs w:val="21"/>
              </w:rPr>
              <w:t>m</w:t>
            </w:r>
            <w:r>
              <w:rPr>
                <w:color w:val="000000"/>
                <w:kern w:val="0"/>
                <w:szCs w:val="21"/>
                <w:vertAlign w:val="superscript"/>
              </w:rPr>
              <w:t>3</w:t>
            </w:r>
            <w:r>
              <w:rPr>
                <w:color w:val="000000"/>
                <w:kern w:val="0"/>
                <w:szCs w:val="21"/>
              </w:rPr>
              <w:t>/a</w:t>
            </w:r>
            <w:r>
              <w:rPr>
                <w:color w:val="000000"/>
                <w:szCs w:val="21"/>
              </w:rPr>
              <w:t>)</w:t>
            </w:r>
          </w:p>
        </w:tc>
        <w:tc>
          <w:tcPr>
            <w:tcW w:w="1954" w:type="dxa"/>
            <w:vAlign w:val="center"/>
          </w:tcPr>
          <w:p>
            <w:pPr>
              <w:jc w:val="center"/>
              <w:rPr>
                <w:color w:val="000000"/>
                <w:szCs w:val="21"/>
              </w:rPr>
            </w:pPr>
            <w:r>
              <w:rPr>
                <w:rFonts w:hint="eastAsia"/>
                <w:color w:val="000000"/>
                <w:sz w:val="21"/>
                <w:szCs w:val="21"/>
                <w:lang w:val="en-US" w:eastAsia="zh-CN"/>
              </w:rPr>
              <w:t>333835</w:t>
            </w:r>
          </w:p>
        </w:tc>
        <w:tc>
          <w:tcPr>
            <w:tcW w:w="1939" w:type="dxa"/>
            <w:vAlign w:val="center"/>
          </w:tcPr>
          <w:p>
            <w:pPr>
              <w:jc w:val="center"/>
              <w:rPr>
                <w:color w:val="000000"/>
                <w:szCs w:val="21"/>
              </w:rPr>
            </w:pPr>
            <w:r>
              <w:rPr>
                <w:color w:val="000000"/>
                <w:szCs w:val="21"/>
              </w:rPr>
              <w:t>/</w:t>
            </w:r>
          </w:p>
        </w:tc>
        <w:tc>
          <w:tcPr>
            <w:tcW w:w="2339" w:type="dxa"/>
            <w:vAlign w:val="center"/>
          </w:tcPr>
          <w:p>
            <w:pPr>
              <w:jc w:val="center"/>
              <w:rPr>
                <w:color w:val="000000"/>
                <w:szCs w:val="21"/>
              </w:rPr>
            </w:pPr>
            <w:r>
              <w:rPr>
                <w:rFonts w:hint="eastAsia"/>
                <w:color w:val="000000"/>
                <w:sz w:val="21"/>
                <w:szCs w:val="21"/>
                <w:lang w:val="en-US" w:eastAsia="zh-CN"/>
              </w:rPr>
              <w:t>333835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424" w:type="dxa"/>
            <w:vMerge w:val="continue"/>
            <w:vAlign w:val="center"/>
          </w:tcPr>
          <w:p>
            <w:pPr>
              <w:jc w:val="center"/>
              <w:rPr>
                <w:color w:val="000000"/>
                <w:szCs w:val="21"/>
              </w:rPr>
            </w:pPr>
          </w:p>
        </w:tc>
        <w:tc>
          <w:tcPr>
            <w:tcW w:w="1475" w:type="dxa"/>
            <w:vAlign w:val="center"/>
          </w:tcPr>
          <w:p>
            <w:pPr>
              <w:snapToGrid w:val="0"/>
              <w:ind w:left="-53" w:leftChars="-25" w:right="-94" w:rightChars="-45"/>
              <w:jc w:val="center"/>
              <w:rPr>
                <w:color w:val="000000"/>
                <w:szCs w:val="21"/>
              </w:rPr>
            </w:pPr>
            <w:r>
              <w:rPr>
                <w:color w:val="000000"/>
              </w:rPr>
              <w:t>SO</w:t>
            </w:r>
            <w:r>
              <w:rPr>
                <w:color w:val="000000"/>
                <w:vertAlign w:val="subscript"/>
              </w:rPr>
              <w:t>2</w:t>
            </w:r>
            <w:r>
              <w:rPr>
                <w:color w:val="000000"/>
              </w:rPr>
              <w:t>(</w:t>
            </w:r>
            <w:r>
              <w:rPr>
                <w:rFonts w:hint="eastAsia"/>
                <w:bCs/>
                <w:color w:val="000000"/>
                <w:lang w:val="en-US" w:eastAsia="zh-CN"/>
              </w:rPr>
              <w:t>t</w:t>
            </w:r>
            <w:r>
              <w:rPr>
                <w:color w:val="000000"/>
              </w:rPr>
              <w:t>/a)</w:t>
            </w:r>
          </w:p>
        </w:tc>
        <w:tc>
          <w:tcPr>
            <w:tcW w:w="1954" w:type="dxa"/>
            <w:vAlign w:val="center"/>
          </w:tcPr>
          <w:p>
            <w:pPr>
              <w:jc w:val="center"/>
              <w:rPr>
                <w:color w:val="000000"/>
                <w:szCs w:val="21"/>
              </w:rPr>
            </w:pPr>
            <w:r>
              <w:rPr>
                <w:sz w:val="21"/>
                <w:szCs w:val="21"/>
              </w:rPr>
              <w:t>0.00</w:t>
            </w:r>
            <w:r>
              <w:rPr>
                <w:rFonts w:hint="eastAsia"/>
                <w:sz w:val="21"/>
                <w:szCs w:val="21"/>
                <w:lang w:val="en-US" w:eastAsia="zh-CN"/>
              </w:rPr>
              <w:t>07</w:t>
            </w:r>
          </w:p>
        </w:tc>
        <w:tc>
          <w:tcPr>
            <w:tcW w:w="1939" w:type="dxa"/>
            <w:vAlign w:val="center"/>
          </w:tcPr>
          <w:p>
            <w:pPr>
              <w:jc w:val="center"/>
              <w:rPr>
                <w:color w:val="000000"/>
                <w:szCs w:val="21"/>
              </w:rPr>
            </w:pPr>
            <w:r>
              <w:rPr>
                <w:color w:val="000000"/>
                <w:szCs w:val="21"/>
              </w:rPr>
              <w:t>/</w:t>
            </w:r>
          </w:p>
        </w:tc>
        <w:tc>
          <w:tcPr>
            <w:tcW w:w="2339" w:type="dxa"/>
            <w:vAlign w:val="center"/>
          </w:tcPr>
          <w:p>
            <w:pPr>
              <w:jc w:val="center"/>
              <w:rPr>
                <w:color w:val="000000"/>
                <w:szCs w:val="21"/>
              </w:rPr>
            </w:pPr>
            <w:r>
              <w:rPr>
                <w:sz w:val="21"/>
                <w:szCs w:val="21"/>
              </w:rPr>
              <w:t>0.00</w:t>
            </w:r>
            <w:r>
              <w:rPr>
                <w:rFonts w:hint="eastAsia"/>
                <w:sz w:val="21"/>
                <w:szCs w:val="21"/>
                <w:lang w:val="en-US" w:eastAsia="zh-CN"/>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424" w:type="dxa"/>
            <w:vMerge w:val="continue"/>
            <w:vAlign w:val="center"/>
          </w:tcPr>
          <w:p>
            <w:pPr>
              <w:jc w:val="center"/>
              <w:rPr>
                <w:color w:val="000000"/>
                <w:szCs w:val="21"/>
              </w:rPr>
            </w:pPr>
          </w:p>
        </w:tc>
        <w:tc>
          <w:tcPr>
            <w:tcW w:w="1475" w:type="dxa"/>
            <w:vAlign w:val="center"/>
          </w:tcPr>
          <w:p>
            <w:pPr>
              <w:snapToGrid w:val="0"/>
              <w:ind w:left="-53" w:leftChars="-25" w:right="-94" w:rightChars="-45"/>
              <w:jc w:val="center"/>
              <w:rPr>
                <w:color w:val="000000"/>
                <w:szCs w:val="21"/>
              </w:rPr>
            </w:pPr>
            <w:r>
              <w:rPr>
                <w:color w:val="000000"/>
              </w:rPr>
              <w:t>NO</w:t>
            </w:r>
            <w:r>
              <w:rPr>
                <w:color w:val="000000"/>
                <w:vertAlign w:val="subscript"/>
              </w:rPr>
              <w:t>X</w:t>
            </w:r>
            <w:r>
              <w:rPr>
                <w:color w:val="000000"/>
              </w:rPr>
              <w:t>(</w:t>
            </w:r>
            <w:r>
              <w:rPr>
                <w:rFonts w:hint="eastAsia"/>
                <w:bCs/>
                <w:color w:val="000000"/>
                <w:lang w:val="en-US" w:eastAsia="zh-CN"/>
              </w:rPr>
              <w:t>t</w:t>
            </w:r>
            <w:r>
              <w:rPr>
                <w:color w:val="000000"/>
              </w:rPr>
              <w:t>/a)</w:t>
            </w:r>
          </w:p>
        </w:tc>
        <w:tc>
          <w:tcPr>
            <w:tcW w:w="1954" w:type="dxa"/>
            <w:vAlign w:val="center"/>
          </w:tcPr>
          <w:p>
            <w:pPr>
              <w:jc w:val="center"/>
              <w:rPr>
                <w:color w:val="000000"/>
                <w:szCs w:val="21"/>
              </w:rPr>
            </w:pPr>
            <w:r>
              <w:rPr>
                <w:sz w:val="21"/>
                <w:szCs w:val="21"/>
              </w:rPr>
              <w:t>0.0</w:t>
            </w:r>
            <w:r>
              <w:rPr>
                <w:rFonts w:hint="eastAsia"/>
                <w:sz w:val="21"/>
                <w:szCs w:val="21"/>
                <w:lang w:val="en-US" w:eastAsia="zh-CN"/>
              </w:rPr>
              <w:t>26</w:t>
            </w:r>
          </w:p>
        </w:tc>
        <w:tc>
          <w:tcPr>
            <w:tcW w:w="1939" w:type="dxa"/>
            <w:vAlign w:val="center"/>
          </w:tcPr>
          <w:p>
            <w:pPr>
              <w:jc w:val="center"/>
              <w:rPr>
                <w:rFonts w:hint="eastAsia" w:eastAsia="宋体"/>
                <w:color w:val="000000"/>
                <w:szCs w:val="21"/>
                <w:lang w:val="en-US" w:eastAsia="zh-CN"/>
              </w:rPr>
            </w:pPr>
            <w:r>
              <w:rPr>
                <w:rFonts w:hint="eastAsia"/>
                <w:color w:val="000000"/>
                <w:szCs w:val="21"/>
                <w:lang w:val="en-US" w:eastAsia="zh-CN"/>
              </w:rPr>
              <w:t>/</w:t>
            </w:r>
          </w:p>
        </w:tc>
        <w:tc>
          <w:tcPr>
            <w:tcW w:w="2339" w:type="dxa"/>
            <w:vAlign w:val="center"/>
          </w:tcPr>
          <w:p>
            <w:pPr>
              <w:jc w:val="center"/>
              <w:rPr>
                <w:color w:val="000000"/>
                <w:szCs w:val="21"/>
              </w:rPr>
            </w:pPr>
            <w:r>
              <w:rPr>
                <w:sz w:val="21"/>
                <w:szCs w:val="21"/>
              </w:rPr>
              <w:t>0.0</w:t>
            </w:r>
            <w:r>
              <w:rPr>
                <w:rFonts w:hint="eastAsia"/>
                <w:sz w:val="21"/>
                <w:szCs w:val="21"/>
                <w:lang w:val="en-US" w:eastAsia="zh-CN"/>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24" w:type="dxa"/>
            <w:vAlign w:val="center"/>
          </w:tcPr>
          <w:p>
            <w:pPr>
              <w:jc w:val="center"/>
              <w:rPr>
                <w:color w:val="000000"/>
                <w:szCs w:val="21"/>
              </w:rPr>
            </w:pPr>
            <w:r>
              <w:rPr>
                <w:color w:val="000000"/>
                <w:szCs w:val="21"/>
              </w:rPr>
              <w:t>食堂油烟</w:t>
            </w:r>
          </w:p>
        </w:tc>
        <w:tc>
          <w:tcPr>
            <w:tcW w:w="1475" w:type="dxa"/>
            <w:vAlign w:val="center"/>
          </w:tcPr>
          <w:p>
            <w:pPr>
              <w:snapToGrid w:val="0"/>
              <w:ind w:left="-53" w:leftChars="-25" w:right="-94" w:rightChars="-45"/>
              <w:jc w:val="center"/>
              <w:rPr>
                <w:color w:val="000000"/>
                <w:szCs w:val="21"/>
              </w:rPr>
            </w:pPr>
            <w:r>
              <w:rPr>
                <w:color w:val="000000"/>
                <w:szCs w:val="21"/>
              </w:rPr>
              <w:t>油烟(t/a)</w:t>
            </w:r>
          </w:p>
        </w:tc>
        <w:tc>
          <w:tcPr>
            <w:tcW w:w="1954" w:type="dxa"/>
            <w:vAlign w:val="center"/>
          </w:tcPr>
          <w:p>
            <w:pPr>
              <w:snapToGrid w:val="0"/>
              <w:ind w:left="-53" w:leftChars="-25" w:right="-94" w:rightChars="-45"/>
              <w:jc w:val="center"/>
              <w:rPr>
                <w:rFonts w:hint="default" w:eastAsia="宋体"/>
                <w:color w:val="000000"/>
                <w:szCs w:val="21"/>
                <w:lang w:val="en-US" w:eastAsia="zh-CN"/>
              </w:rPr>
            </w:pPr>
            <w:r>
              <w:rPr>
                <w:color w:val="000000"/>
                <w:szCs w:val="21"/>
              </w:rPr>
              <w:t>0.0</w:t>
            </w:r>
            <w:r>
              <w:rPr>
                <w:rFonts w:hint="eastAsia"/>
                <w:color w:val="000000"/>
                <w:szCs w:val="21"/>
                <w:lang w:val="en-US" w:eastAsia="zh-CN"/>
              </w:rPr>
              <w:t>055</w:t>
            </w:r>
          </w:p>
        </w:tc>
        <w:tc>
          <w:tcPr>
            <w:tcW w:w="1939" w:type="dxa"/>
            <w:vAlign w:val="center"/>
          </w:tcPr>
          <w:p>
            <w:pPr>
              <w:adjustRightInd w:val="0"/>
              <w:snapToGrid w:val="0"/>
              <w:ind w:left="-53" w:leftChars="-25" w:right="-94" w:rightChars="-45"/>
              <w:jc w:val="center"/>
              <w:rPr>
                <w:rFonts w:hint="default" w:eastAsia="宋体"/>
                <w:color w:val="000000"/>
                <w:szCs w:val="21"/>
                <w:lang w:val="en-US" w:eastAsia="zh-CN"/>
              </w:rPr>
            </w:pPr>
            <w:r>
              <w:rPr>
                <w:color w:val="000000"/>
                <w:szCs w:val="21"/>
              </w:rPr>
              <w:t>0.0</w:t>
            </w:r>
            <w:r>
              <w:rPr>
                <w:rFonts w:hint="eastAsia"/>
                <w:color w:val="000000"/>
                <w:szCs w:val="21"/>
                <w:lang w:val="en-US" w:eastAsia="zh-CN"/>
              </w:rPr>
              <w:t>05</w:t>
            </w:r>
          </w:p>
        </w:tc>
        <w:tc>
          <w:tcPr>
            <w:tcW w:w="2339" w:type="dxa"/>
            <w:vAlign w:val="center"/>
          </w:tcPr>
          <w:p>
            <w:pPr>
              <w:snapToGrid w:val="0"/>
              <w:ind w:left="-53" w:leftChars="-25" w:right="-94" w:rightChars="-45"/>
              <w:jc w:val="center"/>
              <w:rPr>
                <w:rFonts w:hint="default" w:eastAsia="宋体"/>
                <w:color w:val="000000"/>
                <w:szCs w:val="21"/>
                <w:lang w:val="en-US" w:eastAsia="zh-CN"/>
              </w:rPr>
            </w:pPr>
            <w:r>
              <w:rPr>
                <w:color w:val="000000"/>
                <w:szCs w:val="21"/>
              </w:rPr>
              <w:t>0.00</w:t>
            </w:r>
            <w:r>
              <w:rPr>
                <w:rFonts w:hint="eastAsia"/>
                <w:color w:val="000000"/>
                <w:szCs w:val="21"/>
                <w:lang w:val="en-US" w:eastAsia="zh-CN"/>
              </w:rPr>
              <w:t>05</w:t>
            </w:r>
          </w:p>
        </w:tc>
      </w:tr>
    </w:tbl>
    <w:p>
      <w:pPr>
        <w:pStyle w:val="8"/>
        <w:spacing w:before="0" w:after="0" w:line="520" w:lineRule="exact"/>
        <w:rPr>
          <w:b w:val="0"/>
          <w:sz w:val="24"/>
          <w:szCs w:val="24"/>
        </w:rPr>
      </w:pPr>
      <w:r>
        <w:rPr>
          <w:rFonts w:hint="eastAsia"/>
          <w:b w:val="0"/>
          <w:sz w:val="24"/>
          <w:szCs w:val="24"/>
          <w:lang w:val="en-US" w:eastAsia="zh-CN"/>
        </w:rPr>
        <w:t>2</w:t>
      </w:r>
      <w:r>
        <w:rPr>
          <w:b w:val="0"/>
          <w:sz w:val="24"/>
          <w:szCs w:val="24"/>
        </w:rPr>
        <w:t>.3.2.2废水污染物</w:t>
      </w:r>
    </w:p>
    <w:p>
      <w:pPr>
        <w:spacing w:line="520" w:lineRule="exact"/>
        <w:ind w:firstLine="480" w:firstLineChars="200"/>
        <w:rPr>
          <w:sz w:val="24"/>
        </w:rPr>
      </w:pPr>
      <w:r>
        <w:rPr>
          <w:sz w:val="24"/>
        </w:rPr>
        <w:t>（1）污染因素分析</w:t>
      </w:r>
    </w:p>
    <w:p>
      <w:pPr>
        <w:pStyle w:val="99"/>
        <w:spacing w:line="520" w:lineRule="exact"/>
        <w:ind w:firstLine="480"/>
      </w:pPr>
      <w:r>
        <w:t>废水是养猪场产生的重要污染物，包括猪尿、猪舍冲洗废水、刮板冲洗废水及员工生活污水等，废水中含有高浓度有机物和N、P等，如若处理不当，如不经处理直接排入附近的水体，将对周边水体和人群健康存在巨大的潜在风险。</w:t>
      </w:r>
    </w:p>
    <w:p>
      <w:pPr>
        <w:pStyle w:val="99"/>
        <w:spacing w:line="520" w:lineRule="exact"/>
        <w:ind w:firstLine="480"/>
      </w:pPr>
      <w:r>
        <w:t>A、猪尿</w:t>
      </w:r>
    </w:p>
    <w:p>
      <w:pPr>
        <w:pStyle w:val="99"/>
        <w:spacing w:line="520" w:lineRule="exact"/>
        <w:ind w:firstLine="480"/>
        <w:rPr>
          <w:snapToGrid w:val="0"/>
        </w:rPr>
      </w:pPr>
      <w:r>
        <w:rPr>
          <w:snapToGrid w:val="0"/>
        </w:rPr>
        <w:t>本项目投入运营后年存栏保育猪</w:t>
      </w:r>
      <w:r>
        <w:rPr>
          <w:rFonts w:hint="eastAsia"/>
          <w:snapToGrid w:val="0"/>
          <w:lang w:val="en-US" w:eastAsia="zh-CN"/>
        </w:rPr>
        <w:t>1750</w:t>
      </w:r>
      <w:r>
        <w:rPr>
          <w:snapToGrid w:val="0"/>
        </w:rPr>
        <w:t>头、育肥猪</w:t>
      </w:r>
      <w:r>
        <w:rPr>
          <w:rFonts w:hint="eastAsia"/>
          <w:snapToGrid w:val="0"/>
          <w:lang w:val="en-US" w:eastAsia="zh-CN"/>
        </w:rPr>
        <w:t>3250</w:t>
      </w:r>
      <w:r>
        <w:rPr>
          <w:snapToGrid w:val="0"/>
        </w:rPr>
        <w:t>头</w:t>
      </w:r>
      <w:r>
        <w:rPr>
          <w:rFonts w:hint="eastAsia"/>
          <w:snapToGrid w:val="0"/>
          <w:lang w:eastAsia="zh-CN"/>
        </w:rPr>
        <w:t>、</w:t>
      </w:r>
      <w:r>
        <w:rPr>
          <w:rFonts w:hint="eastAsia"/>
          <w:snapToGrid w:val="0"/>
          <w:lang w:val="en-US" w:eastAsia="zh-CN"/>
        </w:rPr>
        <w:t>后备猪100头</w:t>
      </w:r>
      <w:r>
        <w:rPr>
          <w:snapToGrid w:val="0"/>
        </w:rPr>
        <w:t>，猪的尿液产生量根据《畜禽养殖污染防治最佳可行技术指南》（征求意见稿），猪尿排泄量计算公式为：Yu=0.205+0.438W（kg），式中，Yu为猪尿排泄量，W为猪的饮水量。经计算夏季猪尿产生量为</w:t>
      </w:r>
      <w:r>
        <w:rPr>
          <w:rFonts w:hint="eastAsia"/>
          <w:snapToGrid w:val="0"/>
          <w:lang w:val="en-US" w:eastAsia="zh-CN"/>
        </w:rPr>
        <w:t>21.38</w:t>
      </w:r>
      <w:r>
        <w:rPr>
          <w:iCs/>
          <w:snapToGrid w:val="0"/>
          <w:kern w:val="0"/>
        </w:rPr>
        <w:t>m</w:t>
      </w:r>
      <w:r>
        <w:rPr>
          <w:iCs/>
          <w:snapToGrid w:val="0"/>
          <w:kern w:val="0"/>
          <w:vertAlign w:val="superscript"/>
        </w:rPr>
        <w:t>3</w:t>
      </w:r>
      <w:r>
        <w:rPr>
          <w:iCs/>
          <w:snapToGrid w:val="0"/>
          <w:kern w:val="0"/>
        </w:rPr>
        <w:t>/d</w:t>
      </w:r>
      <w:r>
        <w:rPr>
          <w:snapToGrid w:val="0"/>
        </w:rPr>
        <w:t>，</w:t>
      </w:r>
      <w:r>
        <w:rPr>
          <w:bCs/>
          <w:snapToGrid w:val="0"/>
        </w:rPr>
        <w:t>非夏季猪尿产生量1</w:t>
      </w:r>
      <w:r>
        <w:rPr>
          <w:rFonts w:hint="eastAsia"/>
          <w:bCs/>
          <w:snapToGrid w:val="0"/>
          <w:lang w:val="en-US" w:eastAsia="zh-CN"/>
        </w:rPr>
        <w:t>2.88</w:t>
      </w:r>
      <w:r>
        <w:rPr>
          <w:iCs/>
          <w:snapToGrid w:val="0"/>
          <w:kern w:val="0"/>
        </w:rPr>
        <w:t>m</w:t>
      </w:r>
      <w:r>
        <w:rPr>
          <w:iCs/>
          <w:snapToGrid w:val="0"/>
          <w:kern w:val="0"/>
          <w:vertAlign w:val="superscript"/>
        </w:rPr>
        <w:t>3</w:t>
      </w:r>
      <w:r>
        <w:rPr>
          <w:iCs/>
          <w:snapToGrid w:val="0"/>
          <w:kern w:val="0"/>
        </w:rPr>
        <w:t>/d</w:t>
      </w:r>
      <w:r>
        <w:rPr>
          <w:bCs/>
          <w:snapToGrid w:val="0"/>
        </w:rPr>
        <w:t>，全年猪尿产生量为</w:t>
      </w:r>
      <w:r>
        <w:rPr>
          <w:rFonts w:hint="eastAsia"/>
          <w:bCs/>
          <w:snapToGrid w:val="0"/>
          <w:lang w:val="en-US" w:eastAsia="zh-CN"/>
        </w:rPr>
        <w:t>5738.144</w:t>
      </w:r>
      <w:r>
        <w:rPr>
          <w:bCs/>
          <w:snapToGrid w:val="0"/>
        </w:rPr>
        <w:t>m</w:t>
      </w:r>
      <w:r>
        <w:rPr>
          <w:bCs/>
          <w:snapToGrid w:val="0"/>
          <w:vertAlign w:val="superscript"/>
        </w:rPr>
        <w:t>3</w:t>
      </w:r>
      <w:r>
        <w:rPr>
          <w:bCs/>
          <w:snapToGrid w:val="0"/>
        </w:rPr>
        <w:t>/a。</w:t>
      </w:r>
    </w:p>
    <w:p>
      <w:pPr>
        <w:spacing w:line="520" w:lineRule="exact"/>
        <w:ind w:firstLine="480" w:firstLineChars="200"/>
        <w:rPr>
          <w:sz w:val="24"/>
        </w:rPr>
      </w:pPr>
      <w:r>
        <w:rPr>
          <w:sz w:val="24"/>
        </w:rPr>
        <w:t>B、猪舍冲洗废水</w:t>
      </w:r>
    </w:p>
    <w:p>
      <w:pPr>
        <w:spacing w:line="520" w:lineRule="exact"/>
        <w:ind w:firstLine="480" w:firstLineChars="200"/>
        <w:rPr>
          <w:bCs/>
          <w:color w:val="000000"/>
          <w:sz w:val="24"/>
        </w:rPr>
      </w:pPr>
      <w:r>
        <w:rPr>
          <w:color w:val="000000"/>
          <w:sz w:val="24"/>
        </w:rPr>
        <w:t>依据养殖场运行中的干清粪工艺的冲洗规律，利用高压水枪在猪转栏时对各猪舍进行冲洗、消毒。保育育肥舍冲洗频率为每年2次，猪舍每次冲洗水用量为33m</w:t>
      </w:r>
      <w:r>
        <w:rPr>
          <w:color w:val="000000"/>
          <w:sz w:val="24"/>
          <w:vertAlign w:val="superscript"/>
        </w:rPr>
        <w:t>3</w:t>
      </w:r>
      <w:r>
        <w:rPr>
          <w:color w:val="000000"/>
          <w:sz w:val="24"/>
        </w:rPr>
        <w:t>（其中新鲜水18m</w:t>
      </w:r>
      <w:r>
        <w:rPr>
          <w:color w:val="000000"/>
          <w:sz w:val="24"/>
          <w:vertAlign w:val="superscript"/>
        </w:rPr>
        <w:t>3</w:t>
      </w:r>
      <w:r>
        <w:rPr>
          <w:color w:val="000000"/>
          <w:sz w:val="24"/>
        </w:rPr>
        <w:t>，回用沼液15m</w:t>
      </w:r>
      <w:r>
        <w:rPr>
          <w:color w:val="000000"/>
          <w:sz w:val="24"/>
          <w:vertAlign w:val="superscript"/>
        </w:rPr>
        <w:t>3</w:t>
      </w:r>
      <w:r>
        <w:rPr>
          <w:color w:val="000000"/>
          <w:sz w:val="24"/>
        </w:rPr>
        <w:t>），则</w:t>
      </w:r>
      <w:r>
        <w:rPr>
          <w:bCs/>
          <w:color w:val="000000"/>
          <w:sz w:val="24"/>
        </w:rPr>
        <w:t>项目猪舍冲洗水量总计为</w:t>
      </w:r>
      <w:r>
        <w:rPr>
          <w:rFonts w:hint="eastAsia"/>
          <w:bCs/>
          <w:color w:val="000000"/>
          <w:sz w:val="24"/>
          <w:lang w:val="en-US" w:eastAsia="zh-CN"/>
        </w:rPr>
        <w:t>1980</w:t>
      </w:r>
      <w:r>
        <w:rPr>
          <w:bCs/>
          <w:color w:val="000000"/>
          <w:sz w:val="24"/>
        </w:rPr>
        <w:t>m</w:t>
      </w:r>
      <w:r>
        <w:rPr>
          <w:bCs/>
          <w:color w:val="000000"/>
          <w:sz w:val="24"/>
          <w:vertAlign w:val="superscript"/>
        </w:rPr>
        <w:t>3</w:t>
      </w:r>
      <w:r>
        <w:rPr>
          <w:bCs/>
          <w:color w:val="000000"/>
          <w:sz w:val="24"/>
        </w:rPr>
        <w:t>/a，冲洗过程损耗量按20%计，则猪舍冲洗废水产生量为</w:t>
      </w:r>
      <w:r>
        <w:rPr>
          <w:rFonts w:hint="eastAsia"/>
          <w:bCs/>
          <w:color w:val="000000"/>
          <w:sz w:val="24"/>
          <w:lang w:val="en-US" w:eastAsia="zh-CN"/>
        </w:rPr>
        <w:t>1584</w:t>
      </w:r>
      <w:r>
        <w:rPr>
          <w:bCs/>
          <w:color w:val="000000"/>
          <w:sz w:val="24"/>
        </w:rPr>
        <w:t>m</w:t>
      </w:r>
      <w:r>
        <w:rPr>
          <w:bCs/>
          <w:color w:val="000000"/>
          <w:sz w:val="24"/>
          <w:vertAlign w:val="superscript"/>
        </w:rPr>
        <w:t>3</w:t>
      </w:r>
      <w:r>
        <w:rPr>
          <w:bCs/>
          <w:color w:val="000000"/>
          <w:sz w:val="24"/>
        </w:rPr>
        <w:t>/a。</w:t>
      </w:r>
    </w:p>
    <w:p>
      <w:pPr>
        <w:spacing w:line="520" w:lineRule="exact"/>
        <w:ind w:firstLine="480" w:firstLineChars="200"/>
        <w:rPr>
          <w:sz w:val="24"/>
        </w:rPr>
      </w:pPr>
      <w:r>
        <w:rPr>
          <w:sz w:val="24"/>
        </w:rPr>
        <w:t>C、员工生活及办公废水</w:t>
      </w:r>
    </w:p>
    <w:p>
      <w:pPr>
        <w:spacing w:line="520" w:lineRule="exact"/>
        <w:ind w:firstLine="480" w:firstLineChars="200"/>
        <w:rPr>
          <w:sz w:val="24"/>
        </w:rPr>
      </w:pPr>
      <w:r>
        <w:rPr>
          <w:sz w:val="24"/>
        </w:rPr>
        <w:t>项目设有员工食堂和宿舍，食堂污水经隔油池预处理后，与其他生活污水一同经内部管道引至</w:t>
      </w:r>
      <w:r>
        <w:rPr>
          <w:rFonts w:hint="eastAsia"/>
          <w:sz w:val="24"/>
          <w:lang w:eastAsia="zh-CN"/>
        </w:rPr>
        <w:t>黑膜</w:t>
      </w:r>
      <w:r>
        <w:rPr>
          <w:sz w:val="24"/>
        </w:rPr>
        <w:t>沼气池进行处理。</w:t>
      </w:r>
    </w:p>
    <w:p>
      <w:pPr>
        <w:pStyle w:val="99"/>
        <w:spacing w:line="520" w:lineRule="exact"/>
        <w:ind w:firstLine="480"/>
        <w:rPr>
          <w:color w:val="000000" w:themeColor="text1"/>
        </w:rPr>
      </w:pPr>
      <w:r>
        <w:rPr>
          <w:color w:val="000000" w:themeColor="text1"/>
        </w:rPr>
        <w:t>项目劳动定员</w:t>
      </w:r>
      <w:r>
        <w:rPr>
          <w:rFonts w:hint="eastAsia"/>
          <w:color w:val="000000" w:themeColor="text1"/>
          <w:lang w:val="en-US" w:eastAsia="zh-CN"/>
        </w:rPr>
        <w:t>20</w:t>
      </w:r>
      <w:r>
        <w:rPr>
          <w:color w:val="000000" w:themeColor="text1"/>
        </w:rPr>
        <w:t>人，用水量按120L/人·d，年工作365天，则生活用水量为</w:t>
      </w:r>
      <w:r>
        <w:rPr>
          <w:rFonts w:hint="eastAsia"/>
          <w:lang w:val="en-US" w:eastAsia="zh-CN"/>
        </w:rPr>
        <w:t>2</w:t>
      </w:r>
      <w:r>
        <w:t>.4m</w:t>
      </w:r>
      <w:r>
        <w:rPr>
          <w:vertAlign w:val="superscript"/>
        </w:rPr>
        <w:t>3</w:t>
      </w:r>
      <w:r>
        <w:t>/d、</w:t>
      </w:r>
      <w:r>
        <w:rPr>
          <w:rFonts w:hint="eastAsia"/>
          <w:lang w:val="en-US" w:eastAsia="zh-CN"/>
        </w:rPr>
        <w:t>87</w:t>
      </w:r>
      <w:r>
        <w:t>6m</w:t>
      </w:r>
      <w:r>
        <w:rPr>
          <w:vertAlign w:val="superscript"/>
        </w:rPr>
        <w:t>3</w:t>
      </w:r>
      <w:r>
        <w:t>/a。废水排放量按用水量的80%计算，则生活污水产生量为</w:t>
      </w:r>
      <w:r>
        <w:rPr>
          <w:rFonts w:hint="eastAsia"/>
          <w:lang w:val="en-US" w:eastAsia="zh-CN"/>
        </w:rPr>
        <w:t>1.92</w:t>
      </w:r>
      <w:r>
        <w:t>m</w:t>
      </w:r>
      <w:r>
        <w:rPr>
          <w:vertAlign w:val="superscript"/>
        </w:rPr>
        <w:t>3</w:t>
      </w:r>
      <w:r>
        <w:t>/d、</w:t>
      </w:r>
      <w:r>
        <w:rPr>
          <w:rFonts w:hint="eastAsia"/>
          <w:lang w:val="en-US" w:eastAsia="zh-CN"/>
        </w:rPr>
        <w:t>700</w:t>
      </w:r>
      <w:r>
        <w:t>.8m</w:t>
      </w:r>
      <w:r>
        <w:rPr>
          <w:vertAlign w:val="superscript"/>
        </w:rPr>
        <w:t>3</w:t>
      </w:r>
      <w:r>
        <w:t>/a。</w:t>
      </w:r>
    </w:p>
    <w:p>
      <w:pPr>
        <w:spacing w:line="520" w:lineRule="exact"/>
        <w:ind w:firstLine="480" w:firstLineChars="200"/>
        <w:rPr>
          <w:sz w:val="24"/>
        </w:rPr>
      </w:pPr>
      <w:r>
        <w:rPr>
          <w:sz w:val="24"/>
        </w:rPr>
        <w:t>D、猪粪带入</w:t>
      </w:r>
      <w:r>
        <w:rPr>
          <w:rFonts w:hint="eastAsia"/>
          <w:sz w:val="24"/>
          <w:lang w:eastAsia="zh-CN"/>
        </w:rPr>
        <w:t>黑膜</w:t>
      </w:r>
      <w:r>
        <w:rPr>
          <w:sz w:val="24"/>
        </w:rPr>
        <w:t>沼气池的废水</w:t>
      </w:r>
    </w:p>
    <w:p>
      <w:pPr>
        <w:spacing w:line="520" w:lineRule="exact"/>
        <w:ind w:firstLine="480" w:firstLineChars="200"/>
        <w:rPr>
          <w:bCs/>
        </w:rPr>
      </w:pPr>
      <w:r>
        <w:rPr>
          <w:sz w:val="24"/>
        </w:rPr>
        <w:t>本项目采用干清粪工艺，粪尿产生后经粪污储存池暂存后用泵运至污水前处理系统进行固液分离，经固液分离后，分离出的猪粪运至固粪处置区制有机肥基肥，污水进入</w:t>
      </w:r>
      <w:r>
        <w:rPr>
          <w:rFonts w:hint="eastAsia"/>
          <w:sz w:val="24"/>
          <w:lang w:eastAsia="zh-CN"/>
        </w:rPr>
        <w:t>黑膜</w:t>
      </w:r>
      <w:r>
        <w:rPr>
          <w:sz w:val="24"/>
        </w:rPr>
        <w:t>沼气池进行处理，则猪粪带入</w:t>
      </w:r>
      <w:r>
        <w:rPr>
          <w:rFonts w:hint="eastAsia"/>
          <w:sz w:val="24"/>
          <w:lang w:eastAsia="zh-CN"/>
        </w:rPr>
        <w:t>黑膜</w:t>
      </w:r>
      <w:r>
        <w:rPr>
          <w:sz w:val="24"/>
        </w:rPr>
        <w:t>沼气池的总水量为</w:t>
      </w:r>
      <w:r>
        <w:rPr>
          <w:rFonts w:hint="eastAsia"/>
          <w:sz w:val="24"/>
          <w:lang w:val="en-US" w:eastAsia="zh-CN"/>
        </w:rPr>
        <w:t>2.74</w:t>
      </w:r>
      <w:r>
        <w:rPr>
          <w:sz w:val="24"/>
        </w:rPr>
        <w:t>m</w:t>
      </w:r>
      <w:r>
        <w:rPr>
          <w:sz w:val="24"/>
          <w:vertAlign w:val="superscript"/>
        </w:rPr>
        <w:t>3</w:t>
      </w:r>
      <w:r>
        <w:rPr>
          <w:sz w:val="24"/>
        </w:rPr>
        <w:t>/d、1</w:t>
      </w:r>
      <w:r>
        <w:rPr>
          <w:rFonts w:hint="eastAsia"/>
          <w:sz w:val="24"/>
          <w:lang w:val="en-US" w:eastAsia="zh-CN"/>
        </w:rPr>
        <w:t>001.55</w:t>
      </w:r>
      <w:r>
        <w:rPr>
          <w:sz w:val="24"/>
        </w:rPr>
        <w:t>m</w:t>
      </w:r>
      <w:r>
        <w:rPr>
          <w:sz w:val="24"/>
          <w:vertAlign w:val="superscript"/>
        </w:rPr>
        <w:t>3</w:t>
      </w:r>
      <w:r>
        <w:rPr>
          <w:sz w:val="24"/>
        </w:rPr>
        <w:t>/a。</w:t>
      </w:r>
    </w:p>
    <w:p>
      <w:pPr>
        <w:spacing w:line="520" w:lineRule="exact"/>
        <w:ind w:firstLine="480" w:firstLineChars="200"/>
        <w:rPr>
          <w:sz w:val="24"/>
        </w:rPr>
      </w:pPr>
      <w:r>
        <w:rPr>
          <w:sz w:val="24"/>
        </w:rPr>
        <w:t>（2）污水水质分析</w:t>
      </w:r>
    </w:p>
    <w:p>
      <w:pPr>
        <w:spacing w:line="520" w:lineRule="exact"/>
        <w:ind w:firstLine="480" w:firstLineChars="200"/>
        <w:rPr>
          <w:bCs/>
          <w:sz w:val="24"/>
        </w:rPr>
      </w:pPr>
      <w:r>
        <w:rPr>
          <w:bCs/>
          <w:sz w:val="24"/>
        </w:rPr>
        <w:t>A)养殖废水</w:t>
      </w:r>
    </w:p>
    <w:p>
      <w:pPr>
        <w:spacing w:line="520" w:lineRule="exact"/>
        <w:ind w:firstLine="480" w:firstLineChars="200"/>
        <w:rPr>
          <w:bCs/>
          <w:sz w:val="24"/>
        </w:rPr>
      </w:pPr>
      <w:r>
        <w:rPr>
          <w:bCs/>
          <w:sz w:val="24"/>
        </w:rPr>
        <w:t>项目养殖废水总量为</w:t>
      </w:r>
      <w:r>
        <w:rPr>
          <w:rFonts w:hint="eastAsia"/>
          <w:bCs/>
          <w:sz w:val="24"/>
          <w:lang w:val="en-US" w:eastAsia="zh-CN"/>
        </w:rPr>
        <w:t>8323.694</w:t>
      </w:r>
      <w:r>
        <w:rPr>
          <w:bCs/>
          <w:sz w:val="24"/>
        </w:rPr>
        <w:t>m</w:t>
      </w:r>
      <w:r>
        <w:rPr>
          <w:bCs/>
          <w:sz w:val="24"/>
          <w:vertAlign w:val="superscript"/>
        </w:rPr>
        <w:t>3</w:t>
      </w:r>
      <w:r>
        <w:rPr>
          <w:bCs/>
          <w:sz w:val="24"/>
        </w:rPr>
        <w:t>/a。</w:t>
      </w:r>
      <w:r>
        <w:rPr>
          <w:color w:val="000000"/>
          <w:sz w:val="24"/>
        </w:rPr>
        <w:t>根据</w:t>
      </w:r>
      <w:r>
        <w:rPr>
          <w:bCs/>
          <w:color w:val="000000"/>
          <w:sz w:val="24"/>
        </w:rPr>
        <w:t>其他已建成运行养殖场废水产生情况，</w:t>
      </w:r>
      <w:r>
        <w:rPr>
          <w:bCs/>
          <w:sz w:val="24"/>
        </w:rPr>
        <w:t>养殖废水中主要污染物产生浓度分别为COD</w:t>
      </w:r>
      <w:r>
        <w:rPr>
          <w:sz w:val="24"/>
        </w:rPr>
        <w:t>19500mg/L</w:t>
      </w:r>
      <w:r>
        <w:rPr>
          <w:bCs/>
          <w:sz w:val="24"/>
        </w:rPr>
        <w:t>、BOD</w:t>
      </w:r>
      <w:r>
        <w:rPr>
          <w:bCs/>
          <w:sz w:val="24"/>
          <w:vertAlign w:val="subscript"/>
        </w:rPr>
        <w:t xml:space="preserve">5 </w:t>
      </w:r>
      <w:r>
        <w:rPr>
          <w:bCs/>
          <w:sz w:val="24"/>
        </w:rPr>
        <w:t>8000mg/L、SS 16000mg/L、NH</w:t>
      </w:r>
      <w:r>
        <w:rPr>
          <w:bCs/>
          <w:sz w:val="24"/>
          <w:vertAlign w:val="subscript"/>
        </w:rPr>
        <w:t>3</w:t>
      </w:r>
      <w:r>
        <w:rPr>
          <w:bCs/>
          <w:sz w:val="24"/>
        </w:rPr>
        <w:t>-N</w:t>
      </w:r>
      <w:r>
        <w:rPr>
          <w:sz w:val="24"/>
        </w:rPr>
        <w:t>1200mg/L</w:t>
      </w:r>
      <w:r>
        <w:rPr>
          <w:bCs/>
          <w:sz w:val="24"/>
        </w:rPr>
        <w:t>，则</w:t>
      </w:r>
      <w:r>
        <w:rPr>
          <w:color w:val="000000"/>
          <w:sz w:val="24"/>
        </w:rPr>
        <w:t>本项目</w:t>
      </w:r>
      <w:r>
        <w:rPr>
          <w:bCs/>
          <w:sz w:val="24"/>
        </w:rPr>
        <w:t xml:space="preserve">污染物产生量分别为COD </w:t>
      </w:r>
      <w:r>
        <w:rPr>
          <w:rFonts w:hint="eastAsia"/>
          <w:bCs/>
          <w:sz w:val="24"/>
          <w:lang w:val="en-US" w:eastAsia="zh-CN"/>
        </w:rPr>
        <w:t>162.31</w:t>
      </w:r>
      <w:r>
        <w:rPr>
          <w:bCs/>
          <w:sz w:val="24"/>
        </w:rPr>
        <w:t>t/a、BOD</w:t>
      </w:r>
      <w:r>
        <w:rPr>
          <w:bCs/>
          <w:sz w:val="24"/>
          <w:vertAlign w:val="subscript"/>
        </w:rPr>
        <w:t>5</w:t>
      </w:r>
      <w:r>
        <w:rPr>
          <w:rFonts w:hint="eastAsia"/>
          <w:bCs/>
          <w:sz w:val="24"/>
          <w:lang w:val="en-US" w:eastAsia="zh-CN"/>
        </w:rPr>
        <w:t>66.59</w:t>
      </w:r>
      <w:r>
        <w:rPr>
          <w:bCs/>
          <w:sz w:val="24"/>
        </w:rPr>
        <w:t xml:space="preserve">t/a、SS </w:t>
      </w:r>
      <w:r>
        <w:rPr>
          <w:rFonts w:hint="eastAsia"/>
          <w:bCs/>
          <w:sz w:val="24"/>
          <w:lang w:val="en-US" w:eastAsia="zh-CN"/>
        </w:rPr>
        <w:t>133.18</w:t>
      </w:r>
      <w:r>
        <w:rPr>
          <w:bCs/>
          <w:sz w:val="24"/>
        </w:rPr>
        <w:t>t/a、NH</w:t>
      </w:r>
      <w:r>
        <w:rPr>
          <w:bCs/>
          <w:sz w:val="24"/>
          <w:vertAlign w:val="subscript"/>
        </w:rPr>
        <w:t>3</w:t>
      </w:r>
      <w:r>
        <w:rPr>
          <w:bCs/>
          <w:sz w:val="24"/>
        </w:rPr>
        <w:t>-N</w:t>
      </w:r>
      <w:r>
        <w:rPr>
          <w:rFonts w:hint="eastAsia"/>
          <w:bCs/>
          <w:sz w:val="24"/>
          <w:lang w:val="en-US" w:eastAsia="zh-CN"/>
        </w:rPr>
        <w:t>9.99</w:t>
      </w:r>
      <w:r>
        <w:rPr>
          <w:bCs/>
          <w:sz w:val="24"/>
        </w:rPr>
        <w:t>t/a，经过固液分离器进入沼气池后废水水质为COD</w:t>
      </w:r>
      <w:r>
        <w:rPr>
          <w:sz w:val="24"/>
        </w:rPr>
        <w:t>15000mg/L</w:t>
      </w:r>
      <w:r>
        <w:rPr>
          <w:bCs/>
          <w:sz w:val="24"/>
        </w:rPr>
        <w:t>、BOD</w:t>
      </w:r>
      <w:r>
        <w:rPr>
          <w:bCs/>
          <w:sz w:val="24"/>
          <w:vertAlign w:val="subscript"/>
        </w:rPr>
        <w:t xml:space="preserve">5 </w:t>
      </w:r>
      <w:r>
        <w:rPr>
          <w:bCs/>
          <w:sz w:val="24"/>
        </w:rPr>
        <w:t>6000mg/L、SS78000mg/L、NH</w:t>
      </w:r>
      <w:r>
        <w:rPr>
          <w:bCs/>
          <w:sz w:val="24"/>
          <w:vertAlign w:val="subscript"/>
        </w:rPr>
        <w:t>3</w:t>
      </w:r>
      <w:r>
        <w:rPr>
          <w:bCs/>
          <w:sz w:val="24"/>
        </w:rPr>
        <w:t>-N</w:t>
      </w:r>
      <w:r>
        <w:rPr>
          <w:sz w:val="24"/>
        </w:rPr>
        <w:t>1000mg/L</w:t>
      </w:r>
      <w:r>
        <w:rPr>
          <w:bCs/>
          <w:sz w:val="24"/>
        </w:rPr>
        <w:t>。</w:t>
      </w:r>
      <w:r>
        <w:rPr>
          <w:bCs/>
          <w:color w:val="000000"/>
          <w:sz w:val="24"/>
        </w:rPr>
        <w:t>废水经“</w:t>
      </w:r>
      <w:r>
        <w:rPr>
          <w:rFonts w:hint="eastAsia"/>
          <w:bCs/>
          <w:color w:val="000000"/>
          <w:sz w:val="24"/>
          <w:lang w:val="en-US" w:eastAsia="zh-CN"/>
        </w:rPr>
        <w:t>黑膜</w:t>
      </w:r>
      <w:r>
        <w:rPr>
          <w:bCs/>
          <w:color w:val="000000"/>
          <w:sz w:val="24"/>
        </w:rPr>
        <w:t>沼气池、沼气沼液沼渣综合利用”工艺处理后，</w:t>
      </w:r>
      <w:r>
        <w:rPr>
          <w:color w:val="000000"/>
          <w:sz w:val="24"/>
        </w:rPr>
        <w:t>废水中主要污染物浓度约为COD3000mg/L、BOD</w:t>
      </w:r>
      <w:r>
        <w:rPr>
          <w:color w:val="000000"/>
          <w:sz w:val="24"/>
          <w:vertAlign w:val="subscript"/>
        </w:rPr>
        <w:t>5</w:t>
      </w:r>
      <w:r>
        <w:rPr>
          <w:color w:val="000000"/>
          <w:sz w:val="24"/>
        </w:rPr>
        <w:t>1400mg/L、SS2000mg/L、</w:t>
      </w:r>
      <w:r>
        <w:rPr>
          <w:bCs/>
          <w:color w:val="000000"/>
          <w:sz w:val="24"/>
        </w:rPr>
        <w:t>NH</w:t>
      </w:r>
      <w:r>
        <w:rPr>
          <w:bCs/>
          <w:color w:val="000000"/>
          <w:sz w:val="24"/>
          <w:vertAlign w:val="subscript"/>
        </w:rPr>
        <w:t>3</w:t>
      </w:r>
      <w:r>
        <w:rPr>
          <w:bCs/>
          <w:color w:val="000000"/>
          <w:sz w:val="24"/>
        </w:rPr>
        <w:t>-N</w:t>
      </w:r>
      <w:r>
        <w:rPr>
          <w:color w:val="000000"/>
          <w:sz w:val="24"/>
        </w:rPr>
        <w:t>900mg/L。</w:t>
      </w:r>
    </w:p>
    <w:p>
      <w:pPr>
        <w:spacing w:line="520" w:lineRule="exact"/>
        <w:ind w:firstLine="480" w:firstLineChars="200"/>
        <w:rPr>
          <w:bCs/>
          <w:sz w:val="24"/>
        </w:rPr>
      </w:pPr>
      <w:r>
        <w:rPr>
          <w:bCs/>
          <w:sz w:val="24"/>
        </w:rPr>
        <w:t>B)生活污水</w:t>
      </w:r>
    </w:p>
    <w:p>
      <w:pPr>
        <w:spacing w:line="520" w:lineRule="exact"/>
        <w:ind w:firstLine="480" w:firstLineChars="200"/>
        <w:rPr>
          <w:bCs/>
          <w:sz w:val="24"/>
        </w:rPr>
      </w:pPr>
      <w:r>
        <w:rPr>
          <w:bCs/>
          <w:sz w:val="24"/>
        </w:rPr>
        <w:t>生活污水产生量为</w:t>
      </w:r>
      <w:r>
        <w:rPr>
          <w:rFonts w:hint="eastAsia"/>
          <w:bCs/>
          <w:sz w:val="24"/>
          <w:lang w:val="en-US" w:eastAsia="zh-CN"/>
        </w:rPr>
        <w:t>1.9</w:t>
      </w:r>
      <w:r>
        <w:rPr>
          <w:bCs/>
          <w:sz w:val="24"/>
        </w:rPr>
        <w:t>2</w:t>
      </w:r>
      <w:r>
        <w:rPr>
          <w:sz w:val="24"/>
        </w:rPr>
        <w:t>m</w:t>
      </w:r>
      <w:r>
        <w:rPr>
          <w:sz w:val="24"/>
          <w:vertAlign w:val="superscript"/>
        </w:rPr>
        <w:t>3</w:t>
      </w:r>
      <w:r>
        <w:rPr>
          <w:sz w:val="24"/>
        </w:rPr>
        <w:t>/d、</w:t>
      </w:r>
      <w:r>
        <w:rPr>
          <w:rFonts w:hint="eastAsia"/>
          <w:sz w:val="24"/>
          <w:lang w:val="en-US" w:eastAsia="zh-CN"/>
        </w:rPr>
        <w:t>700</w:t>
      </w:r>
      <w:r>
        <w:rPr>
          <w:sz w:val="24"/>
        </w:rPr>
        <w:t>.8m</w:t>
      </w:r>
      <w:r>
        <w:rPr>
          <w:sz w:val="24"/>
          <w:vertAlign w:val="superscript"/>
        </w:rPr>
        <w:t>3</w:t>
      </w:r>
      <w:r>
        <w:rPr>
          <w:sz w:val="24"/>
        </w:rPr>
        <w:t>/a</w:t>
      </w:r>
      <w:r>
        <w:rPr>
          <w:bCs/>
          <w:sz w:val="24"/>
        </w:rPr>
        <w:t>，主要污染物产生浓度分别为COD300mg/L、BOD</w:t>
      </w:r>
      <w:r>
        <w:rPr>
          <w:bCs/>
          <w:sz w:val="24"/>
          <w:vertAlign w:val="subscript"/>
        </w:rPr>
        <w:t>5</w:t>
      </w:r>
      <w:r>
        <w:rPr>
          <w:bCs/>
          <w:sz w:val="24"/>
        </w:rPr>
        <w:t>150mg/L、SS200mg/L 、NH</w:t>
      </w:r>
      <w:r>
        <w:rPr>
          <w:bCs/>
          <w:sz w:val="24"/>
          <w:vertAlign w:val="subscript"/>
        </w:rPr>
        <w:t>3</w:t>
      </w:r>
      <w:r>
        <w:rPr>
          <w:bCs/>
          <w:sz w:val="24"/>
        </w:rPr>
        <w:t>-N 30mg/L。</w:t>
      </w:r>
    </w:p>
    <w:p>
      <w:pPr>
        <w:spacing w:line="520" w:lineRule="exact"/>
        <w:ind w:firstLine="480" w:firstLineChars="200"/>
        <w:rPr>
          <w:bCs/>
          <w:color w:val="FF0000"/>
          <w:sz w:val="24"/>
        </w:rPr>
      </w:pPr>
      <w:r>
        <w:rPr>
          <w:sz w:val="24"/>
        </w:rPr>
        <w:t>养殖场在春、秋、冬季节用排水量无明显差异，因此项目废水排放量分析按照夏季及</w:t>
      </w:r>
      <w:r>
        <w:rPr>
          <w:bCs/>
          <w:sz w:val="24"/>
        </w:rPr>
        <w:t>春、秋、冬季节（即非夏季）进行分析，养殖废水与生活污水混合后，废水总排水量为</w:t>
      </w:r>
      <w:r>
        <w:rPr>
          <w:rFonts w:hint="eastAsia"/>
          <w:bCs/>
          <w:sz w:val="24"/>
          <w:lang w:val="en-US" w:eastAsia="zh-CN"/>
        </w:rPr>
        <w:t>9024.49</w:t>
      </w:r>
      <w:r>
        <w:rPr>
          <w:bCs/>
          <w:sz w:val="24"/>
        </w:rPr>
        <w:t>m</w:t>
      </w:r>
      <w:r>
        <w:rPr>
          <w:bCs/>
          <w:sz w:val="24"/>
          <w:vertAlign w:val="superscript"/>
        </w:rPr>
        <w:t>3</w:t>
      </w:r>
      <w:r>
        <w:rPr>
          <w:bCs/>
          <w:sz w:val="24"/>
        </w:rPr>
        <w:t>/a，夏季</w:t>
      </w:r>
      <w:r>
        <w:rPr>
          <w:rFonts w:hint="eastAsia"/>
          <w:bCs/>
          <w:sz w:val="24"/>
          <w:lang w:val="en-US" w:eastAsia="zh-CN"/>
        </w:rPr>
        <w:t>30.232</w:t>
      </w:r>
      <w:r>
        <w:rPr>
          <w:bCs/>
          <w:sz w:val="24"/>
        </w:rPr>
        <w:t>m</w:t>
      </w:r>
      <w:r>
        <w:rPr>
          <w:bCs/>
          <w:sz w:val="24"/>
          <w:vertAlign w:val="superscript"/>
        </w:rPr>
        <w:t>3</w:t>
      </w:r>
      <w:r>
        <w:rPr>
          <w:bCs/>
          <w:sz w:val="24"/>
        </w:rPr>
        <w:t>/d，其他季节</w:t>
      </w:r>
      <w:r>
        <w:rPr>
          <w:rFonts w:hint="eastAsia"/>
          <w:bCs/>
          <w:sz w:val="24"/>
          <w:lang w:val="en-US" w:eastAsia="zh-CN"/>
        </w:rPr>
        <w:t>21.732</w:t>
      </w:r>
      <w:r>
        <w:rPr>
          <w:bCs/>
          <w:sz w:val="24"/>
        </w:rPr>
        <w:t>m</w:t>
      </w:r>
      <w:r>
        <w:rPr>
          <w:bCs/>
          <w:sz w:val="24"/>
          <w:vertAlign w:val="superscript"/>
        </w:rPr>
        <w:t>3</w:t>
      </w:r>
      <w:r>
        <w:rPr>
          <w:bCs/>
          <w:sz w:val="24"/>
        </w:rPr>
        <w:t>/d。</w:t>
      </w:r>
    </w:p>
    <w:p>
      <w:pPr>
        <w:spacing w:line="520" w:lineRule="exact"/>
        <w:ind w:firstLine="480" w:firstLineChars="200"/>
        <w:rPr>
          <w:color w:val="FF0000"/>
          <w:sz w:val="24"/>
        </w:rPr>
      </w:pPr>
      <w:r>
        <w:rPr>
          <w:bCs/>
          <w:sz w:val="24"/>
        </w:rPr>
        <w:t>本项目采取</w:t>
      </w:r>
      <w:r>
        <w:rPr>
          <w:sz w:val="24"/>
        </w:rPr>
        <w:t>干清粪工艺，</w:t>
      </w:r>
      <w:r>
        <w:rPr>
          <w:rFonts w:hint="eastAsia"/>
          <w:sz w:val="24"/>
          <w:lang w:eastAsia="zh-CN"/>
        </w:rPr>
        <w:t>黑膜</w:t>
      </w:r>
      <w:r>
        <w:rPr>
          <w:sz w:val="24"/>
        </w:rPr>
        <w:t>沼气池、沼气沼液沼渣综合利用”处理工艺</w:t>
      </w:r>
      <w:r>
        <w:rPr>
          <w:bCs/>
          <w:sz w:val="24"/>
        </w:rPr>
        <w:t>，养殖废水和生活污水进入</w:t>
      </w:r>
      <w:r>
        <w:rPr>
          <w:rFonts w:hint="eastAsia"/>
          <w:bCs/>
          <w:sz w:val="24"/>
          <w:lang w:eastAsia="zh-CN"/>
        </w:rPr>
        <w:t>黑膜</w:t>
      </w:r>
      <w:r>
        <w:rPr>
          <w:bCs/>
          <w:sz w:val="24"/>
        </w:rPr>
        <w:t>沼气池进行30天厌氧发酵处理，</w:t>
      </w:r>
      <w:r>
        <w:rPr>
          <w:rFonts w:hint="eastAsia"/>
          <w:sz w:val="24"/>
          <w:lang w:eastAsia="zh-CN"/>
        </w:rPr>
        <w:t>黑膜</w:t>
      </w:r>
      <w:r>
        <w:rPr>
          <w:sz w:val="24"/>
        </w:rPr>
        <w:t>沼气池设计容积为</w:t>
      </w:r>
      <w:r>
        <w:rPr>
          <w:rFonts w:hint="eastAsia"/>
          <w:sz w:val="24"/>
          <w:lang w:val="en-US" w:eastAsia="zh-CN"/>
        </w:rPr>
        <w:t>10</w:t>
      </w:r>
      <w:r>
        <w:rPr>
          <w:sz w:val="24"/>
        </w:rPr>
        <w:t>00</w:t>
      </w:r>
      <w:r>
        <w:rPr>
          <w:bCs/>
          <w:sz w:val="24"/>
        </w:rPr>
        <w:t>m</w:t>
      </w:r>
      <w:r>
        <w:rPr>
          <w:bCs/>
          <w:sz w:val="24"/>
          <w:vertAlign w:val="superscript"/>
        </w:rPr>
        <w:t>3</w:t>
      </w:r>
      <w:r>
        <w:rPr>
          <w:sz w:val="24"/>
        </w:rPr>
        <w:t>，满足夏季最大容</w:t>
      </w:r>
      <w:r>
        <w:rPr>
          <w:color w:val="000000" w:themeColor="text1"/>
          <w:sz w:val="24"/>
        </w:rPr>
        <w:t>纳30天共</w:t>
      </w:r>
      <w:r>
        <w:rPr>
          <w:rFonts w:hint="eastAsia"/>
          <w:color w:val="000000" w:themeColor="text1"/>
          <w:sz w:val="24"/>
          <w:lang w:val="en-US" w:eastAsia="zh-CN"/>
        </w:rPr>
        <w:t>906.96</w:t>
      </w:r>
      <w:r>
        <w:rPr>
          <w:bCs/>
          <w:color w:val="000000" w:themeColor="text1"/>
          <w:sz w:val="24"/>
        </w:rPr>
        <w:t>m</w:t>
      </w:r>
      <w:r>
        <w:rPr>
          <w:bCs/>
          <w:color w:val="000000" w:themeColor="text1"/>
          <w:sz w:val="24"/>
          <w:vertAlign w:val="superscript"/>
        </w:rPr>
        <w:t>3</w:t>
      </w:r>
      <w:r>
        <w:rPr>
          <w:color w:val="000000" w:themeColor="text1"/>
          <w:sz w:val="24"/>
        </w:rPr>
        <w:t>废</w:t>
      </w:r>
      <w:r>
        <w:rPr>
          <w:sz w:val="24"/>
        </w:rPr>
        <w:t>水处理需求。</w:t>
      </w:r>
    </w:p>
    <w:p>
      <w:pPr>
        <w:topLinePunct/>
        <w:spacing w:line="500" w:lineRule="exact"/>
        <w:ind w:firstLine="480" w:firstLineChars="200"/>
        <w:rPr>
          <w:sz w:val="24"/>
        </w:rPr>
      </w:pPr>
      <w:r>
        <w:rPr>
          <w:bCs/>
          <w:sz w:val="24"/>
        </w:rPr>
        <w:t>项目场区废水产生后统一进入</w:t>
      </w:r>
      <w:r>
        <w:rPr>
          <w:rFonts w:hint="eastAsia"/>
          <w:bCs/>
          <w:sz w:val="24"/>
          <w:lang w:eastAsia="zh-CN"/>
        </w:rPr>
        <w:t>黑膜</w:t>
      </w:r>
      <w:r>
        <w:rPr>
          <w:bCs/>
          <w:sz w:val="24"/>
        </w:rPr>
        <w:t>沼气池进行处理，经过厌氧发酵的出水沼液在耕作施肥期用于配套消纳地进行综合利用，场内沼液储存池中暂存，不外排。</w:t>
      </w:r>
      <w:r>
        <w:rPr>
          <w:bCs/>
          <w:color w:val="000000"/>
          <w:sz w:val="24"/>
        </w:rPr>
        <w:t>工程</w:t>
      </w:r>
      <w:r>
        <w:rPr>
          <w:rFonts w:hint="eastAsia"/>
          <w:color w:val="000000"/>
          <w:sz w:val="24"/>
          <w:lang w:eastAsia="zh-CN"/>
        </w:rPr>
        <w:t>黑膜</w:t>
      </w:r>
      <w:r>
        <w:rPr>
          <w:color w:val="000000"/>
          <w:sz w:val="24"/>
        </w:rPr>
        <w:t>沼气池设计水力停留时间为30天，能够在保证废水处理效果。废水进厌氧发酵塘前经收集池均匀水质水量，做到沼液的保氮保肥，最大限度的发挥</w:t>
      </w:r>
      <w:r>
        <w:rPr>
          <w:rFonts w:hint="eastAsia"/>
          <w:color w:val="000000"/>
          <w:sz w:val="24"/>
          <w:lang w:eastAsia="zh-CN"/>
        </w:rPr>
        <w:t>黑膜</w:t>
      </w:r>
      <w:r>
        <w:rPr>
          <w:color w:val="000000"/>
          <w:sz w:val="24"/>
        </w:rPr>
        <w:t>沼气池除臭杀菌的作用。经过厌氧发酵处理后产生的沼液属于高浓度有机废水，该废水具有有机物浓度高、可生化性好、易降解的特点，是较为理想的有机肥。</w:t>
      </w:r>
      <w:r>
        <w:rPr>
          <w:sz w:val="24"/>
        </w:rPr>
        <w:t>项目废水中主要污染物去除效率为COD80%、BOD</w:t>
      </w:r>
      <w:r>
        <w:rPr>
          <w:sz w:val="24"/>
          <w:vertAlign w:val="subscript"/>
        </w:rPr>
        <w:t>5</w:t>
      </w:r>
      <w:r>
        <w:rPr>
          <w:sz w:val="24"/>
        </w:rPr>
        <w:t>82.5%、SS87.5%、氨氮25%。</w:t>
      </w:r>
    </w:p>
    <w:p>
      <w:pPr>
        <w:spacing w:line="520" w:lineRule="exact"/>
        <w:ind w:firstLine="480" w:firstLineChars="200"/>
        <w:rPr>
          <w:b w:val="0"/>
          <w:bCs w:val="0"/>
          <w:sz w:val="24"/>
          <w:u w:val="none"/>
        </w:rPr>
      </w:pPr>
      <w:r>
        <w:rPr>
          <w:b w:val="0"/>
          <w:bCs w:val="0"/>
          <w:sz w:val="24"/>
          <w:u w:val="none"/>
        </w:rPr>
        <w:t>项目废水主要污染物产生及排放汇总表见表</w:t>
      </w:r>
      <w:r>
        <w:rPr>
          <w:rFonts w:hint="eastAsia"/>
          <w:b w:val="0"/>
          <w:bCs w:val="0"/>
          <w:sz w:val="24"/>
          <w:u w:val="none"/>
          <w:lang w:val="en-US" w:eastAsia="zh-CN"/>
        </w:rPr>
        <w:t>2</w:t>
      </w:r>
      <w:r>
        <w:rPr>
          <w:b w:val="0"/>
          <w:bCs w:val="0"/>
          <w:sz w:val="24"/>
          <w:u w:val="none"/>
        </w:rPr>
        <w:t>.3-9。</w:t>
      </w:r>
    </w:p>
    <w:p>
      <w:pPr>
        <w:kinsoku w:val="0"/>
        <w:overflowPunct w:val="0"/>
        <w:spacing w:afterLines="30" w:line="500" w:lineRule="exact"/>
        <w:jc w:val="center"/>
        <w:rPr>
          <w:b w:val="0"/>
          <w:bCs w:val="0"/>
          <w:sz w:val="24"/>
          <w:u w:val="none"/>
        </w:rPr>
      </w:pPr>
      <w:bookmarkStart w:id="152" w:name="_Toc407001410"/>
      <w:bookmarkStart w:id="153" w:name="_Toc311979863"/>
      <w:bookmarkStart w:id="154" w:name="_Toc413166137"/>
      <w:bookmarkStart w:id="155" w:name="_Toc388881918"/>
      <w:bookmarkStart w:id="156" w:name="_Toc311979931"/>
      <w:bookmarkStart w:id="157" w:name="_Toc406847417"/>
      <w:bookmarkStart w:id="158" w:name="_Toc311979818"/>
      <w:bookmarkStart w:id="159" w:name="_Toc269400718"/>
      <w:r>
        <w:rPr>
          <w:b w:val="0"/>
          <w:bCs w:val="0"/>
          <w:sz w:val="24"/>
          <w:u w:val="none"/>
        </w:rPr>
        <w:t>表</w:t>
      </w:r>
      <w:r>
        <w:rPr>
          <w:rFonts w:hint="eastAsia"/>
          <w:b w:val="0"/>
          <w:bCs w:val="0"/>
          <w:sz w:val="24"/>
          <w:u w:val="none"/>
          <w:lang w:val="en-US" w:eastAsia="zh-CN"/>
        </w:rPr>
        <w:t>2</w:t>
      </w:r>
      <w:r>
        <w:rPr>
          <w:b w:val="0"/>
          <w:bCs w:val="0"/>
          <w:sz w:val="24"/>
          <w:u w:val="none"/>
        </w:rPr>
        <w:t>.3-9工程废水主要污染物产生及排放情况一览表</w:t>
      </w:r>
    </w:p>
    <w:tbl>
      <w:tblPr>
        <w:tblStyle w:val="45"/>
        <w:tblW w:w="87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4"/>
        <w:gridCol w:w="1121"/>
        <w:gridCol w:w="1118"/>
        <w:gridCol w:w="1402"/>
        <w:gridCol w:w="1398"/>
        <w:gridCol w:w="1114"/>
        <w:gridCol w:w="1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274"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来源</w:t>
            </w:r>
          </w:p>
        </w:tc>
        <w:tc>
          <w:tcPr>
            <w:tcW w:w="1121" w:type="dxa"/>
            <w:vAlign w:val="center"/>
          </w:tcPr>
          <w:p>
            <w:pPr>
              <w:adjustRightInd w:val="0"/>
              <w:snapToGrid w:val="0"/>
              <w:spacing w:line="360" w:lineRule="exact"/>
              <w:jc w:val="center"/>
              <w:rPr>
                <w:b w:val="0"/>
                <w:bCs w:val="0"/>
                <w:szCs w:val="21"/>
                <w:u w:val="none"/>
              </w:rPr>
            </w:pPr>
            <w:r>
              <w:rPr>
                <w:b w:val="0"/>
                <w:bCs w:val="0"/>
                <w:szCs w:val="21"/>
                <w:u w:val="none"/>
              </w:rPr>
              <w:t>水量m</w:t>
            </w:r>
            <w:r>
              <w:rPr>
                <w:b w:val="0"/>
                <w:bCs w:val="0"/>
                <w:szCs w:val="21"/>
                <w:u w:val="none"/>
                <w:vertAlign w:val="superscript"/>
              </w:rPr>
              <w:t>3</w:t>
            </w:r>
            <w:r>
              <w:rPr>
                <w:b w:val="0"/>
                <w:bCs w:val="0"/>
                <w:szCs w:val="21"/>
                <w:u w:val="none"/>
              </w:rPr>
              <w:t>/a</w:t>
            </w: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指标</w:t>
            </w:r>
          </w:p>
        </w:tc>
        <w:tc>
          <w:tcPr>
            <w:tcW w:w="1402" w:type="dxa"/>
            <w:vAlign w:val="center"/>
          </w:tcPr>
          <w:p>
            <w:pPr>
              <w:adjustRightInd w:val="0"/>
              <w:snapToGrid w:val="0"/>
              <w:spacing w:line="360" w:lineRule="exact"/>
              <w:jc w:val="center"/>
              <w:rPr>
                <w:b w:val="0"/>
                <w:bCs w:val="0"/>
                <w:szCs w:val="21"/>
                <w:u w:val="none"/>
              </w:rPr>
            </w:pPr>
            <w:r>
              <w:rPr>
                <w:b w:val="0"/>
                <w:bCs w:val="0"/>
                <w:szCs w:val="21"/>
                <w:u w:val="none"/>
              </w:rPr>
              <w:t>浓度mg/L</w:t>
            </w:r>
          </w:p>
        </w:tc>
        <w:tc>
          <w:tcPr>
            <w:tcW w:w="139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产生量t/a</w:t>
            </w:r>
          </w:p>
        </w:tc>
        <w:tc>
          <w:tcPr>
            <w:tcW w:w="1114" w:type="dxa"/>
            <w:vAlign w:val="center"/>
          </w:tcPr>
          <w:p>
            <w:pPr>
              <w:adjustRightInd w:val="0"/>
              <w:snapToGrid w:val="0"/>
              <w:spacing w:line="360" w:lineRule="exact"/>
              <w:jc w:val="center"/>
              <w:rPr>
                <w:b w:val="0"/>
                <w:bCs w:val="0"/>
                <w:szCs w:val="21"/>
                <w:u w:val="none"/>
              </w:rPr>
            </w:pPr>
            <w:r>
              <w:rPr>
                <w:b w:val="0"/>
                <w:bCs w:val="0"/>
                <w:szCs w:val="21"/>
                <w:u w:val="none"/>
              </w:rPr>
              <w:t>排放量t/a</w:t>
            </w:r>
          </w:p>
        </w:tc>
        <w:tc>
          <w:tcPr>
            <w:tcW w:w="1333"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spacing w:line="360" w:lineRule="exact"/>
              <w:jc w:val="center"/>
              <w:rPr>
                <w:b w:val="0"/>
                <w:bCs w:val="0"/>
                <w:szCs w:val="21"/>
                <w:u w:val="none"/>
              </w:rPr>
            </w:pPr>
            <w:r>
              <w:rPr>
                <w:b w:val="0"/>
                <w:bCs w:val="0"/>
                <w:szCs w:val="21"/>
                <w:u w:val="none"/>
              </w:rPr>
              <w:t>养殖废水</w:t>
            </w:r>
          </w:p>
        </w:tc>
        <w:tc>
          <w:tcPr>
            <w:tcW w:w="1121" w:type="dxa"/>
            <w:vMerge w:val="restart"/>
            <w:vAlign w:val="center"/>
          </w:tcPr>
          <w:p>
            <w:pPr>
              <w:jc w:val="center"/>
              <w:rPr>
                <w:b w:val="0"/>
                <w:bCs w:val="0"/>
                <w:sz w:val="21"/>
                <w:szCs w:val="21"/>
                <w:u w:val="none"/>
              </w:rPr>
            </w:pPr>
            <w:r>
              <w:rPr>
                <w:rFonts w:hint="eastAsia"/>
                <w:bCs/>
                <w:sz w:val="21"/>
                <w:szCs w:val="21"/>
                <w:lang w:val="en-US" w:eastAsia="zh-CN"/>
              </w:rPr>
              <w:t>8323.694</w:t>
            </w: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COD</w:t>
            </w:r>
          </w:p>
        </w:tc>
        <w:tc>
          <w:tcPr>
            <w:tcW w:w="1402" w:type="dxa"/>
            <w:vAlign w:val="bottom"/>
          </w:tcPr>
          <w:p>
            <w:pPr>
              <w:jc w:val="center"/>
              <w:rPr>
                <w:b w:val="0"/>
                <w:bCs w:val="0"/>
                <w:color w:val="000000"/>
                <w:szCs w:val="21"/>
                <w:u w:val="none"/>
              </w:rPr>
            </w:pPr>
            <w:r>
              <w:rPr>
                <w:b w:val="0"/>
                <w:bCs w:val="0"/>
                <w:color w:val="000000"/>
                <w:szCs w:val="21"/>
                <w:u w:val="none"/>
              </w:rPr>
              <w:t>15000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124.86 </w:t>
            </w:r>
          </w:p>
        </w:tc>
        <w:tc>
          <w:tcPr>
            <w:tcW w:w="1114" w:type="dxa"/>
            <w:vMerge w:val="restart"/>
            <w:vAlign w:val="center"/>
          </w:tcPr>
          <w:p>
            <w:pPr>
              <w:adjustRightInd w:val="0"/>
              <w:snapToGrid w:val="0"/>
              <w:spacing w:line="360" w:lineRule="exact"/>
              <w:jc w:val="center"/>
              <w:rPr>
                <w:b w:val="0"/>
                <w:bCs w:val="0"/>
                <w:szCs w:val="21"/>
                <w:u w:val="none"/>
              </w:rPr>
            </w:pPr>
            <w:r>
              <w:rPr>
                <w:b w:val="0"/>
                <w:bCs w:val="0"/>
                <w:szCs w:val="21"/>
                <w:u w:val="none"/>
              </w:rPr>
              <w:t>0</w:t>
            </w:r>
          </w:p>
        </w:tc>
        <w:tc>
          <w:tcPr>
            <w:tcW w:w="1333" w:type="dxa"/>
            <w:vMerge w:val="restart"/>
            <w:tcMar>
              <w:left w:w="0" w:type="dxa"/>
              <w:right w:w="0" w:type="dxa"/>
            </w:tcMar>
            <w:vAlign w:val="center"/>
          </w:tcPr>
          <w:p>
            <w:pPr>
              <w:adjustRightInd w:val="0"/>
              <w:snapToGrid w:val="0"/>
              <w:spacing w:line="360" w:lineRule="exact"/>
              <w:jc w:val="center"/>
              <w:rPr>
                <w:rFonts w:hint="default" w:eastAsia="宋体"/>
                <w:b w:val="0"/>
                <w:bCs w:val="0"/>
                <w:szCs w:val="21"/>
                <w:u w:val="none"/>
                <w:lang w:val="en-US" w:eastAsia="zh-CN"/>
              </w:rPr>
            </w:pPr>
            <w:r>
              <w:rPr>
                <w:rFonts w:hint="eastAsia"/>
                <w:b w:val="0"/>
                <w:bCs w:val="0"/>
                <w:szCs w:val="21"/>
                <w:u w:val="none"/>
                <w:lang w:val="en-US" w:eastAsia="zh-CN"/>
              </w:rPr>
              <w:t>用于周边林地施肥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b w:val="0"/>
                <w:bCs w:val="0"/>
                <w:color w:val="FF0000"/>
                <w:szCs w:val="21"/>
                <w:u w:val="none"/>
              </w:rPr>
            </w:pPr>
          </w:p>
        </w:tc>
        <w:tc>
          <w:tcPr>
            <w:tcW w:w="1121" w:type="dxa"/>
            <w:vMerge w:val="continue"/>
            <w:vAlign w:val="center"/>
          </w:tcPr>
          <w:p>
            <w:pPr>
              <w:jc w:val="center"/>
              <w:rPr>
                <w:b w:val="0"/>
                <w:bCs w:val="0"/>
                <w:color w:val="000000"/>
                <w:sz w:val="21"/>
                <w:szCs w:val="21"/>
                <w:u w:val="none"/>
              </w:rPr>
            </w:pP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BOD</w:t>
            </w:r>
            <w:r>
              <w:rPr>
                <w:b w:val="0"/>
                <w:bCs w:val="0"/>
                <w:szCs w:val="21"/>
                <w:u w:val="none"/>
                <w:vertAlign w:val="subscript"/>
              </w:rPr>
              <w:t>5</w:t>
            </w:r>
          </w:p>
        </w:tc>
        <w:tc>
          <w:tcPr>
            <w:tcW w:w="1402" w:type="dxa"/>
            <w:vAlign w:val="bottom"/>
          </w:tcPr>
          <w:p>
            <w:pPr>
              <w:jc w:val="center"/>
              <w:rPr>
                <w:b w:val="0"/>
                <w:bCs w:val="0"/>
                <w:color w:val="000000"/>
                <w:szCs w:val="21"/>
                <w:u w:val="none"/>
              </w:rPr>
            </w:pPr>
            <w:r>
              <w:rPr>
                <w:b w:val="0"/>
                <w:bCs w:val="0"/>
                <w:color w:val="000000"/>
                <w:szCs w:val="21"/>
                <w:u w:val="none"/>
              </w:rPr>
              <w:t>6000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49.94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b w:val="0"/>
                <w:bCs w:val="0"/>
                <w:color w:val="FF0000"/>
                <w:szCs w:val="21"/>
                <w:u w:val="none"/>
              </w:rPr>
            </w:pPr>
          </w:p>
        </w:tc>
        <w:tc>
          <w:tcPr>
            <w:tcW w:w="1121" w:type="dxa"/>
            <w:vMerge w:val="continue"/>
            <w:vAlign w:val="center"/>
          </w:tcPr>
          <w:p>
            <w:pPr>
              <w:jc w:val="center"/>
              <w:rPr>
                <w:b w:val="0"/>
                <w:bCs w:val="0"/>
                <w:color w:val="000000"/>
                <w:sz w:val="21"/>
                <w:szCs w:val="21"/>
                <w:u w:val="none"/>
              </w:rPr>
            </w:pP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SS</w:t>
            </w:r>
          </w:p>
        </w:tc>
        <w:tc>
          <w:tcPr>
            <w:tcW w:w="1402" w:type="dxa"/>
            <w:vAlign w:val="bottom"/>
          </w:tcPr>
          <w:p>
            <w:pPr>
              <w:jc w:val="center"/>
              <w:rPr>
                <w:b w:val="0"/>
                <w:bCs w:val="0"/>
                <w:color w:val="000000"/>
                <w:szCs w:val="21"/>
                <w:u w:val="none"/>
              </w:rPr>
            </w:pPr>
            <w:r>
              <w:rPr>
                <w:b w:val="0"/>
                <w:bCs w:val="0"/>
                <w:color w:val="000000"/>
                <w:szCs w:val="21"/>
                <w:u w:val="none"/>
              </w:rPr>
              <w:t>7800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64.92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b w:val="0"/>
                <w:bCs w:val="0"/>
                <w:color w:val="FF0000"/>
                <w:szCs w:val="21"/>
                <w:u w:val="none"/>
              </w:rPr>
            </w:pPr>
          </w:p>
        </w:tc>
        <w:tc>
          <w:tcPr>
            <w:tcW w:w="1121" w:type="dxa"/>
            <w:vMerge w:val="continue"/>
            <w:vAlign w:val="center"/>
          </w:tcPr>
          <w:p>
            <w:pPr>
              <w:jc w:val="center"/>
              <w:rPr>
                <w:b w:val="0"/>
                <w:bCs w:val="0"/>
                <w:color w:val="000000"/>
                <w:sz w:val="21"/>
                <w:szCs w:val="21"/>
                <w:u w:val="none"/>
              </w:rPr>
            </w:pP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NH</w:t>
            </w:r>
            <w:r>
              <w:rPr>
                <w:b w:val="0"/>
                <w:bCs w:val="0"/>
                <w:szCs w:val="21"/>
                <w:u w:val="none"/>
                <w:vertAlign w:val="subscript"/>
              </w:rPr>
              <w:t>3</w:t>
            </w:r>
            <w:r>
              <w:rPr>
                <w:b w:val="0"/>
                <w:bCs w:val="0"/>
                <w:szCs w:val="21"/>
                <w:u w:val="none"/>
              </w:rPr>
              <w:t>-N</w:t>
            </w:r>
          </w:p>
        </w:tc>
        <w:tc>
          <w:tcPr>
            <w:tcW w:w="1402" w:type="dxa"/>
            <w:vAlign w:val="bottom"/>
          </w:tcPr>
          <w:p>
            <w:pPr>
              <w:jc w:val="center"/>
              <w:rPr>
                <w:b w:val="0"/>
                <w:bCs w:val="0"/>
                <w:color w:val="000000"/>
                <w:szCs w:val="21"/>
                <w:u w:val="none"/>
              </w:rPr>
            </w:pPr>
            <w:r>
              <w:rPr>
                <w:b w:val="0"/>
                <w:bCs w:val="0"/>
                <w:color w:val="000000"/>
                <w:szCs w:val="21"/>
                <w:u w:val="none"/>
              </w:rPr>
              <w:t>1000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8.32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spacing w:line="360" w:lineRule="exact"/>
              <w:jc w:val="center"/>
              <w:rPr>
                <w:b w:val="0"/>
                <w:bCs w:val="0"/>
                <w:szCs w:val="21"/>
                <w:u w:val="none"/>
              </w:rPr>
            </w:pPr>
            <w:r>
              <w:rPr>
                <w:b w:val="0"/>
                <w:bCs w:val="0"/>
                <w:szCs w:val="21"/>
                <w:u w:val="none"/>
              </w:rPr>
              <w:t>生活污水</w:t>
            </w:r>
          </w:p>
        </w:tc>
        <w:tc>
          <w:tcPr>
            <w:tcW w:w="1121" w:type="dxa"/>
            <w:vMerge w:val="restart"/>
            <w:vAlign w:val="center"/>
          </w:tcPr>
          <w:p>
            <w:pPr>
              <w:jc w:val="center"/>
              <w:rPr>
                <w:b w:val="0"/>
                <w:bCs w:val="0"/>
                <w:color w:val="000000"/>
                <w:sz w:val="21"/>
                <w:szCs w:val="21"/>
                <w:u w:val="none"/>
              </w:rPr>
            </w:pPr>
            <w:r>
              <w:rPr>
                <w:rFonts w:hint="eastAsia"/>
                <w:sz w:val="21"/>
                <w:szCs w:val="21"/>
                <w:lang w:val="en-US" w:eastAsia="zh-CN"/>
              </w:rPr>
              <w:t>700</w:t>
            </w:r>
            <w:r>
              <w:rPr>
                <w:sz w:val="21"/>
                <w:szCs w:val="21"/>
              </w:rPr>
              <w:t>.8</w:t>
            </w: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COD</w:t>
            </w:r>
          </w:p>
        </w:tc>
        <w:tc>
          <w:tcPr>
            <w:tcW w:w="1402" w:type="dxa"/>
            <w:vAlign w:val="bottom"/>
          </w:tcPr>
          <w:p>
            <w:pPr>
              <w:jc w:val="center"/>
              <w:rPr>
                <w:b w:val="0"/>
                <w:bCs w:val="0"/>
                <w:color w:val="000000"/>
                <w:szCs w:val="21"/>
                <w:u w:val="none"/>
              </w:rPr>
            </w:pPr>
            <w:r>
              <w:rPr>
                <w:b w:val="0"/>
                <w:bCs w:val="0"/>
                <w:color w:val="000000"/>
                <w:szCs w:val="21"/>
                <w:u w:val="none"/>
              </w:rPr>
              <w:t>300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0.21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b w:val="0"/>
                <w:bCs w:val="0"/>
                <w:szCs w:val="21"/>
                <w:u w:val="none"/>
              </w:rPr>
            </w:pPr>
          </w:p>
        </w:tc>
        <w:tc>
          <w:tcPr>
            <w:tcW w:w="1121" w:type="dxa"/>
            <w:vMerge w:val="continue"/>
            <w:vAlign w:val="center"/>
          </w:tcPr>
          <w:p>
            <w:pPr>
              <w:jc w:val="center"/>
              <w:rPr>
                <w:b w:val="0"/>
                <w:bCs w:val="0"/>
                <w:color w:val="000000"/>
                <w:szCs w:val="21"/>
                <w:u w:val="none"/>
              </w:rPr>
            </w:pP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BOD</w:t>
            </w:r>
            <w:r>
              <w:rPr>
                <w:b w:val="0"/>
                <w:bCs w:val="0"/>
                <w:szCs w:val="21"/>
                <w:u w:val="none"/>
                <w:vertAlign w:val="subscript"/>
              </w:rPr>
              <w:t>5</w:t>
            </w:r>
          </w:p>
        </w:tc>
        <w:tc>
          <w:tcPr>
            <w:tcW w:w="1402" w:type="dxa"/>
            <w:vAlign w:val="bottom"/>
          </w:tcPr>
          <w:p>
            <w:pPr>
              <w:jc w:val="center"/>
              <w:rPr>
                <w:b w:val="0"/>
                <w:bCs w:val="0"/>
                <w:color w:val="000000"/>
                <w:szCs w:val="21"/>
                <w:u w:val="none"/>
              </w:rPr>
            </w:pPr>
            <w:r>
              <w:rPr>
                <w:b w:val="0"/>
                <w:bCs w:val="0"/>
                <w:color w:val="000000"/>
                <w:szCs w:val="21"/>
                <w:u w:val="none"/>
              </w:rPr>
              <w:t>150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0.11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b w:val="0"/>
                <w:bCs w:val="0"/>
                <w:szCs w:val="21"/>
                <w:u w:val="none"/>
              </w:rPr>
            </w:pPr>
          </w:p>
        </w:tc>
        <w:tc>
          <w:tcPr>
            <w:tcW w:w="1121" w:type="dxa"/>
            <w:vMerge w:val="continue"/>
            <w:vAlign w:val="center"/>
          </w:tcPr>
          <w:p>
            <w:pPr>
              <w:jc w:val="center"/>
              <w:rPr>
                <w:b w:val="0"/>
                <w:bCs w:val="0"/>
                <w:color w:val="000000"/>
                <w:szCs w:val="21"/>
                <w:u w:val="none"/>
              </w:rPr>
            </w:pP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SS</w:t>
            </w:r>
          </w:p>
        </w:tc>
        <w:tc>
          <w:tcPr>
            <w:tcW w:w="1402" w:type="dxa"/>
            <w:vAlign w:val="bottom"/>
          </w:tcPr>
          <w:p>
            <w:pPr>
              <w:jc w:val="center"/>
              <w:rPr>
                <w:b w:val="0"/>
                <w:bCs w:val="0"/>
                <w:color w:val="000000"/>
                <w:szCs w:val="21"/>
                <w:u w:val="none"/>
              </w:rPr>
            </w:pPr>
            <w:r>
              <w:rPr>
                <w:b w:val="0"/>
                <w:bCs w:val="0"/>
                <w:color w:val="000000"/>
                <w:szCs w:val="21"/>
                <w:u w:val="none"/>
              </w:rPr>
              <w:t>200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0.14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b w:val="0"/>
                <w:bCs w:val="0"/>
                <w:szCs w:val="21"/>
                <w:u w:val="none"/>
              </w:rPr>
            </w:pPr>
          </w:p>
        </w:tc>
        <w:tc>
          <w:tcPr>
            <w:tcW w:w="1121" w:type="dxa"/>
            <w:vMerge w:val="continue"/>
            <w:vAlign w:val="center"/>
          </w:tcPr>
          <w:p>
            <w:pPr>
              <w:jc w:val="center"/>
              <w:rPr>
                <w:b w:val="0"/>
                <w:bCs w:val="0"/>
                <w:color w:val="000000"/>
                <w:szCs w:val="21"/>
                <w:u w:val="none"/>
              </w:rPr>
            </w:pPr>
          </w:p>
        </w:tc>
        <w:tc>
          <w:tcPr>
            <w:tcW w:w="1118" w:type="dxa"/>
            <w:tcMar>
              <w:left w:w="0" w:type="dxa"/>
              <w:right w:w="0" w:type="dxa"/>
            </w:tcMar>
            <w:vAlign w:val="center"/>
          </w:tcPr>
          <w:p>
            <w:pPr>
              <w:spacing w:line="360" w:lineRule="exact"/>
              <w:jc w:val="center"/>
              <w:rPr>
                <w:b w:val="0"/>
                <w:bCs w:val="0"/>
                <w:szCs w:val="21"/>
                <w:u w:val="none"/>
              </w:rPr>
            </w:pPr>
            <w:r>
              <w:rPr>
                <w:b w:val="0"/>
                <w:bCs w:val="0"/>
                <w:szCs w:val="21"/>
                <w:u w:val="none"/>
              </w:rPr>
              <w:t>NH</w:t>
            </w:r>
            <w:r>
              <w:rPr>
                <w:b w:val="0"/>
                <w:bCs w:val="0"/>
                <w:szCs w:val="21"/>
                <w:u w:val="none"/>
                <w:vertAlign w:val="subscript"/>
              </w:rPr>
              <w:t>3</w:t>
            </w:r>
            <w:r>
              <w:rPr>
                <w:b w:val="0"/>
                <w:bCs w:val="0"/>
                <w:szCs w:val="21"/>
                <w:u w:val="none"/>
              </w:rPr>
              <w:t>-N</w:t>
            </w:r>
          </w:p>
        </w:tc>
        <w:tc>
          <w:tcPr>
            <w:tcW w:w="1402" w:type="dxa"/>
            <w:vAlign w:val="bottom"/>
          </w:tcPr>
          <w:p>
            <w:pPr>
              <w:jc w:val="center"/>
              <w:rPr>
                <w:b w:val="0"/>
                <w:bCs w:val="0"/>
                <w:color w:val="000000"/>
                <w:szCs w:val="21"/>
                <w:u w:val="none"/>
              </w:rPr>
            </w:pPr>
            <w:r>
              <w:rPr>
                <w:b w:val="0"/>
                <w:bCs w:val="0"/>
                <w:color w:val="000000"/>
                <w:szCs w:val="21"/>
                <w:u w:val="none"/>
              </w:rPr>
              <w:t>30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0.02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混合后废水</w:t>
            </w:r>
          </w:p>
        </w:tc>
        <w:tc>
          <w:tcPr>
            <w:tcW w:w="1121" w:type="dxa"/>
            <w:vMerge w:val="restart"/>
            <w:vAlign w:val="center"/>
          </w:tcPr>
          <w:p>
            <w:pPr>
              <w:jc w:val="center"/>
              <w:rPr>
                <w:b w:val="0"/>
                <w:bCs w:val="0"/>
                <w:color w:val="000000"/>
                <w:sz w:val="21"/>
                <w:szCs w:val="21"/>
                <w:u w:val="none"/>
              </w:rPr>
            </w:pPr>
            <w:r>
              <w:rPr>
                <w:rFonts w:hint="eastAsia"/>
                <w:bCs/>
                <w:sz w:val="21"/>
                <w:szCs w:val="21"/>
                <w:lang w:val="en-US" w:eastAsia="zh-CN"/>
              </w:rPr>
              <w:t>9024.49</w:t>
            </w: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COD</w:t>
            </w:r>
          </w:p>
        </w:tc>
        <w:tc>
          <w:tcPr>
            <w:tcW w:w="1402" w:type="dxa"/>
            <w:vAlign w:val="bottom"/>
          </w:tcPr>
          <w:p>
            <w:pPr>
              <w:keepNext w:val="0"/>
              <w:keepLines w:val="0"/>
              <w:widowControl/>
              <w:suppressLineNumbers w:val="0"/>
              <w:jc w:val="center"/>
              <w:textAlignment w:val="bottom"/>
              <w:rPr>
                <w:b w:val="0"/>
                <w:bCs w:val="0"/>
                <w:sz w:val="22"/>
                <w:szCs w:val="22"/>
                <w:u w:val="none"/>
              </w:rPr>
            </w:pPr>
            <w:r>
              <w:rPr>
                <w:rFonts w:hint="default" w:ascii="Times New Roman" w:hAnsi="Times New Roman" w:eastAsia="宋体" w:cs="Times New Roman"/>
                <w:i w:val="0"/>
                <w:color w:val="000000"/>
                <w:kern w:val="0"/>
                <w:sz w:val="22"/>
                <w:szCs w:val="22"/>
                <w:u w:val="none"/>
                <w:lang w:val="en-US" w:eastAsia="zh-CN" w:bidi="ar"/>
              </w:rPr>
              <w:t xml:space="preserve">13858.47 </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125.07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c>
          <w:tcPr>
            <w:tcW w:w="1121" w:type="dxa"/>
            <w:vMerge w:val="continue"/>
            <w:vAlign w:val="center"/>
          </w:tcPr>
          <w:p>
            <w:pPr>
              <w:jc w:val="center"/>
              <w:rPr>
                <w:b w:val="0"/>
                <w:bCs w:val="0"/>
                <w:color w:val="000000"/>
                <w:sz w:val="21"/>
                <w:szCs w:val="21"/>
                <w:u w:val="none"/>
              </w:rPr>
            </w:pP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BOD</w:t>
            </w:r>
            <w:r>
              <w:rPr>
                <w:b w:val="0"/>
                <w:bCs w:val="0"/>
                <w:szCs w:val="21"/>
                <w:u w:val="none"/>
                <w:vertAlign w:val="subscript"/>
              </w:rPr>
              <w:t>5</w:t>
            </w:r>
          </w:p>
        </w:tc>
        <w:tc>
          <w:tcPr>
            <w:tcW w:w="1402" w:type="dxa"/>
            <w:vAlign w:val="bottom"/>
          </w:tcPr>
          <w:p>
            <w:pPr>
              <w:keepNext w:val="0"/>
              <w:keepLines w:val="0"/>
              <w:widowControl/>
              <w:suppressLineNumbers w:val="0"/>
              <w:jc w:val="center"/>
              <w:textAlignment w:val="bottom"/>
              <w:rPr>
                <w:b w:val="0"/>
                <w:bCs w:val="0"/>
                <w:sz w:val="22"/>
                <w:szCs w:val="22"/>
                <w:u w:val="none"/>
              </w:rPr>
            </w:pPr>
            <w:r>
              <w:rPr>
                <w:rFonts w:hint="default" w:ascii="Times New Roman" w:hAnsi="Times New Roman" w:eastAsia="宋体" w:cs="Times New Roman"/>
                <w:i w:val="0"/>
                <w:color w:val="000000"/>
                <w:kern w:val="0"/>
                <w:sz w:val="22"/>
                <w:szCs w:val="22"/>
                <w:u w:val="none"/>
                <w:lang w:val="en-US" w:eastAsia="zh-CN" w:bidi="ar"/>
              </w:rPr>
              <w:t xml:space="preserve">5545.72 </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50.05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c>
          <w:tcPr>
            <w:tcW w:w="1121" w:type="dxa"/>
            <w:vMerge w:val="continue"/>
            <w:vAlign w:val="center"/>
          </w:tcPr>
          <w:p>
            <w:pPr>
              <w:jc w:val="center"/>
              <w:rPr>
                <w:b w:val="0"/>
                <w:bCs w:val="0"/>
                <w:color w:val="000000"/>
                <w:sz w:val="21"/>
                <w:szCs w:val="21"/>
                <w:u w:val="none"/>
              </w:rPr>
            </w:pP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SS</w:t>
            </w:r>
          </w:p>
        </w:tc>
        <w:tc>
          <w:tcPr>
            <w:tcW w:w="1402" w:type="dxa"/>
            <w:vAlign w:val="bottom"/>
          </w:tcPr>
          <w:p>
            <w:pPr>
              <w:keepNext w:val="0"/>
              <w:keepLines w:val="0"/>
              <w:widowControl/>
              <w:suppressLineNumbers w:val="0"/>
              <w:jc w:val="center"/>
              <w:textAlignment w:val="bottom"/>
              <w:rPr>
                <w:b w:val="0"/>
                <w:bCs w:val="0"/>
                <w:sz w:val="22"/>
                <w:szCs w:val="22"/>
                <w:u w:val="none"/>
              </w:rPr>
            </w:pPr>
            <w:r>
              <w:rPr>
                <w:rFonts w:hint="default" w:ascii="Times New Roman" w:hAnsi="Times New Roman" w:eastAsia="宋体" w:cs="Times New Roman"/>
                <w:i w:val="0"/>
                <w:color w:val="000000"/>
                <w:kern w:val="0"/>
                <w:sz w:val="22"/>
                <w:szCs w:val="22"/>
                <w:u w:val="none"/>
                <w:lang w:val="en-US" w:eastAsia="zh-CN" w:bidi="ar"/>
              </w:rPr>
              <w:t xml:space="preserve">7209.82 </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65.06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c>
          <w:tcPr>
            <w:tcW w:w="1121" w:type="dxa"/>
            <w:vMerge w:val="continue"/>
            <w:vAlign w:val="center"/>
          </w:tcPr>
          <w:p>
            <w:pPr>
              <w:jc w:val="center"/>
              <w:rPr>
                <w:b w:val="0"/>
                <w:bCs w:val="0"/>
                <w:color w:val="000000"/>
                <w:sz w:val="21"/>
                <w:szCs w:val="21"/>
                <w:u w:val="none"/>
              </w:rPr>
            </w:pP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NH</w:t>
            </w:r>
            <w:r>
              <w:rPr>
                <w:b w:val="0"/>
                <w:bCs w:val="0"/>
                <w:szCs w:val="21"/>
                <w:u w:val="none"/>
                <w:vertAlign w:val="subscript"/>
              </w:rPr>
              <w:t>3</w:t>
            </w:r>
            <w:r>
              <w:rPr>
                <w:b w:val="0"/>
                <w:bCs w:val="0"/>
                <w:szCs w:val="21"/>
                <w:u w:val="none"/>
              </w:rPr>
              <w:t>-N</w:t>
            </w:r>
          </w:p>
        </w:tc>
        <w:tc>
          <w:tcPr>
            <w:tcW w:w="1402" w:type="dxa"/>
            <w:vAlign w:val="bottom"/>
          </w:tcPr>
          <w:p>
            <w:pPr>
              <w:keepNext w:val="0"/>
              <w:keepLines w:val="0"/>
              <w:widowControl/>
              <w:suppressLineNumbers w:val="0"/>
              <w:jc w:val="center"/>
              <w:textAlignment w:val="bottom"/>
              <w:rPr>
                <w:b w:val="0"/>
                <w:bCs w:val="0"/>
                <w:sz w:val="22"/>
                <w:szCs w:val="22"/>
                <w:u w:val="none"/>
              </w:rPr>
            </w:pPr>
            <w:r>
              <w:rPr>
                <w:rFonts w:hint="default" w:ascii="Times New Roman" w:hAnsi="Times New Roman" w:eastAsia="宋体" w:cs="Times New Roman"/>
                <w:i w:val="0"/>
                <w:color w:val="000000"/>
                <w:kern w:val="0"/>
                <w:sz w:val="22"/>
                <w:szCs w:val="22"/>
                <w:u w:val="none"/>
                <w:lang w:val="en-US" w:eastAsia="zh-CN" w:bidi="ar"/>
              </w:rPr>
              <w:t xml:space="preserve">924.67 </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8.34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274" w:type="dxa"/>
            <w:vMerge w:val="restart"/>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处理后废水</w:t>
            </w:r>
          </w:p>
        </w:tc>
        <w:tc>
          <w:tcPr>
            <w:tcW w:w="1121" w:type="dxa"/>
            <w:vMerge w:val="restart"/>
            <w:vAlign w:val="center"/>
          </w:tcPr>
          <w:p>
            <w:pPr>
              <w:jc w:val="center"/>
              <w:rPr>
                <w:b w:val="0"/>
                <w:bCs w:val="0"/>
                <w:color w:val="000000"/>
                <w:sz w:val="21"/>
                <w:szCs w:val="21"/>
                <w:u w:val="none"/>
              </w:rPr>
            </w:pPr>
            <w:r>
              <w:rPr>
                <w:rFonts w:hint="eastAsia"/>
                <w:bCs/>
                <w:sz w:val="21"/>
                <w:szCs w:val="21"/>
                <w:lang w:val="en-US" w:eastAsia="zh-CN"/>
              </w:rPr>
              <w:t>9024.49</w:t>
            </w: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COD</w:t>
            </w:r>
          </w:p>
        </w:tc>
        <w:tc>
          <w:tcPr>
            <w:tcW w:w="1402" w:type="dxa"/>
            <w:vAlign w:val="bottom"/>
          </w:tcPr>
          <w:p>
            <w:pPr>
              <w:jc w:val="center"/>
              <w:rPr>
                <w:b w:val="0"/>
                <w:bCs w:val="0"/>
                <w:sz w:val="22"/>
                <w:szCs w:val="22"/>
                <w:u w:val="none"/>
              </w:rPr>
            </w:pPr>
            <w:r>
              <w:rPr>
                <w:b w:val="0"/>
                <w:bCs w:val="0"/>
                <w:sz w:val="22"/>
                <w:szCs w:val="22"/>
                <w:u w:val="none"/>
              </w:rPr>
              <w:t>3000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27.07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274" w:type="dxa"/>
            <w:vMerge w:val="continue"/>
            <w:tcMar>
              <w:left w:w="0" w:type="dxa"/>
              <w:right w:w="0" w:type="dxa"/>
            </w:tcMar>
            <w:vAlign w:val="center"/>
          </w:tcPr>
          <w:p>
            <w:pPr>
              <w:adjustRightInd w:val="0"/>
              <w:snapToGrid w:val="0"/>
              <w:spacing w:line="360" w:lineRule="exact"/>
              <w:jc w:val="center"/>
              <w:rPr>
                <w:b w:val="0"/>
                <w:bCs w:val="0"/>
                <w:szCs w:val="21"/>
                <w:u w:val="none"/>
              </w:rPr>
            </w:pPr>
          </w:p>
        </w:tc>
        <w:tc>
          <w:tcPr>
            <w:tcW w:w="1121" w:type="dxa"/>
            <w:vMerge w:val="continue"/>
            <w:vAlign w:val="center"/>
          </w:tcPr>
          <w:p>
            <w:pPr>
              <w:adjustRightInd w:val="0"/>
              <w:snapToGrid w:val="0"/>
              <w:spacing w:line="360" w:lineRule="exact"/>
              <w:jc w:val="center"/>
              <w:rPr>
                <w:b w:val="0"/>
                <w:bCs w:val="0"/>
                <w:szCs w:val="21"/>
                <w:u w:val="none"/>
              </w:rPr>
            </w:pP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BOD</w:t>
            </w:r>
            <w:r>
              <w:rPr>
                <w:b w:val="0"/>
                <w:bCs w:val="0"/>
                <w:szCs w:val="21"/>
                <w:u w:val="none"/>
                <w:vertAlign w:val="subscript"/>
              </w:rPr>
              <w:t>5</w:t>
            </w:r>
          </w:p>
        </w:tc>
        <w:tc>
          <w:tcPr>
            <w:tcW w:w="1402" w:type="dxa"/>
            <w:vAlign w:val="bottom"/>
          </w:tcPr>
          <w:p>
            <w:pPr>
              <w:jc w:val="center"/>
              <w:rPr>
                <w:b w:val="0"/>
                <w:bCs w:val="0"/>
                <w:sz w:val="22"/>
                <w:szCs w:val="22"/>
                <w:u w:val="none"/>
              </w:rPr>
            </w:pPr>
            <w:r>
              <w:rPr>
                <w:b w:val="0"/>
                <w:bCs w:val="0"/>
                <w:sz w:val="22"/>
                <w:szCs w:val="22"/>
                <w:u w:val="none"/>
              </w:rPr>
              <w:t>1400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12.63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274" w:type="dxa"/>
            <w:vMerge w:val="continue"/>
            <w:tcMar>
              <w:left w:w="0" w:type="dxa"/>
              <w:right w:w="0" w:type="dxa"/>
            </w:tcMar>
            <w:vAlign w:val="center"/>
          </w:tcPr>
          <w:p>
            <w:pPr>
              <w:adjustRightInd w:val="0"/>
              <w:snapToGrid w:val="0"/>
              <w:spacing w:line="360" w:lineRule="exact"/>
              <w:jc w:val="center"/>
              <w:rPr>
                <w:b w:val="0"/>
                <w:bCs w:val="0"/>
                <w:szCs w:val="21"/>
                <w:u w:val="none"/>
              </w:rPr>
            </w:pPr>
          </w:p>
        </w:tc>
        <w:tc>
          <w:tcPr>
            <w:tcW w:w="1121" w:type="dxa"/>
            <w:vMerge w:val="continue"/>
            <w:vAlign w:val="center"/>
          </w:tcPr>
          <w:p>
            <w:pPr>
              <w:adjustRightInd w:val="0"/>
              <w:snapToGrid w:val="0"/>
              <w:spacing w:line="360" w:lineRule="exact"/>
              <w:jc w:val="center"/>
              <w:rPr>
                <w:b w:val="0"/>
                <w:bCs w:val="0"/>
                <w:szCs w:val="21"/>
                <w:u w:val="none"/>
              </w:rPr>
            </w:pP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SS</w:t>
            </w:r>
          </w:p>
        </w:tc>
        <w:tc>
          <w:tcPr>
            <w:tcW w:w="1402" w:type="dxa"/>
            <w:vAlign w:val="bottom"/>
          </w:tcPr>
          <w:p>
            <w:pPr>
              <w:jc w:val="center"/>
              <w:rPr>
                <w:b w:val="0"/>
                <w:bCs w:val="0"/>
                <w:sz w:val="22"/>
                <w:szCs w:val="22"/>
                <w:u w:val="none"/>
              </w:rPr>
            </w:pPr>
            <w:r>
              <w:rPr>
                <w:b w:val="0"/>
                <w:bCs w:val="0"/>
                <w:sz w:val="22"/>
                <w:szCs w:val="22"/>
                <w:u w:val="none"/>
              </w:rPr>
              <w:t>2000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18.05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1274" w:type="dxa"/>
            <w:vMerge w:val="continue"/>
            <w:tcMar>
              <w:left w:w="0" w:type="dxa"/>
              <w:right w:w="0" w:type="dxa"/>
            </w:tcMar>
            <w:vAlign w:val="center"/>
          </w:tcPr>
          <w:p>
            <w:pPr>
              <w:adjustRightInd w:val="0"/>
              <w:snapToGrid w:val="0"/>
              <w:spacing w:line="360" w:lineRule="exact"/>
              <w:jc w:val="center"/>
              <w:rPr>
                <w:b w:val="0"/>
                <w:bCs w:val="0"/>
                <w:szCs w:val="21"/>
                <w:u w:val="none"/>
              </w:rPr>
            </w:pPr>
          </w:p>
        </w:tc>
        <w:tc>
          <w:tcPr>
            <w:tcW w:w="1121" w:type="dxa"/>
            <w:vMerge w:val="continue"/>
            <w:vAlign w:val="center"/>
          </w:tcPr>
          <w:p>
            <w:pPr>
              <w:adjustRightInd w:val="0"/>
              <w:snapToGrid w:val="0"/>
              <w:spacing w:line="360" w:lineRule="exact"/>
              <w:jc w:val="center"/>
              <w:rPr>
                <w:b w:val="0"/>
                <w:bCs w:val="0"/>
                <w:szCs w:val="21"/>
                <w:u w:val="none"/>
              </w:rPr>
            </w:pPr>
          </w:p>
        </w:tc>
        <w:tc>
          <w:tcPr>
            <w:tcW w:w="1118" w:type="dxa"/>
            <w:tcMar>
              <w:left w:w="0" w:type="dxa"/>
              <w:right w:w="0" w:type="dxa"/>
            </w:tcMar>
            <w:vAlign w:val="center"/>
          </w:tcPr>
          <w:p>
            <w:pPr>
              <w:adjustRightInd w:val="0"/>
              <w:snapToGrid w:val="0"/>
              <w:spacing w:line="360" w:lineRule="exact"/>
              <w:jc w:val="center"/>
              <w:rPr>
                <w:b w:val="0"/>
                <w:bCs w:val="0"/>
                <w:szCs w:val="21"/>
                <w:u w:val="none"/>
              </w:rPr>
            </w:pPr>
            <w:r>
              <w:rPr>
                <w:b w:val="0"/>
                <w:bCs w:val="0"/>
                <w:szCs w:val="21"/>
                <w:u w:val="none"/>
              </w:rPr>
              <w:t>NH</w:t>
            </w:r>
            <w:r>
              <w:rPr>
                <w:b w:val="0"/>
                <w:bCs w:val="0"/>
                <w:szCs w:val="21"/>
                <w:u w:val="none"/>
                <w:vertAlign w:val="subscript"/>
              </w:rPr>
              <w:t>3</w:t>
            </w:r>
            <w:r>
              <w:rPr>
                <w:b w:val="0"/>
                <w:bCs w:val="0"/>
                <w:szCs w:val="21"/>
                <w:u w:val="none"/>
              </w:rPr>
              <w:t>-N</w:t>
            </w:r>
          </w:p>
        </w:tc>
        <w:tc>
          <w:tcPr>
            <w:tcW w:w="1402" w:type="dxa"/>
            <w:vAlign w:val="bottom"/>
          </w:tcPr>
          <w:p>
            <w:pPr>
              <w:jc w:val="center"/>
              <w:rPr>
                <w:b w:val="0"/>
                <w:bCs w:val="0"/>
                <w:sz w:val="22"/>
                <w:szCs w:val="22"/>
                <w:u w:val="none"/>
              </w:rPr>
            </w:pPr>
            <w:r>
              <w:rPr>
                <w:b w:val="0"/>
                <w:bCs w:val="0"/>
                <w:sz w:val="22"/>
                <w:szCs w:val="22"/>
                <w:u w:val="none"/>
              </w:rPr>
              <w:t>900</w:t>
            </w:r>
          </w:p>
        </w:tc>
        <w:tc>
          <w:tcPr>
            <w:tcW w:w="1398" w:type="dxa"/>
            <w:tcMar>
              <w:left w:w="0" w:type="dxa"/>
              <w:right w:w="0" w:type="dxa"/>
            </w:tcMar>
            <w:vAlign w:val="bottom"/>
          </w:tcPr>
          <w:p>
            <w:pPr>
              <w:jc w:val="center"/>
              <w:rPr>
                <w:b w:val="0"/>
                <w:bCs w:val="0"/>
                <w:color w:val="000000"/>
                <w:szCs w:val="21"/>
                <w:u w:val="none"/>
              </w:rPr>
            </w:pPr>
            <w:r>
              <w:rPr>
                <w:rFonts w:hint="eastAsia"/>
                <w:b w:val="0"/>
                <w:bCs w:val="0"/>
                <w:color w:val="000000"/>
                <w:szCs w:val="21"/>
                <w:u w:val="none"/>
                <w:lang w:val="en-US" w:eastAsia="zh-CN"/>
              </w:rPr>
              <w:t xml:space="preserve">8.12 </w:t>
            </w:r>
          </w:p>
        </w:tc>
        <w:tc>
          <w:tcPr>
            <w:tcW w:w="1114" w:type="dxa"/>
            <w:vMerge w:val="continue"/>
            <w:vAlign w:val="center"/>
          </w:tcPr>
          <w:p>
            <w:pPr>
              <w:adjustRightInd w:val="0"/>
              <w:snapToGrid w:val="0"/>
              <w:spacing w:line="360" w:lineRule="exact"/>
              <w:jc w:val="center"/>
              <w:rPr>
                <w:b w:val="0"/>
                <w:bCs w:val="0"/>
                <w:color w:val="FF0000"/>
                <w:szCs w:val="21"/>
                <w:u w:val="none"/>
              </w:rPr>
            </w:pPr>
          </w:p>
        </w:tc>
        <w:tc>
          <w:tcPr>
            <w:tcW w:w="1333" w:type="dxa"/>
            <w:vMerge w:val="continue"/>
            <w:tcMar>
              <w:left w:w="0" w:type="dxa"/>
              <w:right w:w="0" w:type="dxa"/>
            </w:tcMar>
            <w:vAlign w:val="center"/>
          </w:tcPr>
          <w:p>
            <w:pPr>
              <w:adjustRightInd w:val="0"/>
              <w:snapToGrid w:val="0"/>
              <w:spacing w:line="360" w:lineRule="exact"/>
              <w:jc w:val="center"/>
              <w:rPr>
                <w:b w:val="0"/>
                <w:bCs w:val="0"/>
                <w:color w:val="FF0000"/>
                <w:szCs w:val="21"/>
                <w:u w:val="none"/>
              </w:rPr>
            </w:pPr>
          </w:p>
        </w:tc>
      </w:tr>
    </w:tbl>
    <w:p>
      <w:pPr>
        <w:spacing w:line="520" w:lineRule="exact"/>
        <w:ind w:firstLine="480" w:firstLineChars="200"/>
        <w:rPr>
          <w:b w:val="0"/>
          <w:bCs w:val="0"/>
          <w:sz w:val="24"/>
          <w:u w:val="none"/>
        </w:rPr>
      </w:pPr>
      <w:r>
        <w:rPr>
          <w:b w:val="0"/>
          <w:bCs w:val="0"/>
          <w:sz w:val="24"/>
          <w:u w:val="none"/>
        </w:rPr>
        <w:t>（4）本项目水平衡图</w:t>
      </w:r>
    </w:p>
    <w:p>
      <w:pPr>
        <w:spacing w:line="500" w:lineRule="atLeast"/>
        <w:ind w:firstLine="480" w:firstLineChars="200"/>
        <w:rPr>
          <w:b/>
          <w:sz w:val="24"/>
          <w:u w:val="single"/>
        </w:rPr>
      </w:pPr>
      <w:r>
        <w:rPr>
          <w:b w:val="0"/>
          <w:bCs w:val="0"/>
          <w:sz w:val="24"/>
          <w:u w:val="none"/>
        </w:rPr>
        <w:t>本项目养殖废水与生活污水混合后废水量为</w:t>
      </w:r>
      <w:r>
        <w:rPr>
          <w:rFonts w:hint="eastAsia"/>
          <w:b w:val="0"/>
          <w:bCs w:val="0"/>
          <w:color w:val="000000"/>
          <w:sz w:val="24"/>
          <w:u w:val="none"/>
          <w:lang w:val="en-US" w:eastAsia="zh-CN"/>
        </w:rPr>
        <w:t>9024.49</w:t>
      </w:r>
      <w:r>
        <w:rPr>
          <w:b w:val="0"/>
          <w:bCs w:val="0"/>
          <w:sz w:val="24"/>
          <w:u w:val="none"/>
        </w:rPr>
        <w:t>m</w:t>
      </w:r>
      <w:r>
        <w:rPr>
          <w:b w:val="0"/>
          <w:bCs w:val="0"/>
          <w:sz w:val="24"/>
          <w:u w:val="none"/>
          <w:vertAlign w:val="superscript"/>
        </w:rPr>
        <w:t>3</w:t>
      </w:r>
      <w:r>
        <w:rPr>
          <w:b w:val="0"/>
          <w:bCs w:val="0"/>
          <w:sz w:val="24"/>
          <w:u w:val="none"/>
        </w:rPr>
        <w:t>/a，</w:t>
      </w:r>
      <w:r>
        <w:rPr>
          <w:bCs/>
          <w:sz w:val="24"/>
        </w:rPr>
        <w:t>夏季</w:t>
      </w:r>
      <w:r>
        <w:rPr>
          <w:rFonts w:hint="eastAsia"/>
          <w:bCs/>
          <w:sz w:val="24"/>
          <w:lang w:val="en-US" w:eastAsia="zh-CN"/>
        </w:rPr>
        <w:t>30.232</w:t>
      </w:r>
      <w:r>
        <w:rPr>
          <w:bCs/>
          <w:sz w:val="24"/>
        </w:rPr>
        <w:t>m</w:t>
      </w:r>
      <w:r>
        <w:rPr>
          <w:bCs/>
          <w:sz w:val="24"/>
          <w:vertAlign w:val="superscript"/>
        </w:rPr>
        <w:t>3</w:t>
      </w:r>
      <w:r>
        <w:rPr>
          <w:bCs/>
          <w:sz w:val="24"/>
        </w:rPr>
        <w:t>/d，其他季节</w:t>
      </w:r>
      <w:r>
        <w:rPr>
          <w:rFonts w:hint="eastAsia"/>
          <w:bCs/>
          <w:sz w:val="24"/>
          <w:lang w:val="en-US" w:eastAsia="zh-CN"/>
        </w:rPr>
        <w:t>21.732</w:t>
      </w:r>
      <w:r>
        <w:rPr>
          <w:bCs/>
          <w:sz w:val="24"/>
        </w:rPr>
        <w:t>m</w:t>
      </w:r>
      <w:r>
        <w:rPr>
          <w:bCs/>
          <w:sz w:val="24"/>
          <w:vertAlign w:val="superscript"/>
        </w:rPr>
        <w:t>3</w:t>
      </w:r>
      <w:r>
        <w:rPr>
          <w:bCs/>
          <w:sz w:val="24"/>
        </w:rPr>
        <w:t>/d</w:t>
      </w:r>
      <w:r>
        <w:rPr>
          <w:b w:val="0"/>
          <w:bCs w:val="0"/>
          <w:sz w:val="24"/>
          <w:u w:val="none"/>
        </w:rPr>
        <w:t>，夏季、其他季节水平衡情况见图</w:t>
      </w:r>
      <w:r>
        <w:rPr>
          <w:rFonts w:hint="eastAsia"/>
          <w:b w:val="0"/>
          <w:bCs w:val="0"/>
          <w:sz w:val="24"/>
          <w:u w:val="none"/>
          <w:lang w:val="en-US" w:eastAsia="zh-CN"/>
        </w:rPr>
        <w:t>2</w:t>
      </w:r>
      <w:r>
        <w:rPr>
          <w:b w:val="0"/>
          <w:bCs w:val="0"/>
          <w:sz w:val="24"/>
          <w:u w:val="none"/>
        </w:rPr>
        <w:t>.3-1、</w:t>
      </w:r>
      <w:r>
        <w:rPr>
          <w:rFonts w:hint="eastAsia"/>
          <w:b w:val="0"/>
          <w:bCs w:val="0"/>
          <w:sz w:val="24"/>
          <w:u w:val="none"/>
          <w:lang w:val="en-US" w:eastAsia="zh-CN"/>
        </w:rPr>
        <w:t>2</w:t>
      </w:r>
      <w:r>
        <w:rPr>
          <w:b w:val="0"/>
          <w:bCs w:val="0"/>
          <w:sz w:val="24"/>
          <w:u w:val="none"/>
        </w:rPr>
        <w:t>.3-2。</w:t>
      </w: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r>
        <w:rPr>
          <w:b/>
          <w:bCs/>
          <w:sz w:val="24"/>
          <w:u w:val="single"/>
        </w:rPr>
        <w:pict>
          <v:group id="画布 1442" o:spid="_x0000_s2143" o:spt="203" style="position:absolute;left:0pt;margin-left:-17.85pt;margin-top:-8.25pt;height:354.65pt;width:466.25pt;z-index:251755520;mso-width-relative:page;mso-height-relative:page;" coordorigin="1214,3606" coordsize="9325,7093" editas="canvas">
            <o:lock v:ext="edit"/>
            <v:shape id="画布 1442" o:spid="_x0000_s4430" o:spt="75" type="#_x0000_t75" style="position:absolute;left:1214;top:3606;height:7093;width:9325;" filled="f" stroked="f" coordsize="21600,21600">
              <v:path/>
              <v:fill on="f" focussize="0,0"/>
              <v:stroke on="f"/>
              <v:imagedata o:title=""/>
              <o:lock v:ext="edit" aspectratio="t"/>
            </v:shape>
            <v:rect id="Rectangle 293" o:spid="_x0000_s4431" o:spt="1" style="position:absolute;left:1214;top:6601;height:768;width:50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iusQA&#10;AADdAAAADwAAAGRycy9kb3ducmV2LnhtbERPTWvCQBC9F/oflil4KXXTiGmauopWBEE8VO19yE6T&#10;YHY2zW5N8u9dQehtHu9zZove1OJCrassK3gdRyCIc6srLhScjpuXFITzyBpry6RgIAeL+ePDDDNt&#10;O/6iy8EXIoSwy1BB6X2TSenykgy6sW2IA/djW4M+wLaQusUuhJtaxlGUSIMVh4YSG/osKT8f/oyC&#10;7+nzerkb9nt8N/EqTc+/bzJBpUZP/fIDhKfe/4vv7q0O8ydpDLd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YrrEAAAA3QAAAA8AAAAAAAAAAAAAAAAAmAIAAGRycy9k&#10;b3ducmV2LnhtbFBLBQYAAAAABAAEAPUAAACJAwAAAAA=&#10;">
              <v:path/>
              <v:fill on="t" color2="#FFFFFF" opacity="0f" focussize="0,0"/>
              <v:stroke color="#000000" joinstyle="miter"/>
              <v:imagedata o:title=""/>
              <o:lock v:ext="edit" aspectratio="f"/>
              <v:textbox>
                <w:txbxContent>
                  <w:p>
                    <w:pPr>
                      <w:spacing w:line="200" w:lineRule="exact"/>
                      <w:rPr>
                        <w:szCs w:val="21"/>
                      </w:rPr>
                    </w:pPr>
                    <w:r>
                      <w:rPr>
                        <w:rFonts w:hint="eastAsia"/>
                        <w:szCs w:val="21"/>
                      </w:rPr>
                      <w:t>新鲜水</w:t>
                    </w:r>
                  </w:p>
                </w:txbxContent>
              </v:textbox>
            </v:rect>
            <v:line id="Line 294" o:spid="_x0000_s4432" o:spt="20" style="position:absolute;left:1773;top:6977;height:1;width:91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g3sMAAADdAAAADwAAAGRycy9kb3ducmV2LnhtbERPS2sCMRC+F/wPYQRvNWuFqlujSBfB&#10;Qy34oOfpZrpZ3EyWTVzTf98IBW/z8T1nuY62ET11vnasYDLOQBCXTtdcKTifts9zED4ga2wck4Jf&#10;8rBeDZ6WmGt34wP1x1CJFMI+RwUmhDaX0peGLPqxa4kT9+M6iyHBrpK6w1sKt418ybJXabHm1GCw&#10;pXdD5eV4tQpmpjjImSw+Tp9FX08WcR+/vhdKjYZx8wYiUAwP8b97p9P86XwK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G4N7DAAAA3QAAAA8AAAAAAAAAAAAA&#10;AAAAoQIAAGRycy9kb3ducmV2LnhtbFBLBQYAAAAABAAEAPkAAACRAwAAAAA=&#10;">
              <v:path arrowok="t"/>
              <v:fill on="f" focussize="0,0"/>
              <v:stroke color="#000000" endarrow="block"/>
              <v:imagedata o:title=""/>
              <o:lock v:ext="edit" aspectratio="f"/>
            </v:line>
            <v:line id="Line 295" o:spid="_x0000_s4433" o:spt="20" style="position:absolute;left:2738;top:5464;flip:x;height:4911;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dQcUAAADdAAAADwAAAGRycy9kb3ducmV2LnhtbERPTWsCMRC9F/ofwgi9lJqtlbKuRpGC&#10;0IOX2rLibdyMm2U3k22S6vrvTaHQ2zze5yxWg+3EmXxoHCt4HmcgiCunG64VfH1unnIQISJr7ByT&#10;gisFWC3v7xZYaHfhDzrvYi1SCIcCFZgY+0LKUBmyGMauJ07cyXmLMUFfS+3xksJtJydZ9iotNpwa&#10;DPb0Zqhqdz9Wgcy3j99+fZy2Zbvfz0xZlf1hq9TDaFjPQUQa4r/4z/2u0/yX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idQcUAAADdAAAADwAAAAAAAAAA&#10;AAAAAAChAgAAZHJzL2Rvd25yZXYueG1sUEsFBgAAAAAEAAQA+QAAAJMDAAAAAA==&#10;">
              <v:path arrowok="t"/>
              <v:fill on="f" focussize="0,0"/>
              <v:stroke color="#000000"/>
              <v:imagedata o:title=""/>
              <o:lock v:ext="edit" aspectratio="f"/>
            </v:line>
            <v:line id="Line 296" o:spid="_x0000_s4434" o:spt="20" style="position:absolute;left:2715;top:5491;flip:y;height:11;width:105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FgMYAAADdAAAADwAAAGRycy9kb3ducmV2LnhtbESPQWvCQBCF70L/wzIFL6Fu2qDY1FXa&#10;qiCIh6qHHofsNAnNzobsqOm/7wqCtxne+968mS1616gzdaH2bOB5lIIiLrytuTRwPKyfpqCCIFts&#10;PJOBPwqwmD8MZphbf+EvOu+lVDGEQ44GKpE21zoUFTkMI98SR+3Hdw4lrl2pbYeXGO4a/ZKmE+2w&#10;5nihwpY+Kyp+9ycXa6x3vMyy5MPpJHml1bdsUy3GDB/79zdQQr3czTd6YyOXTcdw/SaO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NRYDGAAAA3QAAAA8AAAAAAAAA&#10;AAAAAAAAoQIAAGRycy9kb3ducmV2LnhtbFBLBQYAAAAABAAEAPkAAACUAwAAAAA=&#10;">
              <v:path arrowok="t"/>
              <v:fill on="f" focussize="0,0"/>
              <v:stroke color="#000000" endarrow="block"/>
              <v:imagedata o:title=""/>
              <o:lock v:ext="edit" aspectratio="f"/>
            </v:line>
            <v:line id="Line 297" o:spid="_x0000_s4435" o:spt="20" style="position:absolute;left:2738;top:6608;flip:y;height:1;width:18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98UAAADdAAAADwAAAGRycy9kb3ducmV2LnhtbESPT2vCQBDF74LfYRmhl6CbNiAaXcX+&#10;EYTiodaDxyE7JsHsbMhONf32XaHgbYb3fm/eLNe9a9SVulB7NvA8SUERF97WXBo4fm/HM1BBkC02&#10;nsnALwVYr4aDJebW3/iLrgcpVQzhkKOBSqTNtQ5FRQ7DxLfEUTv7zqHEtSu17fAWw12jX9J0qh3W&#10;HC9U2NJbRcXl8ONije2e37MseXU6Seb0cZLPVIsxT6N+swAl1MvD/E/vbOSy2RT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b98UAAADdAAAADwAAAAAAAAAA&#10;AAAAAAChAgAAZHJzL2Rvd25yZXYueG1sUEsFBgAAAAAEAAQA+QAAAJMDAAAAAA==&#10;">
              <v:path arrowok="t"/>
              <v:fill on="f" focussize="0,0"/>
              <v:stroke color="#000000" endarrow="block"/>
              <v:imagedata o:title=""/>
              <o:lock v:ext="edit" aspectratio="f"/>
            </v:line>
            <v:rect id="Rectangle 298" o:spid="_x0000_s4436" o:spt="1" style="position:absolute;left:3659;top:5273;height:468;width:139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ns8MA&#10;AADdAAAADwAAAGRycy9kb3ducmV2LnhtbERPTYvCMBC9L/gfwgheFk11QaUaRUVBEEGriMehGdti&#10;MylNVrv7642wsLd5vM+ZzhtTigfVrrCsoN+LQBCnVhecKTifNt0xCOeRNZaWScEPOZjPWh9TjLV9&#10;8pEeic9ECGEXo4Lc+yqW0qU5GXQ9WxEH7mZrgz7AOpO6xmcIN6UcRNFQGiw4NORY0Sqn9J58GwXJ&#10;J12u6a0vd0verKtfvd0fdlapTrtZTEB4avy/+M+91WH+13gE7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ns8MAAADdAAAADwAAAAAAAAAAAAAAAACYAgAAZHJzL2Rv&#10;d25yZXYueG1sUEsFBgAAAAAEAAQA9QAAAIgDAAAAAA==&#10;">
              <v:path/>
              <v:fill on="t" color2="#FFFFFF" opacity="0f" focussize="0,0"/>
              <v:stroke color="#000000" joinstyle="miter"/>
              <v:imagedata o:title=""/>
              <o:lock v:ext="edit" aspectratio="f"/>
              <v:textbox inset="0mm,1.27mm,0mm,1.27mm">
                <w:txbxContent>
                  <w:p>
                    <w:pPr>
                      <w:jc w:val="center"/>
                      <w:rPr>
                        <w:szCs w:val="21"/>
                      </w:rPr>
                    </w:pPr>
                    <w:r>
                      <w:rPr>
                        <w:rFonts w:hint="eastAsia"/>
                        <w:szCs w:val="21"/>
                      </w:rPr>
                      <w:t>生猪饮用水</w:t>
                    </w:r>
                  </w:p>
                </w:txbxContent>
              </v:textbox>
            </v:rect>
            <v:rect id="Rectangle 299" o:spid="_x0000_s4437" o:spt="1" style="position:absolute;left:4563;top:6433;height:417;width:13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VUMYA&#10;AADdAAAADwAAAGRycy9kb3ducmV2LnhtbESPT2vCQBDF7wW/wzJCL0U3KtUYXcW2CIXiwX/3ITsm&#10;wexsmt1q/PadQ6G3Gd6b936zXHeuVjdqQ+XZwGiYgCLOva24MHA6bgcpqBCRLdaeycCDAqxXvacl&#10;ZtbfeU+3QyyUhHDI0EAZY5NpHfKSHIahb4hFu/jWYZS1LbRt8S7hrtbjJJlqhxVLQ4kNvZeUXw8/&#10;zsD59eVj8/XY7XDuxm9pev2e6Ska89zvNgtQkbr4b/67/rSCP0k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VUMYAAADdAAAADwAAAAAAAAAAAAAAAACYAgAAZHJz&#10;L2Rvd25yZXYueG1sUEsFBgAAAAAEAAQA9QAAAIsDAAAAAA==&#10;">
              <v:path/>
              <v:fill on="t" color2="#FFFFFF" opacity="0f" focussize="0,0"/>
              <v:stroke color="#000000" joinstyle="miter"/>
              <v:imagedata o:title=""/>
              <o:lock v:ext="edit" aspectratio="f"/>
              <v:textbox>
                <w:txbxContent>
                  <w:p>
                    <w:pPr>
                      <w:spacing w:line="240" w:lineRule="exact"/>
                      <w:jc w:val="center"/>
                      <w:rPr>
                        <w:szCs w:val="21"/>
                      </w:rPr>
                    </w:pPr>
                    <w:r>
                      <w:rPr>
                        <w:rFonts w:hint="eastAsia"/>
                        <w:szCs w:val="21"/>
                      </w:rPr>
                      <w:t>职工生活</w:t>
                    </w:r>
                  </w:p>
                </w:txbxContent>
              </v:textbox>
            </v:rect>
            <v:rect id="Rectangle 300" o:spid="_x0000_s4438" o:spt="1" style="position:absolute;left:8323;top:8014;height:433;width:182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wy8MA&#10;AADdAAAADwAAAGRycy9kb3ducmV2LnhtbERPS4vCMBC+C/6HMIIX0VRltVaj6MrCgnjwdR+asS02&#10;k9pktf77zcKCt/n4nrNYNaYUD6pdYVnBcBCBIE6tLjhTcD599WMQziNrLC2Tghc5WC3brQUm2j75&#10;QI+jz0QIYZeggtz7KpHSpTkZdANbEQfuamuDPsA6k7rGZwg3pRxF0UQaLDg05FjRZ07p7fhjFFw+&#10;etv17rXf48yMNnF8u0/lBJXqdpr1HISnxr/F/+5vHeaP4xn8fR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wy8MAAADdAAAADwAAAAAAAAAAAAAAAACYAgAAZHJzL2Rv&#10;d25yZXYueG1sUEsFBgAAAAAEAAQA9QAAAIgDAAAAAA==&#10;">
              <v:path/>
              <v:fill on="t" color2="#FFFFFF" opacity="0f" focussize="0,0"/>
              <v:stroke color="#000000" joinstyle="miter"/>
              <v:imagedata o:title=""/>
              <o:lock v:ext="edit" aspectratio="f"/>
              <v:textbox>
                <w:txbxContent>
                  <w:p>
                    <w:pPr>
                      <w:spacing w:line="240" w:lineRule="exact"/>
                      <w:jc w:val="center"/>
                      <w:rPr>
                        <w:szCs w:val="21"/>
                      </w:rPr>
                    </w:pPr>
                    <w:r>
                      <w:rPr>
                        <w:rFonts w:hint="eastAsia"/>
                        <w:szCs w:val="21"/>
                        <w:lang w:eastAsia="zh-CN"/>
                      </w:rPr>
                      <w:t>黑膜</w:t>
                    </w:r>
                    <w:r>
                      <w:rPr>
                        <w:rFonts w:hint="eastAsia"/>
                        <w:szCs w:val="21"/>
                      </w:rPr>
                      <w:t>沼气池</w:t>
                    </w:r>
                  </w:p>
                </w:txbxContent>
              </v:textbox>
            </v:rect>
            <v:line id="Line 301" o:spid="_x0000_s4439" o:spt="20" style="position:absolute;left:8669;top:8479;height:777;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odMYAAADdAAAADwAAAGRycy9kb3ducmV2LnhtbESPT0vDQBDF74LfYRnBm91UwTax21Ia&#10;BA8q9A89j9kxG8zOhuyart/eOQjeZnhv3vvNapN9ryYaYxfYwHxWgCJugu24NXA6Pt8tQcWEbLEP&#10;TAZ+KMJmfX21wsqGC+9pOqRWSQjHCg24lIZK69g48hhnYSAW7TOMHpOsY6vtiBcJ972+L4pH7bFj&#10;aXA40M5R83X49gYWrt7rha5fj+/11M3L/JbPH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N6HTGAAAA3QAAAA8AAAAAAAAA&#10;AAAAAAAAoQIAAGRycy9kb3ducmV2LnhtbFBLBQYAAAAABAAEAPkAAACUAwAAAAA=&#10;">
              <v:path arrowok="t"/>
              <v:fill on="f" focussize="0,0"/>
              <v:stroke color="#000000" endarrow="block"/>
              <v:imagedata o:title=""/>
              <o:lock v:ext="edit" aspectratio="f"/>
            </v:line>
            <v:rect id="Rectangle 302" o:spid="_x0000_s4440" o:spt="1" style="position:absolute;left:8243;top:9205;height:426;width:78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qEMMA&#10;AADdAAAADwAAAGRycy9kb3ducmV2LnhtbERPS4vCMBC+C/sfwix4EU1V1No1ig+EBfGwPu5DM7bF&#10;ZtJtotZ/bxaEvc3H95zZojGluFPtCssK+r0IBHFqdcGZgtNx241BOI+ssbRMCp7kYDH/aM0w0fbB&#10;P3Q/+EyEEHYJKsi9rxIpXZqTQdezFXHgLrY26AOsM6lrfIRwU8pBFI2lwYJDQ44VrXNKr4ebUXAe&#10;dTbL3XO/x6kZrOL4+juRY1Sq/dksv0B4avy/+O3+1mH+cNqHv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qEMMAAADdAAAADwAAAAAAAAAAAAAAAACYAgAAZHJzL2Rv&#10;d25yZXYueG1sUEsFBgAAAAAEAAQA9QAAAIgDAAAAAA==&#10;">
              <v:path/>
              <v:fill on="t" color2="#FFFFFF" opacity="0f" focussize="0,0"/>
              <v:stroke color="#000000" joinstyle="miter"/>
              <v:imagedata o:title=""/>
              <o:lock v:ext="edit" aspectratio="f"/>
              <v:textbox>
                <w:txbxContent>
                  <w:p>
                    <w:pPr>
                      <w:spacing w:line="240" w:lineRule="exact"/>
                      <w:jc w:val="center"/>
                      <w:rPr>
                        <w:szCs w:val="21"/>
                      </w:rPr>
                    </w:pPr>
                    <w:r>
                      <w:rPr>
                        <w:rFonts w:hint="eastAsia"/>
                        <w:szCs w:val="21"/>
                      </w:rPr>
                      <w:t>沼液</w:t>
                    </w:r>
                  </w:p>
                </w:txbxContent>
              </v:textbox>
            </v:rect>
            <v:rect id="Rectangle 303" o:spid="_x0000_s4441" o:spt="1" style="position:absolute;left:1773;top:6547;height:522;width:86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QY8EA&#10;AADdAAAADwAAAGRycy9kb3ducmV2LnhtbERPTYvCMBC9L/gfwgje1lQF0WoUUQt68GBVvA7N2Bab&#10;SWmi1n9vhIW9zeN9znzZmko8qXGlZQWDfgSCOLO65FzB+ZT8TkA4j6yxskwK3uRguej8zDHW9sVH&#10;eqY+FyGEXYwKCu/rWEqXFWTQ9W1NHLibbQz6AJtc6gZfIdxUchhFY2mw5NBQYE3rgrJ7+jAK0uSi&#10;D9OrH11tm+Tb/WZz29YnpXrddjUD4an1/+I/906H+aPpEL7fhB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ZUGPBAAAA3QAAAA8AAAAAAAAAAAAAAAAAmAIAAGRycy9kb3du&#10;cmV2LnhtbFBLBQYAAAAABAAEAPUAAACGAwAAAAA=&#10;">
              <v:path/>
              <v:fill on="t" color2="#FFFFFF" opacity="0f" focussize="0,0"/>
              <v:stroke on="f"/>
              <v:imagedata o:title=""/>
              <o:lock v:ext="edit" aspectratio="f"/>
              <v:textbox>
                <w:txbxContent>
                  <w:p>
                    <w:pPr>
                      <w:rPr>
                        <w:rFonts w:hint="default" w:eastAsia="宋体"/>
                        <w:szCs w:val="21"/>
                        <w:lang w:val="en-US" w:eastAsia="zh-CN"/>
                      </w:rPr>
                    </w:pPr>
                    <w:r>
                      <w:rPr>
                        <w:rFonts w:hint="eastAsia"/>
                        <w:szCs w:val="21"/>
                      </w:rPr>
                      <w:t>34</w:t>
                    </w:r>
                    <w:r>
                      <w:rPr>
                        <w:rFonts w:hint="eastAsia"/>
                        <w:szCs w:val="21"/>
                        <w:lang w:eastAsia="zh-CN"/>
                      </w:rPr>
                      <w:t>.</w:t>
                    </w:r>
                    <w:r>
                      <w:rPr>
                        <w:rFonts w:hint="eastAsia"/>
                        <w:szCs w:val="21"/>
                        <w:lang w:val="en-US" w:eastAsia="zh-CN"/>
                      </w:rPr>
                      <w:t>565</w:t>
                    </w:r>
                  </w:p>
                </w:txbxContent>
              </v:textbox>
            </v:rect>
            <v:rect id="Rectangle 304" o:spid="_x0000_s4442" o:spt="1" style="position:absolute;left:3282;top:7473;height:313;width:773;"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1+MIA&#10;AADdAAAADwAAAGRycy9kb3ducmV2LnhtbERPTYvCMBC9C/sfwizsTdO1INo1iqwW1oMHWxevQzO2&#10;xWZSmqj13xtB8DaP9znzZW8acaXO1ZYVfI8iEMSF1TWXCg55OpyCcB5ZY2OZFNzJwXLxMZhjou2N&#10;93TNfClCCLsEFVTet4mUrqjIoBvZljhwJ9sZ9AF2pdQd3kK4aeQ4iibSYM2hocKWfisqztnFKMjS&#10;f72bHX18tH1abrbr9WnT5kp9ffarHxCeev8Wv9x/OsyPZ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fX4wgAAAN0AAAAPAAAAAAAAAAAAAAAAAJgCAABkcnMvZG93&#10;bnJldi54bWxQSwUGAAAAAAQABAD1AAAAhwM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lang w:val="en-US" w:eastAsia="zh-CN"/>
                      </w:rPr>
                      <w:t>2.95</w:t>
                    </w:r>
                  </w:p>
                </w:txbxContent>
              </v:textbox>
            </v:rect>
            <v:rect id="Rectangle 305" o:spid="_x0000_s4443" o:spt="1" style="position:absolute;left:3075;top:6191;height:421;width:1089;"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tjMQA&#10;AADdAAAADwAAAGRycy9kb3ducmV2LnhtbERPTWvCQBC9F/wPyxR6M5tqEZO6iqiB9tCDieJ1yI5J&#10;aHY2ZLdJ+u+7hUJv83ifs9lNphUD9a6xrOA5ikEQl1Y3XCm4FNl8DcJ5ZI2tZVLwTQ5229nDBlNt&#10;Rz7TkPtKhBB2KSqove9SKV1Zk0EX2Y44cHfbG/QB9pXUPY4h3LRyEccrabDh0FBjR4eays/8yyjI&#10;s6v+SG5+ebNTVp3ej8f7qSuUenqc9q8gPE3+X/znftNh/jJ5g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8bYzEAAAA3QAAAA8AAAAAAAAAAAAAAAAAmAIAAGRycy9k&#10;b3ducmV2LnhtbFBLBQYAAAAABAAEAPUAAACJAwAAAAA=&#10;">
              <v:path/>
              <v:fill on="t" color2="#FFFFFF" opacity="0f" focussize="0,0"/>
              <v:stroke on="f"/>
              <v:imagedata o:title=""/>
              <o:lock v:ext="edit" aspectratio="f"/>
              <v:textbox>
                <w:txbxContent>
                  <w:p>
                    <w:pPr>
                      <w:spacing w:line="200" w:lineRule="exact"/>
                      <w:rPr>
                        <w:szCs w:val="21"/>
                      </w:rPr>
                    </w:pPr>
                    <w:r>
                      <w:rPr>
                        <w:rFonts w:hint="eastAsia"/>
                        <w:szCs w:val="21"/>
                        <w:lang w:val="en-US" w:eastAsia="zh-CN"/>
                      </w:rPr>
                      <w:t>2</w:t>
                    </w:r>
                    <w:r>
                      <w:rPr>
                        <w:rFonts w:hint="eastAsia"/>
                        <w:szCs w:val="21"/>
                      </w:rPr>
                      <w:t>.4</w:t>
                    </w:r>
                  </w:p>
                </w:txbxContent>
              </v:textbox>
            </v:rect>
            <v:line id="Line 306" o:spid="_x0000_s4444" o:spt="20" style="position:absolute;left:5014;top:5546;flip:y;height:34;width:297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TXcYAAADdAAAADwAAAGRycy9kb3ducmV2LnhtbESPQWvCQBCF74L/YZmCl6CbNlhqdBVb&#10;FQrSQ7WHHofsmIRmZ0N21PTfdwuCtxne+968Wax616gLdaH2bOBxkoIiLrytuTTwddyNX0AFQbbY&#10;eCYDvxRgtRwOFphbf+VPuhykVDGEQ44GKpE21zoUFTkME98SR+3kO4cS167UtsNrDHeNfkrTZ+2w&#10;5nihwpbeKip+DmcXa+w+eJNlyavTSTKj7bfsUy3GjB769RyUUC93841+t5HLZlP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013GAAAA3QAAAA8AAAAAAAAA&#10;AAAAAAAAoQIAAGRycy9kb3ducmV2LnhtbFBLBQYAAAAABAAEAPkAAACUAwAAAAA=&#10;">
              <v:path arrowok="t"/>
              <v:fill on="f" focussize="0,0"/>
              <v:stroke color="#000000" endarrow="block"/>
              <v:imagedata o:title=""/>
              <o:lock v:ext="edit" aspectratio="f"/>
            </v:line>
            <v:line id="Line 307" o:spid="_x0000_s4445" o:spt="20" style="position:absolute;left:5898;top:6610;flip:y;height:1;width:215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NKsUAAADdAAAADwAAAGRycy9kb3ducmV2LnhtbESPT2vCQBDF74LfYRmhl6CbNiA1uor9&#10;IwjFQ9WDxyE7JsHsbMhONf32XaHgbYb3fm/eLFa9a9SVulB7NvA8SUERF97WXBo4HjbjV1BBkC02&#10;nsnALwVYLYeDBebW3/ibrnspVQzhkKOBSqTNtQ5FRQ7DxLfEUTv7zqHEtSu17fAWw12jX9J0qh3W&#10;HC9U2NJ7RcVl/+Nijc2OP7IseXM6SWb0eZKvVIsxT6N+PQcl1MvD/E9vbeSy2RTu38Q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NKsUAAADdAAAADwAAAAAAAAAA&#10;AAAAAAChAgAAZHJzL2Rvd25yZXYueG1sUEsFBgAAAAAEAAQA+QAAAJMDAAAAAA==&#10;">
              <v:path arrowok="t"/>
              <v:fill on="f" focussize="0,0"/>
              <v:stroke color="#000000" endarrow="block"/>
              <v:imagedata o:title=""/>
              <o:lock v:ext="edit" aspectratio="f"/>
            </v:line>
            <v:rect id="Rectangle 309" o:spid="_x0000_s4446" o:spt="1" style="position:absolute;left:6840;top:7552;height:313;width:942;"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z+8QA&#10;AADdAAAADwAAAGRycy9kb3ducmV2LnhtbERPTWvCQBC9F/wPyxR6M5sqVJO6iqiB9tCDieJ1yI5J&#10;aHY2ZLdJ+u+7hUJv83ifs9lNphUD9a6xrOA5ikEQl1Y3XCm4FNl8DcJ5ZI2tZVLwTQ5229nDBlNt&#10;Rz7TkPtKhBB2KSqove9SKV1Zk0EX2Y44cHfbG/QB9pXUPY4h3LRyEccv0mDDoaHGjg41lZ/5l1GQ&#10;Z1f9kdz88manrDq9H4/3U1co9fQ47V9BeJr8v/jP/abD/GWyg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8/vEAAAA3QAAAA8AAAAAAAAAAAAAAAAAmAIAAGRycy9k&#10;b3ducmV2LnhtbFBLBQYAAAAABAAEAPUAAACJAw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lang w:val="en-US" w:eastAsia="zh-CN"/>
                      </w:rPr>
                      <w:t>4.34</w:t>
                    </w:r>
                  </w:p>
                </w:txbxContent>
              </v:textbox>
            </v:rect>
            <v:rect id="Rectangle 311" o:spid="_x0000_s4447" o:spt="1" style="position:absolute;left:6489;top:6234;height:313;width:92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nicUA&#10;AADdAAAADwAAAGRycy9kb3ducmV2LnhtbESPQWvCQBCF7wX/wzJCb3WjgtToKqIG7MFDY4vXITsm&#10;wexsyG41/vvOQfA2w3vz3jfLde8adaMu1J4NjEcJKOLC25pLAz+n7OMTVIjIFhvPZOBBAdarwdsS&#10;U+vv/E23PJZKQjikaKCKsU21DkVFDsPIt8SiXXznMMraldp2eJdw1+hJksy0w5qlocKWthUV1/zP&#10;GcizX3ucn+P07Pus3H/tdpd9ezLmfdhvFqAi9fFlfl4frOBP54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WeJxQAAAN0AAAAPAAAAAAAAAAAAAAAAAJgCAABkcnMv&#10;ZG93bnJldi54bWxQSwUGAAAAAAQABAD1AAAAigMAAAAA&#10;">
              <v:path/>
              <v:fill on="t" color2="#FFFFFF" opacity="0f" focussize="0,0"/>
              <v:stroke on="f"/>
              <v:imagedata o:title=""/>
              <o:lock v:ext="edit" aspectratio="f"/>
              <v:textbox>
                <w:txbxContent>
                  <w:p>
                    <w:pPr>
                      <w:spacing w:line="200" w:lineRule="exact"/>
                      <w:rPr>
                        <w:szCs w:val="21"/>
                      </w:rPr>
                    </w:pPr>
                    <w:r>
                      <w:rPr>
                        <w:rFonts w:hint="eastAsia"/>
                        <w:szCs w:val="21"/>
                        <w:lang w:val="en-US" w:eastAsia="zh-CN"/>
                      </w:rPr>
                      <w:t>1.9</w:t>
                    </w:r>
                    <w:r>
                      <w:rPr>
                        <w:rFonts w:hint="eastAsia"/>
                        <w:szCs w:val="21"/>
                      </w:rPr>
                      <w:t>2</w:t>
                    </w:r>
                  </w:p>
                </w:txbxContent>
              </v:textbox>
            </v:rect>
            <v:shape id="Text Box 312" o:spid="_x0000_s4448" o:spt="202" type="#_x0000_t202" style="position:absolute;left:5657;top:9033;height:416;width:22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o88EA&#10;AADdAAAADwAAAGRycy9kb3ducmV2LnhtbERPS2vCQBC+F/wPywje6kbFUlNXER/goZfa9D5kp9nQ&#10;7GzIjib+e7dQ6G0+vuest4Nv1I26WAc2MJtmoIjLYGuuDBSfp+dXUFGQLTaBycCdImw3o6c15jb0&#10;/EG3i1QqhXDM0YATaXOtY+nIY5yGljhx36HzKAl2lbYd9incN3qeZS/aY82pwWFLe0flz+XqDYjY&#10;3exeHH08fw3vh95l5RILYybjYfcGSmiQf/Gf+2zT/MVqB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KPPBAAAA3QAAAA8AAAAAAAAAAAAAAAAAmAIAAGRycy9kb3du&#10;cmV2LnhtbFBLBQYAAAAABAAEAPUAAACGAwAAAAA=&#10;">
              <v:path/>
              <v:fill on="f" focussize="0,0"/>
              <v:stroke on="f"/>
              <v:imagedata o:title=""/>
              <o:lock v:ext="edit" aspectratio="f"/>
              <v:textbox style="mso-fit-shape-to-text:t;">
                <w:txbxContent>
                  <w:p>
                    <w:pPr>
                      <w:rPr>
                        <w:rFonts w:hint="default" w:eastAsia="宋体"/>
                        <w:szCs w:val="21"/>
                        <w:lang w:val="en-US" w:eastAsia="zh-CN"/>
                      </w:rPr>
                    </w:pPr>
                    <w:r>
                      <w:rPr>
                        <w:rFonts w:hint="eastAsia"/>
                        <w:szCs w:val="21"/>
                      </w:rPr>
                      <w:t>沼液回用</w:t>
                    </w:r>
                    <w:r>
                      <w:rPr>
                        <w:rFonts w:hint="eastAsia"/>
                        <w:szCs w:val="21"/>
                        <w:lang w:val="en-US" w:eastAsia="zh-CN"/>
                      </w:rPr>
                      <w:t>2.47</w:t>
                    </w:r>
                  </w:p>
                </w:txbxContent>
              </v:textbox>
            </v:shape>
            <v:shape id="Text Box 313" o:spid="_x0000_s4449" o:spt="202" type="#_x0000_t202" style="position:absolute;left:4245;top:3988;height:777;width:1676;"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rNcYA&#10;AADdAAAADwAAAGRycy9kb3ducmV2LnhtbESPQU/CQBCF7yb+h82QeDGyhQJqZSHERPBminKfdMe2&#10;2J1tuitt/z1zMPE2k/fmvW/W28E16kJdqD0bmE0TUMSFtzWXBr4+3x6eQIWIbLHxTAZGCrDd3N6s&#10;MbO+55wux1gqCeGQoYEqxjbTOhQVOQxT3xKL9u07h1HWrtS2w17CXaPnSbLSDmuWhgpbeq2o+Dn+&#10;OgNlyNNzep/i43Kcnw6n/nncf1hj7ibD7gVUpCH+m/+u363gLxLhl29kBL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8rNcYAAADdAAAADwAAAAAAAAAAAAAAAACYAgAAZHJz&#10;L2Rvd25yZXYueG1sUEsFBgAAAAAEAAQA9QAAAIsDAAAAAA==&#10;">
              <v:path/>
              <v:fill on="f" focussize="0,0"/>
              <v:stroke color="#000000" joinstyle="miter"/>
              <v:imagedata o:title=""/>
              <o:lock v:ext="edit" aspectratio="f"/>
              <v:textbox>
                <w:txbxContent>
                  <w:p>
                    <w:pPr>
                      <w:jc w:val="center"/>
                      <w:rPr>
                        <w:rFonts w:hint="default" w:eastAsia="宋体"/>
                        <w:szCs w:val="21"/>
                        <w:lang w:val="en-US" w:eastAsia="zh-CN"/>
                      </w:rPr>
                    </w:pPr>
                    <w:r>
                      <w:rPr>
                        <w:rFonts w:hint="eastAsia"/>
                        <w:szCs w:val="21"/>
                      </w:rPr>
                      <w:t>猪粪含水</w:t>
                    </w:r>
                    <w:r>
                      <w:rPr>
                        <w:rFonts w:hint="eastAsia"/>
                        <w:szCs w:val="21"/>
                        <w:lang w:val="en-US" w:eastAsia="zh-CN"/>
                      </w:rPr>
                      <w:t>3.24</w:t>
                    </w:r>
                  </w:p>
                </w:txbxContent>
              </v:textbox>
            </v:shape>
            <v:line id="Line 314" o:spid="_x0000_s4450" o:spt="20" style="position:absolute;left:4679;top:4663;flip:y;height:632;width:1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58QAAADdAAAADwAAAGRycy9kb3ducmV2LnhtbERPS2vCQBC+F/oflil4q7sJUiR1I60g&#10;xF6KVgu9TbOTB83Ohuyq6b93BcHbfHzPWSxH24kTDb51rCGZKhDEpTMt1xr2X+vnOQgfkA12jknD&#10;P3lY5o8PC8yMO/OWTrtQixjCPkMNTQh9JqUvG7Lop64njlzlBoshwqGWZsBzDLedTJV6kRZbjg0N&#10;9rRqqPzbHa2G46GYf3wnmyrdfxa/hOrwk76vtZ48jW+vIAKN4S6+uQsT589UAtdv4gk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nxAAAAN0AAAAPAAAAAAAAAAAA&#10;AAAAAKECAABkcnMvZG93bnJldi54bWxQSwUGAAAAAAQABAD5AAAAkgMAAAAA&#10;">
              <v:path arrowok="t"/>
              <v:fill on="f" focussize="0,0"/>
              <v:stroke color="#000000" dashstyle="longDash" endarrow="block"/>
              <v:imagedata o:title=""/>
              <o:lock v:ext="edit" aspectratio="f"/>
            </v:line>
            <v:shape id="Text Box 315" o:spid="_x0000_s4451" o:spt="202" type="#_x0000_t202" style="position:absolute;left:5761;top:7105;height:416;width:127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iYMEA&#10;AADdAAAADwAAAGRycy9kb3ducmV2LnhtbERPTWsCMRC9F/ofwhS81USxUrZGkdqCh17U7X3YTDdL&#10;N5NlM7rrv28Kgrd5vM9ZbcbQqgv1qYlsYTY1oIir6BquLZSnz+dXUEmQHbaRycKVEmzWjw8rLFwc&#10;+ECXo9Qqh3Aq0IIX6QqtU+UpYJrGjjhzP7EPKBn2tXY9Djk8tHpuzFIHbDg3eOzo3VP1ezwHCyJu&#10;O7uWHyHtv8ev3eBN9YKltZOncfsGSmiUu/jm3rs8f2Hm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F4mDBAAAA3QAAAA8AAAAAAAAAAAAAAAAAmAIAAGRycy9kb3du&#10;cmV2LnhtbFBLBQYAAAAABAAEAPUAAACGAwAAAAA=&#10;">
              <v:path/>
              <v:fill on="f" focussize="0,0"/>
              <v:stroke on="f"/>
              <v:imagedata o:title=""/>
              <o:lock v:ext="edit" aspectratio="f"/>
              <v:textbox style="mso-fit-shape-to-text:t;">
                <w:txbxContent>
                  <w:p>
                    <w:pPr>
                      <w:rPr>
                        <w:rFonts w:hint="default" w:eastAsia="宋体"/>
                        <w:szCs w:val="21"/>
                        <w:lang w:val="en-US" w:eastAsia="zh-CN"/>
                      </w:rPr>
                    </w:pPr>
                    <w:r>
                      <w:rPr>
                        <w:rFonts w:hint="eastAsia"/>
                        <w:szCs w:val="21"/>
                      </w:rPr>
                      <w:t>损耗</w:t>
                    </w:r>
                    <w:r>
                      <w:rPr>
                        <w:rFonts w:hint="eastAsia"/>
                        <w:szCs w:val="21"/>
                        <w:lang w:val="en-US" w:eastAsia="zh-CN"/>
                      </w:rPr>
                      <w:t>1.08</w:t>
                    </w:r>
                  </w:p>
                </w:txbxContent>
              </v:textbox>
            </v:shape>
            <v:line id="Line 316" o:spid="_x0000_s4452" o:spt="20" style="position:absolute;left:4893;top:5958;flip:y;height:345;width:36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UC8QAAADdAAAADwAAAGRycy9kb3ducmV2LnhtbERPTWvCQBC9F/wPyxS81V1TEYmuUgtC&#10;9FK0WvA2zY5JaHY2ZFeN/94tCN7m8T5ntuhsLS7U+sqxhuFAgSDOnam40LD/Xr1NQPiAbLB2TBpu&#10;5GEx773MMDXuylu67EIhYgj7FDWUITSplD4vyaIfuIY4cifXWgwRtoU0LV5juK1lotRYWqw4NpTY&#10;0GdJ+d/ubDWcD9lk8zNcn5L9V/ZLqA7HZLnSuv/afUxBBOrCU/xwZybOH6l3+P8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dQLxAAAAN0AAAAPAAAAAAAAAAAA&#10;AAAAAKECAABkcnMvZG93bnJldi54bWxQSwUGAAAAAAQABAD5AAAAkgMAAAAA&#10;">
              <v:path arrowok="t"/>
              <v:fill on="f" focussize="0,0"/>
              <v:stroke color="#000000" dashstyle="longDash" endarrow="block"/>
              <v:imagedata o:title=""/>
              <o:lock v:ext="edit" aspectratio="f"/>
            </v:line>
            <v:shape id="Text Box 317" o:spid="_x0000_s4453" o:spt="202" type="#_x0000_t202" style="position:absolute;left:5259;top:5706;height:416;width:133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fj8EA&#10;AADdAAAADwAAAGRycy9kb3ducmV2LnhtbERPTWsCMRC9F/ofwhR6q4lipWyNItWCh17U7X3YTDdL&#10;N5NlM7rrvzdCobd5vM9ZrsfQqgv1qYlsYToxoIir6BquLZSnz5c3UEmQHbaRycKVEqxXjw9LLFwc&#10;+ECXo9Qqh3Aq0IIX6QqtU+UpYJrEjjhzP7EPKBn2tXY9Djk8tHpmzEIHbDg3eOzow1P1ezwHCyJu&#10;M72Wu5D23+PXdvCmesXS2uencfMOSmiUf/Gfe+/y/LmZ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34/BAAAA3QAAAA8AAAAAAAAAAAAAAAAAmAIAAGRycy9kb3du&#10;cmV2LnhtbFBLBQYAAAAABAAEAPUAAACGAwAAAAA=&#10;">
              <v:path/>
              <v:fill on="f" focussize="0,0"/>
              <v:stroke on="f"/>
              <v:imagedata o:title=""/>
              <o:lock v:ext="edit" aspectratio="f"/>
              <v:textbox style="mso-fit-shape-to-text:t;">
                <w:txbxContent>
                  <w:p>
                    <w:pPr>
                      <w:rPr>
                        <w:szCs w:val="21"/>
                      </w:rPr>
                    </w:pPr>
                    <w:r>
                      <w:rPr>
                        <w:rFonts w:hint="eastAsia"/>
                        <w:szCs w:val="21"/>
                      </w:rPr>
                      <w:t>损耗</w:t>
                    </w:r>
                    <w:r>
                      <w:rPr>
                        <w:rFonts w:hint="eastAsia"/>
                        <w:szCs w:val="21"/>
                        <w:lang w:val="en-US" w:eastAsia="zh-CN"/>
                      </w:rPr>
                      <w:t>0.4</w:t>
                    </w:r>
                    <w:r>
                      <w:rPr>
                        <w:rFonts w:hint="eastAsia"/>
                        <w:szCs w:val="21"/>
                      </w:rPr>
                      <w:t>8</w:t>
                    </w:r>
                  </w:p>
                </w:txbxContent>
              </v:textbox>
            </v:shape>
            <v:shape id="AutoShape 320" o:spid="_x0000_s4454" o:spt="32" type="#_x0000_t32" style="position:absolute;left:5170;top:9352;flip:x;height:1;width:306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i08UAAADdAAAADwAAAGRycy9kb3ducmV2LnhtbESPT4vCMBDF74LfIYzgRTR1WUWrUXRl&#10;V2/iv/vQjG2xmZQm2u5++o0geJvhvfebN/NlYwrxoMrllhUMBxEI4sTqnFMF59N3fwLCeWSNhWVS&#10;8EsOlot2a46xtjUf6HH0qQgQdjEqyLwvYyldkpFBN7AlcdCutjLow1qlUldYB7gp5EcUjaXBnMOF&#10;DEv6yii5He8mUKb3MaWbacI/f9vyUu8PPb9eK9XtNKsZCE+Nf5tf6Z0O9T+jETy/CS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ri08UAAADdAAAADwAAAAAAAAAA&#10;AAAAAAChAgAAZHJzL2Rvd25yZXYueG1sUEsFBgAAAAAEAAQA+QAAAJMDAAAAAA==&#10;">
              <v:path arrowok="t"/>
              <v:fill on="f" focussize="0,0"/>
              <v:stroke weight="1pt" color="#000000" dashstyle="dash"/>
              <v:imagedata o:title=""/>
              <o:lock v:ext="edit" aspectratio="f"/>
            </v:shape>
            <v:shape id="AutoShape 323" o:spid="_x0000_s4455" o:spt="32" type="#_x0000_t32" style="position:absolute;left:8001;top:6618;flip:x;height:1;width:102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5r8IAAADdAAAADwAAAGRycy9kb3ducmV2LnhtbERPTYvCMBC9C/6HMIIXWdOKiHSNIgsL&#10;i4cFtQePQzK2xWZSk2zt/vvNguBtHu9zNrvBtqInHxrHCvJ5BoJYO9NwpaA8f76tQYSIbLB1TAp+&#10;KcBuOx5tsDDuwUfqT7ESKYRDgQrqGLtCyqBrshjmriNO3NV5izFBX0nj8ZHCbSsXWbaSFhtODTV2&#10;9FGTvp1+rILmUH6X/ewevV4f8ovPw/nSaqWmk2H/DiLSEF/ip/vLpPnLb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m5r8IAAADdAAAADwAAAAAAAAAAAAAA&#10;AAChAgAAZHJzL2Rvd25yZXYueG1sUEsFBgAAAAAEAAQA+QAAAJADAAAAAA==&#10;">
              <v:path arrowok="t"/>
              <v:fill on="f" focussize="0,0"/>
              <v:stroke color="#000000"/>
              <v:imagedata o:title=""/>
              <o:lock v:ext="edit" aspectratio="f"/>
            </v:shape>
            <v:shape id="Text Box 324" o:spid="_x0000_s4456" o:spt="202" type="#_x0000_t202" style="position:absolute;left:8075;top:6170;height:385;width:10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B+MEA&#10;AADdAAAADwAAAGRycy9kb3ducmV2LnhtbERPS2sCMRC+F/ofwhR6q4mlD1mNIrUFD16q2/uwGTeL&#10;m8myGd313zeFgrf5+J6zWI2hVRfqUxPZwnRiQBFX0TVcWygPX08zUEmQHbaRycKVEqyW93cLLFwc&#10;+Jsue6lVDuFUoAUv0hVap8pTwDSJHXHmjrEPKBn2tXY9Djk8tPrZmDcdsOHc4LGjD0/VaX8OFkTc&#10;enotP0Pa/oy7zeBN9YqltY8P43oOSmiUm/jfvXV5/ot5h79v8gl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QfjBAAAA3QAAAA8AAAAAAAAAAAAAAAAAmAIAAGRycy9kb3du&#10;cmV2LnhtbFBLBQYAAAAABAAEAPUAAACGAwAAAAA=&#10;">
              <v:path/>
              <v:fill on="f" focussize="0,0"/>
              <v:stroke on="f"/>
              <v:imagedata o:title=""/>
              <o:lock v:ext="edit" aspectratio="f"/>
              <v:textbox style="mso-fit-shape-to-text:t;">
                <w:txbxContent>
                  <w:p>
                    <w:pPr>
                      <w:rPr>
                        <w:rFonts w:hint="default" w:eastAsia="宋体"/>
                        <w:szCs w:val="21"/>
                        <w:lang w:val="en-US" w:eastAsia="zh-CN"/>
                      </w:rPr>
                    </w:pPr>
                    <w:r>
                      <w:rPr>
                        <w:rFonts w:hint="eastAsia"/>
                        <w:szCs w:val="21"/>
                      </w:rPr>
                      <w:t>2</w:t>
                    </w:r>
                    <w:r>
                      <w:rPr>
                        <w:rFonts w:hint="eastAsia"/>
                        <w:szCs w:val="21"/>
                        <w:lang w:val="en-US" w:eastAsia="zh-CN"/>
                      </w:rPr>
                      <w:t>1.88</w:t>
                    </w:r>
                  </w:p>
                </w:txbxContent>
              </v:textbox>
            </v:shape>
            <v:shape id="Text Box 325" o:spid="_x0000_s4457" o:spt="202" type="#_x0000_t202" style="position:absolute;left:7694;top:8695;height:385;width:10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VisQA&#10;AADdAAAADwAAAGRycy9kb3ducmV2LnhtbESPT0/DMAzF70h8h8iTuLFkCBAqy6aJP9IOXNjK3WpM&#10;U61xqsas3bfHByRutt7zez+vt3PqzZnG0mX2sFo6MMRNDh23Hurj++0TmCLIAfvM5OFCBbab66s1&#10;ViFP/Enng7RGQ7hU6CGKDJW1pYmUsCzzQKzadx4Tiq5ja8OIk4an3t4592gTdqwNEQd6idScDj/J&#10;g0jYrS71Wyr7r/njdYquecDa+5vFvHsGIzTLv/nveh8U/94p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1YrEAAAA3QAAAA8AAAAAAAAAAAAAAAAAmAIAAGRycy9k&#10;b3ducmV2LnhtbFBLBQYAAAAABAAEAPUAAACJAwAAAAA=&#10;">
              <v:path/>
              <v:fill on="f" focussize="0,0"/>
              <v:stroke on="f"/>
              <v:imagedata o:title=""/>
              <o:lock v:ext="edit" aspectratio="f"/>
              <v:textbox style="mso-fit-shape-to-text:t;">
                <w:txbxContent>
                  <w:p>
                    <w:pPr>
                      <w:rPr>
                        <w:rFonts w:hint="default" w:eastAsia="宋体"/>
                        <w:szCs w:val="21"/>
                        <w:lang w:val="en-US" w:eastAsia="zh-CN"/>
                      </w:rPr>
                    </w:pPr>
                    <w:r>
                      <w:rPr>
                        <w:rFonts w:hint="eastAsia"/>
                        <w:szCs w:val="21"/>
                        <w:lang w:val="en-US" w:eastAsia="zh-CN"/>
                      </w:rPr>
                      <w:t>21.29</w:t>
                    </w:r>
                  </w:p>
                </w:txbxContent>
              </v:textbox>
            </v:shape>
            <v:line id="Line 326" o:spid="_x0000_s4458" o:spt="20" style="position:absolute;left:8613;top:9667;height:435;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ZC8QAAADdAAAADwAAAGRycy9kb3ducmV2LnhtbERPS2sCMRC+F/wPYYTeatYi1V2NUroI&#10;PdSCDzyPm+lm6WaybNI1/feNUPA2H99zVptoWzFQ7xvHCqaTDARx5XTDtYLTcfu0AOEDssbWMSn4&#10;JQ+b9ehhhYV2V97TcAi1SCHsC1RgQugKKX1lyKKfuI44cV+utxgS7Gupe7ymcNvK5yx7kRYbTg0G&#10;O3ozVH0ffqyCuSn3ci7Lj+NnOTTTPO7i+ZIr9TiOr0sQgWK4i//d7zrNn2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xkLxAAAAN0AAAAPAAAAAAAAAAAA&#10;AAAAAKECAABkcnMvZG93bnJldi54bWxQSwUGAAAAAAQABAD5AAAAkgMAAAAA&#10;">
              <v:path arrowok="t"/>
              <v:fill on="f" focussize="0,0"/>
              <v:stroke color="#000000" endarrow="block"/>
              <v:imagedata o:title=""/>
              <o:lock v:ext="edit" aspectratio="f"/>
            </v:line>
            <v:shape id="Text Box 327" o:spid="_x0000_s4459" o:spt="202" type="#_x0000_t202" style="position:absolute;left:7936;top:9918;height:715;width:12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v:path/>
              <v:fill on="f" focussize="0,0"/>
              <v:stroke on="f"/>
              <v:imagedata o:title=""/>
              <o:lock v:ext="edit" aspectratio="f"/>
              <v:textbox>
                <w:txbxContent>
                  <w:p>
                    <w:pPr>
                      <w:jc w:val="center"/>
                      <w:rPr>
                        <w:rFonts w:hint="default" w:eastAsia="宋体"/>
                        <w:szCs w:val="21"/>
                        <w:lang w:val="en-US" w:eastAsia="zh-CN"/>
                      </w:rPr>
                    </w:pPr>
                    <w:r>
                      <w:rPr>
                        <w:rFonts w:hint="eastAsia"/>
                        <w:szCs w:val="21"/>
                      </w:rPr>
                      <w:t>土地利用</w:t>
                    </w:r>
                    <w:r>
                      <w:rPr>
                        <w:rFonts w:hint="eastAsia"/>
                        <w:szCs w:val="21"/>
                        <w:lang w:val="en-US" w:eastAsia="zh-CN"/>
                      </w:rPr>
                      <w:t>18.82</w:t>
                    </w:r>
                  </w:p>
                </w:txbxContent>
              </v:textbox>
            </v:shape>
            <v:line id="Line 337" o:spid="_x0000_s4460" o:spt="20" style="position:absolute;left:9579;top:8471;height:770;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qTcYAAADdAAAADwAAAGRycy9kb3ducmV2LnhtbESPQUvDQBCF70L/wzIFb3YTEdvGbktp&#10;EDyo0FY8j9kxG8zOhuyarv/eOQjeZnhv3vtms8u+VxONsQtsoFwUoIibYDtuDbydH29WoGJCttgH&#10;JgM/FGG3nV1tsLLhwkeaTqlVEsKxQgMupaHSOjaOPMZFGIhF+wyjxyTr2Go74kXCfa9vi+Jee+xY&#10;GhwOdHDUfJ2+vYGlq496qevn82s9deU6v+T3j7Ux1/O8fwCVKKd/89/1kxX8u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Kk3GAAAA3QAAAA8AAAAAAAAA&#10;AAAAAAAAoQIAAGRycy9kb3ducmV2LnhtbFBLBQYAAAAABAAEAPkAAACUAwAAAAA=&#10;">
              <v:path arrowok="t"/>
              <v:fill on="f" focussize="0,0"/>
              <v:stroke color="#000000" endarrow="block"/>
              <v:imagedata o:title=""/>
              <o:lock v:ext="edit" aspectratio="f"/>
            </v:line>
            <v:rect id="Rectangle 338" o:spid="_x0000_s4461" o:spt="1" style="position:absolute;left:9167;top:9244;height:426;width:972;"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OuMUA&#10;AADdAAAADwAAAGRycy9kb3ducmV2LnhtbERP22rCQBB9F/oPyxT6UnSTUqSNbqQtDQgi2FTExyE7&#10;uWB2NmS3Gv16Vyj4NodznfliMK04Uu8aywriSQSCuLC64UrB9jcbv4FwHllja5kUnMnBIn0YzTHR&#10;9sQ/dMx9JUIIuwQV1N53iZSuqMmgm9iOOHCl7Q36APtK6h5PIdy08iWKptJgw6Ghxo6+aioO+Z9R&#10;kD/Tbl+UsVx9cvbdXfRyvVlZpZ4eh48ZCE+Dv4v/3Usd5r/G73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o64xQAAAN0AAAAPAAAAAAAAAAAAAAAAAJgCAABkcnMv&#10;ZG93bnJldi54bWxQSwUGAAAAAAQABAD1AAAAigMAAAAA&#10;">
              <v:path/>
              <v:fill on="t" color2="#FFFFFF" opacity="0f" focussize="0,0"/>
              <v:stroke color="#000000" joinstyle="miter"/>
              <v:imagedata o:title=""/>
              <o:lock v:ext="edit" aspectratio="f"/>
              <v:textbox inset="0mm,1.27mm,0mm,1.27mm">
                <w:txbxContent>
                  <w:p>
                    <w:pPr>
                      <w:spacing w:line="240" w:lineRule="exact"/>
                      <w:jc w:val="center"/>
                      <w:rPr>
                        <w:szCs w:val="21"/>
                      </w:rPr>
                    </w:pPr>
                    <w:r>
                      <w:rPr>
                        <w:rFonts w:hint="eastAsia"/>
                        <w:szCs w:val="21"/>
                      </w:rPr>
                      <w:t>沼渣带走</w:t>
                    </w:r>
                  </w:p>
                </w:txbxContent>
              </v:textbox>
            </v:rect>
            <v:shape id="Text Box 339" o:spid="_x0000_s4462" o:spt="202" type="#_x0000_t202" style="position:absolute;left:9088;top:8751;height:385;width:7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F7MQA&#10;AADdAAAADwAAAGRycy9kb3ducmV2LnhtbESPQU/DMAyF70j8h8hI3Fi6CRAqy6ZpA2kHLhvlbjVe&#10;U61xqsas3b/HB6TdbL3n9z4v11PszIWG3CZ2MJ8VYIjr5FtuHFTfn09vYLIge+wSk4MrZViv7u+W&#10;WPo08oEuR2mMhnAu0UEQ6Utrcx0oYp6lnli1Uxoiiq5DY/2Ao4bHzi6K4tVGbFkbAva0DVSfj7/R&#10;gYjfzK/VR8z7n+lrN4aifsHKuceHafMORmiSm/n/eu8V/3mh/PqNjm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hezEAAAA3QAAAA8AAAAAAAAAAAAAAAAAmAIAAGRycy9k&#10;b3ducmV2LnhtbFBLBQYAAAAABAAEAPUAAACJAwAAAAA=&#10;">
              <v:path/>
              <v:fill on="f" focussize="0,0"/>
              <v:stroke on="f"/>
              <v:imagedata o:title=""/>
              <o:lock v:ext="edit" aspectratio="f"/>
              <v:textbox style="mso-fit-shape-to-text:t;">
                <w:txbxContent>
                  <w:p>
                    <w:pPr>
                      <w:rPr>
                        <w:rFonts w:hint="default" w:eastAsia="宋体"/>
                        <w:szCs w:val="21"/>
                        <w:lang w:val="en-US" w:eastAsia="zh-CN"/>
                      </w:rPr>
                    </w:pPr>
                    <w:r>
                      <w:rPr>
                        <w:rFonts w:hint="eastAsia"/>
                        <w:szCs w:val="21"/>
                        <w:lang w:val="en-US" w:eastAsia="zh-CN"/>
                      </w:rPr>
                      <w:t>0.59</w:t>
                    </w:r>
                  </w:p>
                </w:txbxContent>
              </v:textbox>
            </v:shape>
            <v:rect id="Rectangle 340" o:spid="_x0000_s4463" o:spt="1" style="position:absolute;left:2858;top:5136;height:313;width:1292;"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KlsQA&#10;AADdAAAADwAAAGRycy9kb3ducmV2LnhtbERPTWvCQBC9C/0PyxS86UYt0qZuQlED9uChscXrkB2T&#10;0OxsyK5J/PfdguBtHu9zNuloGtFT52rLChbzCARxYXXNpYLvUzZ7BeE8ssbGMim4kYM0eZpsMNZ2&#10;4C/qc1+KEMIuRgWV920spSsqMujmtiUO3MV2Bn2AXSl1h0MIN41cRtFaGqw5NFTY0rai4je/GgV5&#10;9qOPb2e/OtsxK/efu91l356Umj6PH+8gPI3+Ib67DzrMf1ku4P+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ypbEAAAA3QAAAA8AAAAAAAAAAAAAAAAAmAIAAGRycy9k&#10;b3ducmV2LnhtbFBLBQYAAAAABAAEAPUAAACJAw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lang w:val="en-US" w:eastAsia="zh-CN"/>
                      </w:rPr>
                      <w:t>27.025</w:t>
                    </w:r>
                  </w:p>
                </w:txbxContent>
              </v:textbox>
            </v:rect>
            <v:line id="Line 341" o:spid="_x0000_s4464" o:spt="20" style="position:absolute;left:2755;top:7903;height:1;width:182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XGsMAAADdAAAADwAAAGRycy9kb3ducmV2LnhtbERP32vCMBB+F/Y/hBvsTVOLzFmNMlaE&#10;PehAHXu+NWdT1lxKk9X43y/CwLf7+H7eahNtKwbqfeNYwXSSgSCunG64VvB52o5fQPiArLF1TAqu&#10;5GGzfhitsNDuwgcajqEWKYR9gQpMCF0hpa8MWfQT1xEn7ux6iyHBvpa6x0sKt63Ms+xZWmw4NRjs&#10;6M1Q9XP8tQrmpjzIuSx3p49yaKaLuI9f3wulnh7j6xJEoBju4n/3u07zZ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G1xrDAAAA3QAAAA8AAAAAAAAAAAAA&#10;AAAAoQIAAGRycy9kb3ducmV2LnhtbFBLBQYAAAAABAAEAPkAAACRAwAAAAA=&#10;">
              <v:path arrowok="t"/>
              <v:fill on="f" focussize="0,0"/>
              <v:stroke color="#000000" endarrow="block"/>
              <v:imagedata o:title=""/>
              <o:lock v:ext="edit" aspectratio="f"/>
            </v:line>
            <v:line id="Line 342" o:spid="_x0000_s4465" o:spt="20" style="position:absolute;left:5883;top:7876;height:1;width:2213;" filled="f" stroked="t" coordsize="21600,21600">
              <v:path arrowok="t"/>
              <v:fill on="f" focussize="0,0"/>
              <v:stroke color="#000000" endarrow="block"/>
              <v:imagedata o:title=""/>
              <o:lock v:ext="edit" aspectratio="f"/>
            </v:line>
            <v:line id="Line 343" o:spid="_x0000_s4466" o:spt="20" style="position:absolute;left:3974;top:4679;flip:y;height:632;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QH8UAAADdAAAADwAAAGRycy9kb3ducmV2LnhtbERPTWvCQBC9C/0PyxS86SZBRFJXaQuB&#10;2IvUxoK3MTsmodnZkF2T9N93C4Xe5vE+Z7ufTCsG6l1jWUG8jEAQl1Y3XCkoPrLFBoTzyBpby6Tg&#10;mxzsdw+zLabajvxOw8lXIoSwS1FB7X2XSunKmgy6pe2IA3ezvUEfYF9J3eMYwk0rkyhaS4MNh4Ya&#10;O3qtqfw63Y2C+znfvH3Gh1tSHPMrYXS+JC+ZUvPH6fkJhKfJ/4v/3LkO81fJCn6/CS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EQH8UAAADdAAAADwAAAAAAAAAA&#10;AAAAAAChAgAAZHJzL2Rvd25yZXYueG1sUEsFBgAAAAAEAAQA+QAAAJMDAAAAAA==&#10;">
              <v:path arrowok="t"/>
              <v:fill on="f" focussize="0,0"/>
              <v:stroke color="#000000" dashstyle="longDash" endarrow="block"/>
              <v:imagedata o:title=""/>
              <o:lock v:ext="edit" aspectratio="f"/>
            </v:line>
            <v:rect id="Rectangle 344" o:spid="_x0000_s4467" o:spt="1" style="position:absolute;left:2532;top:4375;height:514;width:192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MlcQA&#10;AADdAAAADwAAAGRycy9kb3ducmV2LnhtbERPTWvCQBC9C/6HZYTe6qZpLTW6BlED9dBDo+J1yI5J&#10;aHY2ZLdJ+u+7hYK3ebzPWaejaURPnastK3iaRyCIC6trLhWcT9njGwjnkTU2lknBDzlIN9PJGhNt&#10;B/6kPvelCCHsElRQed8mUrqiIoNublviwN1sZ9AH2JVSdziEcNPIOIpepcGaQ0OFLe0qKr7yb6Mg&#10;zy76Y3n1z1c7ZuXhuN/fDu1JqYfZuF2B8DT6u/jf/a7D/Jd4A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zJXEAAAA3QAAAA8AAAAAAAAAAAAAAAAAmAIAAGRycy9k&#10;b3ducmV2LnhtbFBLBQYAAAAABAAEAPUAAACJAwAAAAA=&#10;">
              <v:path/>
              <v:fill on="t" color2="#FFFFFF" opacity="0f" focussize="0,0"/>
              <v:stroke on="f"/>
              <v:imagedata o:title=""/>
              <o:lock v:ext="edit" aspectratio="f"/>
              <v:textbox>
                <w:txbxContent>
                  <w:p>
                    <w:pPr>
                      <w:spacing w:line="240" w:lineRule="atLeast"/>
                      <w:rPr>
                        <w:rFonts w:hint="default" w:eastAsia="宋体"/>
                        <w:szCs w:val="21"/>
                        <w:lang w:val="en-US" w:eastAsia="zh-CN"/>
                      </w:rPr>
                    </w:pPr>
                    <w:r>
                      <w:rPr>
                        <w:rFonts w:hint="eastAsia"/>
                        <w:szCs w:val="21"/>
                      </w:rPr>
                      <w:t>体能损耗</w:t>
                    </w:r>
                    <w:r>
                      <w:rPr>
                        <w:rFonts w:hint="eastAsia"/>
                        <w:szCs w:val="21"/>
                        <w:lang w:val="en-US" w:eastAsia="zh-CN"/>
                      </w:rPr>
                      <w:t>10.905</w:t>
                    </w:r>
                  </w:p>
                </w:txbxContent>
              </v:textbox>
            </v:rect>
            <v:rect id="Rectangle 345" o:spid="_x0000_s4468" o:spt="1" style="position:absolute;left:5481;top:5194;height:464;width:1822;"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S4sMA&#10;AADdAAAADwAAAGRycy9kb3ducmV2LnhtbERPTYvCMBC9C/sfwix403RVxO0aRdSCHjzY7uJ1aMa2&#10;bDMpTdT6740geJvH+5z5sjO1uFLrKssKvoYRCOLc6ooLBb9ZMpiBcB5ZY22ZFNzJwXLx0ZtjrO2N&#10;j3RNfSFCCLsYFZTeN7GULi/JoBvahjhwZ9sa9AG2hdQt3kK4qeUoiqbSYMWhocSG1iXl/+nFKEiT&#10;P334PvnxyXZJsd1vNudtkynV/+xWPyA8df4tfrl3OsyfjK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S4sMAAADdAAAADwAAAAAAAAAAAAAAAACYAgAAZHJzL2Rv&#10;d25yZXYueG1sUEsFBgAAAAAEAAQA9QAAAIgDAAAAAA==&#10;">
              <v:path/>
              <v:fill on="t" color2="#FFFFFF" opacity="0f" focussize="0,0"/>
              <v:stroke on="f"/>
              <v:imagedata o:title=""/>
              <o:lock v:ext="edit" aspectratio="f"/>
              <v:textbox>
                <w:txbxContent>
                  <w:p>
                    <w:pPr>
                      <w:rPr>
                        <w:rFonts w:hint="default" w:eastAsia="宋体"/>
                        <w:szCs w:val="21"/>
                        <w:lang w:val="en-US" w:eastAsia="zh-CN"/>
                      </w:rPr>
                    </w:pPr>
                    <w:r>
                      <w:rPr>
                        <w:rFonts w:hint="eastAsia"/>
                        <w:szCs w:val="21"/>
                      </w:rPr>
                      <w:t>猪尿液1</w:t>
                    </w:r>
                    <w:r>
                      <w:rPr>
                        <w:rFonts w:hint="eastAsia"/>
                        <w:szCs w:val="21"/>
                        <w:lang w:val="en-US" w:eastAsia="zh-CN"/>
                      </w:rPr>
                      <w:t>2.88</w:t>
                    </w:r>
                  </w:p>
                </w:txbxContent>
              </v:textbox>
            </v:rect>
            <v:line id="Line 346" o:spid="_x0000_s4469" o:spt="20" style="position:absolute;left:5351;top:7454;flip:y;height:161;width:509;" filled="f" stroked="t" coordsize="21600,21600">
              <v:path arrowok="t"/>
              <v:fill on="f" focussize="0,0"/>
              <v:stroke color="#000000" dashstyle="longDash" endarrow="block"/>
              <v:imagedata o:title=""/>
              <o:lock v:ext="edit" aspectratio="f"/>
            </v:line>
            <v:rect id="Rectangle 349" o:spid="_x0000_s4470" o:spt="1" style="position:absolute;left:4567;top:7620;height:504;width:131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hnscA&#10;AADdAAAADwAAAGRycy9kb3ducmV2LnhtbESPT2vCQBDF74V+h2UKXopuFCkS3UhbFAQp1LSIxyE7&#10;+UOzsyG7avTTdw6F3mZ4b977zWo9uFZdqA+NZwPTSQKKuPC24crA99d2vAAVIrLF1jMZuFGAdfb4&#10;sMLU+isf6JLHSkkIhxQN1DF2qdahqMlhmPiOWLTS9w6jrH2lbY9XCXetniXJi3bYsDTU2NF7TcVP&#10;fnYG8mc6nopyqvdvvN10d7v7+Nx7Y0ZPw+sSVKQh/pv/rndW8OczwZVvZAS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24Z7HAAAA3QAAAA8AAAAAAAAAAAAAAAAAmAIAAGRy&#10;cy9kb3ducmV2LnhtbFBLBQYAAAAABAAEAPUAAACMAwAAAAA=&#10;">
              <v:path/>
              <v:fill on="t" color2="#FFFFFF" opacity="0f" focussize="0,0"/>
              <v:stroke color="#000000" joinstyle="miter"/>
              <v:imagedata o:title=""/>
              <o:lock v:ext="edit" aspectratio="f"/>
              <v:textbox inset="0mm,1.27mm,0mm,1.27mm">
                <w:txbxContent>
                  <w:p>
                    <w:pPr>
                      <w:spacing w:line="240" w:lineRule="atLeast"/>
                      <w:jc w:val="center"/>
                      <w:rPr>
                        <w:szCs w:val="21"/>
                      </w:rPr>
                    </w:pPr>
                    <w:r>
                      <w:rPr>
                        <w:rFonts w:hint="eastAsia"/>
                        <w:szCs w:val="21"/>
                      </w:rPr>
                      <w:t>猪舍冲洗用水</w:t>
                    </w:r>
                  </w:p>
                  <w:p>
                    <w:pPr>
                      <w:spacing w:line="240" w:lineRule="atLeast"/>
                      <w:jc w:val="center"/>
                      <w:rPr>
                        <w:szCs w:val="21"/>
                      </w:rPr>
                    </w:pPr>
                  </w:p>
                </w:txbxContent>
              </v:textbox>
            </v:rect>
            <v:line id="Line 307" o:spid="_x0000_s4471" o:spt="20" style="position:absolute;left:5925;top:4525;height:11;width:74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Fa8MAAADdAAAADwAAAGRycy9kb3ducmV2LnhtbERP32vCMBB+F/Y/hBvsTVNF5lqNMlaE&#10;PehAHXu+NWdT1lxKk9X43y/CwLf7+H7eahNtKwbqfeNYwXSSgSCunG64VvB52o5fQPiArLF1TAqu&#10;5GGzfhitsNDuwgcajqEWKYR9gQpMCF0hpa8MWfQT1xEn7ux6iyHBvpa6x0sKt62cZdmztNhwajDY&#10;0Zuh6uf4axUsTHmQC1nuTh/l0EzzuI9f37lST4/xdQkiUAx38b/7Xaf5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iRWvDAAAA3QAAAA8AAAAAAAAAAAAA&#10;AAAAoQIAAGRycy9kb3ducmV2LnhtbFBLBQYAAAAABAAEAPkAAACRAwAAAAA=&#10;">
              <v:path arrowok="t"/>
              <v:fill on="f" focussize="0,0"/>
              <v:stroke color="#000000" endarrow="block"/>
              <v:imagedata o:title=""/>
              <o:lock v:ext="edit" aspectratio="f"/>
            </v:line>
            <v:rect id="矩形 162" o:spid="_x0000_s4472" o:spt="1" style="position:absolute;left:6652;top:4295;height:453;width:128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XxsUA&#10;AADdAAAADwAAAGRycy9kb3ducmV2LnhtbESPT2vDMAzF74N9B6PBbquzv4y0bslGCz0V1g7W3kSs&#10;2qGxHGK3Sb/9dBjsJvGe3vtpthhDqy7UpyaygcdJAYq4jrZhZ+B7t3p4B5UyssU2Mhm4UoLF/PZm&#10;hqWNA3/RZZudkhBOJRrwOXel1qn2FDBNYkcs2jH2AbOsvdO2x0HCQ6ufiuJNB2xYGjx29OmpPm3P&#10;wcCyO2yqV5d09ZP9/hQ/hpXfOGPu78ZqCirTmP/Nf9drK/gvz8Iv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fGxQAAAN0AAAAPAAAAAAAAAAAAAAAAAJgCAABkcnMv&#10;ZG93bnJldi54bWxQSwUGAAAAAAQABAD1AAAAigMAAAAA&#10;">
              <v:path/>
              <v:fill on="f" focussize="0,0"/>
              <v:stroke color="#000000" joinstyle="miter"/>
              <v:imagedata o:title=""/>
              <o:lock v:ext="edit" aspectratio="f"/>
              <v:textbox>
                <w:txbxContent>
                  <w:p>
                    <w:pPr>
                      <w:rPr>
                        <w:szCs w:val="21"/>
                      </w:rPr>
                    </w:pPr>
                    <w:r>
                      <w:rPr>
                        <w:rFonts w:hint="eastAsia" w:ascii="宋体" w:hAnsi="宋体"/>
                        <w:szCs w:val="21"/>
                      </w:rPr>
                      <w:t>固液分离</w:t>
                    </w:r>
                  </w:p>
                </w:txbxContent>
              </v:textbox>
            </v:rect>
            <v:line id="直线 202" o:spid="_x0000_s4473" o:spt="20" style="position:absolute;left:7305;top:4765;height:448;width: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path arrowok="t"/>
              <v:fill on="f" focussize="0,0"/>
              <v:stroke color="#000000"/>
              <v:imagedata o:title=""/>
              <o:lock v:ext="edit" aspectratio="f"/>
            </v:line>
            <v:line id="直线 2953" o:spid="_x0000_s4474" o:spt="20" style="position:absolute;left:8022;top:5161;height:2771;width:1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path arrowok="t"/>
              <v:fill on="f" focussize="0,0"/>
              <v:stroke color="#000000"/>
              <v:imagedata o:title=""/>
              <o:lock v:ext="edit" aspectratio="f"/>
            </v:line>
            <v:rect id="Rectangle 311" o:spid="_x0000_s4475" o:spt="1" style="position:absolute;left:5913;top:4082;height:395;width:92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p8QA&#10;AADdAAAADwAAAGRycy9kb3ducmV2LnhtbERPTWvCQBC9F/wPyxS81U2bUmx0DdIkYA89GC1eh+yY&#10;BLOzIbvG+O+7hUJv83ifs04n04mRBtdaVvC8iEAQV1a3XCs4HoqnJQjnkTV2lknBnRykm9nDGhNt&#10;b7ynsfS1CCHsElTQeN8nUrqqIYNuYXviwJ3tYNAHONRSD3gL4aaTL1H0Jg22HBoa7OmjoepSXo2C&#10;svjWX+8nH5/sVNT5Z5ad8/6g1Pxx2q5AeJr8v/jPvdNh/msc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Z6fEAAAA3QAAAA8AAAAAAAAAAAAAAAAAmAIAAGRycy9k&#10;b3ducmV2LnhtbFBLBQYAAAAABAAEAPUAAACJAw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lang w:val="en-US" w:eastAsia="zh-CN"/>
                      </w:rPr>
                      <w:t>3.24</w:t>
                    </w:r>
                  </w:p>
                </w:txbxContent>
              </v:textbox>
            </v:rect>
            <v:line id="直线 3015" o:spid="_x0000_s4476" o:spt="20" style="position:absolute;left:7290;top:5192;height:1;width:73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QmcQAAADdAAAADwAAAGRycy9kb3ducmV2LnhtbERPzWrCQBC+C77DMoKX0mzaam2jq4hQ&#10;KB4KVR9gzE6SxexszK4x7dN3hYK3+fh+Z7HqbS06ar1xrOApSUEQ504bLhUc9h+PbyB8QNZYOyYF&#10;P+RhtRwOFphpd+Vv6nahFDGEfYYKqhCaTEqfV2TRJ64hjlzhWoshwraUusVrDLe1fE7TV2nRcGyo&#10;sKFNRflpd7EKpuZ8nhWXr7pbb/H9aH8fzFGSUuNRv56DCNSHu/jf/anj/MnLBG7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tCZxAAAAN0AAAAPAAAAAAAAAAAA&#10;AAAAAKECAABkcnMvZG93bnJldi54bWxQSwUGAAAAAAQABAD5AAAAkgMAAAAA&#10;">
              <v:path arrowok="t"/>
              <v:fill on="f" focussize="0,0"/>
              <v:stroke color="#000000" endarrow="open"/>
              <v:imagedata o:title=""/>
              <o:lock v:ext="edit" aspectratio="f"/>
            </v:line>
            <v:rect id="Rectangle 311" o:spid="_x0000_s4477" o:spt="1" style="position:absolute;left:7209;top:4748;height:437;width:92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aSMMA&#10;AADdAAAADwAAAGRycy9kb3ducmV2LnhtbERPS4vCMBC+L/gfwgjeNPWx4naNImrBPXiw7uJ1aMa2&#10;2ExKE7X+eyMIe5uP7znzZWsqcaPGlZYVDAcRCOLM6pJzBb/HpD8D4TyyxsoyKXiQg+Wi8zHHWNs7&#10;H+iW+lyEEHYxKii8r2MpXVaQQTewNXHgzrYx6ANscqkbvIdwU8lRFE2lwZJDQ4E1rQvKLunVKEiT&#10;P73/OvnxybZJvv3ZbM7b+qhUr9uuvkF4av2/+O3e6TB/Mv6E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aSMMAAADdAAAADwAAAAAAAAAAAAAAAACYAgAAZHJzL2Rv&#10;d25yZXYueG1sUEsFBgAAAAAEAAQA9QAAAIgDA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lang w:val="en-US" w:eastAsia="zh-CN"/>
                      </w:rPr>
                      <w:t>2.74</w:t>
                    </w:r>
                  </w:p>
                </w:txbxContent>
              </v:textbox>
            </v:rect>
            <v:line id="Line 307" o:spid="_x0000_s4478" o:spt="20" style="position:absolute;left:7941;top:4537;height:1;width:14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HxMQAAADdAAAADwAAAGRycy9kb3ducmV2LnhtbERPS2sCMRC+C/6HMIXeNGtbfGyNIl0K&#10;Pajgg56nm+lm6WaybNI1/feNIHibj+85y3W0jeip87VjBZNxBoK4dLrmSsH59D6ag/ABWWPjmBT8&#10;kYf1ajhYYq7dhQ/UH0MlUgj7HBWYENpcSl8asujHriVO3LfrLIYEu0rqDi8p3DbyKcum0mLNqcFg&#10;S2+Gyp/jr1UwM8VBzmSxPe2Lvp4s4i5+fi2UenyIm1cQgWK4i2/uD53mvzxP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EfExAAAAN0AAAAPAAAAAAAAAAAA&#10;AAAAAKECAABkcnMvZG93bnJldi54bWxQSwUGAAAAAAQABAD5AAAAkgMAAAAA&#10;">
              <v:path arrowok="t"/>
              <v:fill on="f" focussize="0,0"/>
              <v:stroke color="#000000" endarrow="block"/>
              <v:imagedata o:title=""/>
              <o:lock v:ext="edit" aspectratio="f"/>
            </v:line>
            <v:rect id="Rectangle 311" o:spid="_x0000_s4479" o:spt="1" style="position:absolute;left:7760;top:4082;height:463;width:190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pMMA&#10;AADdAAAADwAAAGRycy9kb3ducmV2LnhtbERPS4vCMBC+L/gfwgjeNPXB6naNImrBPXiw7uJ1aMa2&#10;2ExKE7X+eyMIe5uP7znzZWsqcaPGlZYVDAcRCOLM6pJzBb/HpD8D4TyyxsoyKXiQg+Wi8zHHWNs7&#10;H+iW+lyEEHYxKii8r2MpXVaQQTewNXHgzrYx6ANscqkbvIdwU8lRFH1KgyWHhgJrWheUXdKrUZAm&#10;f3r/dfLjk22TfPuz2Zy39VGpXrddfYPw1Pp/8du902H+ZDyF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pMMAAADdAAAADwAAAAAAAAAAAAAAAACYAgAAZHJzL2Rv&#10;d25yZXYueG1sUEsFBgAAAAAEAAQA9QAAAIgDA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rPr>
                      <w:t>猪粪带走</w:t>
                    </w:r>
                    <w:r>
                      <w:rPr>
                        <w:rFonts w:hint="eastAsia"/>
                        <w:szCs w:val="21"/>
                        <w:lang w:val="en-US" w:eastAsia="zh-CN"/>
                      </w:rPr>
                      <w:t>0.5</w:t>
                    </w:r>
                  </w:p>
                </w:txbxContent>
              </v:textbox>
            </v:rect>
            <v:rect id="矩形 162" o:spid="_x0000_s4480" o:spt="1" style="position:absolute;left:9314;top:4357;height:836;width:1165;"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bwMUA&#10;AADdAAAADwAAAGRycy9kb3ducmV2LnhtbESPT2vDMAzF74N9B6PBbquzv4y0bslGCz0V1g7W3kSs&#10;2qGxHGK3Sb/9dBjsJvGe3vtpthhDqy7UpyaygcdJAYq4jrZhZ+B7t3p4B5UyssU2Mhm4UoLF/PZm&#10;hqWNA3/RZZudkhBOJRrwOXel1qn2FDBNYkcs2jH2AbOsvdO2x0HCQ6ufiuJNB2xYGjx29OmpPm3P&#10;wcCyO2yqV5d09ZP9/hQ/hpXfOGPu78ZqCirTmP/Nf9drK/gvz4Ir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BvAxQAAAN0AAAAPAAAAAAAAAAAAAAAAAJgCAABkcnMv&#10;ZG93bnJldi54bWxQSwUGAAAAAAQABAD1AAAAigMAAAAA&#10;">
              <v:path/>
              <v:fill on="f" focussize="0,0"/>
              <v:stroke color="#000000" joinstyle="miter"/>
              <v:imagedata o:title=""/>
              <o:lock v:ext="edit" aspectratio="f"/>
              <v:textbox>
                <w:txbxContent>
                  <w:p>
                    <w:pPr>
                      <w:rPr>
                        <w:color w:val="000000"/>
                        <w:szCs w:val="21"/>
                      </w:rPr>
                    </w:pPr>
                    <w:r>
                      <w:rPr>
                        <w:rFonts w:hint="eastAsia" w:ascii="宋体" w:hAnsi="宋体"/>
                        <w:color w:val="000000"/>
                        <w:szCs w:val="21"/>
                      </w:rPr>
                      <w:t>固粪处理区</w:t>
                    </w:r>
                  </w:p>
                </w:txbxContent>
              </v:textbox>
            </v:rect>
            <v:line id="Line 326" o:spid="_x0000_s4481" o:spt="20" style="position:absolute;left:8974;top:6601;flip:x;height:1392;width:2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LB8YAAADdAAAADwAAAGRycy9kb3ducmV2LnhtbESPQWvCQBCF74L/YZmCl6CbNlJqdBVb&#10;FQrSQ7WHHofsmIRmZ0N21PTfdwuCtxne+968Wax616gLdaH2bOBxkoIiLrytuTTwddyNX0AFQbbY&#10;eCYDvxRgtRwOFphbf+VPuhykVDGEQ44GKpE21zoUFTkME98SR+3kO4cS167UtsNrDHeNfkrTZ+2w&#10;5nihwpbeKip+DmcXa+w+eJNlyavTSTKj7bfsUy3GjB769RyUUC93841+t5GbZjP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SwfGAAAA3QAAAA8AAAAAAAAA&#10;AAAAAAAAoQIAAGRycy9kb3ducmV2LnhtbFBLBQYAAAAABAAEAPkAAACUAwAAAAA=&#10;">
              <v:path arrowok="t"/>
              <v:fill on="f" focussize="0,0"/>
              <v:stroke color="#000000" endarrow="block"/>
              <v:imagedata o:title=""/>
              <o:lock v:ext="edit" aspectratio="f"/>
            </v:line>
            <v:line id="直线 3021" o:spid="_x0000_s4482" o:spt="20" style="position:absolute;left:5249;top:8131;flip:x y;height:1234;width:27;" filled="f" stroked="t" coordsize="21600,21600">
              <v:path arrowok="t"/>
              <v:fill on="f" focussize="0,0"/>
              <v:stroke weight="1pt" color="#000000" dashstyle="dash" endarrow="block"/>
              <v:imagedata o:title=""/>
              <o:lock v:ext="edit" aspectratio="f"/>
            </v:line>
            <v:line id="直线 3022" o:spid="_x0000_s4483" o:spt="20" style="position:absolute;left:4989;top:9900;flip:x y;height:36;width: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OnsQAAADdAAAADwAAAGRycy9kb3ducmV2LnhtbESPQWsCMRCF74L/IUzBm2ZXpCxbo0hB&#10;EEGhWtrrsBk3i5vJsolu9Nc3hUJvM7z3vnmzXEfbijv1vnGsIJ9lIIgrpxuuFXyet9MChA/IGlvH&#10;pOBBHtar8WiJpXYDf9D9FGqRIOxLVGBC6EopfWXIop+5jjhpF9dbDGnta6l7HBLctnKeZa/SYsPp&#10;gsGO3g1V19PNJsr3o9DX45O/XDgMMZ7zvSlypSYvcfMGIlAM/+a/9E6n+otFDr/fpBH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k6exAAAAN0AAAAPAAAAAAAAAAAA&#10;AAAAAKECAABkcnMvZG93bnJldi54bWxQSwUGAAAAAAQABAD5AAAAkgMAAAAA&#10;">
              <v:path arrowok="t"/>
              <v:fill on="f" focussize="0,0"/>
              <v:stroke color="#000000" endarrow="open"/>
              <v:imagedata o:title=""/>
              <o:lock v:ext="edit" aspectratio="f"/>
            </v:line>
            <v:line id="Line 326" o:spid="_x0000_s4491" o:spt="20" style="position:absolute;left:2713;top:10330;height:1;width:69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zYcMAAADdAAAADwAAAGRycy9kb3ducmV2LnhtbERP32vCMBB+F/Y/hBv4pqkK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2HDAAAA3QAAAA8AAAAAAAAAAAAA&#10;AAAAoQIAAGRycy9kb3ducmV2LnhtbFBLBQYAAAAABAAEAPkAAACRAwAAAAA=&#10;">
              <v:path arrowok="t"/>
              <v:fill on="f" focussize="0,0"/>
              <v:stroke color="#000000" endarrow="block"/>
              <v:imagedata o:title=""/>
              <o:lock v:ext="edit" aspectratio="f"/>
            </v:line>
            <v:rect id="Rectangle 389" o:spid="_x0000_s4492" o:spt="1" style="position:absolute;left:3386;top:10204;height:480;width:166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XlMUA&#10;AADdAAAADwAAAGRycy9kb3ducmV2LnhtbERPTWvCQBC9F/wPyxS8lLqxQi2pm6BSISBCm4r0OGTH&#10;JDQ7G7Krif56Vyj0No/3OYt0MI04U+dqywqmkwgEcWF1zaWC/ffm+Q2E88gaG8uk4EIO0mT0sMBY&#10;256/6Jz7UoQQdjEqqLxvYyldUZFBN7EtceCOtjPoA+xKqTvsQ7hp5EsUvUqDNYeGCltaV1T85iej&#10;IH+iw09xnMrtijcf7VVnu8+tVWr8OCzfQXga/L/4z53pMH82n8P9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eUxQAAAN0AAAAPAAAAAAAAAAAAAAAAAJgCAABkcnMv&#10;ZG93bnJldi54bWxQSwUGAAAAAAQABAD1AAAAigMAAAAA&#10;">
              <v:path/>
              <v:fill on="t" color2="#FFFFFF" opacity="0f" focussize="0,0"/>
              <v:stroke color="#000000" joinstyle="miter"/>
              <v:imagedata o:title=""/>
              <o:lock v:ext="edit" aspectratio="f"/>
              <v:textbox inset="0mm,1.27mm,0mm,1.27mm">
                <w:txbxContent>
                  <w:p>
                    <w:pPr>
                      <w:spacing w:line="240" w:lineRule="atLeast"/>
                      <w:jc w:val="center"/>
                      <w:rPr>
                        <w:szCs w:val="21"/>
                      </w:rPr>
                    </w:pPr>
                    <w:r>
                      <w:rPr>
                        <w:rFonts w:hint="eastAsia"/>
                        <w:szCs w:val="21"/>
                      </w:rPr>
                      <w:t>消毒用水</w:t>
                    </w:r>
                  </w:p>
                </w:txbxContent>
              </v:textbox>
            </v:rect>
            <v:shape id="Text Box 391" o:spid="_x0000_s4493" o:spt="202" type="#_x0000_t202" style="position:absolute;left:3648;top:9583;height:460;width:28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v:path/>
              <v:fill on="f" focussize="0,0"/>
              <v:stroke on="f"/>
              <v:imagedata o:title=""/>
              <o:lock v:ext="edit" aspectratio="f"/>
              <v:textbox>
                <w:txbxContent>
                  <w:p>
                    <w:pPr>
                      <w:rPr>
                        <w:rFonts w:hint="default" w:eastAsia="宋体"/>
                        <w:szCs w:val="21"/>
                        <w:lang w:val="en-US" w:eastAsia="zh-CN"/>
                      </w:rPr>
                    </w:pPr>
                    <w:r>
                      <w:rPr>
                        <w:rFonts w:hint="eastAsia"/>
                        <w:szCs w:val="21"/>
                      </w:rPr>
                      <w:t>蒸发、风力损耗</w:t>
                    </w:r>
                    <w:r>
                      <w:rPr>
                        <w:rFonts w:hint="eastAsia"/>
                        <w:szCs w:val="21"/>
                        <w:lang w:val="en-US" w:eastAsia="zh-CN"/>
                      </w:rPr>
                      <w:t>2.19</w:t>
                    </w:r>
                  </w:p>
                </w:txbxContent>
              </v:textbox>
            </v:shape>
            <v:line id="Line 346" o:spid="_x0000_s4494" o:spt="20" style="position:absolute;left:4223;top:9916;flip:y;height:274;width:24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cQAAADdAAAADwAAAGRycy9kb3ducmV2LnhtbERPS2vCQBC+F/wPywje6sYI1aauooIQ&#10;vRRfhd7G7JgEs7Mhu2r6792C4G0+vudMZq2pxI0aV1pWMOhHIIgzq0vOFRz2q/cxCOeRNVaWScEf&#10;OZhNO28TTLS985ZuO5+LEMIuQQWF93UipcsKMuj6tiYO3Nk2Bn2ATS51g/cQbioZR9GHNFhyaCiw&#10;pmVB2WV3NQqux3S8+Rmsz/HhOz0RRsffeLFSqtdt518gPLX+JX66Ux3mD0ef8P9NO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V35xAAAAN0AAAAPAAAAAAAAAAAA&#10;AAAAAKECAABkcnMvZG93bnJldi54bWxQSwUGAAAAAAQABAD5AAAAkgMAAAAA&#10;">
              <v:path arrowok="t"/>
              <v:fill on="f" focussize="0,0"/>
              <v:stroke color="#000000" dashstyle="longDash" endarrow="block"/>
              <v:imagedata o:title=""/>
              <o:lock v:ext="edit" aspectratio="f"/>
            </v:line>
            <v:rect id="Rectangle 392" o:spid="_x0000_s4495" o:spt="1" style="position:absolute;left:2705;top:9824;height:376;width:98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9UsYA&#10;AADdAAAADwAAAGRycy9kb3ducmV2LnhtbESPT2vCQBDF70K/wzJCb7pRodg0q0g10B56aGzxOmQn&#10;fzA7G7Krxm/vHAq9zfDevPebbDu6Tl1pCK1nA4t5Aoq49Lbl2sDPMZ+tQYWIbLHzTAbuFGC7eZpk&#10;mFp/42+6FrFWEsIhRQNNjH2qdSgbchjmvicWrfKDwyjrUGs74E3CXaeXSfKiHbYsDQ329N5QeS4u&#10;zkCR/9qv11NcnfyY14fP/b469Edjnqfj7g1UpDH+m/+uP6zgr9bCL9/ICH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9UsYAAADdAAAADwAAAAAAAAAAAAAAAACYAgAAZHJz&#10;L2Rvd25yZXYueG1sUEsFBgAAAAAEAAQA9QAAAIsDAAAAAA==&#10;">
              <v:path/>
              <v:fill on="t" color2="#FFFFFF" opacity="0f" focussize="0,0"/>
              <v:stroke on="f"/>
              <v:imagedata o:title=""/>
              <o:lock v:ext="edit" aspectratio="f"/>
              <v:textbox>
                <w:txbxContent>
                  <w:p>
                    <w:pPr>
                      <w:spacing w:line="200" w:lineRule="exact"/>
                      <w:rPr>
                        <w:rFonts w:hint="default" w:eastAsia="宋体"/>
                        <w:szCs w:val="21"/>
                        <w:lang w:val="en-US" w:eastAsia="zh-CN"/>
                      </w:rPr>
                    </w:pPr>
                    <w:r>
                      <w:rPr>
                        <w:rFonts w:hint="eastAsia"/>
                        <w:szCs w:val="21"/>
                        <w:lang w:val="en-US" w:eastAsia="zh-CN"/>
                      </w:rPr>
                      <w:t>2.19</w:t>
                    </w:r>
                  </w:p>
                </w:txbxContent>
              </v:textbox>
            </v:rect>
          </v:group>
        </w:pict>
      </w: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ind w:firstLine="482" w:firstLineChars="200"/>
        <w:rPr>
          <w:b/>
          <w:bCs/>
          <w:sz w:val="24"/>
          <w:u w:val="single"/>
        </w:rPr>
      </w:pPr>
    </w:p>
    <w:p>
      <w:pPr>
        <w:spacing w:line="500" w:lineRule="atLeast"/>
        <w:rPr>
          <w:b/>
          <w:szCs w:val="21"/>
          <w:u w:val="single"/>
        </w:rPr>
      </w:pPr>
    </w:p>
    <w:p>
      <w:pPr>
        <w:spacing w:beforeLines="100" w:line="500" w:lineRule="atLeast"/>
        <w:ind w:firstLine="1063" w:firstLineChars="441"/>
        <w:rPr>
          <w:b/>
          <w:color w:val="000000"/>
          <w:sz w:val="24"/>
          <w:u w:val="single"/>
        </w:rPr>
      </w:pPr>
    </w:p>
    <w:p>
      <w:pPr>
        <w:spacing w:beforeLines="100" w:line="500" w:lineRule="atLeast"/>
        <w:ind w:firstLine="1063" w:firstLineChars="441"/>
        <w:rPr>
          <w:b/>
          <w:color w:val="000000"/>
          <w:sz w:val="24"/>
          <w:u w:val="single"/>
        </w:rPr>
      </w:pPr>
    </w:p>
    <w:p>
      <w:pPr>
        <w:spacing w:beforeLines="100" w:line="500" w:lineRule="atLeast"/>
        <w:ind w:firstLine="1063" w:firstLineChars="441"/>
        <w:rPr>
          <w:b/>
          <w:color w:val="000000"/>
          <w:sz w:val="24"/>
          <w:u w:val="none"/>
        </w:rPr>
      </w:pPr>
      <w:r>
        <w:rPr>
          <w:b/>
          <w:color w:val="000000"/>
          <w:sz w:val="24"/>
          <w:u w:val="none"/>
        </w:rPr>
        <w:t>图</w:t>
      </w:r>
      <w:r>
        <w:rPr>
          <w:rFonts w:hint="eastAsia"/>
          <w:b/>
          <w:color w:val="000000"/>
          <w:sz w:val="24"/>
          <w:u w:val="none"/>
          <w:lang w:val="en-US" w:eastAsia="zh-CN"/>
        </w:rPr>
        <w:t>2</w:t>
      </w:r>
      <w:r>
        <w:rPr>
          <w:b/>
          <w:color w:val="000000"/>
          <w:sz w:val="24"/>
          <w:u w:val="none"/>
        </w:rPr>
        <w:t>.3-1  项目春、秋、冬季水平衡图（243天</w:t>
      </w:r>
      <w:r>
        <w:rPr>
          <w:rFonts w:hint="eastAsia"/>
          <w:b/>
          <w:color w:val="000000"/>
          <w:sz w:val="24"/>
          <w:u w:val="none"/>
          <w:lang w:eastAsia="zh-CN"/>
        </w:rPr>
        <w:t>）</w:t>
      </w:r>
      <w:r>
        <w:rPr>
          <w:b/>
          <w:color w:val="000000"/>
          <w:sz w:val="24"/>
          <w:u w:val="none"/>
        </w:rPr>
        <w:t>，单位：m</w:t>
      </w:r>
      <w:r>
        <w:rPr>
          <w:b/>
          <w:color w:val="000000"/>
          <w:sz w:val="24"/>
          <w:u w:val="none"/>
          <w:vertAlign w:val="superscript"/>
        </w:rPr>
        <w:t>3</w:t>
      </w:r>
      <w:r>
        <w:rPr>
          <w:b/>
          <w:color w:val="000000"/>
          <w:sz w:val="24"/>
          <w:u w:val="none"/>
        </w:rPr>
        <w:t>/d</w:t>
      </w:r>
    </w:p>
    <w:p>
      <w:pPr>
        <w:pStyle w:val="14"/>
        <w:ind w:firstLine="0" w:firstLineChars="0"/>
        <w:rPr>
          <w:b/>
          <w:color w:val="000000"/>
          <w:sz w:val="24"/>
          <w:u w:val="non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0" w:firstLineChars="0"/>
        <w:rPr>
          <w:b/>
          <w:color w:val="000000"/>
          <w:sz w:val="24"/>
          <w:u w:val="single"/>
        </w:rPr>
      </w:pPr>
    </w:p>
    <w:p>
      <w:pPr>
        <w:pStyle w:val="14"/>
        <w:ind w:firstLine="482"/>
        <w:rPr>
          <w:b/>
          <w:color w:val="000000"/>
          <w:sz w:val="24"/>
          <w:u w:val="single"/>
        </w:rPr>
      </w:pPr>
      <w:r>
        <w:rPr>
          <w:b/>
          <w:color w:val="000000"/>
          <w:sz w:val="24"/>
          <w:u w:val="single"/>
        </w:rPr>
        <w:pict>
          <v:group id="画布 1381" o:spid="_x0000_s4496" o:spt="203" style="position:absolute;left:0pt;margin-left:-30pt;margin-top:-8.85pt;height:423pt;width:463.25pt;z-index:251756544;mso-width-relative:page;mso-height-relative:page;" coordorigin="1390,1026" coordsize="9265,8460" editas="canvas">
            <o:lock v:ext="edit"/>
            <v:shape id="画布 1381" o:spid="_x0000_s4497" o:spt="75" type="#_x0000_t75" style="position:absolute;left:1390;top:1026;height:8460;width:9265;" filled="f" o:preferrelative="t" stroked="f" coordsize="21600,21600">
              <v:path/>
              <v:fill on="f" focussize="0,0"/>
              <v:stroke on="f" joinstyle="miter"/>
              <v:imagedata o:title=""/>
              <o:lock v:ext="edit" aspectratio="t"/>
            </v:shape>
            <v:rect id="Rectangle 293" o:spid="_x0000_s4498" o:spt="1" style="position:absolute;left:1483;top:5434;height:768;width:50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xPsQA&#10;AADdAAAADwAAAGRycy9kb3ducmV2LnhtbERPTWvCQBC9F/wPyxS8FN2oNMbUVbQiCCUHtb0P2TEJ&#10;Zmdjdqvx37tCobd5vM+ZLztTiyu1rrKsYDSMQBDnVldcKPg+bgcJCOeRNdaWScGdHCwXvZc5ptre&#10;eE/Xgy9ECGGXooLS+yaV0uUlGXRD2xAH7mRbgz7AtpC6xVsIN7UcR1EsDVYcGkps6LOk/Hz4NQp+&#10;3t82q697luHMjNdJcr5MZYxK9V+71QcIT53/F/+5dzrMn4xieH4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8T7EAAAA3QAAAA8AAAAAAAAAAAAAAAAAmAIAAGRycy9k&#10;b3ducmV2LnhtbFBLBQYAAAAABAAEAPUAAACJAwAAAAA=&#10;">
              <v:path/>
              <v:fill opacity="0f" focussize="0,0"/>
              <v:stroke/>
              <v:imagedata o:title=""/>
              <o:lock v:ext="edit"/>
              <v:textbox>
                <w:txbxContent>
                  <w:p>
                    <w:pPr>
                      <w:spacing w:line="200" w:lineRule="exact"/>
                      <w:rPr>
                        <w:szCs w:val="21"/>
                      </w:rPr>
                    </w:pPr>
                    <w:r>
                      <w:rPr>
                        <w:rFonts w:hint="eastAsia"/>
                        <w:szCs w:val="21"/>
                      </w:rPr>
                      <w:t>新鲜水</w:t>
                    </w:r>
                  </w:p>
                </w:txbxContent>
              </v:textbox>
            </v:rect>
            <v:line id="Line 294" o:spid="_x0000_s4499" o:spt="20" style="position:absolute;left:1985;top:5821;height:1;width:91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zWsQAAADdAAAADwAAAGRycy9kb3ducmV2LnhtbERP32vCMBB+H+x/CDfY20w7wc5qlLEi&#10;7EEH6tjz2dyasuZSmqzG/94Ig73dx/fzlutoOzHS4FvHCvJJBoK4drrlRsHncfP0AsIHZI2dY1Jw&#10;IQ/r1f3dEkvtzryn8RAakULYl6jAhNCXUvrakEU/cT1x4r7dYDEkODRSD3hO4baTz1k2kxZbTg0G&#10;e3ozVP8cfq2CwlR7Wchqe/yoxjafx138Os2VenyIrwsQgWL4F/+533WaP80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3NaxAAAAN0AAAAPAAAAAAAAAAAA&#10;AAAAAKECAABkcnMvZG93bnJldi54bWxQSwUGAAAAAAQABAD5AAAAkgMAAAAA&#10;">
              <v:path arrowok="t"/>
              <v:fill focussize="0,0"/>
              <v:stroke endarrow="block"/>
              <v:imagedata o:title=""/>
              <o:lock v:ext="edit"/>
            </v:line>
            <v:line id="Line 295" o:spid="_x0000_s4500" o:spt="20" style="position:absolute;left:2916;top:2942;height:6140;width:1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yPMgAAADdAAAADwAAAGRycy9kb3ducmV2LnhtbESPQUvDQBCF74L/YRnBm93UQpC021Ja&#10;Cq0HsVWwx2l2TGKzs2F3TeK/dw6Ctxnem/e+WaxG16qeQmw8G5hOMlDEpbcNVwbe33YPT6BiQrbY&#10;eiYDPxRhtby9WWBh/cBH6k+pUhLCsUADdUpdoXUsa3IYJ74jFu3TB4dJ1lBpG3CQcNfqxyzLtcOG&#10;paHGjjY1ldfTtzPwMnv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RyPMgAAADdAAAADwAAAAAA&#10;AAAAAAAAAAChAgAAZHJzL2Rvd25yZXYueG1sUEsFBgAAAAAEAAQA+QAAAJYDAAAAAA==&#10;">
              <v:path arrowok="t"/>
              <v:fill focussize="0,0"/>
              <v:stroke/>
              <v:imagedata o:title=""/>
              <o:lock v:ext="edit"/>
            </v:line>
            <v:line id="Line 296" o:spid="_x0000_s4501" o:spt="20" style="position:absolute;left:2891;top:2969;flip:y;height:11;width:105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aAsUAAADdAAAADwAAAGRycy9kb3ducmV2LnhtbESPQWvCQBCF7wX/wzJCL0E3NiA1uora&#10;CgXxUPXgcciOSTA7G7JTTf99t1DobYb3vjdvFqveNepOXag9G5iMU1DEhbc1lwbOp93oFVQQZIuN&#10;ZzLwTQFWy8HTAnPrH/xJ96OUKoZwyNFAJdLmWoeiIodh7FviqF1951Di2pXadviI4a7RL2k61Q5r&#10;jhcqbGlbUXE7frlYY3fgtyxLNk4nyYzeL7JPtRjzPOzXc1BCvfyb/+gPG7lsMoPfb+II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raAsUAAADdAAAADwAAAAAAAAAA&#10;AAAAAAChAgAAZHJzL2Rvd25yZXYueG1sUEsFBgAAAAAEAAQA+QAAAJMDAAAAAA==&#10;">
              <v:path arrowok="t"/>
              <v:fill focussize="0,0"/>
              <v:stroke endarrow="block"/>
              <v:imagedata o:title=""/>
              <o:lock v:ext="edit"/>
            </v:line>
            <v:line id="Line 297" o:spid="_x0000_s4502" o:spt="20" style="position:absolute;left:2914;top:4086;flip:y;height:1;width: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5IsYAAADdAAAADwAAAGRycy9kb3ducmV2LnhtbESPQUvDQBCF74L/YRmhl2A3NiA1dlta&#10;24IgPbR68DhkxySYnQ3ZaRv/vXMQvM1j3vfmzWI1hs5caEhtZAcP0xwMcRV9y7WDj/f9/RxMEmSP&#10;XWRy8EMJVsvbmwWWPl75SJeT1EZDOJXooBHpS2tT1VDANI09se6+4hBQVA619QNeNTx0dpbnjzZg&#10;y3qhwZ5eGqq+T+egNfYH3hZFtgk2y55o9ylvuRXnJnfj+hmM0Cj/5j/61StXzLS/fqMj2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uSLGAAAA3QAAAA8AAAAAAAAA&#10;AAAAAAAAoQIAAGRycy9kb3ducmV2LnhtbFBLBQYAAAAABAAEAPkAAACUAwAAAAA=&#10;">
              <v:path arrowok="t"/>
              <v:fill focussize="0,0"/>
              <v:stroke endarrow="block"/>
              <v:imagedata o:title=""/>
              <o:lock v:ext="edit"/>
            </v:line>
            <v:rect id="Rectangle 298" o:spid="_x0000_s4503" o:spt="1" style="position:absolute;left:3835;top:2751;height:468;width:139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FZsMA&#10;AADdAAAADwAAAGRycy9kb3ducmV2LnhtbERPTYvCMBC9C/6HMIKXRdO6INI1ioqCIIJWWfY4NGNb&#10;tpmUJmrXX2+EBW/zeJ8znbemEjdqXGlZQTyMQBBnVpecKzifNoMJCOeRNVaWScEfOZjPup0pJtre&#10;+Ui31OcihLBLUEHhfZ1I6bKCDLqhrYkDd7GNQR9gk0vd4D2Em0qOomgsDZYcGgqsaVVQ9ptejYL0&#10;g75/skssd0verOuH3u4PO6tUv9cuvkB4av1b/O/e6jD/cxT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aFZsMAAADdAAAADwAAAAAAAAAAAAAAAACYAgAAZHJzL2Rv&#10;d25yZXYueG1sUEsFBgAAAAAEAAQA9QAAAIgDAAAAAA==&#10;">
              <v:path/>
              <v:fill opacity="0f" focussize="0,0"/>
              <v:stroke/>
              <v:imagedata o:title=""/>
              <o:lock v:ext="edit"/>
              <v:textbox inset="0mm,1.27mm,0mm,1.27mm">
                <w:txbxContent>
                  <w:p>
                    <w:pPr>
                      <w:jc w:val="center"/>
                      <w:rPr>
                        <w:szCs w:val="21"/>
                      </w:rPr>
                    </w:pPr>
                    <w:r>
                      <w:rPr>
                        <w:rFonts w:hint="eastAsia"/>
                        <w:szCs w:val="21"/>
                      </w:rPr>
                      <w:t>生猪饮用水</w:t>
                    </w:r>
                  </w:p>
                </w:txbxContent>
              </v:textbox>
            </v:rect>
            <v:rect id="Rectangle 299" o:spid="_x0000_s4504" o:spt="1" style="position:absolute;left:4739;top:3911;height:417;width:134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9gMQA&#10;AADdAAAADwAAAGRycy9kb3ducmV2LnhtbERPTWvCQBC9F/oflil4KXXTiGmauopWBEE8VO19yE6T&#10;YHY2zW5N8u9dQehtHu9zZove1OJCrassK3gdRyCIc6srLhScjpuXFITzyBpry6RgIAeL+ePDDDNt&#10;O/6iy8EXIoSwy1BB6X2TSenykgy6sW2IA/djW4M+wLaQusUuhJtaxlGUSIMVh4YSG/osKT8f/oyC&#10;7+nzerkb9nt8N/EqTc+/bzJBpUZP/fIDhKfe/4vv7q0O8ydxDLd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PYDEAAAA3QAAAA8AAAAAAAAAAAAAAAAAmAIAAGRycy9k&#10;b3ducmV2LnhtbFBLBQYAAAAABAAEAPUAAACJAwAAAAA=&#10;">
              <v:path/>
              <v:fill opacity="0f" focussize="0,0"/>
              <v:stroke/>
              <v:imagedata o:title=""/>
              <o:lock v:ext="edit"/>
              <v:textbox>
                <w:txbxContent>
                  <w:p>
                    <w:pPr>
                      <w:spacing w:line="240" w:lineRule="exact"/>
                      <w:jc w:val="center"/>
                      <w:rPr>
                        <w:szCs w:val="21"/>
                      </w:rPr>
                    </w:pPr>
                    <w:r>
                      <w:rPr>
                        <w:rFonts w:hint="eastAsia"/>
                        <w:szCs w:val="21"/>
                      </w:rPr>
                      <w:t>职工生活</w:t>
                    </w:r>
                  </w:p>
                </w:txbxContent>
              </v:textbox>
            </v:rect>
            <v:rect id="Rectangle 300" o:spid="_x0000_s4505" o:spt="1" style="position:absolute;left:8499;top:5492;height:433;width:182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YG8QA&#10;AADdAAAADwAAAGRycy9kb3ducmV2LnhtbERPTWvCQBC9C/6HZQq9iG6MqDHNKrZFKBQPansfsmMS&#10;kp1Ns1uN/94tCL3N431OtulNIy7UucqygukkAkGcW11xoeDrtBsnIJxH1thYJgU3crBZDwcZptpe&#10;+UCXoy9ECGGXooLS+zaV0uUlGXQT2xIH7mw7gz7ArpC6w2sIN42Mo2ghDVYcGkps6a2kvD7+GgXf&#10;89H79vO23+PKxK9JUv8s5QKVen7qty8gPPX+X/xwf+gwfxbP4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5mBvEAAAA3QAAAA8AAAAAAAAAAAAAAAAAmAIAAGRycy9k&#10;b3ducmV2LnhtbFBLBQYAAAAABAAEAPUAAACJAwAAAAA=&#10;">
              <v:path/>
              <v:fill opacity="0f" focussize="0,0"/>
              <v:stroke/>
              <v:imagedata o:title=""/>
              <o:lock v:ext="edit"/>
              <v:textbox>
                <w:txbxContent>
                  <w:p>
                    <w:pPr>
                      <w:spacing w:line="240" w:lineRule="exact"/>
                      <w:jc w:val="center"/>
                      <w:rPr>
                        <w:szCs w:val="21"/>
                      </w:rPr>
                    </w:pPr>
                    <w:r>
                      <w:rPr>
                        <w:rFonts w:hint="eastAsia"/>
                        <w:szCs w:val="21"/>
                        <w:lang w:eastAsia="zh-CN"/>
                      </w:rPr>
                      <w:t>黑膜</w:t>
                    </w:r>
                    <w:r>
                      <w:rPr>
                        <w:rFonts w:hint="eastAsia"/>
                        <w:szCs w:val="21"/>
                      </w:rPr>
                      <w:t>沼气池</w:t>
                    </w:r>
                  </w:p>
                </w:txbxContent>
              </v:textbox>
            </v:rect>
            <v:line id="Line 301" o:spid="_x0000_s4506" o:spt="20" style="position:absolute;left:8845;top:5957;height:777;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knkMQAAADdAAAADwAAAGRycy9kb3ducmV2LnhtbERPS2sCMRC+C/6HMIXeNKstPrZGkS6F&#10;Hqrgg56nm+lm6WaybNI1/feNIHibj+85q020jeip87VjBZNxBoK4dLrmSsH59DZagPABWWPjmBT8&#10;kYfNejhYYa7dhQ/UH0MlUgj7HBWYENpcSl8asujHriVO3LfrLIYEu0rqDi8p3DZymmUzabHm1GCw&#10;pVdD5c/x1yqYm+Ig57L4OO2Lvp4s4y5+fi2VenyI2xcQgWK4i2/ud53mP02f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SeQxAAAAN0AAAAPAAAAAAAAAAAA&#10;AAAAAKECAABkcnMvZG93bnJldi54bWxQSwUGAAAAAAQABAD5AAAAkgMAAAAA&#10;">
              <v:path arrowok="t"/>
              <v:fill focussize="0,0"/>
              <v:stroke endarrow="block"/>
              <v:imagedata o:title=""/>
              <o:lock v:ext="edit"/>
            </v:line>
            <v:rect id="Rectangle 302" o:spid="_x0000_s4507" o:spt="1" style="position:absolute;left:8419;top:6683;height:426;width:78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l9MUA&#10;AADdAAAADwAAAGRycy9kb3ducmV2LnhtbERPS2vCQBC+C/0PyxR6Ed00xTRNXcUHhYJ4qLb3ITtN&#10;gtnZmN2a5N+7QsHbfHzPmS97U4sLta6yrOB5GoEgzq2uuFDwffyYpCCcR9ZYWyYFAzlYLh5Gc8y0&#10;7fiLLgdfiBDCLkMFpfdNJqXLSzLoprYhDtyvbQ36ANtC6ha7EG5qGUdRIg1WHBpKbGhTUn46/BkF&#10;P7PxdrUb9nt8M/E6TU/nV5mgUk+P/eodhKfe38X/7k8d5r/EM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KX0xQAAAN0AAAAPAAAAAAAAAAAAAAAAAJgCAABkcnMv&#10;ZG93bnJldi54bWxQSwUGAAAAAAQABAD1AAAAigMAAAAA&#10;">
              <v:path/>
              <v:fill opacity="0f" focussize="0,0"/>
              <v:stroke/>
              <v:imagedata o:title=""/>
              <o:lock v:ext="edit"/>
              <v:textbox>
                <w:txbxContent>
                  <w:p>
                    <w:pPr>
                      <w:spacing w:line="240" w:lineRule="exact"/>
                      <w:jc w:val="center"/>
                      <w:rPr>
                        <w:szCs w:val="21"/>
                      </w:rPr>
                    </w:pPr>
                    <w:r>
                      <w:rPr>
                        <w:rFonts w:hint="eastAsia"/>
                        <w:szCs w:val="21"/>
                      </w:rPr>
                      <w:t>沼液</w:t>
                    </w:r>
                  </w:p>
                </w:txbxContent>
              </v:textbox>
            </v:rect>
            <v:rect id="Rectangle 303" o:spid="_x0000_s4508" o:spt="1" style="position:absolute;left:1991;top:5434;height:402;width:987;"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fh8MA&#10;AADdAAAADwAAAGRycy9kb3ducmV2LnhtbERPTWvCQBC9C/6HZQq96aYGQo2uImqgPXhoVLwO2TEJ&#10;ZmdDdpuk/74rFHqbx/uc9XY0jeipc7VlBW/zCARxYXXNpYLLOZu9g3AeWWNjmRT8kIPtZjpZY6rt&#10;wF/U574UIYRdigoq79tUSldUZNDNbUscuLvtDPoAu1LqDocQbhq5iKJEGqw5NFTY0r6i4pF/GwV5&#10;dtWn5c3HNztm5fHzcLgf27NSry/jbgXC0+j/xX/uDx3mx4sEnt+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fh8MAAADdAAAADwAAAAAAAAAAAAAAAACYAgAAZHJzL2Rv&#10;d25yZXYueG1sUEsFBgAAAAAEAAQA9QAAAIgDA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rPr>
                      <w:t>5</w:t>
                    </w:r>
                    <w:r>
                      <w:rPr>
                        <w:rFonts w:hint="eastAsia"/>
                        <w:szCs w:val="21"/>
                        <w:lang w:val="en-US" w:eastAsia="zh-CN"/>
                      </w:rPr>
                      <w:t>5.985</w:t>
                    </w:r>
                  </w:p>
                </w:txbxContent>
              </v:textbox>
            </v:rect>
            <v:rect id="Rectangle 304" o:spid="_x0000_s4509" o:spt="1" style="position:absolute;left:3378;top:5577;height:313;width:1146;"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6HMQA&#10;AADdAAAADwAAAGRycy9kb3ducmV2LnhtbERPTWvCQBC9C/0PyxS8NZsasG3qKqIJ2IOHxpZch+yY&#10;hGZnQ3bV+O/dguBtHu9zFqvRdOJMg2stK3iNYhDEldUt1wp+DvnLOwjnkTV2lknBlRyslk+TBaba&#10;XvibzoWvRQhhl6KCxvs+ldJVDRl0ke2JA3e0g0Ef4FBLPeAlhJtOzuJ4Lg22HBoa7GnTUPVXnIyC&#10;Iv/V+4/SJ6Ud8zr72m6PWX9Qavo8rj9BeBr9Q3x373SYn8ze4P+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OhzEAAAA3QAAAA8AAAAAAAAAAAAAAAAAmAIAAGRycy9k&#10;b3ducmV2LnhtbFBLBQYAAAAABAAEAPUAAACJAw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lang w:val="en-US" w:eastAsia="zh-CN"/>
                      </w:rPr>
                      <w:t>2.95</w:t>
                    </w:r>
                  </w:p>
                </w:txbxContent>
              </v:textbox>
            </v:rect>
            <v:rect id="Rectangle 305" o:spid="_x0000_s4510" o:spt="1" style="position:absolute;left:3251;top:3669;height:421;width:1089;"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ubscA&#10;AADdAAAADwAAAGRycy9kb3ducmV2LnhtbESPT2vCQBDF74V+h2UEb3WjQmnTrCLVgD300KTF65Cd&#10;/MHsbMiuGr9951DobYb35r3fZNvJ9epKY+g8G1guElDElbcdNwa+y/zpBVSIyBZ7z2TgTgG2m8eH&#10;DFPrb/xF1yI2SkI4pGigjXFItQ5VSw7Dwg/EotV+dBhlHRttR7xJuOv1KkmetcOOpaHFgd5bqs7F&#10;xRko8h/7+XqK65Of8ubwsd/Xh6E0Zj6bdm+gIk3x3/x3fbSCv14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Orm7HAAAA3QAAAA8AAAAAAAAAAAAAAAAAmAIAAGRy&#10;cy9kb3ducmV2LnhtbFBLBQYAAAAABAAEAPUAAACMAwAAAAA=&#10;">
              <v:path/>
              <v:fill opacity="0f" focussize="0,0"/>
              <v:stroke on="f"/>
              <v:imagedata o:title=""/>
              <o:lock v:ext="edit"/>
              <v:textbox>
                <w:txbxContent>
                  <w:p>
                    <w:pPr>
                      <w:spacing w:line="200" w:lineRule="exact"/>
                      <w:rPr>
                        <w:szCs w:val="21"/>
                      </w:rPr>
                    </w:pPr>
                    <w:r>
                      <w:rPr>
                        <w:rFonts w:hint="eastAsia"/>
                        <w:szCs w:val="21"/>
                        <w:lang w:val="en-US" w:eastAsia="zh-CN"/>
                      </w:rPr>
                      <w:t>2</w:t>
                    </w:r>
                    <w:r>
                      <w:rPr>
                        <w:rFonts w:hint="eastAsia"/>
                        <w:szCs w:val="21"/>
                      </w:rPr>
                      <w:t>.4</w:t>
                    </w:r>
                  </w:p>
                </w:txbxContent>
              </v:textbox>
            </v:rect>
            <v:line id="Line 306" o:spid="_x0000_s4511" o:spt="20" style="position:absolute;left:5190;top:3024;flip:y;height:34;width:297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Qv8UAAADdAAAADwAAAGRycy9kb3ducmV2LnhtbESPQWvCQBCF7wX/wzJCL0E3GpAaXUXb&#10;CgXxUPXgcciOSTA7G7JTTf99t1DobYb3vjdvluveNepOXag9G5iMU1DEhbc1lwbOp93oBVQQZIuN&#10;ZzLwTQHWq8HTEnPrH/xJ96OUKoZwyNFAJdLmWoeiIodh7FviqF1951Di2pXadviI4a7R0zSdaYc1&#10;xwsVtvRaUXE7frlYY3fgtyxLtk4nyZzeL7JPtRjzPOw3C1BCvfyb/+gPG7lsOof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YQv8UAAADdAAAADwAAAAAAAAAA&#10;AAAAAAChAgAAZHJzL2Rvd25yZXYueG1sUEsFBgAAAAAEAAQA+QAAAJMDAAAAAA==&#10;">
              <v:path arrowok="t"/>
              <v:fill focussize="0,0"/>
              <v:stroke endarrow="block"/>
              <v:imagedata o:title=""/>
              <o:lock v:ext="edit"/>
            </v:line>
            <v:line id="Line 307" o:spid="_x0000_s4512" o:spt="20" style="position:absolute;left:6074;top:4088;flip:y;height:1;width:215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v/8UAAADdAAAADwAAAGRycy9kb3ducmV2LnhtbESPQUvDQBCF74L/YRnBS2g3NSA27bZY&#10;tSCIB2sPPQ7ZaRLMzobs2Kb/vnMQvM1j3vfmzXI9hs6caEhtZAezaQ6GuIq+5drB/ns7eQKTBNlj&#10;F5kcXCjBenV7s8TSxzN/0WkntdEQTiU6aET60tpUNRQwTWNPrLtjHAKKyqG2fsCzhofOPuT5ow3Y&#10;sl5osKeXhqqf3W/QGttPfi2KbBNsls3p7SAfuRXn7u/G5wUYoVH+zX/0u1euKLS/fqMj2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Uv/8UAAADdAAAADwAAAAAAAAAA&#10;AAAAAAChAgAAZHJzL2Rvd25yZXYueG1sUEsFBgAAAAAEAAQA+QAAAJMDAAAAAA==&#10;">
              <v:path arrowok="t"/>
              <v:fill focussize="0,0"/>
              <v:stroke endarrow="block"/>
              <v:imagedata o:title=""/>
              <o:lock v:ext="edit"/>
            </v:line>
            <v:rect id="Rectangle 309" o:spid="_x0000_s4513" o:spt="1" style="position:absolute;left:6517;top:5512;height:313;width:942;"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LsIA&#10;AADdAAAADwAAAGRycy9kb3ducmV2LnhtbERPTYvCMBC9L/gfwgje1lQLslajiFrQg4dtFa9DM7bF&#10;ZlKaqN1/vxEW9jaP9znLdW8a8aTO1ZYVTMYRCOLC6ppLBec8/fwC4TyyxsYyKfghB+vV4GOJibYv&#10;/qZn5ksRQtglqKDyvk2kdEVFBt3YtsSBu9nOoA+wK6Xu8BXCTSOnUTSTBmsODRW2tK2ouGcPoyBL&#10;L/o0v/r4avu03B93u9u+zZUaDfvNAoSn3v+L/9wHHebH8QTe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ZEuwgAAAN0AAAAPAAAAAAAAAAAAAAAAAJgCAABkcnMvZG93&#10;bnJldi54bWxQSwUGAAAAAAQABAD1AAAAhwM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lang w:val="en-US" w:eastAsia="zh-CN"/>
                      </w:rPr>
                      <w:t>4.34</w:t>
                    </w:r>
                  </w:p>
                </w:txbxContent>
              </v:textbox>
            </v:rect>
            <v:rect id="Rectangle 311" o:spid="_x0000_s4514" o:spt="1" style="position:absolute;left:6665;top:3734;height:313;width:92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PWcIA&#10;AADdAAAADwAAAGRycy9kb3ducmV2LnhtbERPTYvCMBC9C/sfwizsTVMtiFajyGphPXiwVbwOzdgW&#10;m0lpstr99xtB8DaP9znLdW8acafO1ZYVjEcRCOLC6ppLBac8Hc5AOI+ssbFMCv7IwXr1MVhiou2D&#10;j3TPfClCCLsEFVTet4mUrqjIoBvZljhwV9sZ9AF2pdQdPkK4aeQkiqbSYM2hocKWvisqbtmvUZCl&#10;Z32YX3x8sX1a7vbb7XXX5kp9ffabBQhPvX+LX+4fHebH8QS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w9ZwgAAAN0AAAAPAAAAAAAAAAAAAAAAAJgCAABkcnMvZG93&#10;bnJldi54bWxQSwUGAAAAAAQABAD1AAAAhwMAAAAA&#10;">
              <v:path/>
              <v:fill opacity="0f" focussize="0,0"/>
              <v:stroke on="f"/>
              <v:imagedata o:title=""/>
              <o:lock v:ext="edit"/>
              <v:textbox>
                <w:txbxContent>
                  <w:p>
                    <w:pPr>
                      <w:spacing w:line="200" w:lineRule="exact"/>
                      <w:rPr>
                        <w:szCs w:val="21"/>
                      </w:rPr>
                    </w:pPr>
                    <w:r>
                      <w:rPr>
                        <w:rFonts w:hint="eastAsia"/>
                        <w:szCs w:val="21"/>
                        <w:lang w:val="en-US" w:eastAsia="zh-CN"/>
                      </w:rPr>
                      <w:t>1.9</w:t>
                    </w:r>
                    <w:r>
                      <w:rPr>
                        <w:rFonts w:hint="eastAsia"/>
                        <w:szCs w:val="21"/>
                      </w:rPr>
                      <w:t>2</w:t>
                    </w:r>
                  </w:p>
                </w:txbxContent>
              </v:textbox>
            </v:rect>
            <v:shape id="Text Box 312" o:spid="_x0000_s4515" o:spt="202" type="#_x0000_t202" style="position:absolute;left:5894;top:6278;height:416;width:22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AI8EA&#10;AADdAAAADwAAAGRycy9kb3ducmV2LnhtbERPTWvCQBC9F/oflhF6qxsNLSV1FakWPPRSTe9DdpoN&#10;ZmdDdjTx37uC4G0e73MWq9G36kx9bAIbmE0zUMRVsA3XBsrD9+sHqCjIFtvAZOBCEVbL56cFFjYM&#10;/EvnvdQqhXAs0IAT6QqtY+XIY5yGjjhx/6H3KAn2tbY9Dinct3qeZe/aY8OpwWFHX46q4/7kDYjY&#10;9exSbn3c/Y0/m8Fl1RuWxrxMxvUnKKFRHuK7e2fT/DzP4f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QCPBAAAA3QAAAA8AAAAAAAAAAAAAAAAAmAIAAGRycy9kb3du&#10;cmV2LnhtbFBLBQYAAAAABAAEAPUAAACGAwAAAAA=&#10;">
              <v:path/>
              <v:fill on="f" focussize="0,0"/>
              <v:stroke on="f" joinstyle="miter"/>
              <v:imagedata o:title=""/>
              <o:lock v:ext="edit"/>
              <v:textbox style="mso-fit-shape-to-text:t;">
                <w:txbxContent>
                  <w:p>
                    <w:pPr>
                      <w:rPr>
                        <w:rFonts w:hint="default" w:eastAsia="宋体"/>
                        <w:szCs w:val="21"/>
                        <w:lang w:val="en-US" w:eastAsia="zh-CN"/>
                      </w:rPr>
                    </w:pPr>
                    <w:r>
                      <w:rPr>
                        <w:rFonts w:hint="eastAsia"/>
                        <w:szCs w:val="21"/>
                      </w:rPr>
                      <w:t>沼液回用</w:t>
                    </w:r>
                    <w:r>
                      <w:rPr>
                        <w:rFonts w:hint="eastAsia"/>
                        <w:szCs w:val="21"/>
                        <w:lang w:val="en-US" w:eastAsia="zh-CN"/>
                      </w:rPr>
                      <w:t>2.47</w:t>
                    </w:r>
                  </w:p>
                </w:txbxContent>
              </v:textbox>
            </v:shape>
            <v:shape id="Text Box 313" o:spid="_x0000_s4516" o:spt="202" type="#_x0000_t202" style="position:absolute;left:4421;top:1410;height:747;width:1676;"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q7sMA&#10;AADdAAAADwAAAGRycy9kb3ducmV2LnhtbERPS2vCQBC+F/wPywi9SN3UrW1NXaUIWm/i6z5kxyRt&#10;djZkV5P8+25B6G0+vufMl52txI0aXzrW8DxOQBBnzpScazgd10/vIHxANlg5Jg09eVguBg9zTI1r&#10;eU+3Q8hFDGGfooYihDqV0mcFWfRjVxNH7uIaiyHCJpemwTaG20pOkuRVWiw5NhRY06qg7OdwtRpy&#10;v1ffaqTwbdpPzl/ndtZvdkbrx2H3+QEiUBf+xXf31sT5Sr3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Iq7sMAAADdAAAADwAAAAAAAAAAAAAAAACYAgAAZHJzL2Rv&#10;d25yZXYueG1sUEsFBgAAAAAEAAQA9QAAAIgDAAAAAA==&#10;">
              <v:path/>
              <v:fill on="f" focussize="0,0"/>
              <v:stroke joinstyle="miter"/>
              <v:imagedata o:title=""/>
              <o:lock v:ext="edit"/>
              <v:textbox>
                <w:txbxContent>
                  <w:p>
                    <w:pPr>
                      <w:jc w:val="left"/>
                      <w:rPr>
                        <w:rFonts w:hint="default" w:eastAsia="宋体"/>
                        <w:szCs w:val="21"/>
                        <w:lang w:val="en-US" w:eastAsia="zh-CN"/>
                      </w:rPr>
                    </w:pPr>
                    <w:r>
                      <w:rPr>
                        <w:rFonts w:hint="eastAsia"/>
                        <w:szCs w:val="21"/>
                      </w:rPr>
                      <w:t>猪粪含水3</w:t>
                    </w:r>
                    <w:r>
                      <w:rPr>
                        <w:rFonts w:hint="eastAsia"/>
                        <w:szCs w:val="21"/>
                        <w:lang w:val="en-US" w:eastAsia="zh-CN"/>
                      </w:rPr>
                      <w:t>.24</w:t>
                    </w:r>
                  </w:p>
                </w:txbxContent>
              </v:textbox>
            </v:shape>
            <v:line id="Line 314" o:spid="_x0000_s4517" o:spt="20" style="position:absolute;left:4874;top:2119;flip:y;height:632;width:1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uPMUAAADdAAAADwAAAGRycy9kb3ducmV2LnhtbERPTWvCQBC9F/wPywi91U0iLZJmFRUC&#10;aS9Sawq9TbNjEszOhuyq6b/vCkJv83ifk61G04kLDa61rCCeRSCIK6tbrhUcPvOnBQjnkTV2lknB&#10;LzlYLScPGabaXvmDLntfixDCLkUFjfd9KqWrGjLoZrYnDtzRDgZ9gEMt9YDXEG46mUTRizTYcmho&#10;sKdtQ9VpfzYKzmWxeP+K347JYVf8EEbld7LJlXqcjutXEJ5G/y++uwsd5s/nz3D7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uPMUAAADdAAAADwAAAAAAAAAA&#10;AAAAAAChAgAAZHJzL2Rvd25yZXYueG1sUEsFBgAAAAAEAAQA+QAAAJMDAAAAAA==&#10;">
              <v:path arrowok="t"/>
              <v:fill focussize="0,0"/>
              <v:stroke dashstyle="longDash" endarrow="block"/>
              <v:imagedata o:title=""/>
              <o:lock v:ext="edit"/>
            </v:line>
            <v:shape id="Text Box 315" o:spid="_x0000_s4518" o:spt="202" type="#_x0000_t202" style="position:absolute;left:5543;top:5056;height:416;width:127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ju8EA&#10;AADdAAAADwAAAGRycy9kb3ducmV2LnhtbERPS2vCQBC+F/wPywje6sZKRaKriA/w0Es13ofsNBua&#10;nQ3ZqYn/3i0UepuP7znr7eAbdacu1oENzKYZKOIy2JorA8X19LoEFQXZYhOYDDwownYzelljbkPP&#10;n3S/SKVSCMccDTiRNtc6lo48xmloiRP3FTqPkmBXadthn8J9o9+ybKE91pwaHLa0d1R+X368ARG7&#10;mz2Ko4/n2/Bx6F1WvmNhzGQ87FaghAb5F/+5zzbNn88X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447vBAAAA3QAAAA8AAAAAAAAAAAAAAAAAmAIAAGRycy9kb3du&#10;cmV2LnhtbFBLBQYAAAAABAAEAPUAAACGAwAAAAA=&#10;">
              <v:path/>
              <v:fill on="f" focussize="0,0"/>
              <v:stroke on="f" joinstyle="miter"/>
              <v:imagedata o:title=""/>
              <o:lock v:ext="edit"/>
              <v:textbox style="mso-fit-shape-to-text:t;">
                <w:txbxContent>
                  <w:p>
                    <w:pPr>
                      <w:rPr>
                        <w:rFonts w:hint="default" w:eastAsia="宋体"/>
                        <w:szCs w:val="21"/>
                        <w:lang w:val="en-US" w:eastAsia="zh-CN"/>
                      </w:rPr>
                    </w:pPr>
                    <w:r>
                      <w:rPr>
                        <w:rFonts w:hint="eastAsia"/>
                        <w:szCs w:val="21"/>
                      </w:rPr>
                      <w:t>损耗</w:t>
                    </w:r>
                    <w:r>
                      <w:rPr>
                        <w:rFonts w:hint="eastAsia"/>
                        <w:szCs w:val="21"/>
                        <w:lang w:val="en-US" w:eastAsia="zh-CN"/>
                      </w:rPr>
                      <w:t>1.08</w:t>
                    </w:r>
                  </w:p>
                </w:txbxContent>
              </v:textbox>
            </v:shape>
            <v:line id="Line 316" o:spid="_x0000_s4519" o:spt="20" style="position:absolute;left:5069;top:3436;flip:y;height:345;width:366;"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V0MUAAADdAAAADwAAAGRycy9kb3ducmV2LnhtbERPTWvCQBC9F/wPywi91U0itJJmFRUC&#10;aS9Sawq9TbNjEszOhuyq6b/vCkJv83ifk61G04kLDa61rCCeRSCIK6tbrhUcPvOnBQjnkTV2lknB&#10;LzlYLScPGabaXvmDLntfixDCLkUFjfd9KqWrGjLoZrYnDtzRDgZ9gEMt9YDXEG46mUTRszTYcmho&#10;sKdtQ9VpfzYKzmWxeP+K347JYVf8EEbld7LJlXqcjutXEJ5G/y++uwsd5s/nL3D7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V0MUAAADdAAAADwAAAAAAAAAA&#10;AAAAAAChAgAAZHJzL2Rvd25yZXYueG1sUEsFBgAAAAAEAAQA+QAAAJMDAAAAAA==&#10;">
              <v:path arrowok="t"/>
              <v:fill focussize="0,0"/>
              <v:stroke dashstyle="longDash" endarrow="block"/>
              <v:imagedata o:title=""/>
              <o:lock v:ext="edit"/>
            </v:line>
            <v:shape id="Text Box 317" o:spid="_x0000_s4520" o:spt="202" type="#_x0000_t202" style="position:absolute;left:5280;top:3184;height:416;width:133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SUsQA&#10;AADdAAAADwAAAGRycy9kb3ducmV2LnhtbESPQU/DMAyF70j8h8hI3Fg6piFUlk3TBtIOuzDK3Wq8&#10;plrjVI1Zu3+PD0jcbL3n9z6vNlPszJWG3CZ2MJ8VYIjr5FtuHFRfH0+vYLIge+wSk4MbZdis7+9W&#10;WPo08iddT9IYDeFcooMg0pfW5jpQxDxLPbFq5zREFF2HxvoBRw2PnX0uihcbsWVtCNjTLlB9Of1E&#10;ByJ+O79V7zEfvqfjfgxFvcTKuceHafsGRmiSf/Pf9cEr/mKhu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lLEAAAA3QAAAA8AAAAAAAAAAAAAAAAAmAIAAGRycy9k&#10;b3ducmV2LnhtbFBLBQYAAAAABAAEAPUAAACJAwAAAAA=&#10;">
              <v:path/>
              <v:fill on="f" focussize="0,0"/>
              <v:stroke on="f" joinstyle="miter"/>
              <v:imagedata o:title=""/>
              <o:lock v:ext="edit"/>
              <v:textbox style="mso-fit-shape-to-text:t;">
                <w:txbxContent>
                  <w:p>
                    <w:pPr>
                      <w:rPr>
                        <w:szCs w:val="21"/>
                      </w:rPr>
                    </w:pPr>
                    <w:r>
                      <w:rPr>
                        <w:rFonts w:hint="eastAsia"/>
                        <w:szCs w:val="21"/>
                      </w:rPr>
                      <w:t>损耗</w:t>
                    </w:r>
                    <w:r>
                      <w:rPr>
                        <w:rFonts w:hint="eastAsia"/>
                        <w:szCs w:val="21"/>
                        <w:lang w:val="en-US" w:eastAsia="zh-CN"/>
                      </w:rPr>
                      <w:t>0.4</w:t>
                    </w:r>
                    <w:r>
                      <w:rPr>
                        <w:rFonts w:hint="eastAsia"/>
                        <w:szCs w:val="21"/>
                      </w:rPr>
                      <w:t>8</w:t>
                    </w:r>
                  </w:p>
                </w:txbxContent>
              </v:textbox>
            </v:shape>
            <v:shape id="AutoShape 320" o:spid="_x0000_s4521" o:spt="32" type="#_x0000_t32" style="position:absolute;left:5333;top:6882;flip:x;height:1;width:3062;"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vDsYAAADdAAAADwAAAGRycy9kb3ducmV2LnhtbESPS2vDMBCE74X+B7GFXkoip4YQO1FC&#10;3NI0t5DXfbG2tqm1Mpb8aH59FSj0tsvMfDu72oymFj21rrKsYDaNQBDnVldcKLicPyYLEM4ja6wt&#10;k4IfcrBZPz6sMNV24CP1J1+IAGGXooLS+yaV0uUlGXRT2xAH7cu2Bn1Y20LqFocAN7V8jaK5NFhx&#10;uFBiQ28l5d+nzgRK0s2peE9y3t0+m+twOL74LFPq+WncLkF4Gv2/+S+916F+HCdw/yaM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7w7GAAAA3QAAAA8AAAAAAAAA&#10;AAAAAAAAoQIAAGRycy9kb3ducmV2LnhtbFBLBQYAAAAABAAEAPkAAACUAwAAAAA=&#10;">
              <v:path arrowok="t"/>
              <v:fill on="f" focussize="0,0"/>
              <v:stroke weight="1pt" dashstyle="dash"/>
              <v:imagedata o:title=""/>
              <o:lock v:ext="edit"/>
            </v:shape>
            <v:shape id="AutoShape 323" o:spid="_x0000_s4522" o:spt="32" type="#_x0000_t32" style="position:absolute;left:8177;top:4096;flip:x;height:1;width:1023;" o:connectortype="straight" filled="f"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w5cYAAADdAAAADwAAAGRycy9kb3ducmV2LnhtbESPQWvDMAyF74P9B6PBLqN1so1S0rpl&#10;DAqlh8HaHHoUtpqExnJme2n276fDYDeJ9/Tep/V28r0aKaYusIFyXoAitsF13BioT7vZElTKyA77&#10;wGTghxJsN/d3a6xcuPEnjcfcKAnhVKGBNueh0jrZljymeRiIRbuE6DHLGhvtIt4k3Pf6uSgW2mPH&#10;0tDiQO8t2evx2xvoDvVHPT595WiXh/Icy3Q699aYx4fpbQUq05T/zX/Xeyf4L6/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c8OXGAAAA3QAAAA8AAAAAAAAA&#10;AAAAAAAAoQIAAGRycy9kb3ducmV2LnhtbFBLBQYAAAAABAAEAPkAAACUAwAAAAA=&#10;">
              <v:path arrowok="t"/>
              <v:fill on="f" focussize="0,0"/>
              <v:stroke/>
              <v:imagedata o:title=""/>
              <o:lock v:ext="edit"/>
            </v:shape>
            <v:shape id="Text Box 324" o:spid="_x0000_s4523" o:spt="202" type="#_x0000_t202" style="position:absolute;left:8251;top:3648;height:385;width:10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IssEA&#10;AADdAAAADwAAAGRycy9kb3ducmV2LnhtbERPTWvCQBC9F/wPywi91U1sKxJdRWwLHnqpxvuQHbPB&#10;7GzITk38991Cobd5vM9Zb0ffqhv1sQlsIJ9loIirYBuuDZSnj6clqCjIFtvAZOBOEbabycMaCxsG&#10;/qLbUWqVQjgWaMCJdIXWsXLkMc5CR5y4S+g9SoJ9rW2PQwr3rZ5n2UJ7bDg1OOxo76i6Hr+9ARG7&#10;y+/lu4+H8/j5NrisesXSmMfpuFuBEhrlX/znPtg0//klh9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XCLLBAAAA3QAAAA8AAAAAAAAAAAAAAAAAmAIAAGRycy9kb3du&#10;cmV2LnhtbFBLBQYAAAAABAAEAPUAAACGAwAAAAA=&#10;">
              <v:path/>
              <v:fill on="f" focussize="0,0"/>
              <v:stroke on="f" joinstyle="miter"/>
              <v:imagedata o:title=""/>
              <o:lock v:ext="edit"/>
              <v:textbox style="mso-fit-shape-to-text:t;">
                <w:txbxContent>
                  <w:p>
                    <w:pPr>
                      <w:rPr>
                        <w:rFonts w:hint="default" w:eastAsia="宋体"/>
                        <w:szCs w:val="21"/>
                        <w:lang w:val="en-US" w:eastAsia="zh-CN"/>
                      </w:rPr>
                    </w:pPr>
                    <w:r>
                      <w:rPr>
                        <w:rFonts w:hint="eastAsia"/>
                        <w:szCs w:val="21"/>
                        <w:lang w:val="en-US" w:eastAsia="zh-CN"/>
                      </w:rPr>
                      <w:t>30.38</w:t>
                    </w:r>
                  </w:p>
                </w:txbxContent>
              </v:textbox>
            </v:shape>
            <v:shape id="Text Box 325" o:spid="_x0000_s4524" o:spt="202" type="#_x0000_t202" style="position:absolute;left:7962;top:6173;height:385;width:97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WxcEA&#10;AADdAAAADwAAAGRycy9kb3ducmV2LnhtbERPTWvCQBC9F/wPywje6kZti0RXEavgoZfaeB+yYzaY&#10;nQ3ZqYn/vlso9DaP9znr7eAbdacu1oENzKYZKOIy2JorA8XX8XkJKgqyxSYwGXhQhO1m9LTG3Iae&#10;P+l+lkqlEI45GnAiba51LB15jNPQEifuGjqPkmBXadthn8J9o+dZ9qY91pwaHLa0d1Tezt/egIjd&#10;zR7FwcfTZfh4711WvmJhzGQ87FaghAb5F/+5TzbNX7zM4f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FlsXBAAAA3QAAAA8AAAAAAAAAAAAAAAAAmAIAAGRycy9kb3du&#10;cmV2LnhtbFBLBQYAAAAABAAEAPUAAACGAwAAAAA=&#10;">
              <v:path/>
              <v:fill on="f" focussize="0,0"/>
              <v:stroke on="f" joinstyle="miter"/>
              <v:imagedata o:title=""/>
              <o:lock v:ext="edit"/>
              <v:textbox style="mso-fit-shape-to-text:t;">
                <w:txbxContent>
                  <w:p>
                    <w:pPr>
                      <w:rPr>
                        <w:rFonts w:hint="default" w:eastAsia="宋体"/>
                        <w:szCs w:val="21"/>
                        <w:lang w:val="en-US" w:eastAsia="zh-CN"/>
                      </w:rPr>
                    </w:pPr>
                    <w:r>
                      <w:rPr>
                        <w:rFonts w:hint="eastAsia"/>
                        <w:szCs w:val="21"/>
                      </w:rPr>
                      <w:t>29</w:t>
                    </w:r>
                    <w:r>
                      <w:rPr>
                        <w:rFonts w:hint="eastAsia"/>
                        <w:szCs w:val="21"/>
                        <w:lang w:val="en-US" w:eastAsia="zh-CN"/>
                      </w:rPr>
                      <w:t>.56</w:t>
                    </w:r>
                  </w:p>
                </w:txbxContent>
              </v:textbox>
            </v:shape>
            <v:line id="Line 326" o:spid="_x0000_s4525" o:spt="20" style="position:absolute;left:8789;top:7145;height:4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9aRMQAAADdAAAADwAAAGRycy9kb3ducmV2LnhtbERPS2sCMRC+F/wPYQRvNeuDqlujiEuh&#10;h7bgg56nm+lmcTNZNnGN/74pFHqbj+856220jeip87VjBZNxBoK4dLrmSsH59PK4BOEDssbGMSm4&#10;k4ftZvCwxly7Gx+oP4ZKpBD2OSowIbS5lL40ZNGPXUucuG/XWQwJdpXUHd5SuG3kNMuepMWaU4PB&#10;lvaGysvxahUsTHGQC1m8nT6Kvp6s4nv8/FopNRrG3TOIQDH8i//crzrNn81n8PtNO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1pExAAAAN0AAAAPAAAAAAAAAAAA&#10;AAAAAKECAABkcnMvZG93bnJldi54bWxQSwUGAAAAAAQABAD5AAAAkgMAAAAA&#10;">
              <v:path arrowok="t"/>
              <v:fill focussize="0,0"/>
              <v:stroke endarrow="block"/>
              <v:imagedata o:title=""/>
              <o:lock v:ext="edit"/>
            </v:line>
            <v:shape id="Text Box 327" o:spid="_x0000_s4526" o:spt="202" type="#_x0000_t202" style="position:absolute;left:8112;top:7396;height:718;width:126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v:path/>
              <v:fill on="f" focussize="0,0"/>
              <v:stroke on="f" joinstyle="miter"/>
              <v:imagedata o:title=""/>
              <o:lock v:ext="edit"/>
              <v:textbox>
                <w:txbxContent>
                  <w:p>
                    <w:pPr>
                      <w:jc w:val="center"/>
                      <w:rPr>
                        <w:szCs w:val="21"/>
                      </w:rPr>
                    </w:pPr>
                    <w:r>
                      <w:rPr>
                        <w:rFonts w:hint="eastAsia"/>
                        <w:szCs w:val="21"/>
                      </w:rPr>
                      <w:t>土地利用</w:t>
                    </w:r>
                  </w:p>
                  <w:p>
                    <w:pPr>
                      <w:pStyle w:val="14"/>
                      <w:ind w:firstLine="0" w:firstLineChars="0"/>
                      <w:rPr>
                        <w:rFonts w:hint="default" w:eastAsia="宋体"/>
                        <w:lang w:val="en-US" w:eastAsia="zh-CN"/>
                      </w:rPr>
                    </w:pPr>
                    <w:r>
                      <w:rPr>
                        <w:rFonts w:hint="eastAsia"/>
                        <w:sz w:val="21"/>
                        <w:szCs w:val="21"/>
                      </w:rPr>
                      <w:t>2</w:t>
                    </w:r>
                    <w:r>
                      <w:rPr>
                        <w:rFonts w:hint="eastAsia"/>
                        <w:sz w:val="21"/>
                        <w:szCs w:val="21"/>
                        <w:lang w:val="en-US" w:eastAsia="zh-CN"/>
                      </w:rPr>
                      <w:t>7.09</w:t>
                    </w:r>
                  </w:p>
                </w:txbxContent>
              </v:textbox>
            </v:shape>
            <v:line id="Line 337" o:spid="_x0000_s4527" o:spt="20" style="position:absolute;left:9755;top:5949;height:770;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pAsQAAADdAAAADwAAAGRycy9kb3ducmV2LnhtbERPS2sCMRC+C/6HMIXeNKulPrZGkS6F&#10;Hqrgg56nm+lm6WaybNI1/feNIHibj+85q020jeip87VjBZNxBoK4dLrmSsH59DZagPABWWPjmBT8&#10;kYfNejhYYa7dhQ/UH0MlUgj7HBWYENpcSl8asujHriVO3LfrLIYEu0rqDi8p3DZymmUzabHm1GCw&#10;pVdD5c/x1yqYm+Ig57L4OO2Lvp4s4y5+fi2VenyI2xcQgWK4i2/ud53mPz1P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mkCxAAAAN0AAAAPAAAAAAAAAAAA&#10;AAAAAKECAABkcnMvZG93bnJldi54bWxQSwUGAAAAAAQABAD5AAAAkgMAAAAA&#10;">
              <v:path arrowok="t"/>
              <v:fill focussize="0,0"/>
              <v:stroke endarrow="block"/>
              <v:imagedata o:title=""/>
              <o:lock v:ext="edit"/>
            </v:line>
            <v:rect id="Rectangle 338" o:spid="_x0000_s4528" o:spt="1" style="position:absolute;left:9343;top:6722;height:426;width:97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N98MA&#10;AADdAAAADwAAAGRycy9kb3ducmV2LnhtbERPTYvCMBC9L/gfwgh7EU1VVqQaRUVBEEGriMehGdti&#10;MylNVrv7682CsLd5vM+ZzhtTigfVrrCsoN+LQBCnVhecKTifNt0xCOeRNZaWScEPOZjPWh9TjLV9&#10;8pEeic9ECGEXo4Lc+yqW0qU5GXQ9WxEH7mZrgz7AOpO6xmcIN6UcRNFIGiw4NORY0Sqn9J58GwVJ&#10;hy7X9NaXuyVv1tWv3u4PO6vUZ7tZTEB4avy/+O3e6jB/+DWEv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N98MAAADdAAAADwAAAAAAAAAAAAAAAACYAgAAZHJzL2Rv&#10;d25yZXYueG1sUEsFBgAAAAAEAAQA9QAAAIgDAAAAAA==&#10;">
              <v:path/>
              <v:fill opacity="0f" focussize="0,0"/>
              <v:stroke/>
              <v:imagedata o:title=""/>
              <o:lock v:ext="edit"/>
              <v:textbox inset="0mm,1.27mm,0mm,1.27mm">
                <w:txbxContent>
                  <w:p>
                    <w:pPr>
                      <w:spacing w:line="240" w:lineRule="exact"/>
                      <w:jc w:val="center"/>
                      <w:rPr>
                        <w:szCs w:val="21"/>
                      </w:rPr>
                    </w:pPr>
                    <w:r>
                      <w:rPr>
                        <w:rFonts w:hint="eastAsia"/>
                        <w:szCs w:val="21"/>
                      </w:rPr>
                      <w:t>沼渣带走</w:t>
                    </w:r>
                  </w:p>
                </w:txbxContent>
              </v:textbox>
            </v:rect>
            <v:shape id="Text Box 339" o:spid="_x0000_s4529" o:spt="202" type="#_x0000_t202" style="position:absolute;left:9089;top:6185;height:385;width:76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998EA&#10;AADdAAAADwAAAGRycy9kb3ducmV2LnhtbERPTWvCQBC9C/0PyxS86cZaS0ldRaqCBy/a9D5kp9nQ&#10;7GzITk38925B8DaP9znL9eAbdaEu1oENzKYZKOIy2JorA8XXfvIOKgqyxSYwGbhShPXqabTE3Iae&#10;T3Q5S6VSCMccDTiRNtc6lo48xmloiRP3EzqPkmBXadthn8J9o1+y7E17rDk1OGzp01H5e/7zBkTs&#10;ZnYtdj4evofjtndZucDCmPHzsPkAJTTIQ3x3H2yaP1+8wv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PffBAAAA3QAAAA8AAAAAAAAAAAAAAAAAmAIAAGRycy9kb3du&#10;cmV2LnhtbFBLBQYAAAAABAAEAPUAAACGAwAAAAA=&#10;">
              <v:path/>
              <v:fill on="f" focussize="0,0"/>
              <v:stroke on="f" joinstyle="miter"/>
              <v:imagedata o:title=""/>
              <o:lock v:ext="edit"/>
              <v:textbox style="mso-fit-shape-to-text:t;">
                <w:txbxContent>
                  <w:p>
                    <w:pPr>
                      <w:rPr>
                        <w:rFonts w:hint="default" w:eastAsia="宋体"/>
                        <w:szCs w:val="21"/>
                        <w:lang w:val="en-US" w:eastAsia="zh-CN"/>
                      </w:rPr>
                    </w:pPr>
                    <w:r>
                      <w:rPr>
                        <w:rFonts w:hint="eastAsia"/>
                        <w:szCs w:val="21"/>
                        <w:lang w:val="en-US" w:eastAsia="zh-CN"/>
                      </w:rPr>
                      <w:t>0.82</w:t>
                    </w:r>
                  </w:p>
                </w:txbxContent>
              </v:textbox>
            </v:shape>
            <v:rect id="Rectangle 340" o:spid="_x0000_s4530" o:spt="1" style="position:absolute;left:2944;top:2614;height:313;width:1292;"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yjcIA&#10;AADdAAAADwAAAGRycy9kb3ducmV2LnhtbERPTYvCMBC9C/6HMII3TVdRtGsUUQt62IPVxevQjG3Z&#10;ZlKaqPXfG2HB2zze5yxWranEnRpXWlbwNYxAEGdWl5wrOJ+SwQyE88gaK8uk4EkOVstuZ4Gxtg8+&#10;0j31uQgh7GJUUHhfx1K6rCCDbmhr4sBdbWPQB9jkUjf4COGmkqMomkqDJYeGAmvaFJT9pTejIE1+&#10;9c/84scX2yb57rDdXnf1Sal+r11/g/DU+o/4373XYf54MoH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XKNwgAAAN0AAAAPAAAAAAAAAAAAAAAAAJgCAABkcnMvZG93&#10;bnJldi54bWxQSwUGAAAAAAQABAD1AAAAhwM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lang w:val="en-US" w:eastAsia="zh-CN"/>
                      </w:rPr>
                      <w:t>46.475</w:t>
                    </w:r>
                  </w:p>
                </w:txbxContent>
              </v:textbox>
            </v:rect>
            <v:line id="Line 341" o:spid="_x0000_s4531" o:spt="20" style="position:absolute;left:2866;top:5860;height:1;width:187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vAcQAAADdAAAADwAAAGRycy9kb3ducmV2LnhtbERPS2sCMRC+C/6HMIXeNGtLfWyNIl0K&#10;Pajgg56nm+lm6WaybNI1/feNIHibj+85y3W0jeip87VjBZNxBoK4dLrmSsH59D6ag/ABWWPjmBT8&#10;kYf1ajhYYq7dhQ/UH0MlUgj7HBWYENpcSl8asujHriVO3LfrLIYEu0rqDi8p3DbyKcum0mLNqcFg&#10;S2+Gyp/jr1UwM8VBzmSxPe2Lvp4s4i5+fi2UenyIm1cQgWK4i2/uD53mP79M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W8BxAAAAN0AAAAPAAAAAAAAAAAA&#10;AAAAAKECAABkcnMvZG93bnJldi54bWxQSwUGAAAAAAQABAD5AAAAkgMAAAAA&#10;">
              <v:path arrowok="t"/>
              <v:fill focussize="0,0"/>
              <v:stroke endarrow="block"/>
              <v:imagedata o:title=""/>
              <o:lock v:ext="edit"/>
            </v:line>
            <v:line id="Line 342" o:spid="_x0000_s4532" o:spt="20" style="position:absolute;left:5939;top:5901;flip:y;height:13;width:2347;"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SK8YAAADdAAAADwAAAGRycy9kb3ducmV2LnhtbESPQWvCQBCF7wX/wzJCL0E3NbTa1FWq&#10;VhBKD1UPHofsmASzsyE71fTfdwuF3mZ473vzZr7sXaOu1IXas4GHcQqKuPC25tLA8bAdzUAFQbbY&#10;eCYD3xRguRjczTG3/safdN1LqWIIhxwNVCJtrnUoKnIYxr4ljtrZdw4lrl2pbYe3GO4aPUnTJ+2w&#10;5nihwpbWFRWX/ZeLNbYfvMmyZOV0kjzT20neUy3G3A/71xdQQr38m//onY1c9jiF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zUivGAAAA3QAAAA8AAAAAAAAA&#10;AAAAAAAAoQIAAGRycy9kb3ducmV2LnhtbFBLBQYAAAAABAAEAPkAAACUAwAAAAA=&#10;">
              <v:path arrowok="t"/>
              <v:fill focussize="0,0"/>
              <v:stroke endarrow="block"/>
              <v:imagedata o:title=""/>
              <o:lock v:ext="edit"/>
            </v:line>
            <v:line id="Line 343" o:spid="_x0000_s4533" o:spt="20" style="position:absolute;left:4150;top:2157;flip:y;height:632;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kAscAAADdAAAADwAAAGRycy9kb3ducmV2LnhtbESPT2vCQBDF74LfYZlCb7ox0iLRVaog&#10;pL2U+g+8TbNjEpqdDdlV02/fORS8zfDevPebxap3jbpRF2rPBibjBBRx4W3NpYHDfjuagQoR2WLj&#10;mQz8UoDVcjhYYGb9nb/otoulkhAOGRqoYmwzrUNRkcMw9i2xaBffOYyydqW2Hd4l3DU6TZJX7bBm&#10;aaiwpU1Fxc/u6gxcj/ns4zR5v6SHz/ybMDme0/XWmOen/m0OKlIfH+b/69wK/vRFc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KQCxwAAAN0AAAAPAAAAAAAA&#10;AAAAAAAAAKECAABkcnMvZG93bnJldi54bWxQSwUGAAAAAAQABAD5AAAAlQMAAAAA&#10;">
              <v:path arrowok="t"/>
              <v:fill focussize="0,0"/>
              <v:stroke dashstyle="longDash" endarrow="block"/>
              <v:imagedata o:title=""/>
              <o:lock v:ext="edit"/>
            </v:line>
            <v:rect id="Rectangle 344" o:spid="_x0000_s4534" o:spt="1" style="position:absolute;left:2708;top:1853;height:514;width:1928;"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4iMQA&#10;AADdAAAADwAAAGRycy9kb3ducmV2LnhtbERPTWvCQBC9F/wPyxR6M5sqFZO6iqiB9tCDieJ1yI5J&#10;aHY2ZLdJ+u+7hUJv83ifs9lNphUD9a6xrOA5ikEQl1Y3XCm4FNl8DcJ5ZI2tZVLwTQ5229nDBlNt&#10;Rz7TkPtKhBB2KSqove9SKV1Zk0EX2Y44cHfbG/QB9pXUPY4h3LRyEccrabDh0FBjR4eays/8yyjI&#10;s6v+SG5+ebNTVp3ej8f7qSuUenqc9q8gPE3+X/znftNh/vIlg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eIjEAAAA3QAAAA8AAAAAAAAAAAAAAAAAmAIAAGRycy9k&#10;b3ducmV2LnhtbFBLBQYAAAAABAAEAPUAAACJAwAAAAA=&#10;">
              <v:path/>
              <v:fill opacity="0f" focussize="0,0"/>
              <v:stroke on="f"/>
              <v:imagedata o:title=""/>
              <o:lock v:ext="edit"/>
              <v:textbox>
                <w:txbxContent>
                  <w:p>
                    <w:pPr>
                      <w:spacing w:line="240" w:lineRule="atLeast"/>
                      <w:rPr>
                        <w:rFonts w:hint="default" w:eastAsia="宋体"/>
                        <w:szCs w:val="21"/>
                        <w:lang w:val="en-US" w:eastAsia="zh-CN"/>
                      </w:rPr>
                    </w:pPr>
                    <w:r>
                      <w:rPr>
                        <w:rFonts w:hint="eastAsia"/>
                        <w:szCs w:val="21"/>
                      </w:rPr>
                      <w:t>体能损耗2</w:t>
                    </w:r>
                    <w:r>
                      <w:rPr>
                        <w:rFonts w:hint="eastAsia"/>
                        <w:szCs w:val="21"/>
                        <w:lang w:val="en-US" w:eastAsia="zh-CN"/>
                      </w:rPr>
                      <w:t>1.855</w:t>
                    </w:r>
                  </w:p>
                </w:txbxContent>
              </v:textbox>
            </v:rect>
            <v:rect id="Rectangle 345" o:spid="_x0000_s4535" o:spt="1" style="position:absolute;left:5657;top:2672;height:464;width:1822;"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bqMYA&#10;AADdAAAADwAAAGRycy9kb3ducmV2LnhtbESPQWvCQBCF70L/wzKCN91YQTR1FakG7KEHE4vXITsm&#10;wexsyG41/fedQ6G3Gd6b977Z7AbXqgf1ofFsYD5LQBGX3jZcGbgU2XQFKkRki61nMvBDAXbbl9EG&#10;U+uffKZHHislIRxSNFDH2KVah7Imh2HmO2LRbr53GGXtK217fEq4a/Vrkiy1w4alocaO3msq7/m3&#10;M5BnX/ZzfY2Lqx+y6vhxONyOXWHMZDzs30BFGuK/+e/6ZAV/sR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IbqMYAAADdAAAADwAAAAAAAAAAAAAAAACYAgAAZHJz&#10;L2Rvd25yZXYueG1sUEsFBgAAAAAEAAQA9QAAAIsDAAAAAA==&#10;">
              <v:path/>
              <v:fill opacity="0f" focussize="0,0"/>
              <v:stroke on="f"/>
              <v:imagedata o:title=""/>
              <o:lock v:ext="edit"/>
              <v:textbox>
                <w:txbxContent>
                  <w:p>
                    <w:pPr>
                      <w:rPr>
                        <w:rFonts w:hint="default" w:eastAsia="宋体"/>
                        <w:szCs w:val="21"/>
                        <w:lang w:val="en-US" w:eastAsia="zh-CN"/>
                      </w:rPr>
                    </w:pPr>
                    <w:r>
                      <w:rPr>
                        <w:rFonts w:hint="eastAsia"/>
                        <w:szCs w:val="21"/>
                      </w:rPr>
                      <w:t>猪尿液2</w:t>
                    </w:r>
                    <w:r>
                      <w:rPr>
                        <w:rFonts w:hint="eastAsia"/>
                        <w:szCs w:val="21"/>
                        <w:lang w:val="en-US" w:eastAsia="zh-CN"/>
                      </w:rPr>
                      <w:t>1.38</w:t>
                    </w:r>
                  </w:p>
                </w:txbxContent>
              </v:textbox>
            </v:rect>
            <v:line id="Line 346" o:spid="_x0000_s4536" o:spt="20" style="position:absolute;left:5274;top:5304;flip:y;height:389;width:26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HIsMAAADdAAAADwAAAGRycy9kb3ducmV2LnhtbERPS4vCMBC+C/sfwizsTdNWEOkaxV0Q&#10;6l7E14K3sRnbYjMpTdT6740geJuP7zmTWWdqcaXWVZYVxIMIBHFudcWFgt120R+DcB5ZY22ZFNzJ&#10;wWz60Ztgqu2N13Td+EKEEHYpKii9b1IpXV6SQTewDXHgTrY16ANsC6lbvIVwU8skikbSYMWhocSG&#10;fkvKz5uLUXDZZ+O//3h5Snar7EgY7Q/Jz0Kpr89u/g3CU+ff4pc702H+cBT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xyLDAAAA3QAAAA8AAAAAAAAAAAAA&#10;AAAAoQIAAGRycy9kb3ducmV2LnhtbFBLBQYAAAAABAAEAPkAAACRAwAAAAA=&#10;">
              <v:path arrowok="t"/>
              <v:fill focussize="0,0"/>
              <v:stroke dashstyle="longDash" endarrow="block"/>
              <v:imagedata o:title=""/>
              <o:lock v:ext="edit"/>
            </v:line>
            <v:rect id="Rectangle 349" o:spid="_x0000_s4537" o:spt="1" style="position:absolute;left:4714;top:5512;height:504;width:1313;"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i0cUA&#10;AADdAAAADwAAAGRycy9kb3ducmV2LnhtbERPTWvCQBC9C/6HZYReitloQUqaVapUCIhg0yI9Dtkx&#10;Cc3Ohuw2SfvrXaHgbR7vc9LNaBrRU+dqywoWUQyCuLC65lLB58d+/gzCeWSNjWVS8EsONuvpJMVE&#10;24Hfqc99KUIIuwQVVN63iZSuqMigi2xLHLiL7Qz6ALtS6g6HEG4auYzjlTRYc2iosKVdRcV3/mMU&#10;5I90/iouC3nY8v6t/dPZ8XSwSj3MxtcXEJ5Gfxf/uzMd5j+tln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qLRxQAAAN0AAAAPAAAAAAAAAAAAAAAAAJgCAABkcnMv&#10;ZG93bnJldi54bWxQSwUGAAAAAAQABAD1AAAAigMAAAAA&#10;">
              <v:path/>
              <v:fill opacity="0f" focussize="0,0"/>
              <v:stroke/>
              <v:imagedata o:title=""/>
              <o:lock v:ext="edit"/>
              <v:textbox inset="0mm,1.27mm,0mm,1.27mm">
                <w:txbxContent>
                  <w:p>
                    <w:pPr>
                      <w:spacing w:line="240" w:lineRule="atLeast"/>
                      <w:jc w:val="center"/>
                      <w:rPr>
                        <w:szCs w:val="21"/>
                      </w:rPr>
                    </w:pPr>
                    <w:r>
                      <w:rPr>
                        <w:rFonts w:hint="eastAsia"/>
                        <w:szCs w:val="21"/>
                      </w:rPr>
                      <w:t>猪舍冲洗用水</w:t>
                    </w:r>
                  </w:p>
                  <w:p>
                    <w:pPr>
                      <w:spacing w:line="240" w:lineRule="atLeast"/>
                      <w:jc w:val="center"/>
                      <w:rPr>
                        <w:szCs w:val="21"/>
                      </w:rPr>
                    </w:pPr>
                  </w:p>
                </w:txbxContent>
              </v:textbox>
            </v:rect>
            <v:line id="Line 307" o:spid="_x0000_s4538" o:spt="20" style="position:absolute;left:6101;top:2003;height:11;width:74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GJMMAAADdAAAADwAAAGRycy9kb3ducmV2LnhtbERPTWsCMRC9C/6HMII3zVpB69Yo4iJ4&#10;aAtq6Xm6GTeLm8mySdf475tCobd5vM9Zb6NtRE+drx0rmE0zEMSl0zVXCj4uh8kzCB+QNTaOScGD&#10;PGw3w8Eac+3ufKL+HCqRQtjnqMCE0OZS+tKQRT91LXHirq6zGBLsKqk7vKdw28inLFtIizWnBoMt&#10;7Q2Vt/O3VbA0xUkuZfF6eS/6eraKb/Hza6XUeBR3LyACxfAv/nMfdZo/X8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BiTDAAAA3QAAAA8AAAAAAAAAAAAA&#10;AAAAoQIAAGRycy9kb3ducmV2LnhtbFBLBQYAAAAABAAEAPkAAACRAwAAAAA=&#10;">
              <v:path arrowok="t"/>
              <v:fill focussize="0,0"/>
              <v:stroke endarrow="block"/>
              <v:imagedata o:title=""/>
              <o:lock v:ext="edit"/>
            </v:line>
            <v:rect id="矩形 162" o:spid="_x0000_s4539" o:spt="1" style="position:absolute;left:6828;top:1773;height:453;width:1280;"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zvcMA&#10;AADdAAAADwAAAGRycy9kb3ducmV2LnhtbERPTWsCMRC9C/6HMII3zVpbKVujrKWCJ6G2UL0Nm2my&#10;uJksm9Rd/30jCN7m8T5nue5dLS7Uhsqzgtk0A0Fcel2xUfD9tZ28gggRWWPtmRRcKcB6NRwsMde+&#10;40+6HKIRKYRDjgpsjE0uZSgtOQxT3xAn7te3DmOCrZG6xS6Fu1o+ZdlCOqw4NVhs6N1SeT78OQUf&#10;zWlfvJggi59oj2e/6bZ2b5Qaj/riDUSkPj7Ed/dOp/nzxTP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zvcMAAADdAAAADwAAAAAAAAAAAAAAAACYAgAAZHJzL2Rv&#10;d25yZXYueG1sUEsFBgAAAAAEAAQA9QAAAIgDAAAAAA==&#10;">
              <v:path/>
              <v:fill on="f" focussize="0,0"/>
              <v:stroke/>
              <v:imagedata o:title=""/>
              <o:lock v:ext="edit"/>
              <v:textbox>
                <w:txbxContent>
                  <w:p>
                    <w:pPr>
                      <w:rPr>
                        <w:szCs w:val="21"/>
                      </w:rPr>
                    </w:pPr>
                    <w:r>
                      <w:rPr>
                        <w:rFonts w:hint="eastAsia" w:ascii="宋体" w:hAnsi="宋体"/>
                        <w:szCs w:val="21"/>
                      </w:rPr>
                      <w:t>固液分离</w:t>
                    </w:r>
                  </w:p>
                </w:txbxContent>
              </v:textbox>
            </v:rect>
            <v:line id="直线 202" o:spid="_x0000_s4540" o:spt="20" style="position:absolute;left:7481;top:2243;height:448;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path arrowok="t"/>
              <v:fill focussize="0,0"/>
              <v:stroke/>
              <v:imagedata o:title=""/>
              <o:lock v:ext="edit"/>
            </v:line>
            <v:line id="直线 3076" o:spid="_x0000_s4541" o:spt="20" style="position:absolute;left:8198;top:2639;height:3277;width:2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path arrowok="t"/>
              <v:fill focussize="0,0"/>
              <v:stroke/>
              <v:imagedata o:title=""/>
              <o:lock v:ext="edit"/>
            </v:line>
            <v:rect id="Rectangle 311" o:spid="_x0000_s4542" o:spt="1" style="position:absolute;left:6089;top:1560;height:395;width:92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D3MIA&#10;AADdAAAADwAAAGRycy9kb3ducmV2LnhtbERPS4vCMBC+C/6HMII3TVfBR9coohb0sAeri9ehGduy&#10;zaQ0Ueu/N8KCt/n4nrNYtaYSd2pcaVnB1zACQZxZXXKu4HxKBjMQziNrrCyTgic5WC27nQXG2j74&#10;SPfU5yKEsItRQeF9HUvpsoIMuqGtiQN3tY1BH2CTS93gI4SbSo6iaCINlhwaCqxpU1D2l96MgjT5&#10;1T/zix9fbJvku8N2e93VJ6X6vXb9DcJT6z/if/deh/njyRT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PcwgAAAN0AAAAPAAAAAAAAAAAAAAAAAJgCAABkcnMvZG93&#10;bnJldi54bWxQSwUGAAAAAAQABAD1AAAAhwM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rPr>
                      <w:t>3</w:t>
                    </w:r>
                    <w:r>
                      <w:rPr>
                        <w:rFonts w:hint="eastAsia"/>
                        <w:szCs w:val="21"/>
                        <w:lang w:val="en-US" w:eastAsia="zh-CN"/>
                      </w:rPr>
                      <w:t>.24</w:t>
                    </w:r>
                  </w:p>
                </w:txbxContent>
              </v:textbox>
            </v:rect>
            <v:line id="直线 3078" o:spid="_x0000_s4543" o:spt="20" style="position:absolute;left:7466;top:2670;height:1;width:73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445McAAADdAAAADwAAAGRycy9kb3ducmV2LnhtbESPQWvCQBCF70L/wzKFXqRubNG2qauI&#10;IBQPQm1/wJgdk6XZ2ZhdY/TXOwehtxnem/e+mS16X6uO2ugCGxiPMlDERbCOSwO/P+vnd1AxIVus&#10;A5OBC0VYzB8GM8xtOPM3dbtUKgnhmKOBKqUm1zoWFXmMo9AQi3YIrccka1tq2+JZwn2tX7Jsqj06&#10;loYKG1pVVPztTt7AxB2Pb4fTtu6WG/zY++vQ7TUZ8/TYLz9BJerTv/l+/WUF/3UquPKNj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jjkxwAAAN0AAAAPAAAAAAAA&#10;AAAAAAAAAKECAABkcnMvZG93bnJldi54bWxQSwUGAAAAAAQABAD5AAAAlQMAAAAA&#10;">
              <v:path arrowok="t"/>
              <v:fill focussize="0,0"/>
              <v:stroke endarrow="open"/>
              <v:imagedata o:title=""/>
              <o:lock v:ext="edit"/>
            </v:line>
            <v:rect id="Rectangle 311" o:spid="_x0000_s4544" o:spt="1" style="position:absolute;left:7385;top:2363;height:426;width:1034;"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yNcMA&#10;AADdAAAADwAAAGRycy9kb3ducmV2LnhtbERPTWvCQBC9C/6HZYTedFMDoaauUtRAPfTQqHgdsmMS&#10;mp0N2W2S/nu3IHibx/uc9XY0jeipc7VlBa+LCARxYXXNpYLzKZu/gXAeWWNjmRT8kYPtZjpZY6rt&#10;wN/U574UIYRdigoq79tUSldUZNAtbEscuJvtDPoAu1LqDocQbhq5jKJEGqw5NFTY0q6i4if/NQry&#10;7KK/VlcfX+2YlYfjfn87tCelXmbjxzsIT6N/ih/uTx3mx8kK/r8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yNcMAAADdAAAADwAAAAAAAAAAAAAAAACYAgAAZHJzL2Rv&#10;d25yZXYueG1sUEsFBgAAAAAEAAQA9QAAAIgDA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rPr>
                      <w:t>2</w:t>
                    </w:r>
                    <w:r>
                      <w:rPr>
                        <w:rFonts w:hint="eastAsia"/>
                        <w:szCs w:val="21"/>
                        <w:lang w:val="en-US" w:eastAsia="zh-CN"/>
                      </w:rPr>
                      <w:t>.74</w:t>
                    </w:r>
                  </w:p>
                </w:txbxContent>
              </v:textbox>
            </v:rect>
            <v:line id="Line 307" o:spid="_x0000_s4545" o:spt="20" style="position:absolute;left:8117;top:2015;height:1;width:140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OjsYAAADdAAAADwAAAGRycy9kb3ducmV2LnhtbESPT0vDQBDF74LfYRnBm91UwbSx21Ia&#10;BA8q9A89j9kxG8zOhuyart/eOQjeZnhv3vvNapN9ryYaYxfYwHxWgCJugu24NXA6Pt8tQMWEbLEP&#10;TAZ+KMJmfX21wsqGC+9pOqRWSQjHCg24lIZK69g48hhnYSAW7TOMHpOsY6vtiBcJ972+L4pH7bFj&#10;aXA40M5R83X49gZKV+91qevX43s9dfNlfsvnj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BDo7GAAAA3QAAAA8AAAAAAAAA&#10;AAAAAAAAoQIAAGRycy9kb3ducmV2LnhtbFBLBQYAAAAABAAEAPkAAACUAwAAAAA=&#10;">
              <v:path arrowok="t"/>
              <v:fill focussize="0,0"/>
              <v:stroke endarrow="block"/>
              <v:imagedata o:title=""/>
              <o:lock v:ext="edit"/>
            </v:line>
            <v:rect id="Rectangle 311" o:spid="_x0000_s4546" o:spt="1" style="position:absolute;left:7925;top:1752;height:368;width:1755;"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o7sMA&#10;AADdAAAADwAAAGRycy9kb3ducmV2LnhtbERPTYvCMBC9L/gfwgje1tQVXK1GkdWCHvZgq3gdmrEt&#10;NpPSRK3/3ggLe5vH+5zFqjO1uFPrKssKRsMIBHFudcWFgmOWfE5BOI+ssbZMCp7kYLXsfSww1vbB&#10;B7qnvhAhhF2MCkrvm1hKl5dk0A1tQxy4i20N+gDbQuoWHyHc1PIriibSYMWhocSGfkrKr+nNKEiT&#10;k/6dnf34bLuk2O43m8u2yZQa9Lv1HISnzv+L/9w7HeaPv0fw/i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o7sMAAADdAAAADwAAAAAAAAAAAAAAAACYAgAAZHJzL2Rv&#10;d25yZXYueG1sUEsFBgAAAAAEAAQA9QAAAIgDA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rPr>
                      <w:t>猪粪带走</w:t>
                    </w:r>
                    <w:r>
                      <w:rPr>
                        <w:rFonts w:hint="eastAsia"/>
                        <w:szCs w:val="21"/>
                        <w:lang w:val="en-US" w:eastAsia="zh-CN"/>
                      </w:rPr>
                      <w:t>0.5</w:t>
                    </w:r>
                  </w:p>
                </w:txbxContent>
              </v:textbox>
            </v:rect>
            <v:rect id="矩形 162" o:spid="_x0000_s4547" o:spt="1" style="position:absolute;left:9490;top:1752;height:833;width:1165;" fill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Yj8MA&#10;AADdAAAADwAAAGRycy9kb3ducmV2LnhtbERPTWsCMRC9C/6HMII3zVZpK1ujrKLgSagt1N6GzTRZ&#10;3EyWTXTXf98UCt7m8T5nue5dLW7UhsqzgqdpBoK49Lpio+DzYz9ZgAgRWWPtmRTcKcB6NRwsMde+&#10;43e6naIRKYRDjgpsjE0uZSgtOQxT3xAn7se3DmOCrZG6xS6Fu1rOsuxFOqw4NVhsaGupvJyuTsGu&#10;+T4WzybI4iva88Vvur09GqXGo754AxGpjw/xv/ug0/z56w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Yj8MAAADdAAAADwAAAAAAAAAAAAAAAACYAgAAZHJzL2Rv&#10;d25yZXYueG1sUEsFBgAAAAAEAAQA9QAAAIgDAAAAAA==&#10;">
              <v:path/>
              <v:fill on="f" focussize="0,0"/>
              <v:stroke/>
              <v:imagedata o:title=""/>
              <o:lock v:ext="edit"/>
              <v:textbox>
                <w:txbxContent>
                  <w:p>
                    <w:pPr>
                      <w:rPr>
                        <w:szCs w:val="21"/>
                      </w:rPr>
                    </w:pPr>
                    <w:r>
                      <w:rPr>
                        <w:rFonts w:hint="eastAsia" w:ascii="宋体" w:hAnsi="宋体"/>
                        <w:szCs w:val="21"/>
                      </w:rPr>
                      <w:t>固粪处理区</w:t>
                    </w:r>
                  </w:p>
                </w:txbxContent>
              </v:textbox>
            </v:rect>
            <v:line id="Line 326" o:spid="_x0000_s4548" o:spt="20" style="position:absolute;left:9150;top:4079;flip:x;height:1392;width:2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ISMYAAADdAAAADwAAAGRycy9kb3ducmV2LnhtbESPT2vCQBDF7wW/wzJCL6FuaqDW6CrW&#10;PyCUHrQ9eByyYxLMzobsVNNv3xUKvc3w3u/Nm/myd426UhdqzwaeRyko4sLbmksDX5+7p1dQQZAt&#10;Np7JwA8FWC4GD3PMrb/xga5HKVUM4ZCjgUqkzbUORUUOw8i3xFE7+86hxLUrte3wFsNdo8dp+qId&#10;1hwvVNjSuqLicvx2scbugzdZlrw5nSRT2p7kPdVizOOwX81ACfXyb/6j9zZy2SSD+zdx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9CEjGAAAA3QAAAA8AAAAAAAAA&#10;AAAAAAAAoQIAAGRycy9kb3ducmV2LnhtbFBLBQYAAAAABAAEAPkAAACUAwAAAAA=&#10;">
              <v:path arrowok="t"/>
              <v:fill focussize="0,0"/>
              <v:stroke endarrow="block"/>
              <v:imagedata o:title=""/>
              <o:lock v:ext="edit"/>
            </v:line>
            <v:line id="直线 3084" o:spid="_x0000_s4549" o:spt="20" style="position:absolute;left:5333;top:6016;flip:y;height:888;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TdcIAAADdAAAADwAAAGRycy9kb3ducmV2LnhtbERPTWvCQBC9F/wPywi9FN1URSW6SrQN&#10;eo0VvA7ZMQlmZ0N2a9J/7wpCb/N4n7Pe9qYWd2pdZVnB5zgCQZxbXXGh4PyTjpYgnEfWWFsmBX/k&#10;YLsZvK0x1rbjjO4nX4gQwi5GBaX3TSyly0sy6Ma2IQ7c1bYGfYBtIXWLXQg3tZxE0VwarDg0lNjQ&#10;vqT8dvo1CrLIJ6ZbZl9Jfzkc5+nHLv2+7JR6H/bJCoSn3v+LX+6jDvOnixk8vw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nTdcIAAADdAAAADwAAAAAAAAAAAAAA&#10;AAChAgAAZHJzL2Rvd25yZXYueG1sUEsFBgAAAAAEAAQA+QAAAJADAAAAAA==&#10;">
              <v:path arrowok="t"/>
              <v:fill focussize="0,0"/>
              <v:stroke weight="1pt" dashstyle="dash" endarrow="block"/>
              <v:imagedata o:title=""/>
              <o:lock v:ext="edit"/>
            </v:line>
            <v:line id="Line 326" o:spid="_x0000_s4550" o:spt="20" style="position:absolute;left:2921;top:9071;height:1;width:69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zYcMAAADdAAAADwAAAGRycy9kb3ducmV2LnhtbERP32vCMBB+F/Y/hBv4pqkK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2HDAAAA3QAAAA8AAAAAAAAAAAAA&#10;AAAAoQIAAGRycy9kb3ducmV2LnhtbFBLBQYAAAAABAAEAPkAAACRAwAAAAA=&#10;">
              <v:path arrowok="t"/>
              <v:fill focussize="0,0"/>
              <v:stroke endarrow="block"/>
              <v:imagedata o:title=""/>
              <o:lock v:ext="edit"/>
            </v:line>
            <v:rect id="Rectangle 389" o:spid="_x0000_s4551" o:spt="1" style="position:absolute;left:3620;top:8918;height:480;width:16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XlMUA&#10;AADdAAAADwAAAGRycy9kb3ducmV2LnhtbERPTWvCQBC9F/wPyxS8lLqxQi2pm6BSISBCm4r0OGTH&#10;JDQ7G7Krif56Vyj0No/3OYt0MI04U+dqywqmkwgEcWF1zaWC/ffm+Q2E88gaG8uk4EIO0mT0sMBY&#10;256/6Jz7UoQQdjEqqLxvYyldUZFBN7EtceCOtjPoA+xKqTvsQ7hp5EsUvUqDNYeGCltaV1T85iej&#10;IH+iw09xnMrtijcf7VVnu8+tVWr8OCzfQXga/L/4z53pMH82n8P9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eUxQAAAN0AAAAPAAAAAAAAAAAAAAAAAJgCAABkcnMv&#10;ZG93bnJldi54bWxQSwUGAAAAAAQABAD1AAAAigMAAAAA&#10;">
              <v:path/>
              <v:fill opacity="0f" focussize="0,0"/>
              <v:stroke/>
              <v:imagedata o:title=""/>
              <o:lock v:ext="edit"/>
              <v:textbox inset="0mm,1.27mm,0mm,1.27mm">
                <w:txbxContent>
                  <w:p>
                    <w:pPr>
                      <w:spacing w:line="240" w:lineRule="atLeast"/>
                      <w:jc w:val="center"/>
                      <w:rPr>
                        <w:szCs w:val="21"/>
                      </w:rPr>
                    </w:pPr>
                    <w:r>
                      <w:rPr>
                        <w:rFonts w:hint="eastAsia"/>
                        <w:szCs w:val="21"/>
                      </w:rPr>
                      <w:t>喷雾降温用水</w:t>
                    </w:r>
                  </w:p>
                </w:txbxContent>
              </v:textbox>
            </v:rect>
            <v:shape id="Text Box 391" o:spid="_x0000_s4552" o:spt="202" type="#_x0000_t202" style="position:absolute;left:3557;top:8337;height:460;width:28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v:path/>
              <v:fill on="f" focussize="0,0"/>
              <v:stroke on="f" joinstyle="miter"/>
              <v:imagedata o:title=""/>
              <o:lock v:ext="edit"/>
              <v:textbox>
                <w:txbxContent>
                  <w:p>
                    <w:pPr>
                      <w:rPr>
                        <w:rFonts w:hint="default" w:eastAsia="宋体"/>
                        <w:szCs w:val="21"/>
                        <w:lang w:val="en-US" w:eastAsia="zh-CN"/>
                      </w:rPr>
                    </w:pPr>
                    <w:r>
                      <w:rPr>
                        <w:rFonts w:hint="eastAsia"/>
                        <w:szCs w:val="21"/>
                      </w:rPr>
                      <w:t>蒸发、风力损耗</w:t>
                    </w:r>
                    <w:r>
                      <w:rPr>
                        <w:rFonts w:hint="eastAsia"/>
                        <w:szCs w:val="21"/>
                        <w:lang w:val="en-US" w:eastAsia="zh-CN"/>
                      </w:rPr>
                      <w:t>1.97</w:t>
                    </w:r>
                  </w:p>
                </w:txbxContent>
              </v:textbox>
            </v:shape>
            <v:line id="Line 346" o:spid="_x0000_s4553" o:spt="20" style="position:absolute;left:4177;top:8644;flip:y;height:274;width:24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cQAAADdAAAADwAAAGRycy9kb3ducmV2LnhtbERPS2vCQBC+F/wPywje6sYI1aauooIQ&#10;vRRfhd7G7JgEs7Mhu2r6792C4G0+vudMZq2pxI0aV1pWMOhHIIgzq0vOFRz2q/cxCOeRNVaWScEf&#10;OZhNO28TTLS985ZuO5+LEMIuQQWF93UipcsKMuj6tiYO3Nk2Bn2ATS51g/cQbioZR9GHNFhyaCiw&#10;pmVB2WV3NQqux3S8+Rmsz/HhOz0RRsffeLFSqtdt518gPLX+JX66Ux3mD0ef8P9NO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V35xAAAAN0AAAAPAAAAAAAAAAAA&#10;AAAAAKECAABkcnMvZG93bnJldi54bWxQSwUGAAAAAAQABAD5AAAAkgMAAAAA&#10;">
              <v:path arrowok="t"/>
              <v:fill focussize="0,0"/>
              <v:stroke dashstyle="longDash" endarrow="block"/>
              <v:imagedata o:title=""/>
              <o:lock v:ext="edit"/>
            </v:line>
            <v:rect id="Rectangle 392" o:spid="_x0000_s4554" o:spt="1" style="position:absolute;left:2765;top:8711;height:376;width:9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9UsYA&#10;AADdAAAADwAAAGRycy9kb3ducmV2LnhtbESPT2vCQBDF70K/wzJCb7pRodg0q0g10B56aGzxOmQn&#10;fzA7G7Krxm/vHAq9zfDevPebbDu6Tl1pCK1nA4t5Aoq49Lbl2sDPMZ+tQYWIbLHzTAbuFGC7eZpk&#10;mFp/42+6FrFWEsIhRQNNjH2qdSgbchjmvicWrfKDwyjrUGs74E3CXaeXSfKiHbYsDQ329N5QeS4u&#10;zkCR/9qv11NcnfyY14fP/b469Edjnqfj7g1UpDH+m/+uP6zgr9bCL9/ICH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9UsYAAADdAAAADwAAAAAAAAAAAAAAAACYAgAAZHJz&#10;L2Rvd25yZXYueG1sUEsFBgAAAAAEAAQA9QAAAIsDA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lang w:val="en-US" w:eastAsia="zh-CN"/>
                      </w:rPr>
                      <w:t>1.97</w:t>
                    </w:r>
                  </w:p>
                </w:txbxContent>
              </v:textbox>
            </v:rect>
            <v:line id="Line 326" o:spid="_x0000_s4562" o:spt="20" style="position:absolute;left:2936;top:7659;height:1;width:69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zYcMAAADdAAAADwAAAGRycy9kb3ducmV2LnhtbERP32vCMBB+F/Y/hBv4pqkK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2HDAAAA3QAAAA8AAAAAAAAAAAAA&#10;AAAAoQIAAGRycy9kb3ducmV2LnhtbFBLBQYAAAAABAAEAPkAAACRAwAAAAA=&#10;">
              <v:path arrowok="t"/>
              <v:fill focussize="0,0"/>
              <v:stroke endarrow="block"/>
              <v:imagedata o:title=""/>
              <o:lock v:ext="edit"/>
            </v:line>
            <v:rect id="Rectangle 389" o:spid="_x0000_s4563" o:spt="1" style="position:absolute;left:3635;top:7506;height:480;width:166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XlMUA&#10;AADdAAAADwAAAGRycy9kb3ducmV2LnhtbERPTWvCQBC9F/wPyxS8lLqxQi2pm6BSISBCm4r0OGTH&#10;JDQ7G7Krif56Vyj0No/3OYt0MI04U+dqywqmkwgEcWF1zaWC/ffm+Q2E88gaG8uk4EIO0mT0sMBY&#10;256/6Jz7UoQQdjEqqLxvYyldUZFBN7EtceCOtjPoA+xKqTvsQ7hp5EsUvUqDNYeGCltaV1T85iej&#10;IH+iw09xnMrtijcf7VVnu8+tVWr8OCzfQXga/L/4z53pMH82n8P9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eUxQAAAN0AAAAPAAAAAAAAAAAAAAAAAJgCAABkcnMv&#10;ZG93bnJldi54bWxQSwUGAAAAAAQABAD1AAAAigMAAAAA&#10;">
              <v:path/>
              <v:fill opacity="0f" focussize="0,0"/>
              <v:stroke/>
              <v:imagedata o:title=""/>
              <o:lock v:ext="edit"/>
              <v:textbox inset="0mm,1.27mm,0mm,1.27mm">
                <w:txbxContent>
                  <w:p>
                    <w:pPr>
                      <w:spacing w:line="240" w:lineRule="atLeast"/>
                      <w:jc w:val="center"/>
                      <w:rPr>
                        <w:szCs w:val="21"/>
                      </w:rPr>
                    </w:pPr>
                    <w:r>
                      <w:rPr>
                        <w:rFonts w:hint="eastAsia"/>
                        <w:szCs w:val="21"/>
                      </w:rPr>
                      <w:t>消毒用水</w:t>
                    </w:r>
                  </w:p>
                </w:txbxContent>
              </v:textbox>
            </v:rect>
            <v:shape id="Text Box 391" o:spid="_x0000_s4564" o:spt="202" type="#_x0000_t202" style="position:absolute;left:3572;top:6925;height:460;width:28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v:path/>
              <v:fill on="f" focussize="0,0"/>
              <v:stroke on="f" joinstyle="miter"/>
              <v:imagedata o:title=""/>
              <o:lock v:ext="edit"/>
              <v:textbox>
                <w:txbxContent>
                  <w:p>
                    <w:pPr>
                      <w:rPr>
                        <w:rFonts w:hint="default" w:eastAsia="宋体"/>
                        <w:szCs w:val="21"/>
                        <w:lang w:val="en-US" w:eastAsia="zh-CN"/>
                      </w:rPr>
                    </w:pPr>
                    <w:r>
                      <w:rPr>
                        <w:rFonts w:hint="eastAsia"/>
                        <w:szCs w:val="21"/>
                      </w:rPr>
                      <w:t>蒸发损耗</w:t>
                    </w:r>
                    <w:r>
                      <w:rPr>
                        <w:rFonts w:hint="eastAsia"/>
                        <w:szCs w:val="21"/>
                        <w:lang w:val="en-US" w:eastAsia="zh-CN"/>
                      </w:rPr>
                      <w:t>2.19</w:t>
                    </w:r>
                  </w:p>
                </w:txbxContent>
              </v:textbox>
            </v:shape>
            <v:line id="Line 346" o:spid="_x0000_s4565" o:spt="20" style="position:absolute;left:4192;top:7232;flip:y;height:274;width:24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cQAAADdAAAADwAAAGRycy9kb3ducmV2LnhtbERPS2vCQBC+F/wPywje6sYI1aauooIQ&#10;vRRfhd7G7JgEs7Mhu2r6792C4G0+vudMZq2pxI0aV1pWMOhHIIgzq0vOFRz2q/cxCOeRNVaWScEf&#10;OZhNO28TTLS985ZuO5+LEMIuQQWF93UipcsKMuj6tiYO3Nk2Bn2ATS51g/cQbioZR9GHNFhyaCiw&#10;pmVB2WV3NQqux3S8+Rmsz/HhOz0RRsffeLFSqtdt518gPLX+JX66Ux3mD0ef8P9NO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V35xAAAAN0AAAAPAAAAAAAAAAAA&#10;AAAAAKECAABkcnMvZG93bnJldi54bWxQSwUGAAAAAAQABAD5AAAAkgMAAAAA&#10;">
              <v:path arrowok="t"/>
              <v:fill focussize="0,0"/>
              <v:stroke dashstyle="longDash" endarrow="block"/>
              <v:imagedata o:title=""/>
              <o:lock v:ext="edit"/>
            </v:line>
            <v:rect id="Rectangle 392" o:spid="_x0000_s4566" o:spt="1" style="position:absolute;left:2780;top:7299;height:376;width:980;"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9UsYA&#10;AADdAAAADwAAAGRycy9kb3ducmV2LnhtbESPT2vCQBDF70K/wzJCb7pRodg0q0g10B56aGzxOmQn&#10;fzA7G7Krxm/vHAq9zfDevPebbDu6Tl1pCK1nA4t5Aoq49Lbl2sDPMZ+tQYWIbLHzTAbuFGC7eZpk&#10;mFp/42+6FrFWEsIhRQNNjH2qdSgbchjmvicWrfKDwyjrUGs74E3CXaeXSfKiHbYsDQ329N5QeS4u&#10;zkCR/9qv11NcnfyY14fP/b469Edjnqfj7g1UpDH+m/+uP6zgr9bCL9/ICH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9UsYAAADdAAAADwAAAAAAAAAAAAAAAACYAgAAZHJz&#10;L2Rvd25yZXYueG1sUEsFBgAAAAAEAAQA9QAAAIsDAAAAAA==&#10;">
              <v:path/>
              <v:fill opacity="0f" focussize="0,0"/>
              <v:stroke on="f"/>
              <v:imagedata o:title=""/>
              <o:lock v:ext="edit"/>
              <v:textbox>
                <w:txbxContent>
                  <w:p>
                    <w:pPr>
                      <w:spacing w:line="200" w:lineRule="exact"/>
                      <w:rPr>
                        <w:rFonts w:hint="default" w:eastAsia="宋体"/>
                        <w:szCs w:val="21"/>
                        <w:lang w:val="en-US" w:eastAsia="zh-CN"/>
                      </w:rPr>
                    </w:pPr>
                    <w:r>
                      <w:rPr>
                        <w:rFonts w:hint="eastAsia"/>
                        <w:szCs w:val="21"/>
                        <w:lang w:val="en-US" w:eastAsia="zh-CN"/>
                      </w:rPr>
                      <w:t>2.19</w:t>
                    </w:r>
                  </w:p>
                </w:txbxContent>
              </v:textbox>
            </v:rect>
          </v:group>
        </w:pict>
      </w: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pStyle w:val="14"/>
        <w:ind w:firstLine="482"/>
        <w:rPr>
          <w:b/>
          <w:color w:val="000000"/>
          <w:sz w:val="24"/>
          <w:u w:val="single"/>
        </w:rPr>
      </w:pPr>
    </w:p>
    <w:p>
      <w:pPr>
        <w:spacing w:beforeLines="100" w:line="500" w:lineRule="exact"/>
        <w:ind w:firstLine="482" w:firstLineChars="200"/>
        <w:jc w:val="center"/>
        <w:rPr>
          <w:b/>
          <w:color w:val="000000"/>
          <w:sz w:val="24"/>
          <w:u w:val="single"/>
        </w:rPr>
      </w:pPr>
    </w:p>
    <w:p>
      <w:pPr>
        <w:spacing w:beforeLines="100" w:line="500" w:lineRule="exact"/>
        <w:rPr>
          <w:b/>
          <w:color w:val="000000"/>
          <w:sz w:val="24"/>
          <w:u w:val="single"/>
        </w:rPr>
      </w:pPr>
    </w:p>
    <w:p>
      <w:pPr>
        <w:spacing w:beforeLines="100" w:line="500" w:lineRule="exact"/>
        <w:ind w:firstLine="482" w:firstLineChars="200"/>
        <w:jc w:val="center"/>
        <w:rPr>
          <w:b/>
          <w:bCs w:val="0"/>
          <w:sz w:val="24"/>
          <w:u w:val="none"/>
        </w:rPr>
      </w:pPr>
      <w:r>
        <w:rPr>
          <w:b/>
          <w:bCs w:val="0"/>
          <w:color w:val="000000"/>
          <w:sz w:val="24"/>
          <w:u w:val="none"/>
        </w:rPr>
        <w:t>图</w:t>
      </w:r>
      <w:r>
        <w:rPr>
          <w:rFonts w:hint="eastAsia"/>
          <w:b/>
          <w:bCs w:val="0"/>
          <w:color w:val="000000"/>
          <w:sz w:val="24"/>
          <w:u w:val="none"/>
          <w:lang w:val="en-US" w:eastAsia="zh-CN"/>
        </w:rPr>
        <w:t>2</w:t>
      </w:r>
      <w:r>
        <w:rPr>
          <w:b/>
          <w:bCs w:val="0"/>
          <w:color w:val="000000"/>
          <w:sz w:val="24"/>
          <w:u w:val="none"/>
        </w:rPr>
        <w:t>.3-2   项目夏季水平衡图（122天，单位：m</w:t>
      </w:r>
      <w:r>
        <w:rPr>
          <w:b/>
          <w:bCs w:val="0"/>
          <w:color w:val="000000"/>
          <w:sz w:val="24"/>
          <w:u w:val="none"/>
          <w:vertAlign w:val="superscript"/>
        </w:rPr>
        <w:t>3</w:t>
      </w:r>
      <w:r>
        <w:rPr>
          <w:b/>
          <w:bCs w:val="0"/>
          <w:color w:val="000000"/>
          <w:sz w:val="24"/>
          <w:u w:val="none"/>
        </w:rPr>
        <w:t>/d）</w:t>
      </w:r>
      <w:bookmarkEnd w:id="152"/>
      <w:bookmarkEnd w:id="153"/>
      <w:bookmarkEnd w:id="154"/>
      <w:bookmarkEnd w:id="155"/>
      <w:bookmarkEnd w:id="156"/>
      <w:bookmarkEnd w:id="157"/>
      <w:bookmarkEnd w:id="158"/>
      <w:bookmarkEnd w:id="159"/>
      <w:bookmarkStart w:id="160" w:name="_Toc311979864"/>
      <w:bookmarkStart w:id="161" w:name="_Toc311979819"/>
      <w:bookmarkStart w:id="162" w:name="_Toc269400719"/>
      <w:bookmarkStart w:id="163" w:name="_Toc311979932"/>
    </w:p>
    <w:p>
      <w:pPr>
        <w:pStyle w:val="8"/>
        <w:spacing w:before="0" w:after="0" w:line="520" w:lineRule="exact"/>
        <w:rPr>
          <w:sz w:val="24"/>
          <w:szCs w:val="24"/>
        </w:rPr>
      </w:pPr>
      <w:r>
        <w:rPr>
          <w:rFonts w:hint="eastAsia"/>
          <w:sz w:val="24"/>
          <w:szCs w:val="24"/>
          <w:lang w:val="en-US" w:eastAsia="zh-CN"/>
        </w:rPr>
        <w:t>2</w:t>
      </w:r>
      <w:r>
        <w:rPr>
          <w:sz w:val="24"/>
          <w:szCs w:val="24"/>
        </w:rPr>
        <w:t>.3.2.3噪声排放情况</w:t>
      </w:r>
    </w:p>
    <w:p>
      <w:pPr>
        <w:spacing w:line="520" w:lineRule="exact"/>
        <w:ind w:firstLine="480" w:firstLineChars="200"/>
        <w:rPr>
          <w:bCs/>
          <w:sz w:val="24"/>
        </w:rPr>
      </w:pPr>
      <w:r>
        <w:rPr>
          <w:bCs/>
          <w:sz w:val="24"/>
        </w:rPr>
        <w:t>噪声主要为猪叫声、猪舍降温配套负压风机、粪污处理设施等设备运行时产生的噪声，根据类比调查，其源强为70～85dB(A)。工程主要噪声设施源强情况见表</w:t>
      </w:r>
      <w:r>
        <w:rPr>
          <w:rFonts w:hint="eastAsia"/>
          <w:bCs/>
          <w:sz w:val="24"/>
          <w:lang w:val="en-US" w:eastAsia="zh-CN"/>
        </w:rPr>
        <w:t>2</w:t>
      </w:r>
      <w:r>
        <w:rPr>
          <w:bCs/>
          <w:sz w:val="24"/>
        </w:rPr>
        <w:t>.3-10。</w:t>
      </w:r>
    </w:p>
    <w:p>
      <w:pPr>
        <w:spacing w:afterLines="30" w:line="520" w:lineRule="exact"/>
        <w:jc w:val="center"/>
        <w:rPr>
          <w:b/>
          <w:sz w:val="24"/>
        </w:rPr>
      </w:pPr>
      <w:r>
        <w:rPr>
          <w:b/>
          <w:sz w:val="24"/>
        </w:rPr>
        <w:t>表2.3-10   工程主要噪声源强一览表</w:t>
      </w:r>
    </w:p>
    <w:tbl>
      <w:tblPr>
        <w:tblStyle w:val="45"/>
        <w:tblW w:w="91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258"/>
        <w:gridCol w:w="1222"/>
        <w:gridCol w:w="909"/>
        <w:gridCol w:w="661"/>
        <w:gridCol w:w="2871"/>
        <w:gridCol w:w="1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blHeader/>
        </w:trPr>
        <w:tc>
          <w:tcPr>
            <w:tcW w:w="2258" w:type="dxa"/>
            <w:vAlign w:val="center"/>
          </w:tcPr>
          <w:p>
            <w:pPr>
              <w:adjustRightInd w:val="0"/>
              <w:jc w:val="center"/>
              <w:rPr>
                <w:bCs/>
                <w:szCs w:val="21"/>
              </w:rPr>
            </w:pPr>
            <w:r>
              <w:rPr>
                <w:bCs/>
                <w:szCs w:val="21"/>
              </w:rPr>
              <w:t>噪声来源</w:t>
            </w:r>
          </w:p>
        </w:tc>
        <w:tc>
          <w:tcPr>
            <w:tcW w:w="1222" w:type="dxa"/>
            <w:vAlign w:val="center"/>
          </w:tcPr>
          <w:p>
            <w:pPr>
              <w:adjustRightInd w:val="0"/>
              <w:jc w:val="center"/>
              <w:rPr>
                <w:bCs/>
                <w:szCs w:val="21"/>
              </w:rPr>
            </w:pPr>
            <w:r>
              <w:rPr>
                <w:bCs/>
                <w:szCs w:val="21"/>
              </w:rPr>
              <w:t>种类</w:t>
            </w:r>
          </w:p>
        </w:tc>
        <w:tc>
          <w:tcPr>
            <w:tcW w:w="909" w:type="dxa"/>
            <w:vAlign w:val="center"/>
          </w:tcPr>
          <w:p>
            <w:pPr>
              <w:adjustRightInd w:val="0"/>
              <w:jc w:val="center"/>
              <w:rPr>
                <w:bCs/>
                <w:szCs w:val="21"/>
              </w:rPr>
            </w:pPr>
            <w:r>
              <w:rPr>
                <w:bCs/>
                <w:szCs w:val="21"/>
              </w:rPr>
              <w:t>产生</w:t>
            </w:r>
          </w:p>
          <w:p>
            <w:pPr>
              <w:adjustRightInd w:val="0"/>
              <w:jc w:val="center"/>
              <w:rPr>
                <w:bCs/>
                <w:szCs w:val="21"/>
              </w:rPr>
            </w:pPr>
            <w:r>
              <w:rPr>
                <w:bCs/>
                <w:szCs w:val="21"/>
              </w:rPr>
              <w:t>方式</w:t>
            </w:r>
          </w:p>
        </w:tc>
        <w:tc>
          <w:tcPr>
            <w:tcW w:w="661" w:type="dxa"/>
            <w:vAlign w:val="center"/>
          </w:tcPr>
          <w:p>
            <w:pPr>
              <w:adjustRightInd w:val="0"/>
              <w:jc w:val="center"/>
              <w:rPr>
                <w:bCs/>
                <w:szCs w:val="21"/>
              </w:rPr>
            </w:pPr>
            <w:r>
              <w:rPr>
                <w:bCs/>
                <w:szCs w:val="21"/>
              </w:rPr>
              <w:t>源强</w:t>
            </w:r>
          </w:p>
        </w:tc>
        <w:tc>
          <w:tcPr>
            <w:tcW w:w="2871" w:type="dxa"/>
            <w:vAlign w:val="center"/>
          </w:tcPr>
          <w:p>
            <w:pPr>
              <w:adjustRightInd w:val="0"/>
              <w:jc w:val="center"/>
              <w:rPr>
                <w:bCs/>
                <w:szCs w:val="21"/>
              </w:rPr>
            </w:pPr>
            <w:r>
              <w:rPr>
                <w:bCs/>
                <w:szCs w:val="21"/>
              </w:rPr>
              <w:t>治理措施</w:t>
            </w:r>
          </w:p>
        </w:tc>
        <w:tc>
          <w:tcPr>
            <w:tcW w:w="1264" w:type="dxa"/>
            <w:vAlign w:val="center"/>
          </w:tcPr>
          <w:p>
            <w:pPr>
              <w:adjustRightInd w:val="0"/>
              <w:jc w:val="center"/>
              <w:rPr>
                <w:bCs/>
                <w:szCs w:val="21"/>
              </w:rPr>
            </w:pPr>
            <w:r>
              <w:rPr>
                <w:bCs/>
                <w:szCs w:val="21"/>
              </w:rPr>
              <w:t>排放源强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restart"/>
            <w:vAlign w:val="center"/>
          </w:tcPr>
          <w:p>
            <w:pPr>
              <w:adjustRightInd w:val="0"/>
              <w:jc w:val="center"/>
              <w:rPr>
                <w:bCs/>
                <w:szCs w:val="21"/>
              </w:rPr>
            </w:pPr>
            <w:r>
              <w:rPr>
                <w:bCs/>
                <w:szCs w:val="21"/>
              </w:rPr>
              <w:t>养殖区猪舍</w:t>
            </w:r>
          </w:p>
        </w:tc>
        <w:tc>
          <w:tcPr>
            <w:tcW w:w="1222" w:type="dxa"/>
            <w:vAlign w:val="center"/>
          </w:tcPr>
          <w:p>
            <w:pPr>
              <w:adjustRightInd w:val="0"/>
              <w:jc w:val="center"/>
              <w:rPr>
                <w:bCs/>
                <w:szCs w:val="21"/>
              </w:rPr>
            </w:pPr>
            <w:r>
              <w:rPr>
                <w:bCs/>
                <w:szCs w:val="21"/>
              </w:rPr>
              <w:t>猪叫</w:t>
            </w:r>
          </w:p>
        </w:tc>
        <w:tc>
          <w:tcPr>
            <w:tcW w:w="909" w:type="dxa"/>
            <w:vAlign w:val="center"/>
          </w:tcPr>
          <w:p>
            <w:pPr>
              <w:adjustRightInd w:val="0"/>
              <w:jc w:val="center"/>
              <w:rPr>
                <w:bCs/>
                <w:szCs w:val="21"/>
              </w:rPr>
            </w:pPr>
            <w:r>
              <w:rPr>
                <w:bCs/>
                <w:szCs w:val="21"/>
              </w:rPr>
              <w:t>间断</w:t>
            </w:r>
          </w:p>
        </w:tc>
        <w:tc>
          <w:tcPr>
            <w:tcW w:w="661" w:type="dxa"/>
            <w:vAlign w:val="center"/>
          </w:tcPr>
          <w:p>
            <w:pPr>
              <w:adjustRightInd w:val="0"/>
              <w:jc w:val="center"/>
              <w:rPr>
                <w:bCs/>
                <w:szCs w:val="21"/>
              </w:rPr>
            </w:pPr>
            <w:r>
              <w:rPr>
                <w:bCs/>
                <w:szCs w:val="21"/>
              </w:rPr>
              <w:t>70</w:t>
            </w:r>
          </w:p>
        </w:tc>
        <w:tc>
          <w:tcPr>
            <w:tcW w:w="2871" w:type="dxa"/>
            <w:vAlign w:val="center"/>
          </w:tcPr>
          <w:p>
            <w:pPr>
              <w:adjustRightInd w:val="0"/>
              <w:jc w:val="center"/>
              <w:rPr>
                <w:bCs/>
                <w:szCs w:val="21"/>
              </w:rPr>
            </w:pPr>
            <w:r>
              <w:rPr>
                <w:bCs/>
                <w:szCs w:val="21"/>
              </w:rPr>
              <w:t>隔声降噪</w:t>
            </w:r>
          </w:p>
        </w:tc>
        <w:tc>
          <w:tcPr>
            <w:tcW w:w="1264" w:type="dxa"/>
            <w:vAlign w:val="center"/>
          </w:tcPr>
          <w:p>
            <w:pPr>
              <w:adjustRightInd w:val="0"/>
              <w:jc w:val="center"/>
              <w:rPr>
                <w:bCs/>
                <w:szCs w:val="21"/>
              </w:rPr>
            </w:pPr>
            <w:r>
              <w:rPr>
                <w:bCs/>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continue"/>
            <w:vAlign w:val="center"/>
          </w:tcPr>
          <w:p>
            <w:pPr>
              <w:adjustRightInd w:val="0"/>
              <w:jc w:val="center"/>
              <w:rPr>
                <w:bCs/>
                <w:szCs w:val="21"/>
              </w:rPr>
            </w:pPr>
          </w:p>
        </w:tc>
        <w:tc>
          <w:tcPr>
            <w:tcW w:w="1222" w:type="dxa"/>
            <w:vAlign w:val="center"/>
          </w:tcPr>
          <w:p>
            <w:pPr>
              <w:adjustRightInd w:val="0"/>
              <w:jc w:val="center"/>
              <w:rPr>
                <w:bCs/>
                <w:szCs w:val="21"/>
              </w:rPr>
            </w:pPr>
            <w:r>
              <w:rPr>
                <w:bCs/>
                <w:szCs w:val="21"/>
              </w:rPr>
              <w:t>风机</w:t>
            </w:r>
          </w:p>
        </w:tc>
        <w:tc>
          <w:tcPr>
            <w:tcW w:w="909" w:type="dxa"/>
            <w:vAlign w:val="center"/>
          </w:tcPr>
          <w:p>
            <w:pPr>
              <w:adjustRightInd w:val="0"/>
              <w:jc w:val="center"/>
              <w:rPr>
                <w:bCs/>
                <w:szCs w:val="21"/>
              </w:rPr>
            </w:pPr>
            <w:r>
              <w:rPr>
                <w:bCs/>
                <w:szCs w:val="21"/>
              </w:rPr>
              <w:t>连续</w:t>
            </w:r>
          </w:p>
        </w:tc>
        <w:tc>
          <w:tcPr>
            <w:tcW w:w="661" w:type="dxa"/>
            <w:vAlign w:val="center"/>
          </w:tcPr>
          <w:p>
            <w:pPr>
              <w:adjustRightInd w:val="0"/>
              <w:jc w:val="center"/>
              <w:rPr>
                <w:bCs/>
                <w:szCs w:val="21"/>
              </w:rPr>
            </w:pPr>
            <w:r>
              <w:rPr>
                <w:bCs/>
                <w:szCs w:val="21"/>
              </w:rPr>
              <w:t>85</w:t>
            </w:r>
          </w:p>
        </w:tc>
        <w:tc>
          <w:tcPr>
            <w:tcW w:w="2871" w:type="dxa"/>
            <w:vAlign w:val="center"/>
          </w:tcPr>
          <w:p>
            <w:pPr>
              <w:adjustRightInd w:val="0"/>
              <w:jc w:val="center"/>
              <w:rPr>
                <w:bCs/>
                <w:szCs w:val="21"/>
              </w:rPr>
            </w:pPr>
            <w:r>
              <w:rPr>
                <w:bCs/>
                <w:szCs w:val="21"/>
              </w:rPr>
              <w:t>厂房隔声</w:t>
            </w:r>
          </w:p>
        </w:tc>
        <w:tc>
          <w:tcPr>
            <w:tcW w:w="1264" w:type="dxa"/>
            <w:vAlign w:val="center"/>
          </w:tcPr>
          <w:p>
            <w:pPr>
              <w:adjustRightInd w:val="0"/>
              <w:jc w:val="center"/>
              <w:rPr>
                <w:bCs/>
                <w:szCs w:val="21"/>
              </w:rPr>
            </w:pPr>
            <w:r>
              <w:rPr>
                <w:bCs/>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restart"/>
            <w:vAlign w:val="center"/>
          </w:tcPr>
          <w:p>
            <w:pPr>
              <w:adjustRightInd w:val="0"/>
              <w:jc w:val="center"/>
              <w:rPr>
                <w:bCs/>
                <w:szCs w:val="21"/>
              </w:rPr>
            </w:pPr>
            <w:r>
              <w:rPr>
                <w:bCs/>
                <w:szCs w:val="21"/>
              </w:rPr>
              <w:t>固粪处理区</w:t>
            </w:r>
          </w:p>
        </w:tc>
        <w:tc>
          <w:tcPr>
            <w:tcW w:w="1222" w:type="dxa"/>
            <w:vAlign w:val="center"/>
          </w:tcPr>
          <w:p>
            <w:pPr>
              <w:adjustRightInd w:val="0"/>
              <w:jc w:val="center"/>
              <w:rPr>
                <w:bCs/>
                <w:szCs w:val="21"/>
              </w:rPr>
            </w:pPr>
            <w:r>
              <w:rPr>
                <w:bCs/>
                <w:szCs w:val="21"/>
              </w:rPr>
              <w:t>水泵</w:t>
            </w:r>
          </w:p>
        </w:tc>
        <w:tc>
          <w:tcPr>
            <w:tcW w:w="909" w:type="dxa"/>
            <w:vAlign w:val="center"/>
          </w:tcPr>
          <w:p>
            <w:pPr>
              <w:adjustRightInd w:val="0"/>
              <w:jc w:val="center"/>
              <w:rPr>
                <w:bCs/>
                <w:szCs w:val="21"/>
              </w:rPr>
            </w:pPr>
            <w:r>
              <w:rPr>
                <w:bCs/>
                <w:szCs w:val="21"/>
              </w:rPr>
              <w:t>连续</w:t>
            </w:r>
          </w:p>
        </w:tc>
        <w:tc>
          <w:tcPr>
            <w:tcW w:w="661" w:type="dxa"/>
            <w:vAlign w:val="center"/>
          </w:tcPr>
          <w:p>
            <w:pPr>
              <w:adjustRightInd w:val="0"/>
              <w:jc w:val="center"/>
              <w:rPr>
                <w:bCs/>
                <w:szCs w:val="21"/>
              </w:rPr>
            </w:pPr>
            <w:r>
              <w:rPr>
                <w:bCs/>
                <w:szCs w:val="21"/>
              </w:rPr>
              <w:t>85</w:t>
            </w:r>
          </w:p>
        </w:tc>
        <w:tc>
          <w:tcPr>
            <w:tcW w:w="2871" w:type="dxa"/>
            <w:vMerge w:val="restart"/>
            <w:vAlign w:val="center"/>
          </w:tcPr>
          <w:p>
            <w:pPr>
              <w:adjustRightInd w:val="0"/>
              <w:jc w:val="center"/>
              <w:rPr>
                <w:bCs/>
                <w:szCs w:val="21"/>
              </w:rPr>
            </w:pPr>
            <w:r>
              <w:rPr>
                <w:bCs/>
                <w:szCs w:val="21"/>
              </w:rPr>
              <w:t>选低噪声设备、隔声、减振</w:t>
            </w:r>
          </w:p>
        </w:tc>
        <w:tc>
          <w:tcPr>
            <w:tcW w:w="1264" w:type="dxa"/>
            <w:vAlign w:val="center"/>
          </w:tcPr>
          <w:p>
            <w:pPr>
              <w:adjustRightInd w:val="0"/>
              <w:jc w:val="center"/>
              <w:rPr>
                <w:bCs/>
                <w:szCs w:val="21"/>
              </w:rPr>
            </w:pPr>
            <w:r>
              <w:rPr>
                <w:bCs/>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continue"/>
            <w:vAlign w:val="center"/>
          </w:tcPr>
          <w:p>
            <w:pPr>
              <w:adjustRightInd w:val="0"/>
              <w:jc w:val="center"/>
              <w:rPr>
                <w:bCs/>
                <w:szCs w:val="21"/>
              </w:rPr>
            </w:pPr>
          </w:p>
        </w:tc>
        <w:tc>
          <w:tcPr>
            <w:tcW w:w="1222" w:type="dxa"/>
            <w:vAlign w:val="center"/>
          </w:tcPr>
          <w:p>
            <w:pPr>
              <w:adjustRightInd w:val="0"/>
              <w:snapToGrid w:val="0"/>
              <w:jc w:val="center"/>
              <w:rPr>
                <w:bCs/>
                <w:szCs w:val="21"/>
              </w:rPr>
            </w:pPr>
            <w:r>
              <w:rPr>
                <w:bCs/>
                <w:szCs w:val="21"/>
              </w:rPr>
              <w:t>固液分离机</w:t>
            </w:r>
          </w:p>
        </w:tc>
        <w:tc>
          <w:tcPr>
            <w:tcW w:w="909" w:type="dxa"/>
            <w:vAlign w:val="center"/>
          </w:tcPr>
          <w:p>
            <w:pPr>
              <w:adjustRightInd w:val="0"/>
              <w:snapToGrid w:val="0"/>
              <w:jc w:val="center"/>
              <w:rPr>
                <w:bCs/>
                <w:szCs w:val="21"/>
              </w:rPr>
            </w:pPr>
            <w:r>
              <w:rPr>
                <w:bCs/>
                <w:szCs w:val="21"/>
              </w:rPr>
              <w:t>连续</w:t>
            </w:r>
          </w:p>
        </w:tc>
        <w:tc>
          <w:tcPr>
            <w:tcW w:w="661" w:type="dxa"/>
            <w:vAlign w:val="center"/>
          </w:tcPr>
          <w:p>
            <w:pPr>
              <w:adjustRightInd w:val="0"/>
              <w:snapToGrid w:val="0"/>
              <w:jc w:val="center"/>
              <w:rPr>
                <w:bCs/>
                <w:szCs w:val="21"/>
              </w:rPr>
            </w:pPr>
            <w:r>
              <w:rPr>
                <w:bCs/>
                <w:szCs w:val="21"/>
              </w:rPr>
              <w:t>75</w:t>
            </w:r>
          </w:p>
        </w:tc>
        <w:tc>
          <w:tcPr>
            <w:tcW w:w="2871" w:type="dxa"/>
            <w:vMerge w:val="continue"/>
            <w:vAlign w:val="center"/>
          </w:tcPr>
          <w:p>
            <w:pPr>
              <w:adjustRightInd w:val="0"/>
              <w:jc w:val="center"/>
              <w:rPr>
                <w:bCs/>
                <w:szCs w:val="21"/>
              </w:rPr>
            </w:pPr>
          </w:p>
        </w:tc>
        <w:tc>
          <w:tcPr>
            <w:tcW w:w="1264" w:type="dxa"/>
            <w:vAlign w:val="center"/>
          </w:tcPr>
          <w:p>
            <w:pPr>
              <w:adjustRightInd w:val="0"/>
              <w:jc w:val="center"/>
              <w:rPr>
                <w:bCs/>
                <w:szCs w:val="21"/>
              </w:rPr>
            </w:pPr>
            <w:r>
              <w:rPr>
                <w:bCs/>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continue"/>
            <w:vAlign w:val="center"/>
          </w:tcPr>
          <w:p>
            <w:pPr>
              <w:adjustRightInd w:val="0"/>
              <w:jc w:val="center"/>
              <w:rPr>
                <w:bCs/>
                <w:szCs w:val="21"/>
              </w:rPr>
            </w:pPr>
          </w:p>
        </w:tc>
        <w:tc>
          <w:tcPr>
            <w:tcW w:w="1222" w:type="dxa"/>
            <w:vAlign w:val="center"/>
          </w:tcPr>
          <w:p>
            <w:pPr>
              <w:adjustRightInd w:val="0"/>
              <w:snapToGrid w:val="0"/>
              <w:jc w:val="center"/>
              <w:rPr>
                <w:bCs/>
                <w:szCs w:val="21"/>
              </w:rPr>
            </w:pPr>
            <w:r>
              <w:rPr>
                <w:bCs/>
                <w:szCs w:val="21"/>
              </w:rPr>
              <w:t>翻抛机</w:t>
            </w:r>
          </w:p>
        </w:tc>
        <w:tc>
          <w:tcPr>
            <w:tcW w:w="909" w:type="dxa"/>
            <w:vAlign w:val="center"/>
          </w:tcPr>
          <w:p>
            <w:pPr>
              <w:adjustRightInd w:val="0"/>
              <w:snapToGrid w:val="0"/>
              <w:jc w:val="center"/>
              <w:rPr>
                <w:bCs/>
                <w:szCs w:val="21"/>
              </w:rPr>
            </w:pPr>
            <w:r>
              <w:rPr>
                <w:bCs/>
                <w:szCs w:val="21"/>
              </w:rPr>
              <w:t>间断</w:t>
            </w:r>
          </w:p>
        </w:tc>
        <w:tc>
          <w:tcPr>
            <w:tcW w:w="661" w:type="dxa"/>
            <w:vAlign w:val="center"/>
          </w:tcPr>
          <w:p>
            <w:pPr>
              <w:adjustRightInd w:val="0"/>
              <w:snapToGrid w:val="0"/>
              <w:jc w:val="center"/>
              <w:rPr>
                <w:bCs/>
                <w:szCs w:val="21"/>
              </w:rPr>
            </w:pPr>
            <w:r>
              <w:rPr>
                <w:bCs/>
                <w:szCs w:val="21"/>
              </w:rPr>
              <w:t>75</w:t>
            </w:r>
          </w:p>
        </w:tc>
        <w:tc>
          <w:tcPr>
            <w:tcW w:w="2871" w:type="dxa"/>
            <w:vMerge w:val="continue"/>
            <w:vAlign w:val="center"/>
          </w:tcPr>
          <w:p>
            <w:pPr>
              <w:adjustRightInd w:val="0"/>
              <w:jc w:val="center"/>
              <w:rPr>
                <w:bCs/>
                <w:szCs w:val="21"/>
              </w:rPr>
            </w:pPr>
          </w:p>
        </w:tc>
        <w:tc>
          <w:tcPr>
            <w:tcW w:w="1264" w:type="dxa"/>
            <w:vAlign w:val="center"/>
          </w:tcPr>
          <w:p>
            <w:pPr>
              <w:adjustRightInd w:val="0"/>
              <w:jc w:val="center"/>
              <w:rPr>
                <w:bCs/>
                <w:szCs w:val="21"/>
              </w:rPr>
            </w:pPr>
            <w:r>
              <w:rPr>
                <w:bCs/>
                <w:szCs w:val="21"/>
              </w:rPr>
              <w:t>60</w:t>
            </w:r>
          </w:p>
        </w:tc>
      </w:tr>
      <w:bookmarkEnd w:id="160"/>
      <w:bookmarkEnd w:id="161"/>
      <w:bookmarkEnd w:id="162"/>
      <w:bookmarkEnd w:id="163"/>
    </w:tbl>
    <w:p>
      <w:pPr>
        <w:pStyle w:val="8"/>
        <w:spacing w:before="0" w:after="0" w:line="520" w:lineRule="exact"/>
        <w:rPr>
          <w:snapToGrid w:val="0"/>
          <w:sz w:val="24"/>
          <w:szCs w:val="24"/>
        </w:rPr>
      </w:pPr>
      <w:r>
        <w:rPr>
          <w:rFonts w:hint="eastAsia"/>
          <w:snapToGrid w:val="0"/>
          <w:sz w:val="24"/>
          <w:szCs w:val="24"/>
          <w:lang w:val="en-US" w:eastAsia="zh-CN"/>
        </w:rPr>
        <w:t>2</w:t>
      </w:r>
      <w:r>
        <w:rPr>
          <w:snapToGrid w:val="0"/>
          <w:sz w:val="24"/>
          <w:szCs w:val="24"/>
        </w:rPr>
        <w:t>.3.2.4固体废物排放情况</w:t>
      </w:r>
    </w:p>
    <w:p>
      <w:pPr>
        <w:spacing w:line="520" w:lineRule="exact"/>
        <w:ind w:firstLine="480" w:firstLineChars="200"/>
        <w:rPr>
          <w:bCs/>
          <w:sz w:val="24"/>
        </w:rPr>
      </w:pPr>
      <w:r>
        <w:rPr>
          <w:bCs/>
          <w:sz w:val="24"/>
        </w:rPr>
        <w:t>本项目产生的固体废物主要包括猪粪固形物、厌氧发酵后的沼渣、养殖过程产生的少量病死猪尸、疾病防疫产生的医疗废物、废脱硫剂</w:t>
      </w:r>
      <w:r>
        <w:rPr>
          <w:sz w:val="24"/>
        </w:rPr>
        <w:t>及</w:t>
      </w:r>
      <w:r>
        <w:rPr>
          <w:bCs/>
          <w:sz w:val="24"/>
        </w:rPr>
        <w:t>职工生活垃圾等。</w:t>
      </w:r>
    </w:p>
    <w:p>
      <w:pPr>
        <w:spacing w:line="520" w:lineRule="exact"/>
        <w:ind w:firstLine="480" w:firstLineChars="200"/>
        <w:rPr>
          <w:bCs/>
          <w:sz w:val="24"/>
        </w:rPr>
      </w:pPr>
      <w:r>
        <w:rPr>
          <w:bCs/>
          <w:sz w:val="24"/>
        </w:rPr>
        <w:t>（一）猪粪和沼渣</w:t>
      </w:r>
    </w:p>
    <w:p>
      <w:pPr>
        <w:spacing w:line="520" w:lineRule="exact"/>
        <w:ind w:firstLine="480" w:firstLineChars="200"/>
        <w:rPr>
          <w:bCs/>
          <w:sz w:val="24"/>
        </w:rPr>
      </w:pPr>
      <w:r>
        <w:rPr>
          <w:bCs/>
          <w:sz w:val="24"/>
        </w:rPr>
        <w:t>（1）猪粪(S</w:t>
      </w:r>
      <w:r>
        <w:rPr>
          <w:bCs/>
          <w:sz w:val="24"/>
          <w:vertAlign w:val="subscript"/>
        </w:rPr>
        <w:t>1</w:t>
      </w:r>
      <w:r>
        <w:rPr>
          <w:bCs/>
          <w:sz w:val="24"/>
        </w:rPr>
        <w:t>)</w:t>
      </w:r>
    </w:p>
    <w:p>
      <w:pPr>
        <w:spacing w:line="520" w:lineRule="exact"/>
        <w:ind w:firstLine="480" w:firstLineChars="200"/>
        <w:rPr>
          <w:bCs/>
          <w:sz w:val="24"/>
        </w:rPr>
      </w:pPr>
      <w:r>
        <w:rPr>
          <w:bCs/>
          <w:sz w:val="24"/>
        </w:rPr>
        <w:t>根据</w:t>
      </w:r>
      <w:r>
        <w:rPr>
          <w:sz w:val="24"/>
        </w:rPr>
        <w:t>《规模畜禽养殖场污染防治最佳可行技术指南（试行）》（HJ-BAT-10）</w:t>
      </w:r>
      <w:r>
        <w:rPr>
          <w:bCs/>
          <w:sz w:val="24"/>
        </w:rPr>
        <w:t>，猪粪排泄量计算公式为：</w:t>
      </w:r>
    </w:p>
    <w:p>
      <w:pPr>
        <w:spacing w:line="520" w:lineRule="exact"/>
        <w:ind w:firstLine="480" w:firstLineChars="200"/>
        <w:jc w:val="center"/>
        <w:rPr>
          <w:bCs/>
          <w:sz w:val="24"/>
        </w:rPr>
      </w:pPr>
      <w:r>
        <w:rPr>
          <w:bCs/>
          <w:sz w:val="24"/>
        </w:rPr>
        <w:t>Yf=0.530F-0.049</w:t>
      </w:r>
    </w:p>
    <w:p>
      <w:pPr>
        <w:spacing w:line="520" w:lineRule="exact"/>
        <w:ind w:firstLine="480" w:firstLineChars="200"/>
        <w:rPr>
          <w:bCs/>
          <w:sz w:val="24"/>
        </w:rPr>
      </w:pPr>
      <w:r>
        <w:rPr>
          <w:bCs/>
          <w:sz w:val="24"/>
        </w:rPr>
        <w:t>式中：Y</w:t>
      </w:r>
      <w:r>
        <w:rPr>
          <w:bCs/>
          <w:sz w:val="24"/>
          <w:vertAlign w:val="subscript"/>
        </w:rPr>
        <w:t>f</w:t>
      </w:r>
      <w:r>
        <w:rPr>
          <w:bCs/>
          <w:sz w:val="24"/>
        </w:rPr>
        <w:t>——为猪粪排泄量（kg/头</w:t>
      </w:r>
      <w:r>
        <w:rPr>
          <w:sz w:val="24"/>
        </w:rPr>
        <w:t>·</w:t>
      </w:r>
      <w:r>
        <w:rPr>
          <w:bCs/>
          <w:sz w:val="24"/>
        </w:rPr>
        <w:t>d）；</w:t>
      </w:r>
    </w:p>
    <w:p>
      <w:pPr>
        <w:spacing w:line="520" w:lineRule="exact"/>
        <w:ind w:firstLine="1200" w:firstLineChars="500"/>
        <w:rPr>
          <w:bCs/>
          <w:sz w:val="24"/>
        </w:rPr>
      </w:pPr>
      <w:r>
        <w:rPr>
          <w:bCs/>
          <w:sz w:val="24"/>
        </w:rPr>
        <w:t>F——为饲料采食量（kg/头</w:t>
      </w:r>
      <w:r>
        <w:rPr>
          <w:sz w:val="24"/>
        </w:rPr>
        <w:t>·</w:t>
      </w:r>
      <w:r>
        <w:rPr>
          <w:bCs/>
          <w:sz w:val="24"/>
        </w:rPr>
        <w:t>d）。</w:t>
      </w:r>
    </w:p>
    <w:p>
      <w:pPr>
        <w:spacing w:line="520" w:lineRule="exact"/>
        <w:ind w:firstLine="480" w:firstLineChars="200"/>
        <w:rPr>
          <w:bCs/>
          <w:sz w:val="24"/>
        </w:rPr>
      </w:pPr>
      <w:r>
        <w:rPr>
          <w:bCs/>
          <w:sz w:val="24"/>
        </w:rPr>
        <w:t>通过计算，项目猪粪产生情况见表</w:t>
      </w:r>
      <w:r>
        <w:rPr>
          <w:rFonts w:hint="eastAsia"/>
          <w:bCs/>
          <w:sz w:val="24"/>
          <w:lang w:val="en-US" w:eastAsia="zh-CN"/>
        </w:rPr>
        <w:t>2</w:t>
      </w:r>
      <w:r>
        <w:rPr>
          <w:bCs/>
          <w:sz w:val="24"/>
        </w:rPr>
        <w:t>.3-11。</w:t>
      </w:r>
    </w:p>
    <w:p>
      <w:pPr>
        <w:spacing w:afterLines="30" w:line="520" w:lineRule="exact"/>
        <w:jc w:val="center"/>
        <w:rPr>
          <w:b/>
          <w:sz w:val="24"/>
        </w:rPr>
      </w:pPr>
      <w:r>
        <w:rPr>
          <w:b/>
          <w:sz w:val="24"/>
        </w:rPr>
        <w:t>表</w:t>
      </w:r>
      <w:r>
        <w:rPr>
          <w:rFonts w:hint="eastAsia"/>
          <w:b/>
          <w:sz w:val="24"/>
          <w:lang w:val="en-US" w:eastAsia="zh-CN"/>
        </w:rPr>
        <w:t>2</w:t>
      </w:r>
      <w:r>
        <w:rPr>
          <w:b/>
          <w:sz w:val="24"/>
        </w:rPr>
        <w:t>.3-11   猪粪产生情况一览表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573"/>
        <w:gridCol w:w="1325"/>
        <w:gridCol w:w="2969"/>
        <w:gridCol w:w="1000"/>
        <w:gridCol w:w="11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2" w:type="pct"/>
            <w:vMerge w:val="restart"/>
            <w:tcMar>
              <w:left w:w="28" w:type="dxa"/>
              <w:right w:w="28" w:type="dxa"/>
            </w:tcMar>
            <w:vAlign w:val="center"/>
          </w:tcPr>
          <w:p>
            <w:pPr>
              <w:adjustRightInd w:val="0"/>
              <w:snapToGrid w:val="0"/>
              <w:jc w:val="center"/>
              <w:rPr>
                <w:szCs w:val="21"/>
              </w:rPr>
            </w:pPr>
            <w:r>
              <w:rPr>
                <w:szCs w:val="21"/>
              </w:rPr>
              <w:t>种类</w:t>
            </w:r>
          </w:p>
        </w:tc>
        <w:tc>
          <w:tcPr>
            <w:tcW w:w="894" w:type="pct"/>
            <w:vMerge w:val="restart"/>
            <w:tcMar>
              <w:left w:w="28" w:type="dxa"/>
              <w:right w:w="28" w:type="dxa"/>
            </w:tcMar>
            <w:vAlign w:val="center"/>
          </w:tcPr>
          <w:p>
            <w:pPr>
              <w:adjustRightInd w:val="0"/>
              <w:snapToGrid w:val="0"/>
              <w:jc w:val="center"/>
              <w:rPr>
                <w:szCs w:val="21"/>
              </w:rPr>
            </w:pPr>
            <w:r>
              <w:rPr>
                <w:szCs w:val="21"/>
              </w:rPr>
              <w:t>存栏数（头）</w:t>
            </w:r>
          </w:p>
        </w:tc>
        <w:tc>
          <w:tcPr>
            <w:tcW w:w="754" w:type="pct"/>
            <w:vMerge w:val="restart"/>
            <w:tcMar>
              <w:left w:w="28" w:type="dxa"/>
              <w:right w:w="28" w:type="dxa"/>
            </w:tcMar>
            <w:vAlign w:val="center"/>
          </w:tcPr>
          <w:p>
            <w:pPr>
              <w:adjustRightInd w:val="0"/>
              <w:snapToGrid w:val="0"/>
              <w:jc w:val="center"/>
              <w:rPr>
                <w:szCs w:val="21"/>
              </w:rPr>
            </w:pPr>
            <w:r>
              <w:rPr>
                <w:szCs w:val="21"/>
              </w:rPr>
              <w:t>饲料定额</w:t>
            </w:r>
          </w:p>
          <w:p>
            <w:pPr>
              <w:adjustRightInd w:val="0"/>
              <w:snapToGrid w:val="0"/>
              <w:jc w:val="center"/>
              <w:rPr>
                <w:szCs w:val="21"/>
              </w:rPr>
            </w:pPr>
            <w:r>
              <w:rPr>
                <w:szCs w:val="21"/>
              </w:rPr>
              <w:t>（kg/头.d）</w:t>
            </w:r>
          </w:p>
        </w:tc>
        <w:tc>
          <w:tcPr>
            <w:tcW w:w="1690" w:type="pct"/>
            <w:vMerge w:val="restart"/>
            <w:tcMar>
              <w:left w:w="28" w:type="dxa"/>
              <w:right w:w="28" w:type="dxa"/>
            </w:tcMar>
            <w:vAlign w:val="center"/>
          </w:tcPr>
          <w:p>
            <w:pPr>
              <w:adjustRightInd w:val="0"/>
              <w:snapToGrid w:val="0"/>
              <w:jc w:val="center"/>
              <w:rPr>
                <w:szCs w:val="21"/>
              </w:rPr>
            </w:pPr>
            <w:r>
              <w:rPr>
                <w:szCs w:val="21"/>
              </w:rPr>
              <w:t>单头猪粪便产生量（kg/头.d）</w:t>
            </w:r>
          </w:p>
        </w:tc>
        <w:tc>
          <w:tcPr>
            <w:tcW w:w="1198" w:type="pct"/>
            <w:gridSpan w:val="2"/>
            <w:tcMar>
              <w:left w:w="28" w:type="dxa"/>
              <w:right w:w="28" w:type="dxa"/>
            </w:tcMar>
            <w:vAlign w:val="center"/>
          </w:tcPr>
          <w:p>
            <w:pPr>
              <w:adjustRightInd w:val="0"/>
              <w:snapToGrid w:val="0"/>
              <w:jc w:val="center"/>
              <w:rPr>
                <w:szCs w:val="21"/>
              </w:rPr>
            </w:pPr>
            <w:r>
              <w:rPr>
                <w:szCs w:val="21"/>
              </w:rPr>
              <w:t>猪粪便产生量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2" w:type="pct"/>
            <w:vMerge w:val="continue"/>
            <w:tcMar>
              <w:left w:w="28" w:type="dxa"/>
              <w:right w:w="28" w:type="dxa"/>
            </w:tcMar>
            <w:vAlign w:val="center"/>
          </w:tcPr>
          <w:p>
            <w:pPr>
              <w:adjustRightInd w:val="0"/>
              <w:snapToGrid w:val="0"/>
              <w:jc w:val="center"/>
              <w:rPr>
                <w:szCs w:val="21"/>
              </w:rPr>
            </w:pPr>
          </w:p>
        </w:tc>
        <w:tc>
          <w:tcPr>
            <w:tcW w:w="894" w:type="pct"/>
            <w:vMerge w:val="continue"/>
            <w:tcMar>
              <w:left w:w="28" w:type="dxa"/>
              <w:right w:w="28" w:type="dxa"/>
            </w:tcMar>
            <w:vAlign w:val="center"/>
          </w:tcPr>
          <w:p>
            <w:pPr>
              <w:adjustRightInd w:val="0"/>
              <w:snapToGrid w:val="0"/>
              <w:jc w:val="center"/>
              <w:rPr>
                <w:szCs w:val="21"/>
              </w:rPr>
            </w:pPr>
          </w:p>
        </w:tc>
        <w:tc>
          <w:tcPr>
            <w:tcW w:w="754" w:type="pct"/>
            <w:vMerge w:val="continue"/>
            <w:tcMar>
              <w:left w:w="28" w:type="dxa"/>
              <w:right w:w="28" w:type="dxa"/>
            </w:tcMar>
            <w:vAlign w:val="center"/>
          </w:tcPr>
          <w:p>
            <w:pPr>
              <w:adjustRightInd w:val="0"/>
              <w:snapToGrid w:val="0"/>
              <w:jc w:val="center"/>
              <w:rPr>
                <w:szCs w:val="21"/>
              </w:rPr>
            </w:pPr>
          </w:p>
        </w:tc>
        <w:tc>
          <w:tcPr>
            <w:tcW w:w="1690" w:type="pct"/>
            <w:vMerge w:val="continue"/>
            <w:tcMar>
              <w:left w:w="28" w:type="dxa"/>
              <w:right w:w="28" w:type="dxa"/>
            </w:tcMar>
            <w:vAlign w:val="center"/>
          </w:tcPr>
          <w:p>
            <w:pPr>
              <w:adjustRightInd w:val="0"/>
              <w:snapToGrid w:val="0"/>
              <w:jc w:val="center"/>
              <w:rPr>
                <w:szCs w:val="21"/>
              </w:rPr>
            </w:pPr>
          </w:p>
        </w:tc>
        <w:tc>
          <w:tcPr>
            <w:tcW w:w="569" w:type="pct"/>
            <w:tcMar>
              <w:left w:w="28" w:type="dxa"/>
              <w:right w:w="28" w:type="dxa"/>
            </w:tcMar>
            <w:vAlign w:val="center"/>
          </w:tcPr>
          <w:p>
            <w:pPr>
              <w:adjustRightInd w:val="0"/>
              <w:snapToGrid w:val="0"/>
              <w:jc w:val="center"/>
              <w:rPr>
                <w:szCs w:val="21"/>
              </w:rPr>
            </w:pPr>
            <w:r>
              <w:rPr>
                <w:szCs w:val="21"/>
              </w:rPr>
              <w:t>（t/d）</w:t>
            </w:r>
          </w:p>
        </w:tc>
        <w:tc>
          <w:tcPr>
            <w:tcW w:w="628" w:type="pct"/>
            <w:tcMar>
              <w:left w:w="28" w:type="dxa"/>
              <w:right w:w="28" w:type="dxa"/>
            </w:tcMar>
            <w:vAlign w:val="center"/>
          </w:tcPr>
          <w:p>
            <w:pPr>
              <w:adjustRightInd w:val="0"/>
              <w:snapToGrid w:val="0"/>
              <w:jc w:val="center"/>
              <w:rPr>
                <w:szCs w:val="21"/>
              </w:rPr>
            </w:pPr>
            <w:r>
              <w:rPr>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Mar>
              <w:left w:w="28" w:type="dxa"/>
              <w:right w:w="28" w:type="dxa"/>
            </w:tcMar>
            <w:vAlign w:val="center"/>
          </w:tcPr>
          <w:p>
            <w:pPr>
              <w:jc w:val="center"/>
              <w:rPr>
                <w:color w:val="000000"/>
                <w:szCs w:val="21"/>
              </w:rPr>
            </w:pPr>
            <w:r>
              <w:rPr>
                <w:color w:val="000000"/>
                <w:szCs w:val="21"/>
              </w:rPr>
              <w:t>保育猪</w:t>
            </w:r>
          </w:p>
        </w:tc>
        <w:tc>
          <w:tcPr>
            <w:tcW w:w="894" w:type="pct"/>
            <w:tcMar>
              <w:left w:w="28" w:type="dxa"/>
              <w:right w:w="28" w:type="dxa"/>
            </w:tcMar>
            <w:vAlign w:val="center"/>
          </w:tcPr>
          <w:p>
            <w:pPr>
              <w:jc w:val="center"/>
              <w:rPr>
                <w:rFonts w:hint="default" w:eastAsia="宋体"/>
                <w:szCs w:val="21"/>
                <w:lang w:val="en-US" w:eastAsia="zh-CN"/>
              </w:rPr>
            </w:pPr>
            <w:r>
              <w:rPr>
                <w:rFonts w:hint="eastAsia"/>
                <w:szCs w:val="21"/>
                <w:lang w:val="en-US" w:eastAsia="zh-CN"/>
              </w:rPr>
              <w:t>1750</w:t>
            </w:r>
          </w:p>
        </w:tc>
        <w:tc>
          <w:tcPr>
            <w:tcW w:w="754" w:type="pct"/>
            <w:tcMar>
              <w:left w:w="28" w:type="dxa"/>
              <w:right w:w="28" w:type="dxa"/>
            </w:tcMar>
            <w:vAlign w:val="center"/>
          </w:tcPr>
          <w:p>
            <w:pPr>
              <w:jc w:val="center"/>
              <w:rPr>
                <w:color w:val="000000"/>
                <w:szCs w:val="21"/>
              </w:rPr>
            </w:pPr>
            <w:r>
              <w:rPr>
                <w:color w:val="000000"/>
                <w:szCs w:val="21"/>
              </w:rPr>
              <w:t>0.8</w:t>
            </w:r>
          </w:p>
        </w:tc>
        <w:tc>
          <w:tcPr>
            <w:tcW w:w="1690" w:type="pct"/>
            <w:tcMar>
              <w:left w:w="28" w:type="dxa"/>
              <w:right w:w="28" w:type="dxa"/>
            </w:tcMar>
            <w:vAlign w:val="bottom"/>
          </w:tcPr>
          <w:p>
            <w:pPr>
              <w:spacing w:line="360" w:lineRule="exact"/>
              <w:jc w:val="center"/>
              <w:rPr>
                <w:color w:val="000000"/>
                <w:szCs w:val="21"/>
              </w:rPr>
            </w:pPr>
            <w:r>
              <w:rPr>
                <w:szCs w:val="21"/>
              </w:rPr>
              <w:t>0.3</w:t>
            </w:r>
            <w:r>
              <w:rPr>
                <w:rFonts w:hint="eastAsia"/>
                <w:szCs w:val="21"/>
              </w:rPr>
              <w:t>8</w:t>
            </w:r>
          </w:p>
        </w:tc>
        <w:tc>
          <w:tcPr>
            <w:tcW w:w="569" w:type="pct"/>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0.665</w:t>
            </w:r>
          </w:p>
        </w:tc>
        <w:tc>
          <w:tcPr>
            <w:tcW w:w="628" w:type="pct"/>
            <w:tcMar>
              <w:left w:w="28" w:type="dxa"/>
              <w:right w:w="28" w:type="dxa"/>
            </w:tcMar>
            <w:vAlign w:val="center"/>
          </w:tcPr>
          <w:p>
            <w:pPr>
              <w:jc w:val="center"/>
              <w:rPr>
                <w:rFonts w:hint="default" w:eastAsia="宋体"/>
                <w:sz w:val="22"/>
                <w:szCs w:val="22"/>
                <w:lang w:val="en-US" w:eastAsia="zh-CN"/>
              </w:rPr>
            </w:pPr>
            <w:r>
              <w:rPr>
                <w:rFonts w:hint="eastAsia"/>
                <w:sz w:val="22"/>
                <w:szCs w:val="22"/>
                <w:lang w:val="en-US" w:eastAsia="zh-CN"/>
              </w:rPr>
              <w:t>242.725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Mar>
              <w:left w:w="28" w:type="dxa"/>
              <w:right w:w="28" w:type="dxa"/>
            </w:tcMar>
            <w:vAlign w:val="center"/>
          </w:tcPr>
          <w:p>
            <w:pPr>
              <w:jc w:val="center"/>
              <w:rPr>
                <w:color w:val="000000"/>
                <w:szCs w:val="21"/>
              </w:rPr>
            </w:pPr>
            <w:r>
              <w:rPr>
                <w:color w:val="000000"/>
                <w:szCs w:val="21"/>
              </w:rPr>
              <w:t>育肥猪</w:t>
            </w:r>
          </w:p>
        </w:tc>
        <w:tc>
          <w:tcPr>
            <w:tcW w:w="894" w:type="pct"/>
            <w:tcMar>
              <w:left w:w="28" w:type="dxa"/>
              <w:right w:w="28" w:type="dxa"/>
            </w:tcMar>
            <w:vAlign w:val="center"/>
          </w:tcPr>
          <w:p>
            <w:pPr>
              <w:jc w:val="center"/>
              <w:rPr>
                <w:rFonts w:hint="default" w:eastAsia="宋体"/>
                <w:szCs w:val="21"/>
                <w:lang w:val="en-US" w:eastAsia="zh-CN"/>
              </w:rPr>
            </w:pPr>
            <w:r>
              <w:rPr>
                <w:rFonts w:hint="eastAsia"/>
                <w:szCs w:val="21"/>
                <w:lang w:val="en-US" w:eastAsia="zh-CN"/>
              </w:rPr>
              <w:t>3250</w:t>
            </w:r>
          </w:p>
        </w:tc>
        <w:tc>
          <w:tcPr>
            <w:tcW w:w="754" w:type="pct"/>
            <w:tcMar>
              <w:left w:w="28" w:type="dxa"/>
              <w:right w:w="28" w:type="dxa"/>
            </w:tcMar>
            <w:vAlign w:val="center"/>
          </w:tcPr>
          <w:p>
            <w:pPr>
              <w:jc w:val="center"/>
              <w:rPr>
                <w:color w:val="000000"/>
                <w:szCs w:val="21"/>
              </w:rPr>
            </w:pPr>
            <w:r>
              <w:rPr>
                <w:color w:val="000000"/>
                <w:szCs w:val="21"/>
              </w:rPr>
              <w:t>2</w:t>
            </w:r>
          </w:p>
        </w:tc>
        <w:tc>
          <w:tcPr>
            <w:tcW w:w="1690" w:type="pct"/>
            <w:tcMar>
              <w:left w:w="28" w:type="dxa"/>
              <w:right w:w="28" w:type="dxa"/>
            </w:tcMar>
            <w:vAlign w:val="bottom"/>
          </w:tcPr>
          <w:p>
            <w:pPr>
              <w:spacing w:line="360" w:lineRule="exact"/>
              <w:jc w:val="center"/>
              <w:rPr>
                <w:color w:val="000000"/>
                <w:szCs w:val="21"/>
              </w:rPr>
            </w:pPr>
            <w:r>
              <w:rPr>
                <w:szCs w:val="21"/>
              </w:rPr>
              <w:t xml:space="preserve">1.01 </w:t>
            </w:r>
          </w:p>
        </w:tc>
        <w:tc>
          <w:tcPr>
            <w:tcW w:w="569" w:type="pct"/>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3.28</w:t>
            </w:r>
          </w:p>
        </w:tc>
        <w:tc>
          <w:tcPr>
            <w:tcW w:w="628" w:type="pct"/>
            <w:tcMar>
              <w:left w:w="28" w:type="dxa"/>
              <w:right w:w="28" w:type="dxa"/>
            </w:tcMar>
            <w:vAlign w:val="center"/>
          </w:tcPr>
          <w:p>
            <w:pPr>
              <w:jc w:val="center"/>
              <w:rPr>
                <w:rFonts w:hint="default" w:eastAsia="宋体"/>
                <w:sz w:val="22"/>
                <w:szCs w:val="22"/>
                <w:lang w:val="en-US" w:eastAsia="zh-CN"/>
              </w:rPr>
            </w:pPr>
            <w:r>
              <w:rPr>
                <w:rFonts w:hint="eastAsia"/>
                <w:sz w:val="22"/>
                <w:szCs w:val="22"/>
                <w:lang w:val="en-US" w:eastAsia="zh-CN"/>
              </w:rPr>
              <w:t>1198.11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Mar>
              <w:left w:w="28" w:type="dxa"/>
              <w:right w:w="28" w:type="dxa"/>
            </w:tcMar>
            <w:vAlign w:val="center"/>
          </w:tcPr>
          <w:p>
            <w:pPr>
              <w:jc w:val="center"/>
              <w:rPr>
                <w:rFonts w:hint="eastAsia" w:eastAsia="宋体"/>
                <w:color w:val="000000"/>
                <w:szCs w:val="21"/>
                <w:lang w:val="en-US" w:eastAsia="zh-CN"/>
              </w:rPr>
            </w:pPr>
            <w:r>
              <w:rPr>
                <w:rFonts w:hint="eastAsia"/>
                <w:color w:val="000000"/>
                <w:szCs w:val="21"/>
                <w:lang w:val="en-US" w:eastAsia="zh-CN"/>
              </w:rPr>
              <w:t>后备猪</w:t>
            </w:r>
          </w:p>
        </w:tc>
        <w:tc>
          <w:tcPr>
            <w:tcW w:w="894" w:type="pct"/>
            <w:tcMar>
              <w:left w:w="28" w:type="dxa"/>
              <w:right w:w="28" w:type="dxa"/>
            </w:tcMar>
            <w:vAlign w:val="center"/>
          </w:tcPr>
          <w:p>
            <w:pPr>
              <w:jc w:val="center"/>
              <w:rPr>
                <w:rFonts w:hint="default" w:eastAsia="宋体"/>
                <w:szCs w:val="21"/>
                <w:lang w:val="en-US" w:eastAsia="zh-CN"/>
              </w:rPr>
            </w:pPr>
            <w:r>
              <w:rPr>
                <w:rFonts w:hint="eastAsia"/>
                <w:szCs w:val="21"/>
                <w:lang w:val="en-US" w:eastAsia="zh-CN"/>
              </w:rPr>
              <w:t>100</w:t>
            </w:r>
          </w:p>
        </w:tc>
        <w:tc>
          <w:tcPr>
            <w:tcW w:w="754" w:type="pct"/>
            <w:tcMar>
              <w:left w:w="28" w:type="dxa"/>
              <w:right w:w="28" w:type="dxa"/>
            </w:tcMar>
            <w:vAlign w:val="center"/>
          </w:tcPr>
          <w:p>
            <w:pPr>
              <w:jc w:val="center"/>
              <w:rPr>
                <w:rFonts w:hint="eastAsia" w:eastAsia="宋体"/>
                <w:color w:val="000000"/>
                <w:szCs w:val="21"/>
                <w:lang w:val="en-US" w:eastAsia="zh-CN"/>
              </w:rPr>
            </w:pPr>
            <w:r>
              <w:rPr>
                <w:rFonts w:hint="eastAsia"/>
                <w:color w:val="000000"/>
                <w:szCs w:val="21"/>
                <w:lang w:val="en-US" w:eastAsia="zh-CN"/>
              </w:rPr>
              <w:t>2</w:t>
            </w:r>
          </w:p>
        </w:tc>
        <w:tc>
          <w:tcPr>
            <w:tcW w:w="1690" w:type="pct"/>
            <w:tcMar>
              <w:left w:w="28" w:type="dxa"/>
              <w:right w:w="28" w:type="dxa"/>
            </w:tcMar>
            <w:vAlign w:val="bottom"/>
          </w:tcPr>
          <w:p>
            <w:pPr>
              <w:spacing w:line="360" w:lineRule="exact"/>
              <w:jc w:val="center"/>
              <w:rPr>
                <w:color w:val="000000"/>
                <w:szCs w:val="21"/>
              </w:rPr>
            </w:pPr>
            <w:r>
              <w:rPr>
                <w:szCs w:val="21"/>
              </w:rPr>
              <w:t xml:space="preserve">1.01 </w:t>
            </w:r>
          </w:p>
        </w:tc>
        <w:tc>
          <w:tcPr>
            <w:tcW w:w="569" w:type="pct"/>
            <w:tcMar>
              <w:left w:w="28" w:type="dxa"/>
              <w:right w:w="28" w:type="dxa"/>
            </w:tcMar>
            <w:vAlign w:val="center"/>
          </w:tcPr>
          <w:p>
            <w:pPr>
              <w:jc w:val="center"/>
              <w:rPr>
                <w:rFonts w:hint="default" w:eastAsia="宋体"/>
                <w:color w:val="000000"/>
                <w:szCs w:val="21"/>
                <w:lang w:val="en-US" w:eastAsia="zh-CN"/>
              </w:rPr>
            </w:pPr>
            <w:r>
              <w:rPr>
                <w:rFonts w:hint="eastAsia"/>
                <w:color w:val="000000"/>
                <w:szCs w:val="21"/>
                <w:lang w:val="en-US" w:eastAsia="zh-CN"/>
              </w:rPr>
              <w:t>0.101</w:t>
            </w:r>
          </w:p>
        </w:tc>
        <w:tc>
          <w:tcPr>
            <w:tcW w:w="628" w:type="pct"/>
            <w:tcMar>
              <w:left w:w="28" w:type="dxa"/>
              <w:right w:w="28" w:type="dxa"/>
            </w:tcMar>
            <w:vAlign w:val="center"/>
          </w:tcPr>
          <w:p>
            <w:pPr>
              <w:jc w:val="center"/>
              <w:rPr>
                <w:rFonts w:hint="default" w:eastAsia="宋体"/>
                <w:sz w:val="22"/>
                <w:szCs w:val="22"/>
                <w:lang w:val="en-US" w:eastAsia="zh-CN"/>
              </w:rPr>
            </w:pPr>
            <w:r>
              <w:rPr>
                <w:rFonts w:hint="eastAsia"/>
                <w:sz w:val="22"/>
                <w:szCs w:val="22"/>
                <w:lang w:val="en-US" w:eastAsia="zh-CN"/>
              </w:rPr>
              <w:t>36.865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gridSpan w:val="2"/>
            <w:tcMar>
              <w:left w:w="28" w:type="dxa"/>
              <w:right w:w="28" w:type="dxa"/>
            </w:tcMar>
            <w:vAlign w:val="center"/>
          </w:tcPr>
          <w:p>
            <w:pPr>
              <w:jc w:val="center"/>
              <w:rPr>
                <w:szCs w:val="21"/>
              </w:rPr>
            </w:pPr>
            <w:r>
              <w:rPr>
                <w:szCs w:val="21"/>
              </w:rPr>
              <w:t>合计</w:t>
            </w:r>
          </w:p>
        </w:tc>
        <w:tc>
          <w:tcPr>
            <w:tcW w:w="754" w:type="pct"/>
            <w:tcMar>
              <w:left w:w="28" w:type="dxa"/>
              <w:right w:w="28" w:type="dxa"/>
            </w:tcMar>
            <w:vAlign w:val="center"/>
          </w:tcPr>
          <w:p>
            <w:pPr>
              <w:adjustRightInd w:val="0"/>
              <w:snapToGrid w:val="0"/>
              <w:jc w:val="center"/>
              <w:rPr>
                <w:szCs w:val="21"/>
              </w:rPr>
            </w:pPr>
            <w:r>
              <w:rPr>
                <w:szCs w:val="21"/>
              </w:rPr>
              <w:t>/</w:t>
            </w:r>
          </w:p>
        </w:tc>
        <w:tc>
          <w:tcPr>
            <w:tcW w:w="1690" w:type="pct"/>
            <w:tcMar>
              <w:left w:w="28" w:type="dxa"/>
              <w:right w:w="28" w:type="dxa"/>
            </w:tcMar>
            <w:vAlign w:val="center"/>
          </w:tcPr>
          <w:p>
            <w:pPr>
              <w:adjustRightInd w:val="0"/>
              <w:snapToGrid w:val="0"/>
              <w:jc w:val="center"/>
              <w:rPr>
                <w:szCs w:val="21"/>
              </w:rPr>
            </w:pPr>
            <w:r>
              <w:rPr>
                <w:szCs w:val="21"/>
              </w:rPr>
              <w:t>/</w:t>
            </w:r>
          </w:p>
        </w:tc>
        <w:tc>
          <w:tcPr>
            <w:tcW w:w="1000" w:type="dxa"/>
            <w:tcMar>
              <w:left w:w="28" w:type="dxa"/>
              <w:right w:w="28" w:type="dxa"/>
            </w:tcMar>
            <w:vAlign w:val="bottom"/>
          </w:tcPr>
          <w:p>
            <w:pPr>
              <w:jc w:val="center"/>
              <w:rPr>
                <w:rFonts w:hint="eastAsia"/>
                <w:color w:val="000000"/>
                <w:szCs w:val="21"/>
                <w:lang w:val="en-US" w:eastAsia="zh-CN"/>
              </w:rPr>
            </w:pPr>
            <w:r>
              <w:rPr>
                <w:rFonts w:hint="eastAsia"/>
                <w:color w:val="000000"/>
                <w:szCs w:val="21"/>
                <w:lang w:val="en-US" w:eastAsia="zh-CN"/>
              </w:rPr>
              <w:t>4.046</w:t>
            </w:r>
          </w:p>
        </w:tc>
        <w:tc>
          <w:tcPr>
            <w:tcW w:w="1105" w:type="dxa"/>
            <w:tcMar>
              <w:left w:w="28" w:type="dxa"/>
              <w:right w:w="28" w:type="dxa"/>
            </w:tcMar>
            <w:vAlign w:val="bottom"/>
          </w:tcPr>
          <w:p>
            <w:pPr>
              <w:jc w:val="center"/>
              <w:rPr>
                <w:rFonts w:hint="eastAsia"/>
                <w:color w:val="000000"/>
                <w:szCs w:val="21"/>
                <w:lang w:val="en-US" w:eastAsia="zh-CN"/>
              </w:rPr>
            </w:pPr>
            <w:r>
              <w:rPr>
                <w:rFonts w:hint="eastAsia"/>
                <w:color w:val="000000"/>
                <w:szCs w:val="21"/>
                <w:lang w:val="en-US" w:eastAsia="zh-CN"/>
              </w:rPr>
              <w:t>1477.7</w:t>
            </w:r>
          </w:p>
        </w:tc>
      </w:tr>
    </w:tbl>
    <w:p>
      <w:pPr>
        <w:spacing w:line="520" w:lineRule="exact"/>
        <w:ind w:firstLine="480" w:firstLineChars="200"/>
        <w:rPr>
          <w:b w:val="0"/>
          <w:bCs w:val="0"/>
          <w:sz w:val="24"/>
          <w:u w:val="none"/>
        </w:rPr>
      </w:pPr>
      <w:r>
        <w:rPr>
          <w:b w:val="0"/>
          <w:bCs w:val="0"/>
          <w:sz w:val="24"/>
          <w:u w:val="none"/>
        </w:rPr>
        <w:t>新鲜猪粪含水率为80%，养殖粪污在污水前处理区进行固液分离，固液分离效率按50%计，经分离后猪粪总重（以含水量</w:t>
      </w:r>
      <w:r>
        <w:rPr>
          <w:rFonts w:hint="eastAsia"/>
          <w:b w:val="0"/>
          <w:bCs w:val="0"/>
          <w:sz w:val="24"/>
          <w:u w:val="none"/>
          <w:lang w:val="en-US" w:eastAsia="zh-CN"/>
        </w:rPr>
        <w:t>5</w:t>
      </w:r>
      <w:r>
        <w:rPr>
          <w:b w:val="0"/>
          <w:bCs w:val="0"/>
          <w:sz w:val="24"/>
          <w:u w:val="none"/>
        </w:rPr>
        <w:t>5%计）为</w:t>
      </w:r>
      <w:r>
        <w:rPr>
          <w:rFonts w:hint="eastAsia"/>
          <w:b w:val="0"/>
          <w:bCs w:val="0"/>
          <w:sz w:val="24"/>
          <w:u w:val="none"/>
          <w:lang w:val="en-US" w:eastAsia="zh-CN"/>
        </w:rPr>
        <w:t>328.38</w:t>
      </w:r>
      <w:r>
        <w:rPr>
          <w:b w:val="0"/>
          <w:bCs w:val="0"/>
          <w:sz w:val="24"/>
          <w:u w:val="none"/>
        </w:rPr>
        <w:t>t/a，在堆肥区发酵生产有机肥基肥，剩余溶解在废水里的猪粪</w:t>
      </w:r>
      <w:r>
        <w:rPr>
          <w:rFonts w:hint="eastAsia"/>
          <w:b w:val="0"/>
          <w:bCs w:val="0"/>
          <w:sz w:val="24"/>
          <w:u w:val="none"/>
          <w:lang w:eastAsia="zh-CN"/>
        </w:rPr>
        <w:t>（</w:t>
      </w:r>
      <w:r>
        <w:rPr>
          <w:rFonts w:hint="eastAsia"/>
          <w:b w:val="0"/>
          <w:bCs w:val="0"/>
          <w:sz w:val="24"/>
          <w:u w:val="none"/>
          <w:lang w:val="en-US" w:eastAsia="zh-CN"/>
        </w:rPr>
        <w:t>干粪147.77t</w:t>
      </w:r>
      <w:r>
        <w:rPr>
          <w:rFonts w:hint="eastAsia"/>
          <w:b w:val="0"/>
          <w:bCs w:val="0"/>
          <w:sz w:val="24"/>
          <w:u w:val="none"/>
          <w:lang w:eastAsia="zh-CN"/>
        </w:rPr>
        <w:t>）</w:t>
      </w:r>
      <w:r>
        <w:rPr>
          <w:b w:val="0"/>
          <w:bCs w:val="0"/>
          <w:sz w:val="24"/>
          <w:u w:val="none"/>
        </w:rPr>
        <w:t>进入</w:t>
      </w:r>
      <w:r>
        <w:rPr>
          <w:rFonts w:hint="eastAsia"/>
          <w:b w:val="0"/>
          <w:bCs w:val="0"/>
          <w:sz w:val="24"/>
          <w:u w:val="none"/>
          <w:lang w:eastAsia="zh-CN"/>
        </w:rPr>
        <w:t>黑膜</w:t>
      </w:r>
      <w:r>
        <w:rPr>
          <w:b w:val="0"/>
          <w:bCs w:val="0"/>
          <w:sz w:val="24"/>
          <w:u w:val="none"/>
        </w:rPr>
        <w:t>沼气池进行处理。</w:t>
      </w:r>
    </w:p>
    <w:p>
      <w:pPr>
        <w:pStyle w:val="19"/>
        <w:spacing w:after="0" w:line="520" w:lineRule="exact"/>
        <w:ind w:left="0" w:leftChars="0" w:firstLine="480" w:firstLineChars="200"/>
        <w:rPr>
          <w:b w:val="0"/>
          <w:bCs w:val="0"/>
          <w:sz w:val="24"/>
          <w:u w:val="none"/>
        </w:rPr>
      </w:pPr>
      <w:r>
        <w:rPr>
          <w:b w:val="0"/>
          <w:bCs w:val="0"/>
          <w:sz w:val="24"/>
          <w:u w:val="none"/>
        </w:rPr>
        <w:t>经分离后的猪粪通过接种有机肥半成品通过发酵生成有机肥基肥。有机肥基肥产生量按原料总量的50%计，项目发酵后的固体有机肥基肥，经过腐熟度检测、质量检测、安全检测后在通过自然风干、晾晒等方法把含水量降至30%以下定期外售，有机肥基肥产生量为</w:t>
      </w:r>
      <w:r>
        <w:rPr>
          <w:rFonts w:hint="eastAsia"/>
          <w:b w:val="0"/>
          <w:bCs w:val="0"/>
          <w:sz w:val="24"/>
          <w:u w:val="none"/>
          <w:lang w:val="en-US" w:eastAsia="zh-CN"/>
        </w:rPr>
        <w:t>88.66</w:t>
      </w:r>
      <w:r>
        <w:rPr>
          <w:b w:val="0"/>
          <w:bCs w:val="0"/>
          <w:sz w:val="24"/>
          <w:u w:val="none"/>
        </w:rPr>
        <w:t>t/a。</w:t>
      </w:r>
    </w:p>
    <w:p>
      <w:pPr>
        <w:pStyle w:val="19"/>
        <w:spacing w:after="0" w:line="520" w:lineRule="exact"/>
        <w:ind w:left="0" w:leftChars="0" w:firstLine="480" w:firstLineChars="200"/>
        <w:rPr>
          <w:bCs/>
          <w:sz w:val="24"/>
        </w:rPr>
      </w:pPr>
      <w:r>
        <w:rPr>
          <w:bCs/>
          <w:sz w:val="24"/>
        </w:rPr>
        <w:t>（2）沼渣</w:t>
      </w:r>
    </w:p>
    <w:p>
      <w:pPr>
        <w:pStyle w:val="19"/>
        <w:spacing w:line="520" w:lineRule="exact"/>
        <w:ind w:left="0" w:leftChars="0" w:firstLine="480" w:firstLineChars="200"/>
        <w:rPr>
          <w:sz w:val="24"/>
        </w:rPr>
      </w:pPr>
      <w:r>
        <w:rPr>
          <w:sz w:val="24"/>
        </w:rPr>
        <w:t>项目进入</w:t>
      </w:r>
      <w:r>
        <w:rPr>
          <w:rFonts w:hint="eastAsia"/>
          <w:sz w:val="24"/>
          <w:lang w:eastAsia="zh-CN"/>
        </w:rPr>
        <w:t>黑膜</w:t>
      </w:r>
      <w:r>
        <w:rPr>
          <w:sz w:val="24"/>
        </w:rPr>
        <w:t>沼气池猪粪干重为</w:t>
      </w:r>
      <w:r>
        <w:rPr>
          <w:rFonts w:hint="eastAsia"/>
          <w:sz w:val="24"/>
          <w:lang w:val="en-US" w:eastAsia="zh-CN"/>
        </w:rPr>
        <w:t>147.77</w:t>
      </w:r>
      <w:r>
        <w:rPr>
          <w:bCs/>
          <w:sz w:val="24"/>
        </w:rPr>
        <w:t>t/a</w:t>
      </w:r>
      <w:r>
        <w:rPr>
          <w:sz w:val="24"/>
        </w:rPr>
        <w:t>，粪便中的有机物质在厌氧反应阶段被降解50%，20%进入沼液，30%转化为沼渣，厌氧反应处理后沼渣实际含水率为85%，故沼渣产生量（总重）为</w:t>
      </w:r>
      <w:r>
        <w:rPr>
          <w:rFonts w:hint="eastAsia"/>
          <w:sz w:val="24"/>
          <w:lang w:val="en-US" w:eastAsia="zh-CN"/>
        </w:rPr>
        <w:t>44.33</w:t>
      </w:r>
      <w:r>
        <w:rPr>
          <w:sz w:val="24"/>
        </w:rPr>
        <w:t>t/a。沼渣收集后送至固粪处理区经过晾晒、自然风干到含水率60%，作为有机肥基肥外售，有机肥基肥产生量为</w:t>
      </w:r>
      <w:r>
        <w:rPr>
          <w:rFonts w:hint="eastAsia"/>
          <w:sz w:val="24"/>
          <w:lang w:val="en-US" w:eastAsia="zh-CN"/>
        </w:rPr>
        <w:t>39</w:t>
      </w:r>
      <w:r>
        <w:rPr>
          <w:sz w:val="24"/>
        </w:rPr>
        <w:t>t/a。</w:t>
      </w:r>
    </w:p>
    <w:p>
      <w:pPr>
        <w:spacing w:line="520" w:lineRule="exact"/>
        <w:ind w:firstLine="480" w:firstLineChars="200"/>
        <w:rPr>
          <w:bCs/>
          <w:color w:val="000000"/>
          <w:sz w:val="24"/>
        </w:rPr>
      </w:pPr>
      <w:r>
        <w:rPr>
          <w:bCs/>
          <w:color w:val="000000"/>
          <w:sz w:val="24"/>
        </w:rPr>
        <w:t>（二）病死猪</w:t>
      </w:r>
    </w:p>
    <w:p>
      <w:pPr>
        <w:spacing w:line="520" w:lineRule="exact"/>
        <w:ind w:firstLine="480" w:firstLineChars="200"/>
        <w:jc w:val="left"/>
        <w:rPr>
          <w:b/>
          <w:sz w:val="24"/>
        </w:rPr>
      </w:pPr>
      <w:r>
        <w:rPr>
          <w:bCs/>
          <w:color w:val="000000"/>
          <w:sz w:val="24"/>
        </w:rPr>
        <w:t>由于养殖场采用科学化管理与养殖，病死猪产生量很小。死猪主要来源为病死猪，根据目前规模化养殖场的管理水平，出现病死猪的几率和数量较低。</w:t>
      </w:r>
      <w:r>
        <w:rPr>
          <w:bCs/>
          <w:sz w:val="24"/>
        </w:rPr>
        <w:t>类比现有规模化养殖场生产情况，评价按表</w:t>
      </w:r>
      <w:r>
        <w:rPr>
          <w:rFonts w:hint="eastAsia"/>
          <w:bCs/>
          <w:sz w:val="24"/>
          <w:lang w:val="en-US" w:eastAsia="zh-CN"/>
        </w:rPr>
        <w:t>2</w:t>
      </w:r>
      <w:r>
        <w:rPr>
          <w:bCs/>
          <w:sz w:val="24"/>
        </w:rPr>
        <w:t>.3-13中死亡率及重量计。</w:t>
      </w:r>
    </w:p>
    <w:p>
      <w:pPr>
        <w:spacing w:line="520" w:lineRule="exact"/>
        <w:ind w:firstLine="482" w:firstLineChars="200"/>
        <w:jc w:val="center"/>
        <w:rPr>
          <w:b/>
          <w:sz w:val="24"/>
          <w:u w:val="single"/>
        </w:rPr>
      </w:pPr>
      <w:r>
        <w:rPr>
          <w:b/>
          <w:sz w:val="24"/>
        </w:rPr>
        <w:t>表</w:t>
      </w:r>
      <w:r>
        <w:rPr>
          <w:rFonts w:hint="eastAsia"/>
          <w:b/>
          <w:sz w:val="24"/>
          <w:lang w:val="en-US" w:eastAsia="zh-CN"/>
        </w:rPr>
        <w:t>2</w:t>
      </w:r>
      <w:r>
        <w:rPr>
          <w:b/>
          <w:sz w:val="24"/>
        </w:rPr>
        <w:t>.3-13   各种类猪死亡率及平均重量一览表</w:t>
      </w:r>
    </w:p>
    <w:tbl>
      <w:tblPr>
        <w:tblStyle w:val="45"/>
        <w:tblW w:w="894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560"/>
        <w:gridCol w:w="1559"/>
        <w:gridCol w:w="1417"/>
        <w:gridCol w:w="1418"/>
        <w:gridCol w:w="11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b/>
                <w:szCs w:val="21"/>
              </w:rPr>
            </w:pPr>
            <w:r>
              <w:rPr>
                <w:b/>
                <w:szCs w:val="21"/>
              </w:rPr>
              <w:t>种类</w:t>
            </w:r>
          </w:p>
        </w:tc>
        <w:tc>
          <w:tcPr>
            <w:tcW w:w="1560" w:type="dxa"/>
            <w:vAlign w:val="center"/>
          </w:tcPr>
          <w:p>
            <w:pPr>
              <w:jc w:val="center"/>
              <w:rPr>
                <w:b/>
                <w:szCs w:val="21"/>
              </w:rPr>
            </w:pPr>
            <w:r>
              <w:rPr>
                <w:b/>
                <w:szCs w:val="21"/>
              </w:rPr>
              <w:t>数量（头）</w:t>
            </w:r>
          </w:p>
        </w:tc>
        <w:tc>
          <w:tcPr>
            <w:tcW w:w="1559" w:type="dxa"/>
            <w:vAlign w:val="center"/>
          </w:tcPr>
          <w:p>
            <w:pPr>
              <w:jc w:val="center"/>
              <w:rPr>
                <w:b/>
                <w:szCs w:val="21"/>
              </w:rPr>
            </w:pPr>
            <w:r>
              <w:rPr>
                <w:b/>
                <w:szCs w:val="21"/>
              </w:rPr>
              <w:t>平均死亡率（</w:t>
            </w:r>
            <w:r>
              <w:rPr>
                <w:szCs w:val="21"/>
              </w:rPr>
              <w:t>%）</w:t>
            </w:r>
          </w:p>
        </w:tc>
        <w:tc>
          <w:tcPr>
            <w:tcW w:w="1417" w:type="dxa"/>
            <w:tcBorders>
              <w:right w:val="single" w:color="auto" w:sz="4" w:space="0"/>
            </w:tcBorders>
            <w:vAlign w:val="center"/>
          </w:tcPr>
          <w:p>
            <w:pPr>
              <w:jc w:val="center"/>
              <w:rPr>
                <w:b/>
                <w:szCs w:val="21"/>
              </w:rPr>
            </w:pPr>
            <w:r>
              <w:rPr>
                <w:b/>
                <w:szCs w:val="21"/>
              </w:rPr>
              <w:t>平均重量（</w:t>
            </w:r>
            <w:r>
              <w:rPr>
                <w:szCs w:val="21"/>
              </w:rPr>
              <w:t>kg/头）</w:t>
            </w:r>
          </w:p>
        </w:tc>
        <w:tc>
          <w:tcPr>
            <w:tcW w:w="1418" w:type="dxa"/>
            <w:tcBorders>
              <w:left w:val="single" w:color="auto" w:sz="4" w:space="0"/>
              <w:right w:val="single" w:color="auto" w:sz="4" w:space="0"/>
            </w:tcBorders>
            <w:vAlign w:val="center"/>
          </w:tcPr>
          <w:p>
            <w:pPr>
              <w:jc w:val="center"/>
              <w:rPr>
                <w:b/>
                <w:szCs w:val="21"/>
              </w:rPr>
            </w:pPr>
            <w:r>
              <w:rPr>
                <w:b/>
                <w:szCs w:val="21"/>
              </w:rPr>
              <w:t>病死猪产生量</w:t>
            </w:r>
          </w:p>
          <w:p>
            <w:pPr>
              <w:jc w:val="center"/>
              <w:rPr>
                <w:b/>
                <w:szCs w:val="21"/>
              </w:rPr>
            </w:pPr>
            <w:r>
              <w:rPr>
                <w:b/>
                <w:szCs w:val="21"/>
              </w:rPr>
              <w:t>（头）</w:t>
            </w:r>
          </w:p>
        </w:tc>
        <w:tc>
          <w:tcPr>
            <w:tcW w:w="1185" w:type="dxa"/>
            <w:tcBorders>
              <w:left w:val="single" w:color="auto" w:sz="4" w:space="0"/>
            </w:tcBorders>
            <w:vAlign w:val="center"/>
          </w:tcPr>
          <w:p>
            <w:pPr>
              <w:jc w:val="center"/>
              <w:rPr>
                <w:b/>
                <w:szCs w:val="21"/>
              </w:rPr>
            </w:pPr>
            <w:r>
              <w:rPr>
                <w:b/>
                <w:szCs w:val="21"/>
              </w:rPr>
              <w:t>病死猪产生重量</w:t>
            </w:r>
          </w:p>
          <w:p>
            <w:pPr>
              <w:jc w:val="center"/>
              <w:rPr>
                <w:b/>
                <w:szCs w:val="21"/>
              </w:rPr>
            </w:pPr>
            <w:r>
              <w:rPr>
                <w:bCs/>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szCs w:val="21"/>
              </w:rPr>
            </w:pPr>
            <w:r>
              <w:rPr>
                <w:szCs w:val="21"/>
              </w:rPr>
              <w:t>保育猪</w:t>
            </w:r>
          </w:p>
        </w:tc>
        <w:tc>
          <w:tcPr>
            <w:tcW w:w="1560" w:type="dxa"/>
            <w:vAlign w:val="bottom"/>
          </w:tcPr>
          <w:p>
            <w:pPr>
              <w:jc w:val="center"/>
              <w:rPr>
                <w:rFonts w:hint="default" w:eastAsia="宋体"/>
                <w:szCs w:val="21"/>
                <w:lang w:val="en-US" w:eastAsia="zh-CN"/>
              </w:rPr>
            </w:pPr>
            <w:r>
              <w:rPr>
                <w:rFonts w:hint="eastAsia"/>
                <w:szCs w:val="21"/>
                <w:lang w:val="en-US" w:eastAsia="zh-CN"/>
              </w:rPr>
              <w:t>1750</w:t>
            </w:r>
          </w:p>
        </w:tc>
        <w:tc>
          <w:tcPr>
            <w:tcW w:w="1559" w:type="dxa"/>
            <w:vAlign w:val="bottom"/>
          </w:tcPr>
          <w:p>
            <w:pPr>
              <w:jc w:val="center"/>
              <w:rPr>
                <w:szCs w:val="21"/>
              </w:rPr>
            </w:pPr>
            <w:r>
              <w:rPr>
                <w:szCs w:val="21"/>
              </w:rPr>
              <w:t>2</w:t>
            </w:r>
          </w:p>
        </w:tc>
        <w:tc>
          <w:tcPr>
            <w:tcW w:w="1417" w:type="dxa"/>
            <w:tcBorders>
              <w:right w:val="single" w:color="auto" w:sz="4" w:space="0"/>
            </w:tcBorders>
            <w:vAlign w:val="bottom"/>
          </w:tcPr>
          <w:p>
            <w:pPr>
              <w:jc w:val="center"/>
              <w:rPr>
                <w:szCs w:val="21"/>
              </w:rPr>
            </w:pPr>
            <w:r>
              <w:rPr>
                <w:szCs w:val="21"/>
              </w:rPr>
              <w:t>10</w:t>
            </w:r>
          </w:p>
        </w:tc>
        <w:tc>
          <w:tcPr>
            <w:tcW w:w="1418" w:type="dxa"/>
            <w:tcBorders>
              <w:left w:val="single" w:color="auto" w:sz="4" w:space="0"/>
              <w:right w:val="single" w:color="auto" w:sz="4" w:space="0"/>
            </w:tcBorders>
            <w:vAlign w:val="bottom"/>
          </w:tcPr>
          <w:p>
            <w:pPr>
              <w:jc w:val="center"/>
              <w:rPr>
                <w:rFonts w:hint="default" w:eastAsia="宋体"/>
                <w:szCs w:val="21"/>
                <w:lang w:val="en-US" w:eastAsia="zh-CN"/>
              </w:rPr>
            </w:pPr>
            <w:r>
              <w:rPr>
                <w:rFonts w:hint="eastAsia"/>
                <w:szCs w:val="21"/>
                <w:lang w:val="en-US" w:eastAsia="zh-CN"/>
              </w:rPr>
              <w:t>210</w:t>
            </w:r>
          </w:p>
        </w:tc>
        <w:tc>
          <w:tcPr>
            <w:tcW w:w="1185" w:type="dxa"/>
            <w:tcBorders>
              <w:left w:val="single" w:color="auto" w:sz="4" w:space="0"/>
            </w:tcBorders>
            <w:vAlign w:val="bottom"/>
          </w:tcPr>
          <w:p>
            <w:pPr>
              <w:jc w:val="center"/>
              <w:rPr>
                <w:rFonts w:hint="default" w:eastAsia="宋体"/>
                <w:szCs w:val="21"/>
                <w:lang w:val="en-US" w:eastAsia="zh-CN"/>
              </w:rPr>
            </w:pPr>
            <w:r>
              <w:rPr>
                <w:rFonts w:hint="eastAsia"/>
                <w:szCs w:val="21"/>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szCs w:val="21"/>
              </w:rPr>
            </w:pPr>
            <w:r>
              <w:rPr>
                <w:szCs w:val="21"/>
              </w:rPr>
              <w:t>育肥猪</w:t>
            </w:r>
          </w:p>
        </w:tc>
        <w:tc>
          <w:tcPr>
            <w:tcW w:w="1560" w:type="dxa"/>
            <w:vAlign w:val="bottom"/>
          </w:tcPr>
          <w:p>
            <w:pPr>
              <w:jc w:val="center"/>
              <w:rPr>
                <w:rFonts w:hint="default" w:eastAsia="宋体"/>
                <w:szCs w:val="21"/>
                <w:lang w:val="en-US" w:eastAsia="zh-CN"/>
              </w:rPr>
            </w:pPr>
            <w:r>
              <w:rPr>
                <w:rFonts w:hint="eastAsia"/>
                <w:szCs w:val="21"/>
                <w:lang w:val="en-US" w:eastAsia="zh-CN"/>
              </w:rPr>
              <w:t>3250</w:t>
            </w:r>
          </w:p>
        </w:tc>
        <w:tc>
          <w:tcPr>
            <w:tcW w:w="1559" w:type="dxa"/>
            <w:vAlign w:val="bottom"/>
          </w:tcPr>
          <w:p>
            <w:pPr>
              <w:jc w:val="center"/>
              <w:rPr>
                <w:szCs w:val="21"/>
              </w:rPr>
            </w:pPr>
            <w:r>
              <w:rPr>
                <w:szCs w:val="21"/>
              </w:rPr>
              <w:t>1</w:t>
            </w:r>
          </w:p>
        </w:tc>
        <w:tc>
          <w:tcPr>
            <w:tcW w:w="1417" w:type="dxa"/>
            <w:tcBorders>
              <w:right w:val="single" w:color="auto" w:sz="4" w:space="0"/>
            </w:tcBorders>
            <w:vAlign w:val="bottom"/>
          </w:tcPr>
          <w:p>
            <w:pPr>
              <w:jc w:val="center"/>
              <w:rPr>
                <w:szCs w:val="21"/>
              </w:rPr>
            </w:pPr>
            <w:r>
              <w:rPr>
                <w:rFonts w:hint="eastAsia"/>
                <w:szCs w:val="21"/>
                <w:lang w:val="en-US" w:eastAsia="zh-CN"/>
              </w:rPr>
              <w:t>5</w:t>
            </w:r>
            <w:r>
              <w:rPr>
                <w:szCs w:val="21"/>
              </w:rPr>
              <w:t>0</w:t>
            </w:r>
          </w:p>
        </w:tc>
        <w:tc>
          <w:tcPr>
            <w:tcW w:w="1418" w:type="dxa"/>
            <w:tcBorders>
              <w:left w:val="single" w:color="auto" w:sz="4" w:space="0"/>
              <w:right w:val="single" w:color="auto" w:sz="4" w:space="0"/>
            </w:tcBorders>
            <w:vAlign w:val="bottom"/>
          </w:tcPr>
          <w:p>
            <w:pPr>
              <w:jc w:val="center"/>
              <w:rPr>
                <w:rFonts w:hint="default" w:eastAsia="宋体"/>
                <w:szCs w:val="21"/>
                <w:lang w:val="en-US" w:eastAsia="zh-CN"/>
              </w:rPr>
            </w:pPr>
            <w:r>
              <w:rPr>
                <w:rFonts w:hint="eastAsia"/>
                <w:szCs w:val="21"/>
                <w:lang w:val="en-US" w:eastAsia="zh-CN"/>
              </w:rPr>
              <w:t>99</w:t>
            </w:r>
          </w:p>
        </w:tc>
        <w:tc>
          <w:tcPr>
            <w:tcW w:w="1185" w:type="dxa"/>
            <w:tcBorders>
              <w:left w:val="single" w:color="auto" w:sz="4" w:space="0"/>
            </w:tcBorders>
            <w:vAlign w:val="bottom"/>
          </w:tcPr>
          <w:p>
            <w:pPr>
              <w:jc w:val="center"/>
              <w:rPr>
                <w:rFonts w:hint="default" w:eastAsia="宋体"/>
                <w:szCs w:val="21"/>
                <w:lang w:val="en-US" w:eastAsia="zh-CN"/>
              </w:rPr>
            </w:pPr>
            <w:r>
              <w:rPr>
                <w:rFonts w:hint="eastAsia"/>
                <w:szCs w:val="21"/>
                <w:lang w:val="en-US" w:eastAsia="zh-CN"/>
              </w:rPr>
              <w:t>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rFonts w:hint="eastAsia" w:eastAsia="宋体"/>
                <w:szCs w:val="21"/>
                <w:lang w:val="en-US" w:eastAsia="zh-CN"/>
              </w:rPr>
            </w:pPr>
            <w:r>
              <w:rPr>
                <w:rFonts w:hint="eastAsia"/>
                <w:szCs w:val="21"/>
                <w:lang w:val="en-US" w:eastAsia="zh-CN"/>
              </w:rPr>
              <w:t>后备猪</w:t>
            </w:r>
          </w:p>
        </w:tc>
        <w:tc>
          <w:tcPr>
            <w:tcW w:w="1560" w:type="dxa"/>
            <w:vAlign w:val="bottom"/>
          </w:tcPr>
          <w:p>
            <w:pPr>
              <w:jc w:val="center"/>
              <w:rPr>
                <w:rFonts w:hint="default" w:eastAsia="宋体"/>
                <w:szCs w:val="21"/>
                <w:lang w:val="en-US" w:eastAsia="zh-CN"/>
              </w:rPr>
            </w:pPr>
            <w:r>
              <w:rPr>
                <w:rFonts w:hint="eastAsia"/>
                <w:szCs w:val="21"/>
                <w:lang w:val="en-US" w:eastAsia="zh-CN"/>
              </w:rPr>
              <w:t>100</w:t>
            </w:r>
          </w:p>
        </w:tc>
        <w:tc>
          <w:tcPr>
            <w:tcW w:w="1559" w:type="dxa"/>
            <w:vAlign w:val="bottom"/>
          </w:tcPr>
          <w:p>
            <w:pPr>
              <w:jc w:val="center"/>
              <w:rPr>
                <w:rFonts w:hint="eastAsia" w:eastAsia="宋体"/>
                <w:szCs w:val="21"/>
                <w:lang w:val="en-US" w:eastAsia="zh-CN"/>
              </w:rPr>
            </w:pPr>
            <w:r>
              <w:rPr>
                <w:rFonts w:hint="eastAsia"/>
                <w:szCs w:val="21"/>
                <w:lang w:val="en-US" w:eastAsia="zh-CN"/>
              </w:rPr>
              <w:t>1</w:t>
            </w:r>
          </w:p>
        </w:tc>
        <w:tc>
          <w:tcPr>
            <w:tcW w:w="1417" w:type="dxa"/>
            <w:tcBorders>
              <w:right w:val="single" w:color="auto" w:sz="4" w:space="0"/>
            </w:tcBorders>
            <w:vAlign w:val="bottom"/>
          </w:tcPr>
          <w:p>
            <w:pPr>
              <w:jc w:val="center"/>
              <w:rPr>
                <w:rFonts w:hint="default" w:eastAsia="宋体"/>
                <w:szCs w:val="21"/>
                <w:lang w:val="en-US" w:eastAsia="zh-CN"/>
              </w:rPr>
            </w:pPr>
            <w:r>
              <w:rPr>
                <w:rFonts w:hint="eastAsia"/>
                <w:szCs w:val="21"/>
                <w:lang w:val="en-US" w:eastAsia="zh-CN"/>
              </w:rPr>
              <w:t>50</w:t>
            </w:r>
          </w:p>
        </w:tc>
        <w:tc>
          <w:tcPr>
            <w:tcW w:w="1418" w:type="dxa"/>
            <w:tcBorders>
              <w:left w:val="single" w:color="auto" w:sz="4" w:space="0"/>
              <w:right w:val="single" w:color="auto" w:sz="4" w:space="0"/>
            </w:tcBorders>
            <w:vAlign w:val="bottom"/>
          </w:tcPr>
          <w:p>
            <w:pPr>
              <w:jc w:val="center"/>
              <w:rPr>
                <w:rFonts w:hint="eastAsia" w:eastAsia="宋体"/>
                <w:szCs w:val="21"/>
                <w:lang w:val="en-US" w:eastAsia="zh-CN"/>
              </w:rPr>
            </w:pPr>
            <w:r>
              <w:rPr>
                <w:rFonts w:hint="eastAsia"/>
                <w:szCs w:val="21"/>
                <w:lang w:val="en-US" w:eastAsia="zh-CN"/>
              </w:rPr>
              <w:t>3</w:t>
            </w:r>
          </w:p>
        </w:tc>
        <w:tc>
          <w:tcPr>
            <w:tcW w:w="1185" w:type="dxa"/>
            <w:tcBorders>
              <w:left w:val="single" w:color="auto" w:sz="4" w:space="0"/>
            </w:tcBorders>
            <w:vAlign w:val="bottom"/>
          </w:tcPr>
          <w:p>
            <w:pPr>
              <w:jc w:val="center"/>
              <w:rPr>
                <w:rFonts w:hint="default" w:eastAsia="宋体"/>
                <w:szCs w:val="21"/>
                <w:lang w:val="en-US" w:eastAsia="zh-CN"/>
              </w:rPr>
            </w:pPr>
            <w:r>
              <w:rPr>
                <w:rFonts w:hint="eastAsia"/>
                <w:szCs w:val="21"/>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szCs w:val="21"/>
              </w:rPr>
            </w:pPr>
            <w:r>
              <w:rPr>
                <w:szCs w:val="21"/>
              </w:rPr>
              <w:t>总计</w:t>
            </w:r>
          </w:p>
        </w:tc>
        <w:tc>
          <w:tcPr>
            <w:tcW w:w="1560" w:type="dxa"/>
            <w:vAlign w:val="bottom"/>
          </w:tcPr>
          <w:p>
            <w:pPr>
              <w:jc w:val="center"/>
              <w:rPr>
                <w:szCs w:val="21"/>
              </w:rPr>
            </w:pPr>
            <w:r>
              <w:rPr>
                <w:szCs w:val="21"/>
              </w:rPr>
              <w:t>/</w:t>
            </w:r>
          </w:p>
        </w:tc>
        <w:tc>
          <w:tcPr>
            <w:tcW w:w="1559" w:type="dxa"/>
            <w:vAlign w:val="bottom"/>
          </w:tcPr>
          <w:p>
            <w:pPr>
              <w:jc w:val="center"/>
              <w:rPr>
                <w:szCs w:val="21"/>
              </w:rPr>
            </w:pPr>
            <w:r>
              <w:rPr>
                <w:szCs w:val="21"/>
              </w:rPr>
              <w:t>/</w:t>
            </w:r>
          </w:p>
        </w:tc>
        <w:tc>
          <w:tcPr>
            <w:tcW w:w="1417" w:type="dxa"/>
            <w:tcBorders>
              <w:right w:val="single" w:color="auto" w:sz="4" w:space="0"/>
            </w:tcBorders>
            <w:vAlign w:val="bottom"/>
          </w:tcPr>
          <w:p>
            <w:pPr>
              <w:jc w:val="center"/>
              <w:rPr>
                <w:szCs w:val="21"/>
              </w:rPr>
            </w:pPr>
            <w:r>
              <w:rPr>
                <w:szCs w:val="21"/>
              </w:rPr>
              <w:t>/</w:t>
            </w:r>
          </w:p>
        </w:tc>
        <w:tc>
          <w:tcPr>
            <w:tcW w:w="1418" w:type="dxa"/>
            <w:tcBorders>
              <w:left w:val="single" w:color="auto" w:sz="4" w:space="0"/>
              <w:right w:val="single" w:color="auto" w:sz="4" w:space="0"/>
            </w:tcBorders>
            <w:vAlign w:val="bottom"/>
          </w:tcPr>
          <w:p>
            <w:pPr>
              <w:jc w:val="center"/>
              <w:rPr>
                <w:rFonts w:hint="default" w:eastAsia="宋体"/>
                <w:szCs w:val="21"/>
                <w:lang w:val="en-US" w:eastAsia="zh-CN"/>
              </w:rPr>
            </w:pPr>
            <w:r>
              <w:rPr>
                <w:rFonts w:hint="eastAsia"/>
                <w:szCs w:val="21"/>
                <w:lang w:val="en-US" w:eastAsia="zh-CN"/>
              </w:rPr>
              <w:t>312</w:t>
            </w:r>
          </w:p>
        </w:tc>
        <w:tc>
          <w:tcPr>
            <w:tcW w:w="1185" w:type="dxa"/>
            <w:tcBorders>
              <w:left w:val="single" w:color="auto" w:sz="4" w:space="0"/>
            </w:tcBorders>
            <w:vAlign w:val="bottom"/>
          </w:tcPr>
          <w:p>
            <w:pPr>
              <w:jc w:val="center"/>
              <w:rPr>
                <w:rFonts w:hint="default" w:eastAsia="宋体"/>
                <w:szCs w:val="21"/>
                <w:lang w:val="en-US" w:eastAsia="zh-CN"/>
              </w:rPr>
            </w:pPr>
            <w:r>
              <w:rPr>
                <w:rFonts w:hint="eastAsia"/>
                <w:szCs w:val="21"/>
                <w:lang w:val="en-US" w:eastAsia="zh-CN"/>
              </w:rPr>
              <w:t>7.2</w:t>
            </w:r>
          </w:p>
        </w:tc>
      </w:tr>
    </w:tbl>
    <w:p>
      <w:pPr>
        <w:spacing w:line="520" w:lineRule="exact"/>
        <w:ind w:firstLine="480" w:firstLineChars="200"/>
        <w:jc w:val="left"/>
        <w:rPr>
          <w:bCs/>
          <w:sz w:val="24"/>
        </w:rPr>
      </w:pPr>
      <w:r>
        <w:rPr>
          <w:bCs/>
          <w:sz w:val="24"/>
        </w:rPr>
        <w:t>经计算项目产生病死猪尸体</w:t>
      </w:r>
      <w:r>
        <w:rPr>
          <w:rFonts w:hint="eastAsia"/>
          <w:bCs/>
          <w:sz w:val="24"/>
          <w:lang w:val="en-US" w:eastAsia="zh-CN"/>
        </w:rPr>
        <w:t>7.2</w:t>
      </w:r>
      <w:r>
        <w:rPr>
          <w:bCs/>
          <w:sz w:val="24"/>
        </w:rPr>
        <w:t>t/a，</w:t>
      </w:r>
      <w:r>
        <w:rPr>
          <w:rFonts w:hint="eastAsia"/>
          <w:bCs/>
          <w:sz w:val="24"/>
          <w:lang w:val="en-US" w:eastAsia="zh-CN"/>
        </w:rPr>
        <w:t>委托正阳县畜禽</w:t>
      </w:r>
      <w:r>
        <w:rPr>
          <w:bCs/>
          <w:sz w:val="24"/>
        </w:rPr>
        <w:t>无害化处理中心处理。</w:t>
      </w:r>
    </w:p>
    <w:p>
      <w:pPr>
        <w:spacing w:line="480" w:lineRule="exact"/>
        <w:ind w:firstLine="480" w:firstLineChars="200"/>
        <w:rPr>
          <w:bCs/>
          <w:sz w:val="24"/>
        </w:rPr>
      </w:pPr>
      <w:r>
        <w:rPr>
          <w:bCs/>
          <w:sz w:val="24"/>
        </w:rPr>
        <w:t>(三) 疾病防疫产生的医疗废物</w:t>
      </w:r>
    </w:p>
    <w:p>
      <w:pPr>
        <w:spacing w:line="520" w:lineRule="exact"/>
        <w:ind w:firstLine="480" w:firstLineChars="200"/>
        <w:rPr>
          <w:bCs/>
          <w:snapToGrid w:val="0"/>
          <w:sz w:val="24"/>
        </w:rPr>
      </w:pPr>
      <w:r>
        <w:rPr>
          <w:bCs/>
          <w:snapToGrid w:val="0"/>
          <w:sz w:val="24"/>
        </w:rPr>
        <w:t>生猪在生长过程接种免疫或发病期接受治疗产生的少量医疗废物，每头猪防疫产生医疗废物量约为0.005kg/a，全场产生量约为0.</w:t>
      </w:r>
      <w:r>
        <w:rPr>
          <w:rFonts w:hint="eastAsia"/>
          <w:bCs/>
          <w:snapToGrid w:val="0"/>
          <w:sz w:val="24"/>
          <w:lang w:val="en-US" w:eastAsia="zh-CN"/>
        </w:rPr>
        <w:t>0</w:t>
      </w:r>
      <w:r>
        <w:rPr>
          <w:bCs/>
          <w:snapToGrid w:val="0"/>
          <w:sz w:val="24"/>
        </w:rPr>
        <w:t>25t/a，</w:t>
      </w:r>
      <w:r>
        <w:rPr>
          <w:snapToGrid w:val="0"/>
          <w:sz w:val="24"/>
        </w:rPr>
        <w:t>评价要求</w:t>
      </w:r>
      <w:r>
        <w:rPr>
          <w:bCs/>
          <w:snapToGrid w:val="0"/>
          <w:sz w:val="24"/>
        </w:rPr>
        <w:t>场区内建设具备“三防”措施的暂存场所，并设置危险废物识别标志，医疗废物在厂区内暂存后，定期交</w:t>
      </w:r>
      <w:r>
        <w:rPr>
          <w:snapToGrid w:val="0"/>
          <w:sz w:val="24"/>
        </w:rPr>
        <w:t>由</w:t>
      </w:r>
      <w:r>
        <w:rPr>
          <w:bCs/>
          <w:snapToGrid w:val="0"/>
          <w:sz w:val="24"/>
        </w:rPr>
        <w:t>交由</w:t>
      </w:r>
      <w:r>
        <w:rPr>
          <w:bCs/>
          <w:color w:val="000000"/>
          <w:sz w:val="24"/>
        </w:rPr>
        <w:t>新蔡县中绿环保科技有限公司处置</w:t>
      </w:r>
      <w:r>
        <w:rPr>
          <w:bCs/>
          <w:snapToGrid w:val="0"/>
          <w:sz w:val="24"/>
        </w:rPr>
        <w:t>。</w:t>
      </w:r>
    </w:p>
    <w:p>
      <w:pPr>
        <w:spacing w:line="480" w:lineRule="exact"/>
        <w:ind w:firstLine="480" w:firstLineChars="200"/>
        <w:rPr>
          <w:sz w:val="24"/>
        </w:rPr>
      </w:pPr>
      <w:r>
        <w:rPr>
          <w:sz w:val="24"/>
        </w:rPr>
        <w:t>(四)废脱硫剂</w:t>
      </w:r>
    </w:p>
    <w:p>
      <w:pPr>
        <w:spacing w:line="520" w:lineRule="exact"/>
        <w:ind w:firstLine="480" w:firstLineChars="200"/>
        <w:rPr>
          <w:bCs/>
          <w:sz w:val="24"/>
        </w:rPr>
      </w:pPr>
      <w:r>
        <w:rPr>
          <w:bCs/>
          <w:sz w:val="24"/>
        </w:rPr>
        <w:t>沼气脱硫装置中失去活性的废脱硫剂由生产厂家统一回收处置，年产生量约为0.</w:t>
      </w:r>
      <w:r>
        <w:rPr>
          <w:rFonts w:hint="eastAsia"/>
          <w:bCs/>
          <w:sz w:val="24"/>
          <w:lang w:val="en-US" w:eastAsia="zh-CN"/>
        </w:rPr>
        <w:t>14</w:t>
      </w:r>
      <w:r>
        <w:rPr>
          <w:bCs/>
          <w:sz w:val="24"/>
        </w:rPr>
        <w:t>t。</w:t>
      </w:r>
    </w:p>
    <w:p>
      <w:pPr>
        <w:spacing w:line="480" w:lineRule="exact"/>
        <w:ind w:firstLine="480" w:firstLineChars="200"/>
        <w:rPr>
          <w:bCs/>
          <w:sz w:val="24"/>
        </w:rPr>
      </w:pPr>
      <w:r>
        <w:rPr>
          <w:bCs/>
          <w:sz w:val="24"/>
        </w:rPr>
        <w:t>(六)生活垃圾</w:t>
      </w:r>
    </w:p>
    <w:p>
      <w:pPr>
        <w:spacing w:line="520" w:lineRule="exact"/>
        <w:ind w:firstLine="480" w:firstLineChars="200"/>
        <w:rPr>
          <w:bCs/>
          <w:sz w:val="24"/>
        </w:rPr>
      </w:pPr>
      <w:r>
        <w:rPr>
          <w:bCs/>
          <w:sz w:val="24"/>
        </w:rPr>
        <w:t>生活垃圾产生系数按1.25kg/d人计，</w:t>
      </w:r>
      <w:r>
        <w:rPr>
          <w:rFonts w:hint="eastAsia"/>
          <w:bCs/>
          <w:sz w:val="24"/>
          <w:lang w:val="en-US" w:eastAsia="zh-CN"/>
        </w:rPr>
        <w:t>新增</w:t>
      </w:r>
      <w:r>
        <w:rPr>
          <w:bCs/>
          <w:sz w:val="24"/>
        </w:rPr>
        <w:t>职工</w:t>
      </w:r>
      <w:r>
        <w:rPr>
          <w:rFonts w:hint="eastAsia"/>
          <w:bCs/>
          <w:sz w:val="24"/>
          <w:lang w:val="en-US" w:eastAsia="zh-CN"/>
        </w:rPr>
        <w:t>2</w:t>
      </w:r>
      <w:r>
        <w:rPr>
          <w:bCs/>
          <w:sz w:val="24"/>
        </w:rPr>
        <w:t>0人，则场区职工生活垃圾产生量为</w:t>
      </w:r>
      <w:r>
        <w:rPr>
          <w:rFonts w:hint="eastAsia"/>
          <w:bCs/>
          <w:sz w:val="24"/>
          <w:lang w:val="en-US" w:eastAsia="zh-CN"/>
        </w:rPr>
        <w:t>25</w:t>
      </w:r>
      <w:r>
        <w:rPr>
          <w:bCs/>
          <w:sz w:val="24"/>
        </w:rPr>
        <w:t>kg/d、</w:t>
      </w:r>
      <w:r>
        <w:rPr>
          <w:rFonts w:hint="eastAsia"/>
          <w:bCs/>
          <w:sz w:val="24"/>
          <w:lang w:val="en-US" w:eastAsia="zh-CN"/>
        </w:rPr>
        <w:t>9.125</w:t>
      </w:r>
      <w:r>
        <w:rPr>
          <w:bCs/>
          <w:sz w:val="24"/>
        </w:rPr>
        <w:t>t/a。生活垃圾由环卫部门定期收集后运往当地生活垃圾填埋场处置。</w:t>
      </w:r>
    </w:p>
    <w:p>
      <w:pPr>
        <w:spacing w:line="480" w:lineRule="exact"/>
        <w:ind w:firstLine="480" w:firstLineChars="200"/>
        <w:rPr>
          <w:bCs/>
          <w:sz w:val="24"/>
        </w:rPr>
      </w:pPr>
      <w:r>
        <w:rPr>
          <w:bCs/>
          <w:sz w:val="24"/>
        </w:rPr>
        <w:t>项目固体废物产排情况及处置措施见表</w:t>
      </w:r>
      <w:r>
        <w:rPr>
          <w:rFonts w:hint="eastAsia"/>
          <w:bCs/>
          <w:sz w:val="24"/>
          <w:lang w:val="en-US" w:eastAsia="zh-CN"/>
        </w:rPr>
        <w:t>2</w:t>
      </w:r>
      <w:r>
        <w:rPr>
          <w:bCs/>
          <w:sz w:val="24"/>
        </w:rPr>
        <w:t>.3-14。</w:t>
      </w:r>
    </w:p>
    <w:p>
      <w:pPr>
        <w:spacing w:afterLines="30" w:line="500" w:lineRule="exact"/>
        <w:jc w:val="center"/>
        <w:rPr>
          <w:b/>
          <w:sz w:val="24"/>
        </w:rPr>
      </w:pPr>
      <w:r>
        <w:rPr>
          <w:b/>
          <w:sz w:val="24"/>
        </w:rPr>
        <w:t>表</w:t>
      </w:r>
      <w:r>
        <w:rPr>
          <w:rFonts w:hint="eastAsia"/>
          <w:b/>
          <w:sz w:val="24"/>
          <w:lang w:val="en-US" w:eastAsia="zh-CN"/>
        </w:rPr>
        <w:t>2</w:t>
      </w:r>
      <w:r>
        <w:rPr>
          <w:b/>
          <w:sz w:val="24"/>
        </w:rPr>
        <w:t>.3-14     固体废物产排情况及处置措施一览表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66"/>
        <w:gridCol w:w="1276"/>
        <w:gridCol w:w="1274"/>
        <w:gridCol w:w="993"/>
        <w:gridCol w:w="2614"/>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7" w:type="dxa"/>
            <w:tcMar>
              <w:top w:w="0" w:type="dxa"/>
              <w:left w:w="28" w:type="dxa"/>
              <w:bottom w:w="0" w:type="dxa"/>
              <w:right w:w="28" w:type="dxa"/>
            </w:tcMar>
            <w:vAlign w:val="center"/>
          </w:tcPr>
          <w:p>
            <w:pPr>
              <w:jc w:val="center"/>
              <w:rPr>
                <w:b/>
                <w:bCs/>
                <w:szCs w:val="21"/>
              </w:rPr>
            </w:pPr>
            <w:r>
              <w:rPr>
                <w:b/>
                <w:bCs/>
                <w:szCs w:val="21"/>
              </w:rPr>
              <w:t>序号</w:t>
            </w:r>
          </w:p>
        </w:tc>
        <w:tc>
          <w:tcPr>
            <w:tcW w:w="1566" w:type="dxa"/>
            <w:tcMar>
              <w:top w:w="0" w:type="dxa"/>
              <w:left w:w="28" w:type="dxa"/>
              <w:bottom w:w="0" w:type="dxa"/>
              <w:right w:w="28" w:type="dxa"/>
            </w:tcMar>
            <w:vAlign w:val="center"/>
          </w:tcPr>
          <w:p>
            <w:pPr>
              <w:jc w:val="center"/>
              <w:rPr>
                <w:b/>
                <w:bCs/>
                <w:szCs w:val="21"/>
              </w:rPr>
            </w:pPr>
            <w:r>
              <w:rPr>
                <w:b/>
                <w:bCs/>
                <w:szCs w:val="21"/>
              </w:rPr>
              <w:t>产生环节</w:t>
            </w:r>
          </w:p>
        </w:tc>
        <w:tc>
          <w:tcPr>
            <w:tcW w:w="1276" w:type="dxa"/>
            <w:tcMar>
              <w:top w:w="0" w:type="dxa"/>
              <w:left w:w="28" w:type="dxa"/>
              <w:bottom w:w="0" w:type="dxa"/>
              <w:right w:w="28" w:type="dxa"/>
            </w:tcMar>
            <w:vAlign w:val="center"/>
          </w:tcPr>
          <w:p>
            <w:pPr>
              <w:jc w:val="center"/>
              <w:rPr>
                <w:b/>
                <w:bCs/>
                <w:szCs w:val="21"/>
              </w:rPr>
            </w:pPr>
            <w:r>
              <w:rPr>
                <w:b/>
                <w:bCs/>
                <w:szCs w:val="21"/>
              </w:rPr>
              <w:t>名称</w:t>
            </w:r>
          </w:p>
        </w:tc>
        <w:tc>
          <w:tcPr>
            <w:tcW w:w="1274" w:type="dxa"/>
            <w:tcMar>
              <w:top w:w="0" w:type="dxa"/>
              <w:left w:w="28" w:type="dxa"/>
              <w:bottom w:w="0" w:type="dxa"/>
              <w:right w:w="28" w:type="dxa"/>
            </w:tcMar>
            <w:vAlign w:val="center"/>
          </w:tcPr>
          <w:p>
            <w:pPr>
              <w:jc w:val="center"/>
              <w:rPr>
                <w:b/>
                <w:bCs/>
                <w:szCs w:val="21"/>
              </w:rPr>
            </w:pPr>
            <w:r>
              <w:rPr>
                <w:b/>
                <w:bCs/>
                <w:szCs w:val="21"/>
              </w:rPr>
              <w:t>固废性质</w:t>
            </w:r>
          </w:p>
        </w:tc>
        <w:tc>
          <w:tcPr>
            <w:tcW w:w="993"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产生量（t/a）</w:t>
            </w:r>
          </w:p>
        </w:tc>
        <w:tc>
          <w:tcPr>
            <w:tcW w:w="2614"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处置措施</w:t>
            </w:r>
          </w:p>
        </w:tc>
        <w:tc>
          <w:tcPr>
            <w:tcW w:w="696"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27" w:type="dxa"/>
            <w:tcMar>
              <w:top w:w="0" w:type="dxa"/>
              <w:left w:w="28" w:type="dxa"/>
              <w:bottom w:w="0" w:type="dxa"/>
              <w:right w:w="28" w:type="dxa"/>
            </w:tcMar>
            <w:vAlign w:val="center"/>
          </w:tcPr>
          <w:p>
            <w:pPr>
              <w:jc w:val="center"/>
              <w:rPr>
                <w:bCs/>
                <w:szCs w:val="21"/>
              </w:rPr>
            </w:pPr>
            <w:r>
              <w:rPr>
                <w:bCs/>
                <w:szCs w:val="21"/>
              </w:rPr>
              <w:t>1</w:t>
            </w:r>
          </w:p>
        </w:tc>
        <w:tc>
          <w:tcPr>
            <w:tcW w:w="1566" w:type="dxa"/>
            <w:tcMar>
              <w:top w:w="0" w:type="dxa"/>
              <w:left w:w="28" w:type="dxa"/>
              <w:bottom w:w="0" w:type="dxa"/>
              <w:right w:w="28" w:type="dxa"/>
            </w:tcMar>
            <w:vAlign w:val="center"/>
          </w:tcPr>
          <w:p>
            <w:pPr>
              <w:jc w:val="center"/>
              <w:rPr>
                <w:bCs/>
                <w:szCs w:val="21"/>
              </w:rPr>
            </w:pPr>
            <w:r>
              <w:rPr>
                <w:bCs/>
                <w:szCs w:val="21"/>
              </w:rPr>
              <w:t>猪舍</w:t>
            </w:r>
          </w:p>
        </w:tc>
        <w:tc>
          <w:tcPr>
            <w:tcW w:w="1276" w:type="dxa"/>
            <w:tcMar>
              <w:top w:w="0" w:type="dxa"/>
              <w:left w:w="28" w:type="dxa"/>
              <w:bottom w:w="0" w:type="dxa"/>
              <w:right w:w="28" w:type="dxa"/>
            </w:tcMar>
            <w:vAlign w:val="center"/>
          </w:tcPr>
          <w:p>
            <w:pPr>
              <w:jc w:val="center"/>
              <w:rPr>
                <w:bCs/>
                <w:szCs w:val="21"/>
              </w:rPr>
            </w:pPr>
            <w:r>
              <w:rPr>
                <w:szCs w:val="21"/>
              </w:rPr>
              <w:t>猪粪固形物</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rFonts w:hint="eastAsia"/>
                <w:color w:val="000000"/>
                <w:szCs w:val="21"/>
                <w:lang w:val="en-US" w:eastAsia="zh-CN"/>
              </w:rPr>
              <w:t>1477.7</w:t>
            </w:r>
          </w:p>
        </w:tc>
        <w:tc>
          <w:tcPr>
            <w:tcW w:w="2614" w:type="dxa"/>
            <w:tcMar>
              <w:top w:w="0" w:type="dxa"/>
              <w:left w:w="28" w:type="dxa"/>
              <w:bottom w:w="0" w:type="dxa"/>
              <w:right w:w="28" w:type="dxa"/>
            </w:tcMar>
            <w:vAlign w:val="center"/>
          </w:tcPr>
          <w:p>
            <w:pPr>
              <w:jc w:val="center"/>
              <w:rPr>
                <w:bCs/>
                <w:szCs w:val="21"/>
              </w:rPr>
            </w:pPr>
            <w:r>
              <w:rPr>
                <w:bCs/>
                <w:szCs w:val="21"/>
              </w:rPr>
              <w:t>生产有机肥基肥</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27" w:type="dxa"/>
            <w:tcMar>
              <w:top w:w="0" w:type="dxa"/>
              <w:left w:w="28" w:type="dxa"/>
              <w:bottom w:w="0" w:type="dxa"/>
              <w:right w:w="28" w:type="dxa"/>
            </w:tcMar>
            <w:vAlign w:val="center"/>
          </w:tcPr>
          <w:p>
            <w:pPr>
              <w:jc w:val="center"/>
              <w:rPr>
                <w:bCs/>
                <w:szCs w:val="21"/>
              </w:rPr>
            </w:pPr>
            <w:r>
              <w:rPr>
                <w:bCs/>
                <w:szCs w:val="21"/>
              </w:rPr>
              <w:t>2</w:t>
            </w:r>
          </w:p>
        </w:tc>
        <w:tc>
          <w:tcPr>
            <w:tcW w:w="1566" w:type="dxa"/>
            <w:tcMar>
              <w:top w:w="0" w:type="dxa"/>
              <w:left w:w="28" w:type="dxa"/>
              <w:bottom w:w="0" w:type="dxa"/>
              <w:right w:w="28" w:type="dxa"/>
            </w:tcMar>
            <w:vAlign w:val="center"/>
          </w:tcPr>
          <w:p>
            <w:pPr>
              <w:jc w:val="center"/>
              <w:rPr>
                <w:szCs w:val="21"/>
              </w:rPr>
            </w:pPr>
            <w:r>
              <w:rPr>
                <w:rFonts w:hint="eastAsia"/>
                <w:szCs w:val="21"/>
                <w:lang w:eastAsia="zh-CN"/>
              </w:rPr>
              <w:t>黑膜</w:t>
            </w:r>
            <w:r>
              <w:rPr>
                <w:szCs w:val="21"/>
              </w:rPr>
              <w:t>沼气池</w:t>
            </w:r>
          </w:p>
        </w:tc>
        <w:tc>
          <w:tcPr>
            <w:tcW w:w="1276" w:type="dxa"/>
            <w:tcMar>
              <w:top w:w="0" w:type="dxa"/>
              <w:left w:w="28" w:type="dxa"/>
              <w:bottom w:w="0" w:type="dxa"/>
              <w:right w:w="28" w:type="dxa"/>
            </w:tcMar>
            <w:vAlign w:val="center"/>
          </w:tcPr>
          <w:p>
            <w:pPr>
              <w:jc w:val="center"/>
              <w:rPr>
                <w:szCs w:val="21"/>
              </w:rPr>
            </w:pPr>
            <w:r>
              <w:rPr>
                <w:szCs w:val="21"/>
              </w:rPr>
              <w:t>沼渣</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rFonts w:hint="eastAsia"/>
                <w:sz w:val="24"/>
                <w:lang w:val="en-US" w:eastAsia="zh-CN"/>
              </w:rPr>
              <w:t>44.33</w:t>
            </w:r>
          </w:p>
        </w:tc>
        <w:tc>
          <w:tcPr>
            <w:tcW w:w="2614" w:type="dxa"/>
            <w:tcMar>
              <w:top w:w="0" w:type="dxa"/>
              <w:left w:w="28" w:type="dxa"/>
              <w:bottom w:w="0" w:type="dxa"/>
              <w:right w:w="28" w:type="dxa"/>
            </w:tcMar>
            <w:vAlign w:val="center"/>
          </w:tcPr>
          <w:p>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3</w:t>
            </w:r>
          </w:p>
        </w:tc>
        <w:tc>
          <w:tcPr>
            <w:tcW w:w="1566" w:type="dxa"/>
            <w:tcMar>
              <w:top w:w="0" w:type="dxa"/>
              <w:left w:w="28" w:type="dxa"/>
              <w:bottom w:w="0" w:type="dxa"/>
              <w:right w:w="28" w:type="dxa"/>
            </w:tcMar>
            <w:vAlign w:val="center"/>
          </w:tcPr>
          <w:p>
            <w:pPr>
              <w:jc w:val="center"/>
              <w:rPr>
                <w:szCs w:val="21"/>
              </w:rPr>
            </w:pPr>
            <w:r>
              <w:rPr>
                <w:szCs w:val="21"/>
              </w:rPr>
              <w:t>养殖过程</w:t>
            </w:r>
          </w:p>
        </w:tc>
        <w:tc>
          <w:tcPr>
            <w:tcW w:w="1276" w:type="dxa"/>
            <w:tcMar>
              <w:top w:w="0" w:type="dxa"/>
              <w:left w:w="28" w:type="dxa"/>
              <w:bottom w:w="0" w:type="dxa"/>
              <w:right w:w="28" w:type="dxa"/>
            </w:tcMar>
            <w:vAlign w:val="center"/>
          </w:tcPr>
          <w:p>
            <w:pPr>
              <w:jc w:val="center"/>
              <w:rPr>
                <w:szCs w:val="21"/>
              </w:rPr>
            </w:pPr>
            <w:r>
              <w:rPr>
                <w:szCs w:val="21"/>
              </w:rPr>
              <w:t>病死猪</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rFonts w:hint="eastAsia"/>
                <w:bCs/>
                <w:sz w:val="24"/>
                <w:lang w:val="en-US" w:eastAsia="zh-CN"/>
              </w:rPr>
              <w:t>7.2</w:t>
            </w:r>
          </w:p>
        </w:tc>
        <w:tc>
          <w:tcPr>
            <w:tcW w:w="2614" w:type="dxa"/>
            <w:tcMar>
              <w:top w:w="0" w:type="dxa"/>
              <w:left w:w="28" w:type="dxa"/>
              <w:bottom w:w="0" w:type="dxa"/>
              <w:right w:w="28" w:type="dxa"/>
            </w:tcMar>
            <w:vAlign w:val="center"/>
          </w:tcPr>
          <w:p>
            <w:pPr>
              <w:jc w:val="center"/>
              <w:rPr>
                <w:bCs/>
                <w:szCs w:val="21"/>
              </w:rPr>
            </w:pPr>
            <w:r>
              <w:rPr>
                <w:bCs/>
                <w:szCs w:val="21"/>
              </w:rPr>
              <w:t>交场区内自建无害化处理中心处置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4</w:t>
            </w:r>
          </w:p>
        </w:tc>
        <w:tc>
          <w:tcPr>
            <w:tcW w:w="1566" w:type="dxa"/>
            <w:tcMar>
              <w:top w:w="0" w:type="dxa"/>
              <w:left w:w="28" w:type="dxa"/>
              <w:bottom w:w="0" w:type="dxa"/>
              <w:right w:w="28" w:type="dxa"/>
            </w:tcMar>
            <w:vAlign w:val="center"/>
          </w:tcPr>
          <w:p>
            <w:pPr>
              <w:jc w:val="center"/>
              <w:rPr>
                <w:szCs w:val="21"/>
              </w:rPr>
            </w:pPr>
            <w:r>
              <w:rPr>
                <w:szCs w:val="21"/>
              </w:rPr>
              <w:t>防疫</w:t>
            </w:r>
          </w:p>
        </w:tc>
        <w:tc>
          <w:tcPr>
            <w:tcW w:w="1276" w:type="dxa"/>
            <w:tcMar>
              <w:top w:w="0" w:type="dxa"/>
              <w:left w:w="28" w:type="dxa"/>
              <w:bottom w:w="0" w:type="dxa"/>
              <w:right w:w="28" w:type="dxa"/>
            </w:tcMar>
            <w:vAlign w:val="center"/>
          </w:tcPr>
          <w:p>
            <w:pPr>
              <w:jc w:val="center"/>
              <w:rPr>
                <w:szCs w:val="21"/>
              </w:rPr>
            </w:pPr>
            <w:r>
              <w:rPr>
                <w:szCs w:val="21"/>
              </w:rPr>
              <w:t>医疗固废</w:t>
            </w:r>
          </w:p>
        </w:tc>
        <w:tc>
          <w:tcPr>
            <w:tcW w:w="1274" w:type="dxa"/>
            <w:tcMar>
              <w:top w:w="0" w:type="dxa"/>
              <w:left w:w="28" w:type="dxa"/>
              <w:bottom w:w="0" w:type="dxa"/>
              <w:right w:w="28" w:type="dxa"/>
            </w:tcMar>
            <w:vAlign w:val="center"/>
          </w:tcPr>
          <w:p>
            <w:pPr>
              <w:jc w:val="center"/>
              <w:rPr>
                <w:szCs w:val="21"/>
              </w:rPr>
            </w:pPr>
            <w:r>
              <w:rPr>
                <w:szCs w:val="21"/>
              </w:rPr>
              <w:t>危险废物</w:t>
            </w:r>
          </w:p>
          <w:p>
            <w:pPr>
              <w:jc w:val="center"/>
              <w:rPr>
                <w:szCs w:val="21"/>
              </w:rPr>
            </w:pPr>
            <w:r>
              <w:rPr>
                <w:szCs w:val="21"/>
              </w:rPr>
              <w:t>（HW01）</w:t>
            </w:r>
          </w:p>
        </w:tc>
        <w:tc>
          <w:tcPr>
            <w:tcW w:w="993" w:type="dxa"/>
            <w:tcMar>
              <w:top w:w="0" w:type="dxa"/>
              <w:left w:w="28" w:type="dxa"/>
              <w:bottom w:w="0" w:type="dxa"/>
              <w:right w:w="28" w:type="dxa"/>
            </w:tcMar>
            <w:vAlign w:val="center"/>
          </w:tcPr>
          <w:p>
            <w:pPr>
              <w:jc w:val="center"/>
              <w:rPr>
                <w:szCs w:val="21"/>
              </w:rPr>
            </w:pPr>
            <w:r>
              <w:rPr>
                <w:szCs w:val="21"/>
              </w:rPr>
              <w:t>0.</w:t>
            </w:r>
            <w:r>
              <w:rPr>
                <w:rFonts w:hint="eastAsia"/>
                <w:szCs w:val="21"/>
                <w:lang w:val="en-US" w:eastAsia="zh-CN"/>
              </w:rPr>
              <w:t>0</w:t>
            </w:r>
            <w:r>
              <w:rPr>
                <w:szCs w:val="21"/>
              </w:rPr>
              <w:t>25</w:t>
            </w:r>
          </w:p>
        </w:tc>
        <w:tc>
          <w:tcPr>
            <w:tcW w:w="2614" w:type="dxa"/>
            <w:tcMar>
              <w:top w:w="0" w:type="dxa"/>
              <w:left w:w="28" w:type="dxa"/>
              <w:bottom w:w="0" w:type="dxa"/>
              <w:right w:w="28" w:type="dxa"/>
            </w:tcMar>
            <w:vAlign w:val="center"/>
          </w:tcPr>
          <w:p>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5</w:t>
            </w:r>
          </w:p>
        </w:tc>
        <w:tc>
          <w:tcPr>
            <w:tcW w:w="1566" w:type="dxa"/>
            <w:tcMar>
              <w:top w:w="0" w:type="dxa"/>
              <w:left w:w="28" w:type="dxa"/>
              <w:bottom w:w="0" w:type="dxa"/>
              <w:right w:w="28" w:type="dxa"/>
            </w:tcMar>
            <w:vAlign w:val="center"/>
          </w:tcPr>
          <w:p>
            <w:pPr>
              <w:jc w:val="center"/>
              <w:rPr>
                <w:szCs w:val="21"/>
              </w:rPr>
            </w:pPr>
            <w:r>
              <w:rPr>
                <w:szCs w:val="21"/>
              </w:rPr>
              <w:t>职工生活</w:t>
            </w:r>
          </w:p>
        </w:tc>
        <w:tc>
          <w:tcPr>
            <w:tcW w:w="1276" w:type="dxa"/>
            <w:tcMar>
              <w:top w:w="0" w:type="dxa"/>
              <w:left w:w="28" w:type="dxa"/>
              <w:bottom w:w="0" w:type="dxa"/>
              <w:right w:w="28" w:type="dxa"/>
            </w:tcMar>
            <w:vAlign w:val="center"/>
          </w:tcPr>
          <w:p>
            <w:pPr>
              <w:jc w:val="center"/>
              <w:rPr>
                <w:szCs w:val="21"/>
              </w:rPr>
            </w:pPr>
            <w:r>
              <w:rPr>
                <w:szCs w:val="21"/>
              </w:rPr>
              <w:t>生活垃圾</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9.125</w:t>
            </w:r>
          </w:p>
        </w:tc>
        <w:tc>
          <w:tcPr>
            <w:tcW w:w="2614" w:type="dxa"/>
            <w:tcMar>
              <w:top w:w="0" w:type="dxa"/>
              <w:left w:w="28" w:type="dxa"/>
              <w:bottom w:w="0" w:type="dxa"/>
              <w:right w:w="28" w:type="dxa"/>
            </w:tcMar>
            <w:vAlign w:val="center"/>
          </w:tcPr>
          <w:p>
            <w:pPr>
              <w:jc w:val="center"/>
              <w:rPr>
                <w:szCs w:val="21"/>
              </w:rPr>
            </w:pPr>
            <w:r>
              <w:rPr>
                <w:szCs w:val="21"/>
              </w:rPr>
              <w:t>送交环卫部门处理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6</w:t>
            </w:r>
          </w:p>
        </w:tc>
        <w:tc>
          <w:tcPr>
            <w:tcW w:w="1566" w:type="dxa"/>
            <w:tcMar>
              <w:top w:w="0" w:type="dxa"/>
              <w:left w:w="28" w:type="dxa"/>
              <w:bottom w:w="0" w:type="dxa"/>
              <w:right w:w="28" w:type="dxa"/>
            </w:tcMar>
            <w:vAlign w:val="center"/>
          </w:tcPr>
          <w:p>
            <w:pPr>
              <w:jc w:val="center"/>
              <w:rPr>
                <w:szCs w:val="21"/>
              </w:rPr>
            </w:pPr>
            <w:r>
              <w:rPr>
                <w:szCs w:val="21"/>
              </w:rPr>
              <w:t>沼气脱硫装置</w:t>
            </w:r>
          </w:p>
        </w:tc>
        <w:tc>
          <w:tcPr>
            <w:tcW w:w="1276" w:type="dxa"/>
            <w:tcMar>
              <w:top w:w="0" w:type="dxa"/>
              <w:left w:w="28" w:type="dxa"/>
              <w:bottom w:w="0" w:type="dxa"/>
              <w:right w:w="28" w:type="dxa"/>
            </w:tcMar>
            <w:vAlign w:val="center"/>
          </w:tcPr>
          <w:p>
            <w:pPr>
              <w:jc w:val="center"/>
              <w:rPr>
                <w:szCs w:val="21"/>
              </w:rPr>
            </w:pPr>
            <w:r>
              <w:rPr>
                <w:szCs w:val="21"/>
              </w:rPr>
              <w:t>废脱硫剂</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szCs w:val="21"/>
              </w:rPr>
              <w:t>0.</w:t>
            </w:r>
            <w:r>
              <w:rPr>
                <w:rFonts w:hint="eastAsia"/>
                <w:szCs w:val="21"/>
                <w:lang w:val="en-US" w:eastAsia="zh-CN"/>
              </w:rPr>
              <w:t>14</w:t>
            </w:r>
          </w:p>
        </w:tc>
        <w:tc>
          <w:tcPr>
            <w:tcW w:w="2614" w:type="dxa"/>
            <w:tcMar>
              <w:top w:w="0" w:type="dxa"/>
              <w:left w:w="28" w:type="dxa"/>
              <w:bottom w:w="0" w:type="dxa"/>
              <w:right w:w="28" w:type="dxa"/>
            </w:tcMar>
            <w:vAlign w:val="center"/>
          </w:tcPr>
          <w:p>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3" w:type="dxa"/>
            <w:gridSpan w:val="4"/>
            <w:tcMar>
              <w:top w:w="0" w:type="dxa"/>
              <w:left w:w="28" w:type="dxa"/>
              <w:bottom w:w="0" w:type="dxa"/>
              <w:right w:w="28" w:type="dxa"/>
            </w:tcMar>
            <w:vAlign w:val="center"/>
          </w:tcPr>
          <w:p>
            <w:pPr>
              <w:jc w:val="center"/>
              <w:rPr>
                <w:szCs w:val="21"/>
              </w:rPr>
            </w:pPr>
            <w:r>
              <w:rPr>
                <w:szCs w:val="21"/>
              </w:rPr>
              <w:t>合计</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1538.52</w:t>
            </w:r>
          </w:p>
        </w:tc>
        <w:tc>
          <w:tcPr>
            <w:tcW w:w="2614" w:type="dxa"/>
            <w:tcMar>
              <w:top w:w="0" w:type="dxa"/>
              <w:left w:w="28" w:type="dxa"/>
              <w:bottom w:w="0" w:type="dxa"/>
              <w:right w:w="28" w:type="dxa"/>
            </w:tcMar>
            <w:vAlign w:val="center"/>
          </w:tcPr>
          <w:p>
            <w:pPr>
              <w:jc w:val="center"/>
              <w:rPr>
                <w:szCs w:val="21"/>
              </w:rPr>
            </w:pPr>
            <w:r>
              <w:rPr>
                <w:szCs w:val="21"/>
              </w:rPr>
              <w:t>/</w:t>
            </w:r>
          </w:p>
        </w:tc>
        <w:tc>
          <w:tcPr>
            <w:tcW w:w="696" w:type="dxa"/>
            <w:tcMar>
              <w:top w:w="0" w:type="dxa"/>
              <w:left w:w="28" w:type="dxa"/>
              <w:bottom w:w="0" w:type="dxa"/>
              <w:right w:w="28" w:type="dxa"/>
            </w:tcMar>
            <w:vAlign w:val="center"/>
          </w:tcPr>
          <w:p>
            <w:pPr>
              <w:jc w:val="center"/>
              <w:rPr>
                <w:szCs w:val="21"/>
              </w:rPr>
            </w:pPr>
            <w:r>
              <w:rPr>
                <w:szCs w:val="21"/>
              </w:rPr>
              <w:t>/</w:t>
            </w:r>
          </w:p>
        </w:tc>
      </w:tr>
    </w:tbl>
    <w:p>
      <w:pPr>
        <w:pStyle w:val="5"/>
        <w:spacing w:before="156" w:after="156"/>
        <w:rPr>
          <w:rFonts w:hAnsi="Times New Roman"/>
          <w:color w:val="000000"/>
        </w:rPr>
      </w:pPr>
      <w:bookmarkStart w:id="164" w:name="_Toc413166139"/>
      <w:bookmarkStart w:id="165" w:name="_Toc407001412"/>
      <w:bookmarkStart w:id="166" w:name="_Toc388881920"/>
      <w:bookmarkStart w:id="167" w:name="_Toc445457721"/>
      <w:bookmarkStart w:id="168" w:name="_Toc485996378"/>
      <w:bookmarkStart w:id="169" w:name="_Toc31767"/>
      <w:bookmarkStart w:id="170" w:name="_Toc311979933"/>
      <w:bookmarkStart w:id="171" w:name="_Toc27091"/>
      <w:bookmarkStart w:id="172" w:name="_Toc27944"/>
      <w:bookmarkStart w:id="173" w:name="_Toc311979865"/>
      <w:bookmarkStart w:id="174" w:name="_Toc406847419"/>
      <w:bookmarkStart w:id="175" w:name="_Toc311979820"/>
      <w:r>
        <w:rPr>
          <w:rFonts w:hint="eastAsia" w:hAnsi="Times New Roman"/>
          <w:color w:val="000000"/>
          <w:lang w:val="en-US" w:eastAsia="zh-CN"/>
        </w:rPr>
        <w:t>2</w:t>
      </w:r>
      <w:r>
        <w:rPr>
          <w:rFonts w:hAnsi="Times New Roman"/>
          <w:color w:val="000000"/>
        </w:rPr>
        <w:t>.4 项目主要污染物产排情况</w:t>
      </w:r>
      <w:bookmarkEnd w:id="164"/>
      <w:bookmarkEnd w:id="165"/>
      <w:bookmarkEnd w:id="166"/>
      <w:bookmarkEnd w:id="167"/>
      <w:bookmarkEnd w:id="168"/>
      <w:bookmarkEnd w:id="169"/>
      <w:bookmarkEnd w:id="170"/>
      <w:bookmarkEnd w:id="171"/>
      <w:bookmarkEnd w:id="172"/>
      <w:bookmarkEnd w:id="173"/>
      <w:bookmarkEnd w:id="174"/>
      <w:bookmarkEnd w:id="175"/>
    </w:p>
    <w:p>
      <w:pPr>
        <w:tabs>
          <w:tab w:val="left" w:pos="2835"/>
        </w:tabs>
        <w:adjustRightInd w:val="0"/>
        <w:snapToGrid w:val="0"/>
        <w:spacing w:line="520" w:lineRule="exact"/>
        <w:ind w:firstLine="480" w:firstLineChars="200"/>
        <w:rPr>
          <w:color w:val="FF0000"/>
          <w:sz w:val="24"/>
        </w:rPr>
      </w:pPr>
      <w:r>
        <w:rPr>
          <w:sz w:val="24"/>
        </w:rPr>
        <w:t>项目主要污染物产排情况见表</w:t>
      </w:r>
      <w:r>
        <w:rPr>
          <w:rFonts w:hint="eastAsia"/>
          <w:sz w:val="24"/>
          <w:lang w:val="en-US" w:eastAsia="zh-CN"/>
        </w:rPr>
        <w:t>2</w:t>
      </w:r>
      <w:r>
        <w:rPr>
          <w:sz w:val="24"/>
        </w:rPr>
        <w:t>.4-1。</w:t>
      </w:r>
    </w:p>
    <w:p>
      <w:pPr>
        <w:rPr>
          <w:color w:val="FF0000"/>
          <w:sz w:val="24"/>
        </w:rPr>
        <w:sectPr>
          <w:pgSz w:w="11906" w:h="16838"/>
          <w:pgMar w:top="1984" w:right="1587" w:bottom="1701" w:left="1587" w:header="851" w:footer="992" w:gutter="0"/>
          <w:pgBorders>
            <w:top w:val="none" w:sz="0" w:space="0"/>
            <w:left w:val="none" w:sz="0" w:space="0"/>
            <w:bottom w:val="none" w:sz="0" w:space="0"/>
            <w:right w:val="none" w:sz="0" w:space="0"/>
          </w:pgBorders>
          <w:cols w:space="720" w:num="1"/>
          <w:docGrid w:linePitch="312" w:charSpace="0"/>
        </w:sectPr>
      </w:pPr>
    </w:p>
    <w:p>
      <w:pPr>
        <w:spacing w:afterLines="30" w:line="500" w:lineRule="exact"/>
        <w:jc w:val="center"/>
        <w:rPr>
          <w:b/>
          <w:sz w:val="24"/>
        </w:rPr>
      </w:pPr>
      <w:r>
        <w:rPr>
          <w:b/>
          <w:sz w:val="24"/>
        </w:rPr>
        <w:t>表</w:t>
      </w:r>
      <w:r>
        <w:rPr>
          <w:rFonts w:hint="eastAsia"/>
          <w:b/>
          <w:sz w:val="24"/>
          <w:lang w:val="en-US" w:eastAsia="zh-CN"/>
        </w:rPr>
        <w:t>2</w:t>
      </w:r>
      <w:r>
        <w:rPr>
          <w:b/>
          <w:sz w:val="24"/>
        </w:rPr>
        <w:t>.4-1    项目污染物产排汇总情况一览表</w:t>
      </w:r>
    </w:p>
    <w:tbl>
      <w:tblPr>
        <w:tblStyle w:val="45"/>
        <w:tblW w:w="133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5"/>
        <w:gridCol w:w="1358"/>
        <w:gridCol w:w="1886"/>
        <w:gridCol w:w="1479"/>
        <w:gridCol w:w="1135"/>
        <w:gridCol w:w="1243"/>
        <w:gridCol w:w="1265"/>
        <w:gridCol w:w="985"/>
        <w:gridCol w:w="35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13" w:type="dxa"/>
            <w:gridSpan w:val="2"/>
            <w:tcBorders>
              <w:top w:val="single" w:color="auto" w:sz="12" w:space="0"/>
              <w:left w:val="single" w:color="auto" w:sz="12" w:space="0"/>
            </w:tcBorders>
            <w:vAlign w:val="center"/>
          </w:tcPr>
          <w:p>
            <w:pPr>
              <w:adjustRightInd w:val="0"/>
              <w:snapToGrid w:val="0"/>
              <w:spacing w:line="320" w:lineRule="exact"/>
              <w:jc w:val="center"/>
              <w:rPr>
                <w:szCs w:val="21"/>
              </w:rPr>
            </w:pPr>
            <w:r>
              <w:rPr>
                <w:szCs w:val="21"/>
              </w:rPr>
              <w:t>项目</w:t>
            </w:r>
          </w:p>
        </w:tc>
        <w:tc>
          <w:tcPr>
            <w:tcW w:w="1886" w:type="dxa"/>
            <w:tcBorders>
              <w:top w:val="single" w:color="auto" w:sz="12" w:space="0"/>
            </w:tcBorders>
            <w:vAlign w:val="center"/>
          </w:tcPr>
          <w:p>
            <w:pPr>
              <w:adjustRightInd w:val="0"/>
              <w:snapToGrid w:val="0"/>
              <w:spacing w:line="320" w:lineRule="exact"/>
              <w:jc w:val="center"/>
              <w:rPr>
                <w:szCs w:val="21"/>
              </w:rPr>
            </w:pPr>
            <w:r>
              <w:rPr>
                <w:szCs w:val="21"/>
              </w:rPr>
              <w:t>污染物</w:t>
            </w:r>
          </w:p>
          <w:p>
            <w:pPr>
              <w:adjustRightInd w:val="0"/>
              <w:snapToGrid w:val="0"/>
              <w:spacing w:line="320" w:lineRule="exact"/>
              <w:jc w:val="center"/>
              <w:rPr>
                <w:szCs w:val="21"/>
              </w:rPr>
            </w:pPr>
            <w:r>
              <w:rPr>
                <w:szCs w:val="21"/>
              </w:rPr>
              <w:t>名称</w:t>
            </w:r>
          </w:p>
        </w:tc>
        <w:tc>
          <w:tcPr>
            <w:tcW w:w="1479" w:type="dxa"/>
            <w:tcBorders>
              <w:top w:val="single" w:color="auto" w:sz="12" w:space="0"/>
            </w:tcBorders>
            <w:vAlign w:val="center"/>
          </w:tcPr>
          <w:p>
            <w:pPr>
              <w:adjustRightInd w:val="0"/>
              <w:snapToGrid w:val="0"/>
              <w:spacing w:line="320" w:lineRule="exact"/>
              <w:jc w:val="center"/>
              <w:rPr>
                <w:szCs w:val="21"/>
              </w:rPr>
            </w:pPr>
            <w:r>
              <w:rPr>
                <w:szCs w:val="21"/>
              </w:rPr>
              <w:t>产生浓度</w:t>
            </w:r>
            <w:r>
              <w:rPr>
                <w:bCs/>
                <w:szCs w:val="21"/>
              </w:rPr>
              <w:t>mg/m</w:t>
            </w:r>
            <w:r>
              <w:rPr>
                <w:bCs/>
                <w:szCs w:val="21"/>
                <w:vertAlign w:val="superscript"/>
              </w:rPr>
              <w:t>3</w:t>
            </w:r>
            <w:r>
              <w:rPr>
                <w:bCs/>
                <w:szCs w:val="21"/>
              </w:rPr>
              <w:t>（mg/L）</w:t>
            </w:r>
          </w:p>
        </w:tc>
        <w:tc>
          <w:tcPr>
            <w:tcW w:w="1135" w:type="dxa"/>
            <w:tcBorders>
              <w:top w:val="single" w:color="auto" w:sz="12" w:space="0"/>
            </w:tcBorders>
            <w:vAlign w:val="center"/>
          </w:tcPr>
          <w:p>
            <w:pPr>
              <w:adjustRightInd w:val="0"/>
              <w:snapToGrid w:val="0"/>
              <w:spacing w:line="320" w:lineRule="exact"/>
              <w:jc w:val="center"/>
              <w:rPr>
                <w:szCs w:val="21"/>
              </w:rPr>
            </w:pPr>
            <w:r>
              <w:rPr>
                <w:szCs w:val="21"/>
              </w:rPr>
              <w:t>产生量</w:t>
            </w:r>
          </w:p>
          <w:p>
            <w:pPr>
              <w:adjustRightInd w:val="0"/>
              <w:snapToGrid w:val="0"/>
              <w:spacing w:line="320" w:lineRule="exact"/>
              <w:jc w:val="center"/>
              <w:rPr>
                <w:szCs w:val="21"/>
              </w:rPr>
            </w:pPr>
            <w:r>
              <w:rPr>
                <w:szCs w:val="21"/>
              </w:rPr>
              <w:t>（t/a）</w:t>
            </w:r>
          </w:p>
        </w:tc>
        <w:tc>
          <w:tcPr>
            <w:tcW w:w="1243" w:type="dxa"/>
            <w:tcBorders>
              <w:top w:val="single" w:color="auto" w:sz="12" w:space="0"/>
            </w:tcBorders>
            <w:vAlign w:val="center"/>
          </w:tcPr>
          <w:p>
            <w:pPr>
              <w:adjustRightInd w:val="0"/>
              <w:snapToGrid w:val="0"/>
              <w:spacing w:line="320" w:lineRule="exact"/>
              <w:jc w:val="center"/>
              <w:rPr>
                <w:szCs w:val="21"/>
              </w:rPr>
            </w:pPr>
            <w:r>
              <w:rPr>
                <w:szCs w:val="21"/>
              </w:rPr>
              <w:t>削减量</w:t>
            </w:r>
          </w:p>
          <w:p>
            <w:pPr>
              <w:adjustRightInd w:val="0"/>
              <w:snapToGrid w:val="0"/>
              <w:spacing w:line="320" w:lineRule="exact"/>
              <w:jc w:val="center"/>
              <w:rPr>
                <w:szCs w:val="21"/>
              </w:rPr>
            </w:pPr>
            <w:r>
              <w:rPr>
                <w:szCs w:val="21"/>
              </w:rPr>
              <w:t>（t/a）</w:t>
            </w:r>
          </w:p>
        </w:tc>
        <w:tc>
          <w:tcPr>
            <w:tcW w:w="1265" w:type="dxa"/>
            <w:tcBorders>
              <w:top w:val="single" w:color="auto" w:sz="12" w:space="0"/>
            </w:tcBorders>
            <w:vAlign w:val="center"/>
          </w:tcPr>
          <w:p>
            <w:pPr>
              <w:adjustRightInd w:val="0"/>
              <w:snapToGrid w:val="0"/>
              <w:spacing w:line="320" w:lineRule="exact"/>
              <w:jc w:val="center"/>
              <w:rPr>
                <w:szCs w:val="21"/>
              </w:rPr>
            </w:pPr>
            <w:r>
              <w:rPr>
                <w:szCs w:val="21"/>
              </w:rPr>
              <w:t>处理后</w:t>
            </w:r>
          </w:p>
          <w:p>
            <w:pPr>
              <w:adjustRightInd w:val="0"/>
              <w:snapToGrid w:val="0"/>
              <w:spacing w:line="320" w:lineRule="exact"/>
              <w:jc w:val="center"/>
              <w:rPr>
                <w:szCs w:val="21"/>
              </w:rPr>
            </w:pPr>
            <w:r>
              <w:rPr>
                <w:szCs w:val="21"/>
              </w:rPr>
              <w:t>浓度</w:t>
            </w:r>
            <w:r>
              <w:rPr>
                <w:bCs/>
                <w:szCs w:val="21"/>
              </w:rPr>
              <w:t>mg/m</w:t>
            </w:r>
            <w:r>
              <w:rPr>
                <w:bCs/>
                <w:szCs w:val="21"/>
                <w:vertAlign w:val="superscript"/>
              </w:rPr>
              <w:t>3</w:t>
            </w:r>
            <w:r>
              <w:rPr>
                <w:bCs/>
                <w:szCs w:val="21"/>
              </w:rPr>
              <w:t>（mg/L）</w:t>
            </w:r>
          </w:p>
        </w:tc>
        <w:tc>
          <w:tcPr>
            <w:tcW w:w="985" w:type="dxa"/>
            <w:tcBorders>
              <w:top w:val="single" w:color="auto" w:sz="12" w:space="0"/>
            </w:tcBorders>
            <w:vAlign w:val="center"/>
          </w:tcPr>
          <w:p>
            <w:pPr>
              <w:adjustRightInd w:val="0"/>
              <w:snapToGrid w:val="0"/>
              <w:spacing w:line="320" w:lineRule="exact"/>
              <w:jc w:val="center"/>
              <w:rPr>
                <w:szCs w:val="21"/>
              </w:rPr>
            </w:pPr>
            <w:r>
              <w:rPr>
                <w:szCs w:val="21"/>
              </w:rPr>
              <w:t>排放量</w:t>
            </w:r>
          </w:p>
          <w:p>
            <w:pPr>
              <w:adjustRightInd w:val="0"/>
              <w:snapToGrid w:val="0"/>
              <w:spacing w:line="320" w:lineRule="exact"/>
              <w:jc w:val="center"/>
              <w:rPr>
                <w:szCs w:val="21"/>
              </w:rPr>
            </w:pPr>
            <w:r>
              <w:rPr>
                <w:szCs w:val="21"/>
              </w:rPr>
              <w:t>（t/a）</w:t>
            </w:r>
          </w:p>
        </w:tc>
        <w:tc>
          <w:tcPr>
            <w:tcW w:w="3562" w:type="dxa"/>
            <w:tcBorders>
              <w:top w:val="single" w:color="auto" w:sz="12" w:space="0"/>
              <w:right w:val="single" w:color="auto" w:sz="12" w:space="0"/>
            </w:tcBorders>
            <w:vAlign w:val="center"/>
          </w:tcPr>
          <w:p>
            <w:pPr>
              <w:adjustRightInd w:val="0"/>
              <w:snapToGrid w:val="0"/>
              <w:spacing w:line="320" w:lineRule="exact"/>
              <w:jc w:val="center"/>
              <w:rPr>
                <w:szCs w:val="21"/>
              </w:rPr>
            </w:pPr>
            <w:r>
              <w:rPr>
                <w:szCs w:val="21"/>
              </w:rPr>
              <w:t>备注—治理措施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restart"/>
            <w:tcBorders>
              <w:left w:val="single" w:color="auto" w:sz="12" w:space="0"/>
            </w:tcBorders>
            <w:vAlign w:val="center"/>
          </w:tcPr>
          <w:p>
            <w:pPr>
              <w:adjustRightInd w:val="0"/>
              <w:snapToGrid w:val="0"/>
              <w:spacing w:line="320" w:lineRule="exact"/>
              <w:jc w:val="center"/>
              <w:rPr>
                <w:bCs/>
                <w:szCs w:val="21"/>
              </w:rPr>
            </w:pPr>
            <w:r>
              <w:rPr>
                <w:bCs/>
                <w:szCs w:val="21"/>
              </w:rPr>
              <w:t>废气</w:t>
            </w:r>
          </w:p>
        </w:tc>
        <w:tc>
          <w:tcPr>
            <w:tcW w:w="1358" w:type="dxa"/>
            <w:vMerge w:val="restart"/>
            <w:vAlign w:val="center"/>
          </w:tcPr>
          <w:p>
            <w:pPr>
              <w:adjustRightInd w:val="0"/>
              <w:snapToGrid w:val="0"/>
              <w:spacing w:line="320" w:lineRule="exact"/>
              <w:jc w:val="center"/>
              <w:rPr>
                <w:bCs/>
                <w:szCs w:val="21"/>
              </w:rPr>
            </w:pPr>
            <w:r>
              <w:rPr>
                <w:bCs/>
                <w:szCs w:val="21"/>
              </w:rPr>
              <w:t>养殖区无组织废气</w:t>
            </w:r>
          </w:p>
        </w:tc>
        <w:tc>
          <w:tcPr>
            <w:tcW w:w="1886" w:type="dxa"/>
            <w:vAlign w:val="center"/>
          </w:tcPr>
          <w:p>
            <w:pPr>
              <w:adjustRightInd w:val="0"/>
              <w:snapToGrid w:val="0"/>
              <w:spacing w:line="320" w:lineRule="exact"/>
              <w:jc w:val="center"/>
              <w:rPr>
                <w:bCs/>
                <w:szCs w:val="21"/>
              </w:rPr>
            </w:pPr>
            <w:r>
              <w:rPr>
                <w:bCs/>
                <w:szCs w:val="21"/>
              </w:rPr>
              <w:t>NH</w:t>
            </w:r>
            <w:r>
              <w:rPr>
                <w:bCs/>
                <w:szCs w:val="21"/>
                <w:vertAlign w:val="subscript"/>
              </w:rPr>
              <w:t>3</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bottom"/>
          </w:tcPr>
          <w:p>
            <w:pPr>
              <w:jc w:val="center"/>
              <w:rPr>
                <w:rFonts w:hint="default"/>
                <w:sz w:val="22"/>
                <w:szCs w:val="22"/>
                <w:lang w:val="en-US"/>
              </w:rPr>
            </w:pPr>
            <w:r>
              <w:rPr>
                <w:rFonts w:hint="eastAsia"/>
                <w:sz w:val="22"/>
                <w:szCs w:val="22"/>
                <w:lang w:val="en-US" w:eastAsia="zh-CN"/>
              </w:rPr>
              <w:t>1.0523</w:t>
            </w:r>
          </w:p>
        </w:tc>
        <w:tc>
          <w:tcPr>
            <w:tcW w:w="1243" w:type="dxa"/>
            <w:vAlign w:val="bottom"/>
          </w:tcPr>
          <w:p>
            <w:pPr>
              <w:jc w:val="center"/>
              <w:rPr>
                <w:rFonts w:hint="default"/>
                <w:szCs w:val="21"/>
                <w:lang w:val="en-US"/>
              </w:rPr>
            </w:pPr>
            <w:r>
              <w:rPr>
                <w:rFonts w:hint="eastAsia"/>
                <w:szCs w:val="21"/>
                <w:lang w:val="en-US" w:eastAsia="zh-CN"/>
              </w:rPr>
              <w:t>0.7367</w:t>
            </w:r>
          </w:p>
        </w:tc>
        <w:tc>
          <w:tcPr>
            <w:tcW w:w="1265" w:type="dxa"/>
            <w:vAlign w:val="center"/>
          </w:tcPr>
          <w:p>
            <w:pPr>
              <w:adjustRightInd w:val="0"/>
              <w:snapToGrid w:val="0"/>
              <w:spacing w:line="320" w:lineRule="exact"/>
              <w:jc w:val="center"/>
              <w:rPr>
                <w:rFonts w:hint="eastAsia" w:eastAsia="宋体"/>
                <w:bCs/>
                <w:iCs/>
                <w:szCs w:val="21"/>
                <w:lang w:val="en-US" w:eastAsia="zh-CN"/>
              </w:rPr>
            </w:pPr>
            <w:r>
              <w:rPr>
                <w:bCs/>
                <w:szCs w:val="21"/>
              </w:rPr>
              <w:t>—</w:t>
            </w:r>
          </w:p>
        </w:tc>
        <w:tc>
          <w:tcPr>
            <w:tcW w:w="985" w:type="dxa"/>
            <w:vAlign w:val="bottom"/>
          </w:tcPr>
          <w:p>
            <w:pPr>
              <w:jc w:val="center"/>
              <w:rPr>
                <w:rFonts w:hint="default"/>
                <w:sz w:val="22"/>
                <w:szCs w:val="22"/>
                <w:lang w:val="en-US"/>
              </w:rPr>
            </w:pPr>
            <w:r>
              <w:rPr>
                <w:rFonts w:hint="eastAsia"/>
                <w:sz w:val="22"/>
                <w:szCs w:val="22"/>
                <w:lang w:val="en-US" w:eastAsia="zh-CN"/>
              </w:rPr>
              <w:t>0.3156</w:t>
            </w:r>
          </w:p>
        </w:tc>
        <w:tc>
          <w:tcPr>
            <w:tcW w:w="3562" w:type="dxa"/>
            <w:vMerge w:val="restart"/>
            <w:tcBorders>
              <w:right w:val="single" w:color="auto" w:sz="12" w:space="0"/>
            </w:tcBorders>
            <w:vAlign w:val="center"/>
          </w:tcPr>
          <w:p>
            <w:pPr>
              <w:adjustRightInd w:val="0"/>
              <w:snapToGrid w:val="0"/>
              <w:spacing w:line="320" w:lineRule="exact"/>
              <w:jc w:val="center"/>
              <w:rPr>
                <w:bCs/>
                <w:szCs w:val="21"/>
              </w:rPr>
            </w:pPr>
            <w:r>
              <w:rPr>
                <w:bCs/>
                <w:szCs w:val="21"/>
              </w:rPr>
              <w:t>控制养殖密度、饲料添加剂、及时清粪、喷洒除臭剂、设置绿化带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Merge w:val="continue"/>
            <w:tcBorders>
              <w:bottom w:val="single" w:color="auto" w:sz="4" w:space="0"/>
            </w:tcBorders>
            <w:vAlign w:val="center"/>
          </w:tcPr>
          <w:p>
            <w:pPr>
              <w:adjustRightInd w:val="0"/>
              <w:snapToGrid w:val="0"/>
              <w:spacing w:line="320" w:lineRule="exact"/>
              <w:jc w:val="center"/>
              <w:rPr>
                <w:bCs/>
                <w:szCs w:val="21"/>
              </w:rPr>
            </w:pPr>
          </w:p>
        </w:tc>
        <w:tc>
          <w:tcPr>
            <w:tcW w:w="1886" w:type="dxa"/>
            <w:vAlign w:val="center"/>
          </w:tcPr>
          <w:p>
            <w:pPr>
              <w:adjustRightInd w:val="0"/>
              <w:snapToGrid w:val="0"/>
              <w:spacing w:line="320" w:lineRule="exact"/>
              <w:jc w:val="center"/>
              <w:rPr>
                <w:bCs/>
                <w:szCs w:val="21"/>
              </w:rPr>
            </w:pPr>
            <w:r>
              <w:rPr>
                <w:bCs/>
                <w:szCs w:val="21"/>
              </w:rPr>
              <w:t>H</w:t>
            </w:r>
            <w:r>
              <w:rPr>
                <w:bCs/>
                <w:szCs w:val="21"/>
                <w:vertAlign w:val="subscript"/>
              </w:rPr>
              <w:t>2</w:t>
            </w:r>
            <w:r>
              <w:rPr>
                <w:bCs/>
                <w:szCs w:val="21"/>
              </w:rPr>
              <w:t>S</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bottom"/>
          </w:tcPr>
          <w:p>
            <w:pPr>
              <w:jc w:val="center"/>
              <w:rPr>
                <w:rFonts w:hint="default"/>
                <w:sz w:val="22"/>
                <w:szCs w:val="22"/>
                <w:lang w:val="en-US"/>
              </w:rPr>
            </w:pPr>
            <w:r>
              <w:rPr>
                <w:rFonts w:hint="eastAsia"/>
                <w:sz w:val="22"/>
                <w:szCs w:val="22"/>
                <w:lang w:val="en-US" w:eastAsia="zh-CN"/>
              </w:rPr>
              <w:t>0.0672</w:t>
            </w:r>
          </w:p>
        </w:tc>
        <w:tc>
          <w:tcPr>
            <w:tcW w:w="1243" w:type="dxa"/>
            <w:vAlign w:val="bottom"/>
          </w:tcPr>
          <w:p>
            <w:pPr>
              <w:jc w:val="center"/>
              <w:rPr>
                <w:rFonts w:hint="default"/>
                <w:szCs w:val="21"/>
                <w:lang w:val="en-US"/>
              </w:rPr>
            </w:pPr>
            <w:r>
              <w:rPr>
                <w:rFonts w:hint="eastAsia"/>
                <w:szCs w:val="21"/>
                <w:lang w:val="en-US" w:eastAsia="zh-CN"/>
              </w:rPr>
              <w:t>0.047</w:t>
            </w:r>
          </w:p>
        </w:tc>
        <w:tc>
          <w:tcPr>
            <w:tcW w:w="1265" w:type="dxa"/>
            <w:vAlign w:val="center"/>
          </w:tcPr>
          <w:p>
            <w:pPr>
              <w:adjustRightInd w:val="0"/>
              <w:snapToGrid w:val="0"/>
              <w:spacing w:line="320" w:lineRule="exact"/>
              <w:jc w:val="center"/>
              <w:rPr>
                <w:bCs/>
                <w:iCs/>
                <w:szCs w:val="21"/>
              </w:rPr>
            </w:pPr>
            <w:r>
              <w:rPr>
                <w:bCs/>
                <w:szCs w:val="21"/>
              </w:rPr>
              <w:t>—</w:t>
            </w:r>
          </w:p>
        </w:tc>
        <w:tc>
          <w:tcPr>
            <w:tcW w:w="985" w:type="dxa"/>
            <w:tcBorders>
              <w:bottom w:val="single" w:color="auto" w:sz="4" w:space="0"/>
            </w:tcBorders>
            <w:vAlign w:val="bottom"/>
          </w:tcPr>
          <w:p>
            <w:pPr>
              <w:jc w:val="center"/>
              <w:rPr>
                <w:rFonts w:hint="default"/>
                <w:sz w:val="22"/>
                <w:szCs w:val="22"/>
                <w:lang w:val="en-US"/>
              </w:rPr>
            </w:pPr>
            <w:r>
              <w:rPr>
                <w:rFonts w:hint="eastAsia"/>
                <w:sz w:val="22"/>
                <w:szCs w:val="22"/>
                <w:lang w:val="en-US" w:eastAsia="zh-CN"/>
              </w:rPr>
              <w:t>0.0202</w:t>
            </w:r>
          </w:p>
        </w:tc>
        <w:tc>
          <w:tcPr>
            <w:tcW w:w="3562" w:type="dxa"/>
            <w:vMerge w:val="continue"/>
            <w:tcBorders>
              <w:bottom w:val="single" w:color="auto" w:sz="4" w:space="0"/>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Merge w:val="restart"/>
            <w:vAlign w:val="center"/>
          </w:tcPr>
          <w:p>
            <w:pPr>
              <w:adjustRightInd w:val="0"/>
              <w:snapToGrid w:val="0"/>
              <w:spacing w:line="320" w:lineRule="exact"/>
              <w:jc w:val="center"/>
              <w:rPr>
                <w:bCs/>
                <w:szCs w:val="21"/>
              </w:rPr>
            </w:pPr>
            <w:r>
              <w:rPr>
                <w:bCs/>
                <w:szCs w:val="21"/>
              </w:rPr>
              <w:t>沼气燃烧废气</w:t>
            </w:r>
          </w:p>
        </w:tc>
        <w:tc>
          <w:tcPr>
            <w:tcW w:w="1886" w:type="dxa"/>
            <w:vAlign w:val="center"/>
          </w:tcPr>
          <w:p>
            <w:pPr>
              <w:adjustRightInd w:val="0"/>
              <w:snapToGrid w:val="0"/>
              <w:spacing w:line="320" w:lineRule="exact"/>
              <w:jc w:val="center"/>
              <w:rPr>
                <w:bCs/>
                <w:szCs w:val="21"/>
              </w:rPr>
            </w:pPr>
            <w:r>
              <w:rPr>
                <w:bCs/>
                <w:szCs w:val="21"/>
              </w:rPr>
              <w:t>SO</w:t>
            </w:r>
            <w:r>
              <w:rPr>
                <w:bCs/>
                <w:szCs w:val="21"/>
                <w:vertAlign w:val="subscript"/>
              </w:rPr>
              <w:t>2</w:t>
            </w:r>
          </w:p>
        </w:tc>
        <w:tc>
          <w:tcPr>
            <w:tcW w:w="1479" w:type="dxa"/>
            <w:vAlign w:val="center"/>
          </w:tcPr>
          <w:p>
            <w:pPr>
              <w:jc w:val="center"/>
              <w:rPr>
                <w:bCs/>
                <w:szCs w:val="21"/>
              </w:rPr>
            </w:pPr>
            <w:r>
              <w:rPr>
                <w:rFonts w:hint="eastAsia"/>
                <w:sz w:val="21"/>
                <w:szCs w:val="21"/>
                <w:lang w:val="en-US" w:eastAsia="zh-CN"/>
              </w:rPr>
              <w:t>2.09</w:t>
            </w:r>
          </w:p>
        </w:tc>
        <w:tc>
          <w:tcPr>
            <w:tcW w:w="1135" w:type="dxa"/>
            <w:vAlign w:val="center"/>
          </w:tcPr>
          <w:p>
            <w:pPr>
              <w:jc w:val="center"/>
              <w:rPr>
                <w:color w:val="000000"/>
                <w:szCs w:val="21"/>
              </w:rPr>
            </w:pPr>
            <w:r>
              <w:rPr>
                <w:sz w:val="21"/>
                <w:szCs w:val="21"/>
              </w:rPr>
              <w:t>0.00</w:t>
            </w:r>
            <w:r>
              <w:rPr>
                <w:rFonts w:hint="eastAsia"/>
                <w:sz w:val="21"/>
                <w:szCs w:val="21"/>
                <w:lang w:val="en-US" w:eastAsia="zh-CN"/>
              </w:rPr>
              <w:t>07</w:t>
            </w:r>
          </w:p>
        </w:tc>
        <w:tc>
          <w:tcPr>
            <w:tcW w:w="1243" w:type="dxa"/>
            <w:vAlign w:val="center"/>
          </w:tcPr>
          <w:p>
            <w:pPr>
              <w:jc w:val="center"/>
              <w:rPr>
                <w:bCs/>
                <w:szCs w:val="21"/>
              </w:rPr>
            </w:pPr>
            <w:r>
              <w:rPr>
                <w:color w:val="000000"/>
                <w:szCs w:val="21"/>
              </w:rPr>
              <w:t>/</w:t>
            </w:r>
          </w:p>
        </w:tc>
        <w:tc>
          <w:tcPr>
            <w:tcW w:w="1265" w:type="dxa"/>
            <w:vAlign w:val="center"/>
          </w:tcPr>
          <w:p>
            <w:pPr>
              <w:jc w:val="center"/>
              <w:rPr>
                <w:bCs/>
                <w:szCs w:val="21"/>
              </w:rPr>
            </w:pPr>
            <w:r>
              <w:rPr>
                <w:rFonts w:hint="eastAsia"/>
                <w:sz w:val="21"/>
                <w:szCs w:val="21"/>
                <w:lang w:val="en-US" w:eastAsia="zh-CN"/>
              </w:rPr>
              <w:t>2.09</w:t>
            </w:r>
          </w:p>
        </w:tc>
        <w:tc>
          <w:tcPr>
            <w:tcW w:w="985" w:type="dxa"/>
            <w:vAlign w:val="center"/>
          </w:tcPr>
          <w:p>
            <w:pPr>
              <w:jc w:val="center"/>
              <w:rPr>
                <w:color w:val="000000"/>
                <w:szCs w:val="21"/>
              </w:rPr>
            </w:pPr>
            <w:r>
              <w:rPr>
                <w:sz w:val="21"/>
                <w:szCs w:val="21"/>
              </w:rPr>
              <w:t>0.00</w:t>
            </w:r>
            <w:r>
              <w:rPr>
                <w:rFonts w:hint="eastAsia"/>
                <w:sz w:val="21"/>
                <w:szCs w:val="21"/>
                <w:lang w:val="en-US" w:eastAsia="zh-CN"/>
              </w:rPr>
              <w:t>07</w:t>
            </w:r>
          </w:p>
        </w:tc>
        <w:tc>
          <w:tcPr>
            <w:tcW w:w="3562" w:type="dxa"/>
            <w:vMerge w:val="restart"/>
            <w:tcBorders>
              <w:right w:val="single" w:color="auto" w:sz="12" w:space="0"/>
            </w:tcBorders>
            <w:vAlign w:val="center"/>
          </w:tcPr>
          <w:p>
            <w:pPr>
              <w:topLinePunct/>
              <w:jc w:val="center"/>
              <w:rPr>
                <w:color w:val="000000"/>
                <w:szCs w:val="21"/>
              </w:rPr>
            </w:pPr>
            <w:r>
              <w:rPr>
                <w:color w:val="000000"/>
                <w:szCs w:val="21"/>
              </w:rPr>
              <w:t>1根8m高排气筒排放，排放口规范化，设置排放口标志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Merge w:val="continue"/>
            <w:vAlign w:val="center"/>
          </w:tcPr>
          <w:p>
            <w:pPr>
              <w:adjustRightInd w:val="0"/>
              <w:snapToGrid w:val="0"/>
              <w:spacing w:line="320" w:lineRule="exact"/>
              <w:jc w:val="center"/>
              <w:rPr>
                <w:bCs/>
                <w:szCs w:val="21"/>
              </w:rPr>
            </w:pPr>
          </w:p>
        </w:tc>
        <w:tc>
          <w:tcPr>
            <w:tcW w:w="1886" w:type="dxa"/>
            <w:vAlign w:val="center"/>
          </w:tcPr>
          <w:p>
            <w:pPr>
              <w:adjustRightInd w:val="0"/>
              <w:snapToGrid w:val="0"/>
              <w:spacing w:line="320" w:lineRule="exact"/>
              <w:jc w:val="center"/>
              <w:rPr>
                <w:bCs/>
                <w:szCs w:val="21"/>
              </w:rPr>
            </w:pPr>
            <w:r>
              <w:rPr>
                <w:bCs/>
                <w:szCs w:val="21"/>
              </w:rPr>
              <w:t>NO</w:t>
            </w:r>
            <w:r>
              <w:rPr>
                <w:bCs/>
                <w:szCs w:val="21"/>
                <w:vertAlign w:val="subscript"/>
              </w:rPr>
              <w:t>X</w:t>
            </w:r>
          </w:p>
        </w:tc>
        <w:tc>
          <w:tcPr>
            <w:tcW w:w="1479" w:type="dxa"/>
            <w:vAlign w:val="center"/>
          </w:tcPr>
          <w:p>
            <w:pPr>
              <w:jc w:val="center"/>
              <w:rPr>
                <w:bCs/>
                <w:szCs w:val="21"/>
              </w:rPr>
            </w:pPr>
            <w:r>
              <w:rPr>
                <w:rFonts w:hint="eastAsia"/>
                <w:sz w:val="21"/>
                <w:szCs w:val="21"/>
                <w:lang w:val="en-US" w:eastAsia="zh-CN"/>
              </w:rPr>
              <w:t>78</w:t>
            </w:r>
          </w:p>
        </w:tc>
        <w:tc>
          <w:tcPr>
            <w:tcW w:w="1135" w:type="dxa"/>
            <w:vAlign w:val="center"/>
          </w:tcPr>
          <w:p>
            <w:pPr>
              <w:jc w:val="center"/>
              <w:rPr>
                <w:color w:val="000000"/>
                <w:szCs w:val="21"/>
              </w:rPr>
            </w:pPr>
            <w:r>
              <w:rPr>
                <w:sz w:val="21"/>
                <w:szCs w:val="21"/>
              </w:rPr>
              <w:t>0.0</w:t>
            </w:r>
            <w:r>
              <w:rPr>
                <w:rFonts w:hint="eastAsia"/>
                <w:sz w:val="21"/>
                <w:szCs w:val="21"/>
                <w:lang w:val="en-US" w:eastAsia="zh-CN"/>
              </w:rPr>
              <w:t>26</w:t>
            </w:r>
          </w:p>
        </w:tc>
        <w:tc>
          <w:tcPr>
            <w:tcW w:w="1243" w:type="dxa"/>
            <w:vAlign w:val="center"/>
          </w:tcPr>
          <w:p>
            <w:pPr>
              <w:jc w:val="center"/>
              <w:rPr>
                <w:bCs/>
                <w:szCs w:val="21"/>
              </w:rPr>
            </w:pPr>
            <w:r>
              <w:rPr>
                <w:rFonts w:hint="eastAsia"/>
                <w:color w:val="000000"/>
                <w:szCs w:val="21"/>
                <w:lang w:val="en-US" w:eastAsia="zh-CN"/>
              </w:rPr>
              <w:t>/</w:t>
            </w:r>
          </w:p>
        </w:tc>
        <w:tc>
          <w:tcPr>
            <w:tcW w:w="1265" w:type="dxa"/>
            <w:vAlign w:val="center"/>
          </w:tcPr>
          <w:p>
            <w:pPr>
              <w:jc w:val="center"/>
              <w:rPr>
                <w:bCs/>
                <w:szCs w:val="21"/>
              </w:rPr>
            </w:pPr>
            <w:r>
              <w:rPr>
                <w:rFonts w:hint="eastAsia"/>
                <w:sz w:val="21"/>
                <w:szCs w:val="21"/>
                <w:lang w:val="en-US" w:eastAsia="zh-CN"/>
              </w:rPr>
              <w:t>78</w:t>
            </w:r>
          </w:p>
        </w:tc>
        <w:tc>
          <w:tcPr>
            <w:tcW w:w="985" w:type="dxa"/>
            <w:vAlign w:val="center"/>
          </w:tcPr>
          <w:p>
            <w:pPr>
              <w:jc w:val="center"/>
              <w:rPr>
                <w:color w:val="000000"/>
                <w:szCs w:val="21"/>
              </w:rPr>
            </w:pPr>
            <w:r>
              <w:rPr>
                <w:sz w:val="21"/>
                <w:szCs w:val="21"/>
              </w:rPr>
              <w:t>0.0</w:t>
            </w:r>
            <w:r>
              <w:rPr>
                <w:rFonts w:hint="eastAsia"/>
                <w:sz w:val="21"/>
                <w:szCs w:val="21"/>
                <w:lang w:val="en-US" w:eastAsia="zh-CN"/>
              </w:rPr>
              <w:t>26</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Align w:val="center"/>
          </w:tcPr>
          <w:p>
            <w:pPr>
              <w:adjustRightInd w:val="0"/>
              <w:snapToGrid w:val="0"/>
              <w:spacing w:line="320" w:lineRule="exact"/>
              <w:jc w:val="center"/>
              <w:rPr>
                <w:bCs/>
                <w:szCs w:val="21"/>
              </w:rPr>
            </w:pPr>
            <w:r>
              <w:rPr>
                <w:bCs/>
                <w:szCs w:val="21"/>
              </w:rPr>
              <w:t>食堂</w:t>
            </w:r>
          </w:p>
        </w:tc>
        <w:tc>
          <w:tcPr>
            <w:tcW w:w="1886" w:type="dxa"/>
            <w:vAlign w:val="center"/>
          </w:tcPr>
          <w:p>
            <w:pPr>
              <w:adjustRightInd w:val="0"/>
              <w:snapToGrid w:val="0"/>
              <w:spacing w:line="320" w:lineRule="exact"/>
              <w:jc w:val="center"/>
              <w:rPr>
                <w:bCs/>
                <w:szCs w:val="21"/>
              </w:rPr>
            </w:pPr>
            <w:r>
              <w:rPr>
                <w:bCs/>
                <w:szCs w:val="21"/>
              </w:rPr>
              <w:t>油烟</w:t>
            </w:r>
          </w:p>
        </w:tc>
        <w:tc>
          <w:tcPr>
            <w:tcW w:w="1479" w:type="dxa"/>
            <w:vAlign w:val="center"/>
          </w:tcPr>
          <w:p>
            <w:pPr>
              <w:adjustRightInd w:val="0"/>
              <w:snapToGrid w:val="0"/>
              <w:spacing w:line="320" w:lineRule="exact"/>
              <w:jc w:val="center"/>
              <w:rPr>
                <w:rFonts w:hint="default" w:eastAsia="宋体"/>
                <w:bCs/>
                <w:szCs w:val="21"/>
                <w:lang w:val="en-US" w:eastAsia="zh-CN"/>
              </w:rPr>
            </w:pPr>
            <w:r>
              <w:rPr>
                <w:rFonts w:hint="eastAsia"/>
                <w:bCs/>
                <w:szCs w:val="21"/>
                <w:lang w:val="en-US" w:eastAsia="zh-CN"/>
              </w:rPr>
              <w:t>0.83</w:t>
            </w:r>
          </w:p>
        </w:tc>
        <w:tc>
          <w:tcPr>
            <w:tcW w:w="1135" w:type="dxa"/>
            <w:vAlign w:val="center"/>
          </w:tcPr>
          <w:p>
            <w:pPr>
              <w:adjustRightInd w:val="0"/>
              <w:snapToGrid w:val="0"/>
              <w:spacing w:line="320" w:lineRule="exact"/>
              <w:jc w:val="center"/>
              <w:rPr>
                <w:rFonts w:hint="default" w:eastAsia="宋体"/>
                <w:bCs/>
                <w:szCs w:val="21"/>
                <w:lang w:val="en-US" w:eastAsia="zh-CN"/>
              </w:rPr>
            </w:pPr>
            <w:r>
              <w:rPr>
                <w:rFonts w:hint="eastAsia"/>
                <w:bCs/>
                <w:szCs w:val="21"/>
                <w:lang w:val="en-US" w:eastAsia="zh-CN"/>
              </w:rPr>
              <w:t>0.0055</w:t>
            </w:r>
          </w:p>
        </w:tc>
        <w:tc>
          <w:tcPr>
            <w:tcW w:w="1243" w:type="dxa"/>
            <w:vAlign w:val="center"/>
          </w:tcPr>
          <w:p>
            <w:pPr>
              <w:adjustRightInd w:val="0"/>
              <w:snapToGrid w:val="0"/>
              <w:spacing w:line="320" w:lineRule="exact"/>
              <w:jc w:val="center"/>
              <w:rPr>
                <w:rFonts w:hint="default" w:eastAsia="宋体"/>
                <w:bCs/>
                <w:szCs w:val="21"/>
                <w:lang w:val="en-US" w:eastAsia="zh-CN"/>
              </w:rPr>
            </w:pPr>
            <w:r>
              <w:rPr>
                <w:rFonts w:hint="eastAsia"/>
                <w:bCs/>
                <w:szCs w:val="21"/>
                <w:lang w:val="en-US" w:eastAsia="zh-CN"/>
              </w:rPr>
              <w:t>0.0005</w:t>
            </w:r>
          </w:p>
        </w:tc>
        <w:tc>
          <w:tcPr>
            <w:tcW w:w="1265" w:type="dxa"/>
            <w:vAlign w:val="center"/>
          </w:tcPr>
          <w:p>
            <w:pPr>
              <w:adjustRightInd w:val="0"/>
              <w:snapToGrid w:val="0"/>
              <w:spacing w:line="320" w:lineRule="exact"/>
              <w:jc w:val="center"/>
              <w:rPr>
                <w:rFonts w:hint="default" w:eastAsia="宋体"/>
                <w:bCs/>
                <w:szCs w:val="21"/>
                <w:lang w:val="en-US" w:eastAsia="zh-CN"/>
              </w:rPr>
            </w:pPr>
            <w:r>
              <w:rPr>
                <w:rFonts w:hint="eastAsia"/>
                <w:bCs/>
                <w:szCs w:val="21"/>
                <w:lang w:val="en-US" w:eastAsia="zh-CN"/>
              </w:rPr>
              <w:t>0.08</w:t>
            </w:r>
          </w:p>
        </w:tc>
        <w:tc>
          <w:tcPr>
            <w:tcW w:w="985" w:type="dxa"/>
            <w:vAlign w:val="center"/>
          </w:tcPr>
          <w:p>
            <w:pPr>
              <w:adjustRightInd w:val="0"/>
              <w:snapToGrid w:val="0"/>
              <w:spacing w:line="320" w:lineRule="exact"/>
              <w:jc w:val="center"/>
              <w:rPr>
                <w:rFonts w:hint="default" w:eastAsia="宋体"/>
                <w:bCs/>
                <w:szCs w:val="21"/>
                <w:lang w:val="en-US" w:eastAsia="zh-CN"/>
              </w:rPr>
            </w:pPr>
            <w:r>
              <w:rPr>
                <w:rFonts w:hint="eastAsia"/>
                <w:bCs/>
                <w:szCs w:val="21"/>
                <w:lang w:val="en-US" w:eastAsia="zh-CN"/>
              </w:rPr>
              <w:t>0.0005</w:t>
            </w:r>
          </w:p>
        </w:tc>
        <w:tc>
          <w:tcPr>
            <w:tcW w:w="3562" w:type="dxa"/>
            <w:tcBorders>
              <w:top w:val="single" w:color="auto" w:sz="4" w:space="0"/>
              <w:right w:val="single" w:color="auto" w:sz="12" w:space="0"/>
            </w:tcBorders>
            <w:vAlign w:val="center"/>
          </w:tcPr>
          <w:p>
            <w:pPr>
              <w:adjustRightInd w:val="0"/>
              <w:snapToGrid w:val="0"/>
              <w:spacing w:line="320" w:lineRule="exact"/>
              <w:jc w:val="center"/>
              <w:rPr>
                <w:bCs/>
                <w:szCs w:val="21"/>
              </w:rPr>
            </w:pPr>
            <w:r>
              <w:rPr>
                <w:bCs/>
                <w:szCs w:val="21"/>
              </w:rPr>
              <w:t>油烟净化器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restart"/>
            <w:tcBorders>
              <w:left w:val="single" w:color="auto" w:sz="12" w:space="0"/>
            </w:tcBorders>
            <w:vAlign w:val="center"/>
          </w:tcPr>
          <w:p>
            <w:pPr>
              <w:adjustRightInd w:val="0"/>
              <w:snapToGrid w:val="0"/>
              <w:spacing w:line="320" w:lineRule="exact"/>
              <w:jc w:val="center"/>
              <w:rPr>
                <w:bCs/>
                <w:szCs w:val="21"/>
              </w:rPr>
            </w:pPr>
            <w:r>
              <w:rPr>
                <w:bCs/>
                <w:szCs w:val="21"/>
              </w:rPr>
              <w:t>废水</w:t>
            </w:r>
          </w:p>
        </w:tc>
        <w:tc>
          <w:tcPr>
            <w:tcW w:w="1886" w:type="dxa"/>
            <w:vAlign w:val="center"/>
          </w:tcPr>
          <w:p>
            <w:pPr>
              <w:adjustRightInd w:val="0"/>
              <w:snapToGrid w:val="0"/>
              <w:spacing w:line="320" w:lineRule="exact"/>
              <w:jc w:val="center"/>
              <w:rPr>
                <w:bCs/>
                <w:szCs w:val="21"/>
              </w:rPr>
            </w:pPr>
            <w:r>
              <w:rPr>
                <w:bCs/>
                <w:szCs w:val="21"/>
              </w:rPr>
              <w:t>废水量</w:t>
            </w:r>
          </w:p>
        </w:tc>
        <w:tc>
          <w:tcPr>
            <w:tcW w:w="1479" w:type="dxa"/>
            <w:vAlign w:val="center"/>
          </w:tcPr>
          <w:p>
            <w:pPr>
              <w:adjustRightInd w:val="0"/>
              <w:snapToGrid w:val="0"/>
              <w:spacing w:line="320" w:lineRule="exact"/>
              <w:jc w:val="center"/>
              <w:rPr>
                <w:bCs/>
                <w:iCs/>
                <w:szCs w:val="21"/>
              </w:rPr>
            </w:pPr>
            <w:r>
              <w:rPr>
                <w:bCs/>
                <w:iCs/>
                <w:szCs w:val="21"/>
              </w:rPr>
              <w:t>-</w:t>
            </w:r>
          </w:p>
        </w:tc>
        <w:tc>
          <w:tcPr>
            <w:tcW w:w="1135" w:type="dxa"/>
            <w:vAlign w:val="center"/>
          </w:tcPr>
          <w:p>
            <w:pPr>
              <w:jc w:val="center"/>
              <w:rPr>
                <w:rFonts w:hint="default" w:eastAsia="宋体"/>
                <w:color w:val="000000"/>
                <w:szCs w:val="21"/>
                <w:lang w:val="en-US" w:eastAsia="zh-CN"/>
              </w:rPr>
            </w:pPr>
            <w:r>
              <w:rPr>
                <w:rFonts w:hint="eastAsia"/>
                <w:color w:val="000000"/>
                <w:szCs w:val="21"/>
                <w:lang w:val="en-US" w:eastAsia="zh-CN"/>
              </w:rPr>
              <w:t>9024.49</w:t>
            </w:r>
          </w:p>
        </w:tc>
        <w:tc>
          <w:tcPr>
            <w:tcW w:w="1243" w:type="dxa"/>
            <w:vAlign w:val="center"/>
          </w:tcPr>
          <w:p>
            <w:pPr>
              <w:adjustRightInd w:val="0"/>
              <w:snapToGrid w:val="0"/>
              <w:spacing w:line="320" w:lineRule="exact"/>
              <w:jc w:val="center"/>
              <w:rPr>
                <w:rFonts w:hint="default" w:eastAsia="宋体"/>
                <w:bCs/>
                <w:iCs/>
                <w:szCs w:val="21"/>
                <w:lang w:val="en-US" w:eastAsia="zh-CN"/>
              </w:rPr>
            </w:pPr>
            <w:r>
              <w:rPr>
                <w:rFonts w:hint="eastAsia"/>
                <w:bCs/>
                <w:iCs/>
                <w:szCs w:val="21"/>
                <w:lang w:val="en-US" w:eastAsia="zh-CN"/>
              </w:rPr>
              <w:t>9024.49</w:t>
            </w:r>
          </w:p>
        </w:tc>
        <w:tc>
          <w:tcPr>
            <w:tcW w:w="1265" w:type="dxa"/>
            <w:vAlign w:val="center"/>
          </w:tcPr>
          <w:p>
            <w:pPr>
              <w:adjustRightInd w:val="0"/>
              <w:snapToGrid w:val="0"/>
              <w:spacing w:line="320" w:lineRule="exact"/>
              <w:jc w:val="center"/>
              <w:rPr>
                <w:bCs/>
                <w:iCs/>
                <w:szCs w:val="21"/>
              </w:rPr>
            </w:pPr>
            <w:r>
              <w:rPr>
                <w:bCs/>
                <w:i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restart"/>
            <w:tcBorders>
              <w:right w:val="single" w:color="auto" w:sz="12" w:space="0"/>
            </w:tcBorders>
            <w:vAlign w:val="center"/>
          </w:tcPr>
          <w:p>
            <w:pPr>
              <w:adjustRightInd w:val="0"/>
              <w:snapToGrid w:val="0"/>
              <w:spacing w:line="320" w:lineRule="exact"/>
              <w:jc w:val="center"/>
              <w:rPr>
                <w:bCs/>
                <w:szCs w:val="21"/>
              </w:rPr>
            </w:pPr>
            <w:r>
              <w:rPr>
                <w:bCs/>
                <w:szCs w:val="21"/>
              </w:rPr>
              <w:t>经“</w:t>
            </w:r>
            <w:r>
              <w:rPr>
                <w:rFonts w:hint="eastAsia"/>
                <w:bCs/>
                <w:szCs w:val="21"/>
                <w:lang w:eastAsia="zh-CN"/>
              </w:rPr>
              <w:t>黑膜</w:t>
            </w:r>
            <w:r>
              <w:rPr>
                <w:bCs/>
                <w:szCs w:val="21"/>
              </w:rPr>
              <w:t>沼气池”处理后做农肥使用不外排</w:t>
            </w:r>
            <w:r>
              <w:rPr>
                <w:bCs/>
                <w:iCs/>
                <w:szCs w:val="21"/>
              </w:rPr>
              <w:t>，</w:t>
            </w:r>
            <w:r>
              <w:rPr>
                <w:rFonts w:hint="eastAsia"/>
                <w:bCs/>
                <w:iCs/>
                <w:szCs w:val="21"/>
                <w:lang w:eastAsia="zh-CN"/>
              </w:rPr>
              <w:t>黑膜</w:t>
            </w:r>
            <w:r>
              <w:rPr>
                <w:bCs/>
                <w:iCs/>
                <w:szCs w:val="21"/>
              </w:rPr>
              <w:t>沼气池容积</w:t>
            </w:r>
            <w:r>
              <w:rPr>
                <w:rFonts w:hint="eastAsia"/>
                <w:bCs/>
                <w:iCs/>
                <w:szCs w:val="21"/>
                <w:lang w:val="en-US" w:eastAsia="zh-CN"/>
              </w:rPr>
              <w:t>1</w:t>
            </w:r>
            <w:r>
              <w:rPr>
                <w:bCs/>
                <w:iCs/>
                <w:szCs w:val="21"/>
              </w:rPr>
              <w:t>000m</w:t>
            </w:r>
            <w:r>
              <w:rPr>
                <w:bCs/>
                <w:i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COD</w:t>
            </w:r>
          </w:p>
        </w:tc>
        <w:tc>
          <w:tcPr>
            <w:tcW w:w="1479" w:type="dxa"/>
            <w:vAlign w:val="center"/>
          </w:tcPr>
          <w:p>
            <w:pPr>
              <w:jc w:val="center"/>
              <w:rPr>
                <w:rFonts w:hint="default" w:eastAsia="宋体"/>
                <w:sz w:val="22"/>
                <w:szCs w:val="22"/>
                <w:lang w:val="en-US" w:eastAsia="zh-CN"/>
              </w:rPr>
            </w:pPr>
            <w:r>
              <w:rPr>
                <w:rFonts w:hint="eastAsia"/>
                <w:sz w:val="22"/>
                <w:szCs w:val="22"/>
                <w:lang w:val="en-US" w:eastAsia="zh-CN"/>
              </w:rPr>
              <w:t>13858.47</w:t>
            </w:r>
          </w:p>
        </w:tc>
        <w:tc>
          <w:tcPr>
            <w:tcW w:w="1135" w:type="dxa"/>
            <w:vAlign w:val="center"/>
          </w:tcPr>
          <w:p>
            <w:pPr>
              <w:jc w:val="center"/>
              <w:rPr>
                <w:rFonts w:hint="default" w:eastAsia="宋体"/>
                <w:szCs w:val="21"/>
                <w:lang w:val="en-US" w:eastAsia="zh-CN"/>
              </w:rPr>
            </w:pPr>
            <w:r>
              <w:rPr>
                <w:rFonts w:hint="eastAsia"/>
                <w:szCs w:val="21"/>
                <w:lang w:val="en-US" w:eastAsia="zh-CN"/>
              </w:rPr>
              <w:t>125.07</w:t>
            </w:r>
          </w:p>
        </w:tc>
        <w:tc>
          <w:tcPr>
            <w:tcW w:w="1243" w:type="dxa"/>
            <w:vAlign w:val="bottom"/>
          </w:tcPr>
          <w:p>
            <w:pPr>
              <w:jc w:val="center"/>
              <w:rPr>
                <w:rFonts w:hint="eastAsia"/>
                <w:szCs w:val="21"/>
                <w:lang w:val="en-US" w:eastAsia="zh-CN"/>
              </w:rPr>
            </w:pPr>
            <w:r>
              <w:rPr>
                <w:rFonts w:hint="eastAsia"/>
                <w:szCs w:val="21"/>
                <w:lang w:val="en-US" w:eastAsia="zh-CN"/>
              </w:rPr>
              <w:t xml:space="preserve">97.99 </w:t>
            </w:r>
          </w:p>
        </w:tc>
        <w:tc>
          <w:tcPr>
            <w:tcW w:w="1265" w:type="dxa"/>
            <w:vAlign w:val="center"/>
          </w:tcPr>
          <w:p>
            <w:pPr>
              <w:jc w:val="center"/>
              <w:rPr>
                <w:color w:val="000000"/>
                <w:szCs w:val="21"/>
              </w:rPr>
            </w:pPr>
            <w:r>
              <w:rPr>
                <w:color w:val="000000"/>
                <w:szCs w:val="21"/>
              </w:rPr>
              <w:t>3000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BOD</w:t>
            </w:r>
            <w:r>
              <w:rPr>
                <w:bCs/>
                <w:szCs w:val="21"/>
                <w:vertAlign w:val="subscript"/>
              </w:rPr>
              <w:t>5</w:t>
            </w:r>
          </w:p>
        </w:tc>
        <w:tc>
          <w:tcPr>
            <w:tcW w:w="1479" w:type="dxa"/>
            <w:vAlign w:val="center"/>
          </w:tcPr>
          <w:p>
            <w:pPr>
              <w:jc w:val="center"/>
              <w:rPr>
                <w:rFonts w:hint="default" w:eastAsia="宋体"/>
                <w:sz w:val="22"/>
                <w:szCs w:val="22"/>
                <w:lang w:val="en-US" w:eastAsia="zh-CN"/>
              </w:rPr>
            </w:pPr>
            <w:r>
              <w:rPr>
                <w:rFonts w:hint="eastAsia"/>
                <w:sz w:val="22"/>
                <w:szCs w:val="22"/>
                <w:lang w:val="en-US" w:eastAsia="zh-CN"/>
              </w:rPr>
              <w:t>5545.72</w:t>
            </w:r>
          </w:p>
        </w:tc>
        <w:tc>
          <w:tcPr>
            <w:tcW w:w="1135" w:type="dxa"/>
            <w:vAlign w:val="center"/>
          </w:tcPr>
          <w:p>
            <w:pPr>
              <w:jc w:val="center"/>
              <w:rPr>
                <w:rFonts w:hint="default" w:eastAsia="宋体"/>
                <w:szCs w:val="21"/>
                <w:lang w:val="en-US" w:eastAsia="zh-CN"/>
              </w:rPr>
            </w:pPr>
            <w:r>
              <w:rPr>
                <w:rFonts w:hint="eastAsia"/>
                <w:szCs w:val="21"/>
                <w:lang w:val="en-US" w:eastAsia="zh-CN"/>
              </w:rPr>
              <w:t>50.05</w:t>
            </w:r>
          </w:p>
        </w:tc>
        <w:tc>
          <w:tcPr>
            <w:tcW w:w="1243" w:type="dxa"/>
            <w:vAlign w:val="bottom"/>
          </w:tcPr>
          <w:p>
            <w:pPr>
              <w:jc w:val="center"/>
              <w:rPr>
                <w:rFonts w:hint="eastAsia"/>
                <w:szCs w:val="21"/>
                <w:lang w:val="en-US" w:eastAsia="zh-CN"/>
              </w:rPr>
            </w:pPr>
            <w:r>
              <w:rPr>
                <w:rFonts w:hint="eastAsia"/>
                <w:szCs w:val="21"/>
                <w:lang w:val="en-US" w:eastAsia="zh-CN"/>
              </w:rPr>
              <w:t xml:space="preserve">37.41 </w:t>
            </w:r>
          </w:p>
        </w:tc>
        <w:tc>
          <w:tcPr>
            <w:tcW w:w="1265" w:type="dxa"/>
            <w:vAlign w:val="center"/>
          </w:tcPr>
          <w:p>
            <w:pPr>
              <w:jc w:val="center"/>
              <w:rPr>
                <w:color w:val="000000"/>
                <w:szCs w:val="21"/>
              </w:rPr>
            </w:pPr>
            <w:r>
              <w:rPr>
                <w:color w:val="000000"/>
                <w:szCs w:val="21"/>
              </w:rPr>
              <w:t>1400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SS</w:t>
            </w:r>
          </w:p>
        </w:tc>
        <w:tc>
          <w:tcPr>
            <w:tcW w:w="1479" w:type="dxa"/>
            <w:vAlign w:val="center"/>
          </w:tcPr>
          <w:p>
            <w:pPr>
              <w:jc w:val="center"/>
              <w:rPr>
                <w:rFonts w:hint="default" w:eastAsia="宋体"/>
                <w:sz w:val="22"/>
                <w:szCs w:val="22"/>
                <w:lang w:val="en-US" w:eastAsia="zh-CN"/>
              </w:rPr>
            </w:pPr>
            <w:r>
              <w:rPr>
                <w:rFonts w:hint="eastAsia"/>
                <w:sz w:val="22"/>
                <w:szCs w:val="22"/>
                <w:lang w:val="en-US" w:eastAsia="zh-CN"/>
              </w:rPr>
              <w:t>7209.82</w:t>
            </w:r>
          </w:p>
        </w:tc>
        <w:tc>
          <w:tcPr>
            <w:tcW w:w="1135" w:type="dxa"/>
            <w:vAlign w:val="center"/>
          </w:tcPr>
          <w:p>
            <w:pPr>
              <w:jc w:val="center"/>
              <w:rPr>
                <w:rFonts w:hint="default" w:eastAsia="宋体"/>
                <w:szCs w:val="21"/>
                <w:lang w:val="en-US" w:eastAsia="zh-CN"/>
              </w:rPr>
            </w:pPr>
            <w:r>
              <w:rPr>
                <w:rFonts w:hint="eastAsia"/>
                <w:szCs w:val="21"/>
                <w:lang w:val="en-US" w:eastAsia="zh-CN"/>
              </w:rPr>
              <w:t>65.06</w:t>
            </w:r>
          </w:p>
        </w:tc>
        <w:tc>
          <w:tcPr>
            <w:tcW w:w="1243" w:type="dxa"/>
            <w:vAlign w:val="bottom"/>
          </w:tcPr>
          <w:p>
            <w:pPr>
              <w:jc w:val="center"/>
              <w:rPr>
                <w:rFonts w:hint="eastAsia"/>
                <w:szCs w:val="21"/>
                <w:lang w:val="en-US" w:eastAsia="zh-CN"/>
              </w:rPr>
            </w:pPr>
            <w:r>
              <w:rPr>
                <w:rFonts w:hint="eastAsia"/>
                <w:szCs w:val="21"/>
                <w:lang w:val="en-US" w:eastAsia="zh-CN"/>
              </w:rPr>
              <w:t xml:space="preserve">47.02 </w:t>
            </w:r>
          </w:p>
        </w:tc>
        <w:tc>
          <w:tcPr>
            <w:tcW w:w="1265" w:type="dxa"/>
            <w:vAlign w:val="center"/>
          </w:tcPr>
          <w:p>
            <w:pPr>
              <w:jc w:val="center"/>
              <w:rPr>
                <w:color w:val="000000"/>
                <w:szCs w:val="21"/>
              </w:rPr>
            </w:pPr>
            <w:r>
              <w:rPr>
                <w:color w:val="000000"/>
                <w:szCs w:val="21"/>
              </w:rPr>
              <w:t>2000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color w:val="FF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NH</w:t>
            </w:r>
            <w:r>
              <w:rPr>
                <w:bCs/>
                <w:szCs w:val="21"/>
                <w:vertAlign w:val="subscript"/>
              </w:rPr>
              <w:t>3</w:t>
            </w:r>
            <w:r>
              <w:rPr>
                <w:bCs/>
                <w:szCs w:val="21"/>
              </w:rPr>
              <w:t>-N</w:t>
            </w:r>
          </w:p>
        </w:tc>
        <w:tc>
          <w:tcPr>
            <w:tcW w:w="1479" w:type="dxa"/>
            <w:vAlign w:val="center"/>
          </w:tcPr>
          <w:p>
            <w:pPr>
              <w:jc w:val="center"/>
              <w:rPr>
                <w:rFonts w:hint="default" w:eastAsia="宋体"/>
                <w:sz w:val="22"/>
                <w:szCs w:val="22"/>
                <w:lang w:val="en-US" w:eastAsia="zh-CN"/>
              </w:rPr>
            </w:pPr>
            <w:r>
              <w:rPr>
                <w:rFonts w:hint="eastAsia"/>
                <w:sz w:val="22"/>
                <w:szCs w:val="22"/>
                <w:lang w:val="en-US" w:eastAsia="zh-CN"/>
              </w:rPr>
              <w:t>924.67</w:t>
            </w:r>
          </w:p>
        </w:tc>
        <w:tc>
          <w:tcPr>
            <w:tcW w:w="1135" w:type="dxa"/>
            <w:vAlign w:val="center"/>
          </w:tcPr>
          <w:p>
            <w:pPr>
              <w:jc w:val="center"/>
              <w:rPr>
                <w:rFonts w:hint="default" w:eastAsia="宋体"/>
                <w:szCs w:val="21"/>
                <w:lang w:val="en-US" w:eastAsia="zh-CN"/>
              </w:rPr>
            </w:pPr>
            <w:r>
              <w:rPr>
                <w:rFonts w:hint="eastAsia"/>
                <w:szCs w:val="21"/>
                <w:lang w:val="en-US" w:eastAsia="zh-CN"/>
              </w:rPr>
              <w:t>8.34</w:t>
            </w:r>
          </w:p>
        </w:tc>
        <w:tc>
          <w:tcPr>
            <w:tcW w:w="1243" w:type="dxa"/>
            <w:vAlign w:val="bottom"/>
          </w:tcPr>
          <w:p>
            <w:pPr>
              <w:jc w:val="center"/>
              <w:rPr>
                <w:rFonts w:hint="eastAsia"/>
                <w:szCs w:val="21"/>
                <w:lang w:val="en-US" w:eastAsia="zh-CN"/>
              </w:rPr>
            </w:pPr>
            <w:r>
              <w:rPr>
                <w:rFonts w:hint="eastAsia"/>
                <w:szCs w:val="21"/>
                <w:lang w:val="en-US" w:eastAsia="zh-CN"/>
              </w:rPr>
              <w:t xml:space="preserve">0.22 </w:t>
            </w:r>
          </w:p>
        </w:tc>
        <w:tc>
          <w:tcPr>
            <w:tcW w:w="1265" w:type="dxa"/>
            <w:vAlign w:val="center"/>
          </w:tcPr>
          <w:p>
            <w:pPr>
              <w:jc w:val="center"/>
              <w:rPr>
                <w:color w:val="000000"/>
                <w:szCs w:val="21"/>
              </w:rPr>
            </w:pPr>
            <w:r>
              <w:rPr>
                <w:color w:val="000000"/>
                <w:szCs w:val="21"/>
              </w:rPr>
              <w:t>900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color w:val="FF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restart"/>
            <w:tcBorders>
              <w:left w:val="single" w:color="auto" w:sz="12" w:space="0"/>
            </w:tcBorders>
            <w:vAlign w:val="center"/>
          </w:tcPr>
          <w:p>
            <w:pPr>
              <w:adjustRightInd w:val="0"/>
              <w:snapToGrid w:val="0"/>
              <w:spacing w:line="320" w:lineRule="exact"/>
              <w:jc w:val="center"/>
              <w:rPr>
                <w:bCs/>
                <w:szCs w:val="21"/>
              </w:rPr>
            </w:pPr>
            <w:r>
              <w:rPr>
                <w:bCs/>
                <w:szCs w:val="21"/>
              </w:rPr>
              <w:t>固体废物</w:t>
            </w:r>
          </w:p>
        </w:tc>
        <w:tc>
          <w:tcPr>
            <w:tcW w:w="1886" w:type="dxa"/>
            <w:vAlign w:val="center"/>
          </w:tcPr>
          <w:p>
            <w:pPr>
              <w:adjustRightInd w:val="0"/>
              <w:snapToGrid w:val="0"/>
              <w:spacing w:line="320" w:lineRule="exact"/>
              <w:jc w:val="center"/>
              <w:rPr>
                <w:bCs/>
                <w:szCs w:val="21"/>
              </w:rPr>
            </w:pPr>
            <w:r>
              <w:rPr>
                <w:bCs/>
                <w:szCs w:val="21"/>
              </w:rPr>
              <w:t>清出猪粪</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center"/>
          </w:tcPr>
          <w:p>
            <w:pPr>
              <w:jc w:val="center"/>
              <w:rPr>
                <w:bCs/>
                <w:szCs w:val="21"/>
              </w:rPr>
            </w:pPr>
            <w:r>
              <w:rPr>
                <w:rFonts w:hint="eastAsia"/>
                <w:color w:val="000000"/>
                <w:szCs w:val="21"/>
                <w:lang w:val="en-US" w:eastAsia="zh-CN"/>
              </w:rPr>
              <w:t>1477.7</w:t>
            </w:r>
          </w:p>
        </w:tc>
        <w:tc>
          <w:tcPr>
            <w:tcW w:w="1243" w:type="dxa"/>
            <w:vAlign w:val="center"/>
          </w:tcPr>
          <w:p>
            <w:pPr>
              <w:jc w:val="center"/>
              <w:rPr>
                <w:bCs/>
                <w:szCs w:val="21"/>
              </w:rPr>
            </w:pPr>
            <w:r>
              <w:rPr>
                <w:rFonts w:hint="eastAsia"/>
                <w:color w:val="000000"/>
                <w:szCs w:val="21"/>
                <w:lang w:val="en-US" w:eastAsia="zh-CN"/>
              </w:rPr>
              <w:t>1477.7</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restart"/>
            <w:tcBorders>
              <w:right w:val="single" w:color="auto" w:sz="12" w:space="0"/>
            </w:tcBorders>
            <w:vAlign w:val="center"/>
          </w:tcPr>
          <w:p>
            <w:pPr>
              <w:adjustRightInd w:val="0"/>
              <w:snapToGrid w:val="0"/>
              <w:spacing w:line="320" w:lineRule="exact"/>
              <w:jc w:val="center"/>
              <w:rPr>
                <w:bCs/>
                <w:szCs w:val="21"/>
              </w:rPr>
            </w:pPr>
            <w:r>
              <w:rPr>
                <w:bCs/>
                <w:szCs w:val="21"/>
              </w:rPr>
              <w:t>经过发酵加工处理制作有机肥基肥料，外售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adjustRightInd w:val="0"/>
              <w:snapToGrid w:val="0"/>
              <w:spacing w:line="320" w:lineRule="exact"/>
              <w:jc w:val="center"/>
              <w:rPr>
                <w:bCs/>
                <w:color w:val="FF0000"/>
                <w:szCs w:val="21"/>
              </w:rPr>
            </w:pPr>
          </w:p>
        </w:tc>
        <w:tc>
          <w:tcPr>
            <w:tcW w:w="1886" w:type="dxa"/>
            <w:tcBorders>
              <w:top w:val="single" w:color="auto" w:sz="4" w:space="0"/>
            </w:tcBorders>
            <w:vAlign w:val="center"/>
          </w:tcPr>
          <w:p>
            <w:pPr>
              <w:adjustRightInd w:val="0"/>
              <w:snapToGrid w:val="0"/>
              <w:spacing w:line="320" w:lineRule="exact"/>
              <w:jc w:val="center"/>
              <w:rPr>
                <w:bCs/>
                <w:szCs w:val="21"/>
              </w:rPr>
            </w:pPr>
            <w:r>
              <w:rPr>
                <w:bCs/>
                <w:szCs w:val="21"/>
              </w:rPr>
              <w:t>沼渣</w:t>
            </w:r>
          </w:p>
        </w:tc>
        <w:tc>
          <w:tcPr>
            <w:tcW w:w="1479" w:type="dxa"/>
            <w:tcBorders>
              <w:top w:val="single" w:color="auto" w:sz="4" w:space="0"/>
            </w:tcBorders>
            <w:vAlign w:val="center"/>
          </w:tcPr>
          <w:p>
            <w:pPr>
              <w:adjustRightInd w:val="0"/>
              <w:snapToGrid w:val="0"/>
              <w:spacing w:line="320" w:lineRule="exact"/>
              <w:jc w:val="center"/>
              <w:rPr>
                <w:bCs/>
                <w:szCs w:val="21"/>
              </w:rPr>
            </w:pPr>
            <w:r>
              <w:rPr>
                <w:bCs/>
                <w:szCs w:val="21"/>
              </w:rPr>
              <w:t>—</w:t>
            </w:r>
          </w:p>
        </w:tc>
        <w:tc>
          <w:tcPr>
            <w:tcW w:w="1135" w:type="dxa"/>
            <w:tcBorders>
              <w:top w:val="single" w:color="auto" w:sz="4" w:space="0"/>
            </w:tcBorders>
            <w:vAlign w:val="center"/>
          </w:tcPr>
          <w:p>
            <w:pPr>
              <w:jc w:val="center"/>
              <w:rPr>
                <w:szCs w:val="21"/>
              </w:rPr>
            </w:pPr>
            <w:r>
              <w:rPr>
                <w:rFonts w:hint="eastAsia"/>
                <w:sz w:val="24"/>
                <w:lang w:val="en-US" w:eastAsia="zh-CN"/>
              </w:rPr>
              <w:t>44.33</w:t>
            </w:r>
          </w:p>
        </w:tc>
        <w:tc>
          <w:tcPr>
            <w:tcW w:w="1243" w:type="dxa"/>
            <w:tcBorders>
              <w:top w:val="single" w:color="auto" w:sz="4" w:space="0"/>
            </w:tcBorders>
            <w:vAlign w:val="center"/>
          </w:tcPr>
          <w:p>
            <w:pPr>
              <w:jc w:val="center"/>
              <w:rPr>
                <w:szCs w:val="21"/>
              </w:rPr>
            </w:pPr>
            <w:r>
              <w:rPr>
                <w:rFonts w:hint="eastAsia"/>
                <w:sz w:val="24"/>
                <w:lang w:val="en-US" w:eastAsia="zh-CN"/>
              </w:rPr>
              <w:t>44.33</w:t>
            </w:r>
          </w:p>
        </w:tc>
        <w:tc>
          <w:tcPr>
            <w:tcW w:w="1265" w:type="dxa"/>
            <w:tcBorders>
              <w:top w:val="single" w:color="auto" w:sz="4" w:space="0"/>
            </w:tcBorders>
            <w:vAlign w:val="center"/>
          </w:tcPr>
          <w:p>
            <w:pPr>
              <w:adjustRightInd w:val="0"/>
              <w:snapToGrid w:val="0"/>
              <w:spacing w:line="320" w:lineRule="exact"/>
              <w:jc w:val="center"/>
              <w:rPr>
                <w:bCs/>
                <w:szCs w:val="21"/>
              </w:rPr>
            </w:pPr>
            <w:r>
              <w:rPr>
                <w:bCs/>
                <w:szCs w:val="21"/>
              </w:rPr>
              <w:t>—</w:t>
            </w:r>
          </w:p>
        </w:tc>
        <w:tc>
          <w:tcPr>
            <w:tcW w:w="985" w:type="dxa"/>
            <w:tcBorders>
              <w:top w:val="single" w:color="auto" w:sz="4" w:space="0"/>
            </w:tcBorders>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adjustRightInd w:val="0"/>
              <w:snapToGrid w:val="0"/>
              <w:spacing w:line="320" w:lineRule="exact"/>
              <w:jc w:val="center"/>
              <w:rPr>
                <w:bCs/>
                <w:color w:val="FF0000"/>
                <w:szCs w:val="21"/>
              </w:rPr>
            </w:pPr>
          </w:p>
        </w:tc>
        <w:tc>
          <w:tcPr>
            <w:tcW w:w="1886" w:type="dxa"/>
            <w:vAlign w:val="center"/>
          </w:tcPr>
          <w:p>
            <w:pPr>
              <w:adjustRightInd w:val="0"/>
              <w:snapToGrid w:val="0"/>
              <w:spacing w:line="320" w:lineRule="exact"/>
              <w:jc w:val="center"/>
              <w:rPr>
                <w:bCs/>
                <w:szCs w:val="21"/>
              </w:rPr>
            </w:pPr>
            <w:r>
              <w:rPr>
                <w:bCs/>
                <w:szCs w:val="21"/>
              </w:rPr>
              <w:t>病死猪尸体</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center"/>
          </w:tcPr>
          <w:p>
            <w:pPr>
              <w:jc w:val="center"/>
              <w:rPr>
                <w:bCs/>
                <w:szCs w:val="21"/>
              </w:rPr>
            </w:pPr>
            <w:r>
              <w:rPr>
                <w:rFonts w:hint="eastAsia"/>
                <w:bCs/>
                <w:sz w:val="24"/>
                <w:lang w:val="en-US" w:eastAsia="zh-CN"/>
              </w:rPr>
              <w:t>7.2</w:t>
            </w:r>
          </w:p>
        </w:tc>
        <w:tc>
          <w:tcPr>
            <w:tcW w:w="1243" w:type="dxa"/>
            <w:vAlign w:val="center"/>
          </w:tcPr>
          <w:p>
            <w:pPr>
              <w:jc w:val="center"/>
              <w:rPr>
                <w:bCs/>
                <w:szCs w:val="21"/>
              </w:rPr>
            </w:pPr>
            <w:r>
              <w:rPr>
                <w:rFonts w:hint="eastAsia"/>
                <w:bCs/>
                <w:sz w:val="24"/>
                <w:lang w:val="en-US" w:eastAsia="zh-CN"/>
              </w:rPr>
              <w:t>7.2</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tcBorders>
              <w:right w:val="single" w:color="auto" w:sz="12" w:space="0"/>
            </w:tcBorders>
            <w:vAlign w:val="center"/>
          </w:tcPr>
          <w:p>
            <w:pPr>
              <w:adjustRightInd w:val="0"/>
              <w:snapToGrid w:val="0"/>
              <w:spacing w:line="320" w:lineRule="exact"/>
              <w:jc w:val="center"/>
              <w:rPr>
                <w:bCs/>
                <w:szCs w:val="21"/>
              </w:rPr>
            </w:pPr>
            <w:r>
              <w:rPr>
                <w:rFonts w:hint="eastAsia"/>
                <w:bCs/>
                <w:szCs w:val="21"/>
                <w:lang w:val="en-US" w:eastAsia="zh-CN"/>
              </w:rPr>
              <w:t>委托正阳县畜禽</w:t>
            </w:r>
            <w:r>
              <w:rPr>
                <w:bCs/>
                <w:szCs w:val="21"/>
              </w:rPr>
              <w:t>无害化处理中心处置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adjustRightInd w:val="0"/>
              <w:snapToGrid w:val="0"/>
              <w:spacing w:line="320" w:lineRule="exact"/>
              <w:jc w:val="center"/>
              <w:rPr>
                <w:bCs/>
                <w:color w:val="FF0000"/>
                <w:szCs w:val="21"/>
              </w:rPr>
            </w:pPr>
          </w:p>
        </w:tc>
        <w:tc>
          <w:tcPr>
            <w:tcW w:w="1886" w:type="dxa"/>
            <w:vAlign w:val="center"/>
          </w:tcPr>
          <w:p>
            <w:pPr>
              <w:adjustRightInd w:val="0"/>
              <w:snapToGrid w:val="0"/>
              <w:spacing w:line="320" w:lineRule="exact"/>
              <w:jc w:val="center"/>
              <w:rPr>
                <w:bCs/>
                <w:szCs w:val="21"/>
              </w:rPr>
            </w:pPr>
            <w:r>
              <w:rPr>
                <w:bCs/>
                <w:szCs w:val="21"/>
              </w:rPr>
              <w:t>生活垃圾</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center"/>
          </w:tcPr>
          <w:p>
            <w:pPr>
              <w:jc w:val="center"/>
              <w:rPr>
                <w:bCs/>
                <w:szCs w:val="21"/>
              </w:rPr>
            </w:pPr>
            <w:r>
              <w:rPr>
                <w:rFonts w:hint="eastAsia"/>
                <w:szCs w:val="21"/>
                <w:lang w:val="en-US" w:eastAsia="zh-CN"/>
              </w:rPr>
              <w:t>9.125</w:t>
            </w:r>
          </w:p>
        </w:tc>
        <w:tc>
          <w:tcPr>
            <w:tcW w:w="1243" w:type="dxa"/>
            <w:vAlign w:val="center"/>
          </w:tcPr>
          <w:p>
            <w:pPr>
              <w:jc w:val="center"/>
              <w:rPr>
                <w:bCs/>
                <w:szCs w:val="21"/>
              </w:rPr>
            </w:pPr>
            <w:r>
              <w:rPr>
                <w:rFonts w:hint="eastAsia"/>
                <w:szCs w:val="21"/>
                <w:lang w:val="en-US" w:eastAsia="zh-CN"/>
              </w:rPr>
              <w:t>9.125</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tcBorders>
              <w:right w:val="single" w:color="auto" w:sz="12" w:space="0"/>
            </w:tcBorders>
            <w:vAlign w:val="center"/>
          </w:tcPr>
          <w:p>
            <w:pPr>
              <w:adjustRightInd w:val="0"/>
              <w:snapToGrid w:val="0"/>
              <w:spacing w:line="320" w:lineRule="exact"/>
              <w:jc w:val="center"/>
              <w:rPr>
                <w:bCs/>
                <w:szCs w:val="21"/>
              </w:rPr>
            </w:pPr>
            <w:r>
              <w:rPr>
                <w:bCs/>
                <w:szCs w:val="21"/>
              </w:rPr>
              <w:t>送环卫部门处理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color w:val="FF0000"/>
                <w:kern w:val="44"/>
                <w:szCs w:val="21"/>
              </w:rPr>
            </w:pPr>
          </w:p>
        </w:tc>
        <w:tc>
          <w:tcPr>
            <w:tcW w:w="1886" w:type="dxa"/>
            <w:vAlign w:val="center"/>
          </w:tcPr>
          <w:p>
            <w:pPr>
              <w:adjustRightInd w:val="0"/>
              <w:snapToGrid w:val="0"/>
              <w:spacing w:line="320" w:lineRule="exact"/>
              <w:jc w:val="center"/>
              <w:rPr>
                <w:bCs/>
                <w:szCs w:val="21"/>
              </w:rPr>
            </w:pPr>
            <w:r>
              <w:rPr>
                <w:bCs/>
                <w:szCs w:val="21"/>
              </w:rPr>
              <w:t>疾病防疫产生的医疗废物</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center"/>
          </w:tcPr>
          <w:p>
            <w:pPr>
              <w:jc w:val="center"/>
              <w:rPr>
                <w:bCs/>
                <w:szCs w:val="21"/>
              </w:rPr>
            </w:pPr>
            <w:r>
              <w:rPr>
                <w:szCs w:val="21"/>
              </w:rPr>
              <w:t>0.</w:t>
            </w:r>
            <w:r>
              <w:rPr>
                <w:rFonts w:hint="eastAsia"/>
                <w:szCs w:val="21"/>
                <w:lang w:val="en-US" w:eastAsia="zh-CN"/>
              </w:rPr>
              <w:t>0</w:t>
            </w:r>
            <w:r>
              <w:rPr>
                <w:szCs w:val="21"/>
              </w:rPr>
              <w:t>25</w:t>
            </w:r>
          </w:p>
        </w:tc>
        <w:tc>
          <w:tcPr>
            <w:tcW w:w="1243" w:type="dxa"/>
            <w:vAlign w:val="center"/>
          </w:tcPr>
          <w:p>
            <w:pPr>
              <w:jc w:val="center"/>
              <w:rPr>
                <w:bCs/>
                <w:szCs w:val="21"/>
              </w:rPr>
            </w:pPr>
            <w:r>
              <w:rPr>
                <w:szCs w:val="21"/>
              </w:rPr>
              <w:t>0.</w:t>
            </w:r>
            <w:r>
              <w:rPr>
                <w:rFonts w:hint="eastAsia"/>
                <w:szCs w:val="21"/>
                <w:lang w:val="en-US" w:eastAsia="zh-CN"/>
              </w:rPr>
              <w:t>0</w:t>
            </w:r>
            <w:r>
              <w:rPr>
                <w:szCs w:val="21"/>
              </w:rPr>
              <w:t>25</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tcBorders>
              <w:right w:val="single" w:color="auto" w:sz="12" w:space="0"/>
            </w:tcBorders>
            <w:vAlign w:val="center"/>
          </w:tcPr>
          <w:p>
            <w:pPr>
              <w:adjustRightInd w:val="0"/>
              <w:snapToGrid w:val="0"/>
              <w:spacing w:line="320" w:lineRule="exact"/>
              <w:jc w:val="center"/>
              <w:rPr>
                <w:bCs/>
                <w:szCs w:val="21"/>
              </w:rPr>
            </w:pPr>
            <w:r>
              <w:rPr>
                <w:rFonts w:hint="eastAsia"/>
                <w:kern w:val="0"/>
                <w:szCs w:val="21"/>
                <w:lang w:val="en-US" w:eastAsia="zh-CN"/>
              </w:rPr>
              <w:t>委托有资质单位</w:t>
            </w:r>
            <w:r>
              <w:rPr>
                <w:bCs/>
                <w:color w:val="000000"/>
                <w:szCs w:val="21"/>
              </w:rPr>
              <w:t>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bottom w:val="single" w:color="auto" w:sz="12" w:space="0"/>
            </w:tcBorders>
            <w:vAlign w:val="center"/>
          </w:tcPr>
          <w:p>
            <w:pPr>
              <w:widowControl/>
              <w:adjustRightInd w:val="0"/>
              <w:snapToGrid w:val="0"/>
              <w:spacing w:line="320" w:lineRule="exact"/>
              <w:jc w:val="center"/>
              <w:rPr>
                <w:bCs/>
                <w:color w:val="FF0000"/>
                <w:kern w:val="44"/>
                <w:szCs w:val="21"/>
              </w:rPr>
            </w:pPr>
          </w:p>
        </w:tc>
        <w:tc>
          <w:tcPr>
            <w:tcW w:w="1886" w:type="dxa"/>
            <w:tcBorders>
              <w:bottom w:val="single" w:color="auto" w:sz="12" w:space="0"/>
            </w:tcBorders>
            <w:vAlign w:val="center"/>
          </w:tcPr>
          <w:p>
            <w:pPr>
              <w:adjustRightInd w:val="0"/>
              <w:snapToGrid w:val="0"/>
              <w:spacing w:line="320" w:lineRule="exact"/>
              <w:jc w:val="center"/>
              <w:rPr>
                <w:bCs/>
                <w:szCs w:val="21"/>
              </w:rPr>
            </w:pPr>
            <w:r>
              <w:rPr>
                <w:bCs/>
                <w:szCs w:val="21"/>
              </w:rPr>
              <w:t>脱硫装置产生的废脱硫剂</w:t>
            </w:r>
          </w:p>
        </w:tc>
        <w:tc>
          <w:tcPr>
            <w:tcW w:w="1479" w:type="dxa"/>
            <w:tcBorders>
              <w:bottom w:val="single" w:color="auto" w:sz="12" w:space="0"/>
            </w:tcBorders>
            <w:vAlign w:val="center"/>
          </w:tcPr>
          <w:p>
            <w:pPr>
              <w:adjustRightInd w:val="0"/>
              <w:snapToGrid w:val="0"/>
              <w:spacing w:line="320" w:lineRule="exact"/>
              <w:jc w:val="center"/>
              <w:rPr>
                <w:bCs/>
                <w:szCs w:val="21"/>
              </w:rPr>
            </w:pPr>
            <w:r>
              <w:rPr>
                <w:bCs/>
                <w:szCs w:val="21"/>
              </w:rPr>
              <w:t>—</w:t>
            </w:r>
          </w:p>
        </w:tc>
        <w:tc>
          <w:tcPr>
            <w:tcW w:w="1135" w:type="dxa"/>
            <w:tcBorders>
              <w:bottom w:val="single" w:color="auto" w:sz="12" w:space="0"/>
            </w:tcBorders>
            <w:vAlign w:val="center"/>
          </w:tcPr>
          <w:p>
            <w:pPr>
              <w:jc w:val="center"/>
              <w:rPr>
                <w:bCs/>
                <w:szCs w:val="21"/>
              </w:rPr>
            </w:pPr>
            <w:r>
              <w:rPr>
                <w:szCs w:val="21"/>
              </w:rPr>
              <w:t>0.</w:t>
            </w:r>
            <w:r>
              <w:rPr>
                <w:rFonts w:hint="eastAsia"/>
                <w:szCs w:val="21"/>
                <w:lang w:val="en-US" w:eastAsia="zh-CN"/>
              </w:rPr>
              <w:t>14</w:t>
            </w:r>
          </w:p>
        </w:tc>
        <w:tc>
          <w:tcPr>
            <w:tcW w:w="1243" w:type="dxa"/>
            <w:tcBorders>
              <w:bottom w:val="single" w:color="auto" w:sz="12" w:space="0"/>
            </w:tcBorders>
            <w:vAlign w:val="center"/>
          </w:tcPr>
          <w:p>
            <w:pPr>
              <w:jc w:val="center"/>
              <w:rPr>
                <w:bCs/>
                <w:szCs w:val="21"/>
              </w:rPr>
            </w:pPr>
            <w:r>
              <w:rPr>
                <w:szCs w:val="21"/>
              </w:rPr>
              <w:t>0.</w:t>
            </w:r>
            <w:r>
              <w:rPr>
                <w:rFonts w:hint="eastAsia"/>
                <w:szCs w:val="21"/>
                <w:lang w:val="en-US" w:eastAsia="zh-CN"/>
              </w:rPr>
              <w:t>14</w:t>
            </w:r>
          </w:p>
        </w:tc>
        <w:tc>
          <w:tcPr>
            <w:tcW w:w="1265" w:type="dxa"/>
            <w:tcBorders>
              <w:bottom w:val="single" w:color="auto" w:sz="12" w:space="0"/>
            </w:tcBorders>
            <w:vAlign w:val="center"/>
          </w:tcPr>
          <w:p>
            <w:pPr>
              <w:adjustRightInd w:val="0"/>
              <w:snapToGrid w:val="0"/>
              <w:spacing w:line="320" w:lineRule="exact"/>
              <w:jc w:val="center"/>
              <w:rPr>
                <w:bCs/>
                <w:szCs w:val="21"/>
              </w:rPr>
            </w:pPr>
            <w:r>
              <w:rPr>
                <w:bCs/>
                <w:szCs w:val="21"/>
              </w:rPr>
              <w:t>—</w:t>
            </w:r>
          </w:p>
        </w:tc>
        <w:tc>
          <w:tcPr>
            <w:tcW w:w="985" w:type="dxa"/>
            <w:tcBorders>
              <w:bottom w:val="single" w:color="auto" w:sz="12" w:space="0"/>
            </w:tcBorders>
            <w:vAlign w:val="center"/>
          </w:tcPr>
          <w:p>
            <w:pPr>
              <w:adjustRightInd w:val="0"/>
              <w:snapToGrid w:val="0"/>
              <w:spacing w:line="320" w:lineRule="exact"/>
              <w:jc w:val="center"/>
              <w:rPr>
                <w:bCs/>
                <w:szCs w:val="21"/>
              </w:rPr>
            </w:pPr>
            <w:r>
              <w:rPr>
                <w:bCs/>
                <w:szCs w:val="21"/>
              </w:rPr>
              <w:t>0</w:t>
            </w:r>
          </w:p>
        </w:tc>
        <w:tc>
          <w:tcPr>
            <w:tcW w:w="3562" w:type="dxa"/>
            <w:tcBorders>
              <w:bottom w:val="single" w:color="auto" w:sz="12" w:space="0"/>
              <w:right w:val="single" w:color="auto" w:sz="12" w:space="0"/>
            </w:tcBorders>
            <w:vAlign w:val="center"/>
          </w:tcPr>
          <w:p>
            <w:pPr>
              <w:adjustRightInd w:val="0"/>
              <w:snapToGrid w:val="0"/>
              <w:spacing w:line="320" w:lineRule="exact"/>
              <w:jc w:val="center"/>
              <w:rPr>
                <w:bCs/>
                <w:szCs w:val="21"/>
              </w:rPr>
            </w:pPr>
            <w:r>
              <w:rPr>
                <w:szCs w:val="21"/>
              </w:rPr>
              <w:t>由生产厂家统一回收</w:t>
            </w:r>
          </w:p>
        </w:tc>
      </w:tr>
    </w:tbl>
    <w:p>
      <w:pPr>
        <w:rPr>
          <w:color w:val="FF0000"/>
          <w:sz w:val="24"/>
        </w:rPr>
      </w:pPr>
    </w:p>
    <w:p>
      <w:pPr>
        <w:pStyle w:val="2"/>
        <w:sectPr>
          <w:pgSz w:w="16838" w:h="11906" w:orient="landscape"/>
          <w:pgMar w:top="1587" w:right="1984" w:bottom="1587" w:left="1701" w:header="851" w:footer="992" w:gutter="0"/>
          <w:pgBorders>
            <w:top w:val="none" w:sz="0" w:space="0"/>
            <w:left w:val="none" w:sz="0" w:space="0"/>
            <w:bottom w:val="none" w:sz="0" w:space="0"/>
            <w:right w:val="none" w:sz="0" w:space="0"/>
          </w:pgBorders>
          <w:cols w:space="720" w:num="1"/>
          <w:docGrid w:linePitch="312" w:charSpace="0"/>
        </w:sectPr>
      </w:pPr>
    </w:p>
    <w:p>
      <w:pPr>
        <w:tabs>
          <w:tab w:val="left" w:pos="340"/>
        </w:tabs>
        <w:adjustRightInd w:val="0"/>
        <w:snapToGrid w:val="0"/>
        <w:spacing w:beforeLines="200" w:afterLines="150" w:line="460" w:lineRule="exact"/>
        <w:jc w:val="center"/>
        <w:outlineLvl w:val="0"/>
        <w:rPr>
          <w:b/>
          <w:bCs/>
          <w:snapToGrid w:val="0"/>
          <w:kern w:val="0"/>
          <w:sz w:val="44"/>
          <w:szCs w:val="44"/>
        </w:rPr>
      </w:pPr>
      <w:bookmarkStart w:id="176" w:name="_Toc470206263"/>
      <w:bookmarkStart w:id="177" w:name="_Toc413833393"/>
      <w:bookmarkStart w:id="178" w:name="_Toc20551"/>
      <w:bookmarkStart w:id="179" w:name="_Toc485996379"/>
      <w:r>
        <w:rPr>
          <w:b/>
          <w:bCs/>
          <w:snapToGrid w:val="0"/>
          <w:kern w:val="0"/>
          <w:sz w:val="44"/>
          <w:szCs w:val="44"/>
        </w:rPr>
        <w:t>第</w:t>
      </w:r>
      <w:r>
        <w:rPr>
          <w:rFonts w:hint="eastAsia"/>
          <w:b/>
          <w:bCs/>
          <w:snapToGrid w:val="0"/>
          <w:kern w:val="0"/>
          <w:sz w:val="44"/>
          <w:szCs w:val="44"/>
          <w:lang w:val="en-US" w:eastAsia="zh-CN"/>
        </w:rPr>
        <w:t>三</w:t>
      </w:r>
      <w:r>
        <w:rPr>
          <w:b/>
          <w:bCs/>
          <w:snapToGrid w:val="0"/>
          <w:kern w:val="0"/>
          <w:sz w:val="44"/>
          <w:szCs w:val="44"/>
        </w:rPr>
        <w:t xml:space="preserve">章  </w:t>
      </w:r>
      <w:bookmarkEnd w:id="176"/>
      <w:bookmarkEnd w:id="177"/>
      <w:r>
        <w:rPr>
          <w:b/>
          <w:bCs/>
          <w:snapToGrid w:val="0"/>
          <w:kern w:val="0"/>
          <w:sz w:val="44"/>
          <w:szCs w:val="44"/>
        </w:rPr>
        <w:t>环境现状调查与评价</w:t>
      </w:r>
      <w:bookmarkEnd w:id="178"/>
      <w:bookmarkEnd w:id="179"/>
    </w:p>
    <w:p>
      <w:pPr>
        <w:snapToGrid w:val="0"/>
        <w:spacing w:line="360" w:lineRule="auto"/>
        <w:outlineLvl w:val="1"/>
        <w:rPr>
          <w:bCs/>
          <w:sz w:val="28"/>
          <w:szCs w:val="28"/>
        </w:rPr>
      </w:pPr>
      <w:bookmarkStart w:id="180" w:name="_Toc472009596"/>
      <w:bookmarkStart w:id="181" w:name="_Toc485996380"/>
      <w:bookmarkStart w:id="182" w:name="_Toc6167"/>
      <w:r>
        <w:rPr>
          <w:rFonts w:hint="eastAsia"/>
          <w:bCs/>
          <w:sz w:val="28"/>
          <w:szCs w:val="28"/>
          <w:lang w:val="en-US" w:eastAsia="zh-CN"/>
        </w:rPr>
        <w:t>3</w:t>
      </w:r>
      <w:r>
        <w:rPr>
          <w:bCs/>
          <w:sz w:val="28"/>
          <w:szCs w:val="28"/>
        </w:rPr>
        <w:t>.1自然现状调查与评价</w:t>
      </w:r>
      <w:bookmarkEnd w:id="180"/>
      <w:bookmarkEnd w:id="181"/>
      <w:bookmarkEnd w:id="182"/>
    </w:p>
    <w:p>
      <w:pPr>
        <w:pStyle w:val="6"/>
        <w:spacing w:before="0" w:after="0" w:line="360" w:lineRule="auto"/>
        <w:rPr>
          <w:b w:val="0"/>
          <w:sz w:val="24"/>
          <w:szCs w:val="24"/>
        </w:rPr>
      </w:pPr>
      <w:r>
        <w:rPr>
          <w:rFonts w:hint="eastAsia"/>
          <w:b w:val="0"/>
          <w:sz w:val="24"/>
          <w:szCs w:val="24"/>
          <w:lang w:val="en-US" w:eastAsia="zh-CN"/>
        </w:rPr>
        <w:t>3</w:t>
      </w:r>
      <w:r>
        <w:rPr>
          <w:b w:val="0"/>
          <w:sz w:val="24"/>
          <w:szCs w:val="24"/>
        </w:rPr>
        <w:t>.1.1</w:t>
      </w:r>
      <w:r>
        <w:rPr>
          <w:b w:val="0"/>
          <w:kern w:val="0"/>
          <w:sz w:val="24"/>
          <w:szCs w:val="24"/>
        </w:rPr>
        <w:t>地理位置与交通情况</w:t>
      </w:r>
    </w:p>
    <w:p>
      <w:pPr>
        <w:spacing w:line="500" w:lineRule="exact"/>
        <w:ind w:firstLine="480" w:firstLineChars="200"/>
        <w:rPr>
          <w:rFonts w:ascii="Times New Roman"/>
          <w:color w:val="000000"/>
          <w:sz w:val="24"/>
        </w:rPr>
      </w:pPr>
      <w:r>
        <w:rPr>
          <w:rFonts w:ascii="Times New Roman" w:hAnsi="宋体"/>
          <w:color w:val="000000"/>
          <w:sz w:val="24"/>
        </w:rPr>
        <w:t>驻马店市位于河南省中南部，东经</w:t>
      </w:r>
      <w:r>
        <w:rPr>
          <w:rFonts w:ascii="Times New Roman"/>
          <w:color w:val="000000"/>
          <w:sz w:val="24"/>
        </w:rPr>
        <w:t>113°10ˊ</w:t>
      </w:r>
      <w:r>
        <w:rPr>
          <w:rFonts w:ascii="Times New Roman" w:hAnsi="宋体"/>
          <w:color w:val="000000"/>
          <w:sz w:val="24"/>
        </w:rPr>
        <w:t>～</w:t>
      </w:r>
      <w:r>
        <w:rPr>
          <w:rFonts w:ascii="Times New Roman"/>
          <w:color w:val="000000"/>
          <w:sz w:val="24"/>
        </w:rPr>
        <w:t>115°12ˊ</w:t>
      </w:r>
      <w:r>
        <w:rPr>
          <w:rFonts w:ascii="Times New Roman" w:hAnsi="宋体"/>
          <w:color w:val="000000"/>
          <w:sz w:val="24"/>
        </w:rPr>
        <w:t>、北纬</w:t>
      </w:r>
      <w:r>
        <w:rPr>
          <w:rFonts w:ascii="Times New Roman"/>
          <w:color w:val="000000"/>
          <w:sz w:val="24"/>
        </w:rPr>
        <w:t xml:space="preserve"> 32°18ˊ</w:t>
      </w:r>
      <w:r>
        <w:rPr>
          <w:rFonts w:ascii="Times New Roman" w:hAnsi="宋体"/>
          <w:color w:val="000000"/>
          <w:sz w:val="24"/>
        </w:rPr>
        <w:t>～</w:t>
      </w:r>
    </w:p>
    <w:p>
      <w:pPr>
        <w:spacing w:line="500" w:lineRule="exact"/>
        <w:rPr>
          <w:rFonts w:ascii="Times New Roman"/>
          <w:color w:val="000000"/>
          <w:sz w:val="24"/>
        </w:rPr>
      </w:pPr>
      <w:r>
        <w:rPr>
          <w:rFonts w:ascii="Times New Roman"/>
          <w:color w:val="000000"/>
          <w:sz w:val="24"/>
        </w:rPr>
        <w:t>33°35ˊ</w:t>
      </w:r>
      <w:r>
        <w:rPr>
          <w:rFonts w:ascii="Times New Roman" w:hAnsi="宋体"/>
          <w:color w:val="000000"/>
          <w:sz w:val="24"/>
        </w:rPr>
        <w:t>。东西长</w:t>
      </w:r>
      <w:r>
        <w:rPr>
          <w:rFonts w:ascii="Times New Roman"/>
          <w:color w:val="000000"/>
          <w:sz w:val="24"/>
        </w:rPr>
        <w:t>191.5km</w:t>
      </w:r>
      <w:r>
        <w:rPr>
          <w:rFonts w:ascii="Times New Roman" w:hAnsi="宋体"/>
          <w:color w:val="000000"/>
          <w:sz w:val="24"/>
        </w:rPr>
        <w:t>，南北宽</w:t>
      </w:r>
      <w:r>
        <w:rPr>
          <w:rFonts w:ascii="Times New Roman"/>
          <w:color w:val="000000"/>
          <w:sz w:val="24"/>
        </w:rPr>
        <w:t>137.5km</w:t>
      </w:r>
      <w:r>
        <w:rPr>
          <w:rFonts w:ascii="Times New Roman" w:hAnsi="宋体"/>
          <w:color w:val="000000"/>
          <w:sz w:val="24"/>
        </w:rPr>
        <w:t>，总面积</w:t>
      </w:r>
      <w:r>
        <w:rPr>
          <w:rFonts w:ascii="Times New Roman"/>
          <w:color w:val="000000"/>
          <w:sz w:val="24"/>
        </w:rPr>
        <w:t>15095km</w:t>
      </w:r>
      <w:r>
        <w:rPr>
          <w:rFonts w:ascii="Times New Roman"/>
          <w:color w:val="000000"/>
          <w:sz w:val="24"/>
          <w:vertAlign w:val="superscript"/>
        </w:rPr>
        <w:t xml:space="preserve"> 2</w:t>
      </w:r>
      <w:r>
        <w:rPr>
          <w:rFonts w:ascii="Times New Roman" w:hAnsi="宋体"/>
          <w:color w:val="000000"/>
          <w:sz w:val="24"/>
        </w:rPr>
        <w:t>，占全省总面积的</w:t>
      </w:r>
      <w:r>
        <w:rPr>
          <w:rFonts w:ascii="Times New Roman"/>
          <w:color w:val="000000"/>
          <w:sz w:val="24"/>
        </w:rPr>
        <w:t xml:space="preserve"> 8.9%</w:t>
      </w:r>
      <w:r>
        <w:rPr>
          <w:rFonts w:ascii="Times New Roman" w:hAnsi="宋体"/>
          <w:color w:val="000000"/>
          <w:sz w:val="24"/>
        </w:rPr>
        <w:t>。驻马店市东接安徽省阜阳地区，西连南阳市，北靠周口市、平顶山市和漯河，南邻信阳市，现管辖遂平、西平、上蔡、平舆、新蔡、正阳、</w:t>
      </w:r>
      <w:r>
        <w:rPr>
          <w:rFonts w:hint="eastAsia" w:hAnsi="宋体"/>
          <w:color w:val="000000"/>
          <w:sz w:val="24"/>
          <w:lang w:eastAsia="zh-CN"/>
        </w:rPr>
        <w:t>正阳</w:t>
      </w:r>
      <w:r>
        <w:rPr>
          <w:rFonts w:ascii="Times New Roman" w:hAnsi="宋体"/>
          <w:color w:val="000000"/>
          <w:sz w:val="24"/>
        </w:rPr>
        <w:t>、汝南、确山九县和驿城区。</w:t>
      </w:r>
    </w:p>
    <w:p>
      <w:pPr>
        <w:spacing w:line="360" w:lineRule="auto"/>
        <w:ind w:firstLine="480" w:firstLineChars="200"/>
        <w:rPr>
          <w:rFonts w:hint="eastAsia"/>
          <w:sz w:val="24"/>
          <w:lang w:eastAsia="zh-CN"/>
        </w:rPr>
      </w:pPr>
      <w:r>
        <w:rPr>
          <w:rFonts w:ascii="Times New Roman" w:hAnsi="宋体"/>
          <w:color w:val="000000"/>
          <w:sz w:val="24"/>
        </w:rPr>
        <w:t>正阳县位于河南省东南部，淮河北岸。东与新蔡、息县接壤，西与确山县毗邻，北靠汝南、平舆，南与罗山、信阳县隔淮相望。地处东经</w:t>
      </w:r>
      <w:r>
        <w:rPr>
          <w:rFonts w:ascii="Times New Roman"/>
          <w:color w:val="000000"/>
          <w:sz w:val="24"/>
        </w:rPr>
        <w:t>114°12</w:t>
      </w:r>
      <w:r>
        <w:rPr>
          <w:rFonts w:ascii="Times New Roman"/>
          <w:color w:val="000000"/>
          <w:szCs w:val="28"/>
        </w:rPr>
        <w:t>ˊ</w:t>
      </w:r>
      <w:r>
        <w:rPr>
          <w:rFonts w:ascii="Times New Roman"/>
          <w:color w:val="000000"/>
          <w:sz w:val="24"/>
        </w:rPr>
        <w:t>—114°53</w:t>
      </w:r>
      <w:r>
        <w:rPr>
          <w:rFonts w:ascii="Times New Roman" w:hAnsi="宋体"/>
          <w:color w:val="000000"/>
          <w:sz w:val="24"/>
        </w:rPr>
        <w:t>＇，北纬</w:t>
      </w:r>
      <w:r>
        <w:rPr>
          <w:rFonts w:ascii="Times New Roman"/>
          <w:color w:val="000000"/>
          <w:sz w:val="24"/>
        </w:rPr>
        <w:t>32°16</w:t>
      </w:r>
      <w:r>
        <w:rPr>
          <w:rFonts w:ascii="Times New Roman" w:hAnsi="宋体"/>
          <w:color w:val="000000"/>
          <w:sz w:val="24"/>
        </w:rPr>
        <w:t>＇</w:t>
      </w:r>
      <w:r>
        <w:rPr>
          <w:rFonts w:ascii="Times New Roman"/>
          <w:color w:val="000000"/>
          <w:sz w:val="24"/>
        </w:rPr>
        <w:t>—32°47</w:t>
      </w:r>
      <w:r>
        <w:rPr>
          <w:rFonts w:ascii="Times New Roman" w:hAnsi="宋体"/>
          <w:color w:val="000000"/>
          <w:sz w:val="24"/>
        </w:rPr>
        <w:t>＇。南北长</w:t>
      </w:r>
      <w:r>
        <w:rPr>
          <w:rFonts w:ascii="Times New Roman"/>
          <w:color w:val="000000"/>
          <w:sz w:val="24"/>
        </w:rPr>
        <w:t>57</w:t>
      </w:r>
      <w:r>
        <w:rPr>
          <w:rFonts w:ascii="Times New Roman" w:hAnsi="宋体"/>
          <w:color w:val="000000"/>
          <w:sz w:val="24"/>
        </w:rPr>
        <w:t>公里，东西宽</w:t>
      </w:r>
      <w:r>
        <w:rPr>
          <w:rFonts w:ascii="Times New Roman"/>
          <w:color w:val="000000"/>
          <w:sz w:val="24"/>
        </w:rPr>
        <w:t>64.5</w:t>
      </w:r>
      <w:r>
        <w:rPr>
          <w:rFonts w:ascii="Times New Roman" w:hAnsi="宋体"/>
          <w:color w:val="000000"/>
          <w:sz w:val="24"/>
        </w:rPr>
        <w:t>公里。总面积</w:t>
      </w:r>
      <w:r>
        <w:rPr>
          <w:rFonts w:ascii="Times New Roman"/>
          <w:color w:val="000000"/>
          <w:sz w:val="24"/>
        </w:rPr>
        <w:t>1903</w:t>
      </w:r>
      <w:r>
        <w:rPr>
          <w:rFonts w:ascii="Times New Roman" w:hAnsi="宋体"/>
          <w:color w:val="000000"/>
          <w:sz w:val="24"/>
        </w:rPr>
        <w:t>平方公里</w:t>
      </w:r>
      <w:bookmarkStart w:id="183" w:name="_Toc163642795"/>
      <w:bookmarkStart w:id="184" w:name="_Toc163642678"/>
      <w:bookmarkStart w:id="185" w:name="_Toc163642560"/>
      <w:r>
        <w:rPr>
          <w:rFonts w:ascii="Times New Roman" w:hAnsi="宋体"/>
          <w:color w:val="000000"/>
          <w:sz w:val="24"/>
        </w:rPr>
        <w:t>，辖</w:t>
      </w:r>
      <w:r>
        <w:rPr>
          <w:rFonts w:ascii="Times New Roman"/>
          <w:color w:val="000000"/>
          <w:sz w:val="24"/>
        </w:rPr>
        <w:t>7</w:t>
      </w:r>
      <w:r>
        <w:rPr>
          <w:rFonts w:ascii="Times New Roman" w:hAnsi="宋体"/>
          <w:color w:val="000000"/>
          <w:sz w:val="24"/>
        </w:rPr>
        <w:t>镇</w:t>
      </w:r>
      <w:r>
        <w:rPr>
          <w:rFonts w:ascii="Times New Roman"/>
          <w:color w:val="000000"/>
          <w:sz w:val="24"/>
        </w:rPr>
        <w:t>12</w:t>
      </w:r>
      <w:r>
        <w:rPr>
          <w:rFonts w:ascii="Times New Roman" w:hAnsi="宋体"/>
          <w:color w:val="000000"/>
          <w:sz w:val="24"/>
        </w:rPr>
        <w:t>乡。</w:t>
      </w:r>
      <w:bookmarkEnd w:id="183"/>
      <w:bookmarkEnd w:id="184"/>
      <w:bookmarkEnd w:id="185"/>
      <w:r>
        <w:rPr>
          <w:rFonts w:hint="eastAsia"/>
          <w:sz w:val="24"/>
          <w:lang w:eastAsia="zh-CN"/>
        </w:rPr>
        <w:t>。</w:t>
      </w:r>
    </w:p>
    <w:p>
      <w:pPr>
        <w:spacing w:line="360" w:lineRule="auto"/>
        <w:ind w:firstLine="480" w:firstLineChars="200"/>
      </w:pPr>
      <w:r>
        <w:rPr>
          <w:sz w:val="24"/>
        </w:rPr>
        <w:t>本次评价对象位于</w:t>
      </w:r>
      <w:r>
        <w:rPr>
          <w:rFonts w:hint="eastAsia"/>
          <w:sz w:val="24"/>
          <w:lang w:eastAsia="zh-CN"/>
        </w:rPr>
        <w:t>正阳县</w:t>
      </w:r>
      <w:r>
        <w:rPr>
          <w:rFonts w:hint="eastAsia"/>
          <w:sz w:val="24"/>
          <w:lang w:val="en-US" w:eastAsia="zh-CN"/>
        </w:rPr>
        <w:t>青年农场</w:t>
      </w:r>
      <w:r>
        <w:rPr>
          <w:sz w:val="24"/>
        </w:rPr>
        <w:t>，场区四周为农田。周边500m内无村庄、学校、医院、疗养院等环境敏感点及无功能性地表水体</w:t>
      </w:r>
      <w:r>
        <w:t>。</w:t>
      </w:r>
    </w:p>
    <w:p>
      <w:pPr>
        <w:pStyle w:val="6"/>
        <w:spacing w:before="0" w:after="0" w:line="520" w:lineRule="exact"/>
        <w:rPr>
          <w:rFonts w:hint="eastAsia" w:eastAsia="黑体"/>
          <w:b w:val="0"/>
          <w:sz w:val="24"/>
          <w:szCs w:val="24"/>
          <w:lang w:val="en-US" w:eastAsia="zh-CN"/>
        </w:rPr>
      </w:pPr>
      <w:r>
        <w:rPr>
          <w:rFonts w:hint="eastAsia" w:eastAsia="黑体"/>
          <w:b w:val="0"/>
          <w:sz w:val="24"/>
          <w:szCs w:val="24"/>
          <w:lang w:val="en-US" w:eastAsia="zh-CN"/>
        </w:rPr>
        <w:t>3.1.2地形、地貌、地质</w:t>
      </w:r>
    </w:p>
    <w:p>
      <w:pPr>
        <w:autoSpaceDE w:val="0"/>
        <w:autoSpaceDN w:val="0"/>
        <w:spacing w:line="520" w:lineRule="exact"/>
        <w:ind w:firstLine="479"/>
        <w:rPr>
          <w:rFonts w:ascii="Times New Roman"/>
          <w:color w:val="000000"/>
          <w:sz w:val="24"/>
        </w:rPr>
      </w:pPr>
      <w:r>
        <w:rPr>
          <w:rFonts w:ascii="Times New Roman" w:hAnsi="宋体"/>
          <w:color w:val="000000"/>
          <w:sz w:val="24"/>
        </w:rPr>
        <w:t>正阳属于</w:t>
      </w:r>
      <w:r>
        <w:rPr>
          <w:rFonts w:hint="eastAsia" w:ascii="Times New Roman" w:hAnsi="宋体"/>
          <w:color w:val="000000"/>
          <w:sz w:val="24"/>
        </w:rPr>
        <w:t>淮河地带</w:t>
      </w:r>
      <w:r>
        <w:rPr>
          <w:rFonts w:ascii="Times New Roman" w:hAnsi="宋体"/>
          <w:color w:val="000000"/>
          <w:sz w:val="24"/>
        </w:rPr>
        <w:t>的坳陷部分，系由淮河北岸支流经多年泛滥和冲积而形成。地势由西北向东南倾斜，宽阔平坦，为一低地平原。局部地下水埋藏甚浅，地表径流排泄不畅，出现积水，造成部分起伏状态。正阳县地表为黄淮冲积平原的一部分，境内既无高山，亦无丘陵。地面标高在</w:t>
      </w:r>
      <w:r>
        <w:rPr>
          <w:rFonts w:ascii="Times New Roman"/>
          <w:color w:val="000000"/>
          <w:sz w:val="24"/>
        </w:rPr>
        <w:t>65</w:t>
      </w:r>
      <w:r>
        <w:rPr>
          <w:rFonts w:ascii="Times New Roman" w:hAnsi="宋体"/>
          <w:color w:val="000000"/>
          <w:sz w:val="24"/>
        </w:rPr>
        <w:t>～</w:t>
      </w:r>
      <w:r>
        <w:rPr>
          <w:rFonts w:ascii="Times New Roman"/>
          <w:color w:val="000000"/>
          <w:sz w:val="24"/>
        </w:rPr>
        <w:t>85</w:t>
      </w:r>
      <w:r>
        <w:rPr>
          <w:rFonts w:ascii="Times New Roman" w:hAnsi="宋体"/>
          <w:color w:val="000000"/>
          <w:sz w:val="24"/>
        </w:rPr>
        <w:t>米之间，西北部宋店最高为</w:t>
      </w:r>
      <w:r>
        <w:rPr>
          <w:rFonts w:ascii="Times New Roman"/>
          <w:color w:val="000000"/>
          <w:sz w:val="24"/>
        </w:rPr>
        <w:t>103</w:t>
      </w:r>
      <w:r>
        <w:rPr>
          <w:rFonts w:ascii="Times New Roman" w:hAnsi="宋体"/>
          <w:color w:val="000000"/>
          <w:sz w:val="24"/>
        </w:rPr>
        <w:t>米，东部李洼最低为</w:t>
      </w:r>
      <w:r>
        <w:rPr>
          <w:rFonts w:ascii="Times New Roman"/>
          <w:color w:val="000000"/>
          <w:sz w:val="24"/>
        </w:rPr>
        <w:t>36.1</w:t>
      </w:r>
      <w:r>
        <w:rPr>
          <w:rFonts w:ascii="Times New Roman" w:hAnsi="宋体"/>
          <w:color w:val="000000"/>
          <w:sz w:val="24"/>
        </w:rPr>
        <w:t>米。比降</w:t>
      </w:r>
      <w:r>
        <w:rPr>
          <w:rFonts w:ascii="Times New Roman"/>
          <w:color w:val="000000"/>
          <w:sz w:val="24"/>
        </w:rPr>
        <w:t>1</w:t>
      </w:r>
      <w:r>
        <w:rPr>
          <w:rFonts w:ascii="Times New Roman" w:hAnsi="宋体"/>
          <w:color w:val="000000"/>
          <w:sz w:val="24"/>
        </w:rPr>
        <w:t>：</w:t>
      </w:r>
      <w:r>
        <w:rPr>
          <w:rFonts w:ascii="Times New Roman"/>
          <w:color w:val="000000"/>
          <w:sz w:val="24"/>
        </w:rPr>
        <w:t>200</w:t>
      </w:r>
      <w:r>
        <w:rPr>
          <w:rFonts w:ascii="Times New Roman" w:hAnsi="宋体"/>
          <w:color w:val="000000"/>
          <w:sz w:val="24"/>
        </w:rPr>
        <w:t>～</w:t>
      </w:r>
      <w:r>
        <w:rPr>
          <w:rFonts w:ascii="Times New Roman"/>
          <w:color w:val="000000"/>
          <w:sz w:val="24"/>
        </w:rPr>
        <w:t>1:1500</w:t>
      </w:r>
      <w:r>
        <w:rPr>
          <w:rFonts w:ascii="Times New Roman" w:hAnsi="宋体"/>
          <w:color w:val="000000"/>
          <w:sz w:val="24"/>
        </w:rPr>
        <w:t>，河流大都随地势之倾斜方向，自西北流向东南。县内平原</w:t>
      </w:r>
      <w:r>
        <w:rPr>
          <w:rFonts w:ascii="Times New Roman"/>
          <w:color w:val="000000"/>
          <w:sz w:val="24"/>
        </w:rPr>
        <w:t>1324.5</w:t>
      </w:r>
      <w:r>
        <w:rPr>
          <w:rFonts w:ascii="Times New Roman" w:hAnsi="宋体"/>
          <w:color w:val="000000"/>
          <w:sz w:val="24"/>
        </w:rPr>
        <w:t>平方公里，占总面积的</w:t>
      </w:r>
      <w:r>
        <w:rPr>
          <w:rFonts w:ascii="Times New Roman"/>
          <w:color w:val="000000"/>
          <w:sz w:val="24"/>
        </w:rPr>
        <w:t>70</w:t>
      </w:r>
      <w:r>
        <w:rPr>
          <w:rFonts w:ascii="Times New Roman" w:hAnsi="宋体"/>
          <w:color w:val="000000"/>
          <w:sz w:val="24"/>
        </w:rPr>
        <w:t>％；洼地</w:t>
      </w:r>
      <w:r>
        <w:rPr>
          <w:rFonts w:ascii="Times New Roman"/>
          <w:color w:val="000000"/>
          <w:sz w:val="24"/>
        </w:rPr>
        <w:t>382.5</w:t>
      </w:r>
      <w:r>
        <w:rPr>
          <w:rFonts w:ascii="Times New Roman" w:hAnsi="宋体"/>
          <w:color w:val="000000"/>
          <w:sz w:val="24"/>
        </w:rPr>
        <w:t>平方公里，占总面积的</w:t>
      </w:r>
      <w:r>
        <w:rPr>
          <w:rFonts w:ascii="Times New Roman"/>
          <w:color w:val="000000"/>
          <w:sz w:val="24"/>
        </w:rPr>
        <w:t>20</w:t>
      </w:r>
      <w:r>
        <w:rPr>
          <w:rFonts w:ascii="Times New Roman" w:hAnsi="宋体"/>
          <w:color w:val="000000"/>
          <w:sz w:val="24"/>
        </w:rPr>
        <w:t>％；岗地</w:t>
      </w:r>
      <w:r>
        <w:rPr>
          <w:rFonts w:ascii="Times New Roman"/>
          <w:color w:val="000000"/>
          <w:sz w:val="24"/>
        </w:rPr>
        <w:t>196</w:t>
      </w:r>
      <w:r>
        <w:rPr>
          <w:rFonts w:ascii="Times New Roman" w:hAnsi="宋体"/>
          <w:color w:val="000000"/>
          <w:sz w:val="24"/>
        </w:rPr>
        <w:t>平方公里，占总面积的</w:t>
      </w:r>
      <w:r>
        <w:rPr>
          <w:rFonts w:ascii="Times New Roman"/>
          <w:color w:val="000000"/>
          <w:sz w:val="24"/>
        </w:rPr>
        <w:t>10</w:t>
      </w:r>
      <w:r>
        <w:rPr>
          <w:rFonts w:ascii="Times New Roman" w:hAnsi="宋体"/>
          <w:color w:val="000000"/>
          <w:sz w:val="24"/>
        </w:rPr>
        <w:t>％。</w:t>
      </w:r>
      <w:r>
        <w:rPr>
          <w:rFonts w:ascii="Times New Roman"/>
          <w:color w:val="000000"/>
          <w:sz w:val="24"/>
        </w:rPr>
        <w:t xml:space="preserve"> </w:t>
      </w:r>
    </w:p>
    <w:p>
      <w:pPr>
        <w:spacing w:line="360" w:lineRule="auto"/>
        <w:ind w:firstLine="480" w:firstLineChars="200"/>
        <w:rPr>
          <w:rFonts w:hint="eastAsia"/>
          <w:sz w:val="24"/>
          <w:lang w:val="en-US" w:eastAsia="zh-CN"/>
        </w:rPr>
      </w:pPr>
      <w:r>
        <w:rPr>
          <w:rFonts w:ascii="Times New Roman" w:hAnsi="宋体"/>
          <w:color w:val="000000"/>
          <w:sz w:val="24"/>
        </w:rPr>
        <w:t>正阳县属冲湖积浅丘平原地带，地势平坦、地形开阔。项目所在区域地层属第四纪晚更新世纪形成的膨胀土。区域地质结构和成土母质多为变质岩系，工程地质均匀，土层深厚，土壤多为棕黄壤，潮土、砂姜土、水稻土四类</w:t>
      </w:r>
      <w:r>
        <w:rPr>
          <w:rFonts w:hint="eastAsia"/>
          <w:sz w:val="24"/>
          <w:lang w:val="en-US" w:eastAsia="zh-CN"/>
        </w:rPr>
        <w:t>。</w:t>
      </w:r>
    </w:p>
    <w:p>
      <w:pPr>
        <w:pStyle w:val="6"/>
        <w:spacing w:before="0" w:after="0" w:line="520" w:lineRule="exact"/>
        <w:rPr>
          <w:rFonts w:eastAsia="黑体"/>
          <w:sz w:val="24"/>
          <w:szCs w:val="24"/>
        </w:rPr>
      </w:pPr>
      <w:r>
        <w:rPr>
          <w:rFonts w:hint="eastAsia" w:eastAsia="黑体"/>
          <w:b w:val="0"/>
          <w:sz w:val="24"/>
          <w:szCs w:val="24"/>
          <w:lang w:val="en-US" w:eastAsia="zh-CN"/>
        </w:rPr>
        <w:t>3</w:t>
      </w:r>
      <w:r>
        <w:rPr>
          <w:rFonts w:eastAsia="黑体"/>
          <w:b w:val="0"/>
          <w:sz w:val="24"/>
          <w:szCs w:val="24"/>
        </w:rPr>
        <w:t>.1.3</w:t>
      </w:r>
      <w:r>
        <w:rPr>
          <w:kern w:val="0"/>
          <w:sz w:val="24"/>
          <w:szCs w:val="24"/>
        </w:rPr>
        <w:t>气候气象</w:t>
      </w:r>
    </w:p>
    <w:p>
      <w:pPr>
        <w:spacing w:line="360" w:lineRule="auto"/>
        <w:ind w:firstLine="480" w:firstLineChars="200"/>
        <w:rPr>
          <w:rFonts w:hint="eastAsia"/>
          <w:sz w:val="24"/>
          <w:lang w:val="en-US" w:eastAsia="zh-CN"/>
        </w:rPr>
      </w:pPr>
      <w:r>
        <w:rPr>
          <w:rFonts w:ascii="Times New Roman" w:hAnsi="宋体"/>
          <w:color w:val="000000"/>
          <w:sz w:val="24"/>
        </w:rPr>
        <w:t>正阳县属北亚热带向暖温带的过渡区，属大陆性季风型亚湿润气候，四季分明，夏热冬冷，春秋温和。雨水充沛，阳光充足。年平均气温</w:t>
      </w:r>
      <w:r>
        <w:rPr>
          <w:rFonts w:ascii="Times New Roman"/>
          <w:color w:val="000000"/>
          <w:sz w:val="24"/>
        </w:rPr>
        <w:t>14.9</w:t>
      </w:r>
      <w:r>
        <w:rPr>
          <w:rFonts w:ascii="Times New Roman" w:hAnsi="宋体"/>
          <w:color w:val="000000"/>
          <w:sz w:val="24"/>
        </w:rPr>
        <w:t>℃，年平均降雨量</w:t>
      </w:r>
      <w:r>
        <w:rPr>
          <w:rFonts w:ascii="Times New Roman"/>
          <w:color w:val="000000"/>
          <w:sz w:val="24"/>
        </w:rPr>
        <w:t>933.4mm</w:t>
      </w:r>
      <w:r>
        <w:rPr>
          <w:rFonts w:ascii="Times New Roman" w:hAnsi="宋体"/>
          <w:color w:val="000000"/>
          <w:sz w:val="24"/>
        </w:rPr>
        <w:t>，全年最多风向以西北偏北风为主，南风次之，年平均风速</w:t>
      </w:r>
      <w:r>
        <w:rPr>
          <w:rFonts w:ascii="Times New Roman"/>
          <w:color w:val="000000"/>
          <w:sz w:val="24"/>
        </w:rPr>
        <w:t>2.5m/s</w:t>
      </w:r>
      <w:r>
        <w:rPr>
          <w:rFonts w:ascii="Times New Roman" w:hAnsi="宋体"/>
          <w:color w:val="000000"/>
          <w:sz w:val="24"/>
        </w:rPr>
        <w:t>，年平均气压</w:t>
      </w:r>
      <w:r>
        <w:rPr>
          <w:rFonts w:ascii="Times New Roman"/>
          <w:color w:val="000000"/>
          <w:sz w:val="24"/>
        </w:rPr>
        <w:t>1006.9Pa</w:t>
      </w:r>
      <w:r>
        <w:rPr>
          <w:rFonts w:hint="eastAsia"/>
          <w:sz w:val="24"/>
          <w:lang w:val="en-US" w:eastAsia="zh-CN"/>
        </w:rPr>
        <w:t>。</w:t>
      </w:r>
    </w:p>
    <w:p>
      <w:pPr>
        <w:pStyle w:val="6"/>
        <w:spacing w:before="0" w:after="0" w:line="520" w:lineRule="exact"/>
        <w:rPr>
          <w:rFonts w:eastAsia="黑体"/>
          <w:sz w:val="24"/>
          <w:szCs w:val="24"/>
        </w:rPr>
      </w:pPr>
      <w:r>
        <w:rPr>
          <w:rFonts w:hint="eastAsia" w:eastAsia="黑体"/>
          <w:sz w:val="24"/>
          <w:szCs w:val="24"/>
          <w:lang w:val="en-US" w:eastAsia="zh-CN"/>
        </w:rPr>
        <w:t>3</w:t>
      </w:r>
      <w:r>
        <w:rPr>
          <w:rFonts w:eastAsia="黑体"/>
          <w:sz w:val="24"/>
          <w:szCs w:val="24"/>
        </w:rPr>
        <w:t>.1.4水文</w:t>
      </w:r>
    </w:p>
    <w:p>
      <w:pPr>
        <w:pStyle w:val="7"/>
        <w:spacing w:before="0" w:after="0" w:line="520" w:lineRule="exact"/>
        <w:rPr>
          <w:rFonts w:hAnsi="Times New Roman" w:eastAsia="宋体"/>
          <w:sz w:val="24"/>
        </w:rPr>
      </w:pPr>
      <w:r>
        <w:rPr>
          <w:rFonts w:hint="eastAsia" w:hAnsi="Times New Roman" w:eastAsia="宋体"/>
          <w:sz w:val="24"/>
          <w:lang w:val="en-US" w:eastAsia="zh-CN"/>
        </w:rPr>
        <w:t>3</w:t>
      </w:r>
      <w:r>
        <w:rPr>
          <w:rFonts w:hAnsi="Times New Roman" w:eastAsia="宋体"/>
          <w:sz w:val="24"/>
        </w:rPr>
        <w:t>.1.4.1地表水</w:t>
      </w:r>
    </w:p>
    <w:p>
      <w:pPr>
        <w:autoSpaceDE w:val="0"/>
        <w:autoSpaceDN w:val="0"/>
        <w:spacing w:line="520" w:lineRule="exact"/>
        <w:ind w:firstLine="480" w:firstLineChars="200"/>
        <w:rPr>
          <w:rFonts w:ascii="Times New Roman"/>
          <w:color w:val="000000"/>
          <w:sz w:val="24"/>
        </w:rPr>
      </w:pPr>
      <w:r>
        <w:rPr>
          <w:rFonts w:ascii="Times New Roman" w:hAnsi="宋体"/>
          <w:color w:val="000000"/>
          <w:sz w:val="24"/>
        </w:rPr>
        <w:t>正阳县属淮河流域，境内有淮、汝河两大水系。淮河水系流经正阳县南部和中部的</w:t>
      </w:r>
      <w:r>
        <w:rPr>
          <w:rFonts w:ascii="Times New Roman"/>
          <w:color w:val="000000"/>
          <w:sz w:val="24"/>
        </w:rPr>
        <w:t>12</w:t>
      </w:r>
      <w:r>
        <w:rPr>
          <w:rFonts w:ascii="Times New Roman" w:hAnsi="宋体"/>
          <w:color w:val="000000"/>
          <w:sz w:val="24"/>
        </w:rPr>
        <w:t>个乡镇，境内全长</w:t>
      </w:r>
      <w:r>
        <w:rPr>
          <w:rFonts w:ascii="Times New Roman"/>
          <w:color w:val="000000"/>
          <w:sz w:val="24"/>
        </w:rPr>
        <w:t>54km</w:t>
      </w:r>
      <w:r>
        <w:rPr>
          <w:rFonts w:ascii="Times New Roman" w:hAnsi="宋体"/>
          <w:color w:val="000000"/>
          <w:sz w:val="24"/>
        </w:rPr>
        <w:t>，流域面积</w:t>
      </w:r>
      <w:r>
        <w:rPr>
          <w:rFonts w:ascii="Times New Roman"/>
          <w:color w:val="000000"/>
          <w:sz w:val="24"/>
        </w:rPr>
        <w:t>1217km</w:t>
      </w:r>
      <w:r>
        <w:rPr>
          <w:rFonts w:ascii="Times New Roman"/>
          <w:color w:val="000000"/>
          <w:sz w:val="24"/>
          <w:vertAlign w:val="superscript"/>
        </w:rPr>
        <w:t>2</w:t>
      </w:r>
      <w:r>
        <w:rPr>
          <w:rFonts w:ascii="Times New Roman" w:hAnsi="宋体"/>
          <w:color w:val="000000"/>
          <w:sz w:val="24"/>
        </w:rPr>
        <w:t>。其主要支流有闾河、清水河、白河、陡沟、祝大堰、三门堰、涂店堰等；汝河水系流经县城东、北的</w:t>
      </w:r>
      <w:r>
        <w:rPr>
          <w:rFonts w:ascii="Times New Roman"/>
          <w:color w:val="000000"/>
          <w:sz w:val="24"/>
        </w:rPr>
        <w:t>7</w:t>
      </w:r>
      <w:r>
        <w:rPr>
          <w:rFonts w:ascii="Times New Roman" w:hAnsi="宋体"/>
          <w:color w:val="000000"/>
          <w:sz w:val="24"/>
        </w:rPr>
        <w:t>个乡镇，境内长度</w:t>
      </w:r>
      <w:r>
        <w:rPr>
          <w:rFonts w:ascii="Times New Roman"/>
          <w:color w:val="000000"/>
          <w:sz w:val="24"/>
        </w:rPr>
        <w:t>75km</w:t>
      </w:r>
      <w:r>
        <w:rPr>
          <w:rFonts w:ascii="Times New Roman" w:hAnsi="宋体"/>
          <w:color w:val="000000"/>
          <w:sz w:val="24"/>
        </w:rPr>
        <w:t>，流域面积</w:t>
      </w:r>
      <w:r>
        <w:rPr>
          <w:rFonts w:ascii="Times New Roman"/>
          <w:color w:val="000000"/>
          <w:sz w:val="24"/>
        </w:rPr>
        <w:t>686km</w:t>
      </w:r>
      <w:r>
        <w:rPr>
          <w:rFonts w:ascii="Times New Roman"/>
          <w:color w:val="000000"/>
          <w:sz w:val="24"/>
          <w:vertAlign w:val="superscript"/>
        </w:rPr>
        <w:t>2</w:t>
      </w:r>
      <w:r>
        <w:rPr>
          <w:rFonts w:ascii="Times New Roman" w:hAnsi="宋体"/>
          <w:color w:val="000000"/>
          <w:sz w:val="24"/>
        </w:rPr>
        <w:t>。其主要支流有慎水河、黄大港、文殊河、东公正沟、西公正沟、付港等。上述河流中，闾河和清水河为淮河一级支流，慎水河为汝河二级支流，均为季节性河流，主要功能为排涝泄洪。</w:t>
      </w:r>
    </w:p>
    <w:p>
      <w:pPr>
        <w:spacing w:line="360" w:lineRule="auto"/>
        <w:ind w:firstLine="480" w:firstLineChars="200"/>
        <w:rPr>
          <w:rFonts w:hint="eastAsia"/>
          <w:sz w:val="24"/>
          <w:lang w:eastAsia="zh-CN"/>
        </w:rPr>
      </w:pPr>
      <w:r>
        <w:rPr>
          <w:rFonts w:ascii="Times New Roman" w:hAnsi="宋体"/>
          <w:color w:val="000000"/>
          <w:sz w:val="24"/>
        </w:rPr>
        <w:t>项目区附近的功能性地表水体为</w:t>
      </w:r>
      <w:r>
        <w:rPr>
          <w:rFonts w:hint="eastAsia" w:ascii="Times New Roman" w:hAnsi="宋体"/>
          <w:color w:val="000000"/>
          <w:sz w:val="24"/>
        </w:rPr>
        <w:t>南</w:t>
      </w:r>
      <w:r>
        <w:rPr>
          <w:rFonts w:hint="eastAsia" w:ascii="Times New Roman" w:hAnsi="宋体"/>
          <w:color w:val="000000"/>
          <w:sz w:val="24"/>
          <w:lang w:val="en-US" w:eastAsia="zh-CN"/>
        </w:rPr>
        <w:t>侧闾河</w:t>
      </w:r>
      <w:r>
        <w:rPr>
          <w:rFonts w:hint="eastAsia"/>
          <w:sz w:val="24"/>
          <w:lang w:val="en-US" w:eastAsia="zh-CN"/>
        </w:rPr>
        <w:t>。</w:t>
      </w:r>
    </w:p>
    <w:p>
      <w:pPr>
        <w:pStyle w:val="7"/>
        <w:spacing w:before="0" w:after="0" w:line="360" w:lineRule="auto"/>
        <w:rPr>
          <w:rFonts w:hAnsi="Times New Roman" w:eastAsia="宋体"/>
          <w:sz w:val="24"/>
        </w:rPr>
      </w:pPr>
      <w:r>
        <w:rPr>
          <w:rFonts w:hint="eastAsia" w:hAnsi="Times New Roman" w:eastAsia="宋体"/>
          <w:sz w:val="24"/>
          <w:lang w:val="en-US" w:eastAsia="zh-CN"/>
        </w:rPr>
        <w:t>3</w:t>
      </w:r>
      <w:r>
        <w:rPr>
          <w:rFonts w:hAnsi="Times New Roman" w:eastAsia="宋体"/>
          <w:sz w:val="24"/>
        </w:rPr>
        <w:t>.1.4.2地下水</w:t>
      </w:r>
    </w:p>
    <w:p>
      <w:pPr>
        <w:autoSpaceDE w:val="0"/>
        <w:autoSpaceDN w:val="0"/>
        <w:spacing w:line="520" w:lineRule="exact"/>
        <w:ind w:firstLine="480" w:firstLineChars="200"/>
        <w:rPr>
          <w:rFonts w:ascii="Times New Roman"/>
          <w:color w:val="000000"/>
          <w:sz w:val="24"/>
        </w:rPr>
      </w:pPr>
      <w:r>
        <w:rPr>
          <w:rFonts w:ascii="Times New Roman" w:hAnsi="宋体"/>
          <w:color w:val="000000"/>
          <w:sz w:val="24"/>
        </w:rPr>
        <w:t>正阳县地下水分为三个水文地质分区：富水亚砂土区、贫水亚粘土区、弱富水亚粘土区。根据河南省驻马店地质工程堪察院提供的勘查资料，正阳县区地下水类型为浅层含水层（赋存潜水）和深层含水层（赋存承压水）；浅层含水层单井涌水量小于</w:t>
      </w:r>
      <w:r>
        <w:rPr>
          <w:rFonts w:ascii="Times New Roman"/>
          <w:color w:val="000000"/>
          <w:sz w:val="24"/>
        </w:rPr>
        <w:t>500m</w:t>
      </w:r>
      <w:r>
        <w:rPr>
          <w:rFonts w:ascii="Times New Roman"/>
          <w:color w:val="000000"/>
          <w:sz w:val="24"/>
          <w:vertAlign w:val="superscript"/>
        </w:rPr>
        <w:t>3</w:t>
      </w:r>
      <w:r>
        <w:rPr>
          <w:rFonts w:ascii="Times New Roman"/>
          <w:color w:val="000000"/>
          <w:sz w:val="24"/>
        </w:rPr>
        <w:t>/d</w:t>
      </w:r>
      <w:r>
        <w:rPr>
          <w:rFonts w:ascii="Times New Roman" w:hAnsi="宋体"/>
          <w:color w:val="000000"/>
          <w:sz w:val="24"/>
        </w:rPr>
        <w:t>，属弱富水区；深层含水层厚度</w:t>
      </w:r>
      <w:r>
        <w:rPr>
          <w:rFonts w:ascii="Times New Roman"/>
          <w:color w:val="000000"/>
          <w:sz w:val="24"/>
        </w:rPr>
        <w:t>50</w:t>
      </w:r>
      <w:r>
        <w:rPr>
          <w:rFonts w:ascii="Times New Roman" w:hAnsi="宋体"/>
          <w:color w:val="000000"/>
          <w:sz w:val="24"/>
        </w:rPr>
        <w:t>～</w:t>
      </w:r>
      <w:r>
        <w:rPr>
          <w:rFonts w:ascii="Times New Roman"/>
          <w:color w:val="000000"/>
          <w:sz w:val="24"/>
        </w:rPr>
        <w:t>75m</w:t>
      </w:r>
      <w:r>
        <w:rPr>
          <w:rFonts w:ascii="Times New Roman" w:hAnsi="宋体"/>
          <w:color w:val="000000"/>
          <w:sz w:val="24"/>
        </w:rPr>
        <w:t>，单井涌水量</w:t>
      </w:r>
      <w:r>
        <w:rPr>
          <w:rFonts w:ascii="Times New Roman"/>
          <w:color w:val="000000"/>
          <w:sz w:val="24"/>
        </w:rPr>
        <w:t>100</w:t>
      </w:r>
      <w:r>
        <w:rPr>
          <w:rFonts w:ascii="Times New Roman" w:hAnsi="宋体"/>
          <w:color w:val="000000"/>
          <w:sz w:val="24"/>
        </w:rPr>
        <w:t>～</w:t>
      </w:r>
      <w:r>
        <w:rPr>
          <w:rFonts w:ascii="Times New Roman"/>
          <w:color w:val="000000"/>
          <w:sz w:val="24"/>
        </w:rPr>
        <w:t>3000m</w:t>
      </w:r>
      <w:r>
        <w:rPr>
          <w:rFonts w:ascii="Times New Roman"/>
          <w:color w:val="000000"/>
          <w:sz w:val="24"/>
          <w:vertAlign w:val="superscript"/>
        </w:rPr>
        <w:t>3</w:t>
      </w:r>
      <w:r>
        <w:rPr>
          <w:rFonts w:ascii="Times New Roman"/>
          <w:color w:val="000000"/>
          <w:sz w:val="24"/>
        </w:rPr>
        <w:t>/d</w:t>
      </w:r>
      <w:r>
        <w:rPr>
          <w:rFonts w:ascii="Times New Roman" w:hAnsi="宋体"/>
          <w:color w:val="000000"/>
          <w:sz w:val="24"/>
        </w:rPr>
        <w:t>，属富水区。正阳县城区地下水储量丰富，水质良好，县城附近单井出水量在</w:t>
      </w:r>
      <w:r>
        <w:rPr>
          <w:rFonts w:ascii="Times New Roman"/>
          <w:color w:val="000000"/>
          <w:sz w:val="24"/>
        </w:rPr>
        <w:t>60</w:t>
      </w:r>
      <w:r>
        <w:rPr>
          <w:rFonts w:ascii="Times New Roman" w:hAnsi="宋体"/>
          <w:color w:val="000000"/>
          <w:sz w:val="24"/>
        </w:rPr>
        <w:t>～</w:t>
      </w:r>
      <w:r>
        <w:rPr>
          <w:rFonts w:ascii="Times New Roman"/>
          <w:color w:val="000000"/>
          <w:sz w:val="24"/>
        </w:rPr>
        <w:t>80m</w:t>
      </w:r>
      <w:r>
        <w:rPr>
          <w:rFonts w:ascii="Times New Roman"/>
          <w:color w:val="000000"/>
          <w:sz w:val="24"/>
          <w:vertAlign w:val="superscript"/>
        </w:rPr>
        <w:t>3</w:t>
      </w:r>
      <w:r>
        <w:rPr>
          <w:rFonts w:ascii="Times New Roman"/>
          <w:color w:val="000000"/>
          <w:sz w:val="24"/>
        </w:rPr>
        <w:t>/h</w:t>
      </w:r>
      <w:r>
        <w:rPr>
          <w:rFonts w:ascii="Times New Roman" w:hAnsi="宋体"/>
          <w:color w:val="000000"/>
          <w:sz w:val="24"/>
        </w:rPr>
        <w:t>，大气降水和河水是本</w:t>
      </w:r>
      <w:r>
        <w:rPr>
          <w:rFonts w:hint="eastAsia" w:ascii="Times New Roman" w:hAnsi="宋体"/>
          <w:color w:val="000000"/>
          <w:sz w:val="24"/>
        </w:rPr>
        <w:t>区</w:t>
      </w:r>
      <w:r>
        <w:rPr>
          <w:rFonts w:ascii="Times New Roman" w:hAnsi="宋体"/>
          <w:color w:val="000000"/>
          <w:sz w:val="24"/>
        </w:rPr>
        <w:t>域地下水的主要来源。区域地下水的流向大致自西北向东南。</w:t>
      </w:r>
    </w:p>
    <w:p>
      <w:pPr>
        <w:spacing w:line="360" w:lineRule="auto"/>
        <w:ind w:firstLine="480" w:firstLineChars="200"/>
        <w:rPr>
          <w:b/>
          <w:sz w:val="24"/>
        </w:rPr>
      </w:pPr>
      <w:r>
        <w:rPr>
          <w:rFonts w:ascii="Times New Roman" w:hAnsi="宋体"/>
          <w:color w:val="000000"/>
          <w:sz w:val="24"/>
        </w:rPr>
        <w:t>项目位于平原区，项目区附近土壤类型主要为黄棕壤土为主，土壤包气带渗透系数为</w:t>
      </w:r>
      <w:r>
        <w:rPr>
          <w:rFonts w:ascii="Times New Roman"/>
          <w:color w:val="000000"/>
          <w:sz w:val="24"/>
        </w:rPr>
        <w:t>2×10</w:t>
      </w:r>
      <w:r>
        <w:rPr>
          <w:rFonts w:ascii="Times New Roman"/>
          <w:color w:val="000000"/>
          <w:sz w:val="24"/>
          <w:vertAlign w:val="superscript"/>
        </w:rPr>
        <w:t>-7</w:t>
      </w:r>
      <w:r>
        <w:rPr>
          <w:rFonts w:ascii="Times New Roman"/>
          <w:color w:val="000000"/>
          <w:sz w:val="24"/>
        </w:rPr>
        <w:t>cm/s</w:t>
      </w:r>
      <w:r>
        <w:rPr>
          <w:rFonts w:ascii="Times New Roman" w:hAnsi="宋体"/>
          <w:color w:val="000000"/>
          <w:sz w:val="24"/>
        </w:rPr>
        <w:t>＜</w:t>
      </w:r>
      <w:r>
        <w:rPr>
          <w:rFonts w:ascii="Times New Roman"/>
          <w:color w:val="000000"/>
          <w:sz w:val="24"/>
        </w:rPr>
        <w:t>K</w:t>
      </w:r>
      <w:r>
        <w:rPr>
          <w:rFonts w:ascii="Times New Roman" w:hAnsi="宋体"/>
          <w:color w:val="000000"/>
          <w:sz w:val="24"/>
        </w:rPr>
        <w:t>＜</w:t>
      </w:r>
      <w:r>
        <w:rPr>
          <w:rFonts w:ascii="Times New Roman"/>
          <w:color w:val="000000"/>
          <w:sz w:val="24"/>
        </w:rPr>
        <w:t>5×10</w:t>
      </w:r>
      <w:r>
        <w:rPr>
          <w:rFonts w:ascii="Times New Roman"/>
          <w:color w:val="000000"/>
          <w:sz w:val="24"/>
          <w:vertAlign w:val="superscript"/>
        </w:rPr>
        <w:t>-4</w:t>
      </w:r>
      <w:r>
        <w:rPr>
          <w:rFonts w:ascii="Times New Roman"/>
          <w:color w:val="000000"/>
          <w:sz w:val="24"/>
        </w:rPr>
        <w:t>cm/s</w:t>
      </w:r>
      <w:r>
        <w:rPr>
          <w:rFonts w:ascii="Times New Roman" w:hAnsi="宋体"/>
          <w:color w:val="000000"/>
          <w:sz w:val="24"/>
        </w:rPr>
        <w:t>，地下水主要为浅层地下水，区域地下水走向为自西北向东南，</w:t>
      </w:r>
      <w:r>
        <w:rPr>
          <w:rFonts w:hint="eastAsia" w:ascii="Times New Roman" w:hAnsi="宋体"/>
          <w:color w:val="000000"/>
          <w:sz w:val="24"/>
        </w:rPr>
        <w:t>根据正阳县地下水埋深图（见附图六），</w:t>
      </w:r>
      <w:r>
        <w:rPr>
          <w:rFonts w:ascii="Times New Roman" w:hAnsi="宋体"/>
          <w:color w:val="000000"/>
          <w:sz w:val="24"/>
        </w:rPr>
        <w:t>埋深</w:t>
      </w:r>
      <w:r>
        <w:rPr>
          <w:rFonts w:hint="eastAsia" w:ascii="Times New Roman"/>
          <w:color w:val="000000"/>
          <w:sz w:val="24"/>
        </w:rPr>
        <w:t>2</w:t>
      </w:r>
      <w:r>
        <w:rPr>
          <w:rFonts w:ascii="Times New Roman" w:hAnsi="宋体"/>
          <w:color w:val="000000"/>
          <w:sz w:val="24"/>
        </w:rPr>
        <w:t>～</w:t>
      </w:r>
      <w:r>
        <w:rPr>
          <w:rFonts w:hint="eastAsia" w:ascii="Times New Roman"/>
          <w:color w:val="000000"/>
          <w:sz w:val="24"/>
        </w:rPr>
        <w:t>4</w:t>
      </w:r>
      <w:r>
        <w:rPr>
          <w:rFonts w:ascii="Times New Roman"/>
          <w:color w:val="000000"/>
          <w:sz w:val="24"/>
        </w:rPr>
        <w:t>m</w:t>
      </w:r>
      <w:r>
        <w:rPr>
          <w:rFonts w:ascii="Times New Roman" w:hAnsi="宋体"/>
          <w:color w:val="000000"/>
          <w:sz w:val="24"/>
        </w:rPr>
        <w:t>；场区取水为自备井，取自深层地下水，埋深</w:t>
      </w:r>
      <w:r>
        <w:rPr>
          <w:rFonts w:ascii="Times New Roman"/>
          <w:color w:val="000000"/>
          <w:sz w:val="24"/>
        </w:rPr>
        <w:t>120m</w:t>
      </w:r>
      <w:r>
        <w:rPr>
          <w:rFonts w:ascii="Times New Roman" w:hAnsi="宋体"/>
          <w:color w:val="000000"/>
          <w:sz w:val="24"/>
        </w:rPr>
        <w:t>。区域浅层地下水补给来源主要为大气降水</w:t>
      </w:r>
      <w:r>
        <w:rPr>
          <w:sz w:val="24"/>
        </w:rPr>
        <w:t>。</w:t>
      </w:r>
    </w:p>
    <w:p>
      <w:pPr>
        <w:pStyle w:val="6"/>
        <w:spacing w:before="0" w:after="0" w:line="520" w:lineRule="exact"/>
        <w:rPr>
          <w:rFonts w:hint="default" w:eastAsia="黑体"/>
          <w:sz w:val="24"/>
          <w:szCs w:val="24"/>
          <w:lang w:val="en-US" w:eastAsia="zh-CN"/>
        </w:rPr>
      </w:pPr>
      <w:r>
        <w:rPr>
          <w:rFonts w:hint="eastAsia" w:eastAsia="黑体"/>
          <w:sz w:val="24"/>
          <w:szCs w:val="24"/>
          <w:lang w:val="en-US" w:eastAsia="zh-CN"/>
        </w:rPr>
        <w:t>3.1.5土壤及植被</w:t>
      </w:r>
    </w:p>
    <w:p>
      <w:pPr>
        <w:autoSpaceDE w:val="0"/>
        <w:autoSpaceDN w:val="0"/>
        <w:spacing w:line="520" w:lineRule="exact"/>
        <w:ind w:firstLine="511"/>
        <w:rPr>
          <w:rFonts w:ascii="Times New Roman"/>
          <w:color w:val="000000"/>
          <w:sz w:val="24"/>
        </w:rPr>
      </w:pPr>
      <w:r>
        <w:rPr>
          <w:rFonts w:ascii="Times New Roman" w:hAnsi="宋体"/>
          <w:color w:val="000000"/>
          <w:sz w:val="24"/>
        </w:rPr>
        <w:t>驻马店市的土壤属于栽种历史悠久的农业土壤，在自然因素的长期综合利</w:t>
      </w:r>
      <w:r>
        <w:rPr>
          <w:rFonts w:ascii="Times New Roman"/>
          <w:color w:val="000000"/>
          <w:sz w:val="24"/>
        </w:rPr>
        <w:t xml:space="preserve"> </w:t>
      </w:r>
      <w:r>
        <w:rPr>
          <w:rFonts w:ascii="Times New Roman" w:hAnsi="宋体"/>
          <w:color w:val="000000"/>
          <w:sz w:val="24"/>
        </w:rPr>
        <w:t>用下，形成了不同的类型。</w:t>
      </w:r>
      <w:r>
        <w:rPr>
          <w:rFonts w:ascii="Times New Roman"/>
          <w:color w:val="000000"/>
          <w:sz w:val="24"/>
        </w:rPr>
        <w:t>1994</w:t>
      </w:r>
      <w:r>
        <w:rPr>
          <w:rFonts w:ascii="Times New Roman" w:hAnsi="宋体"/>
          <w:color w:val="000000"/>
          <w:sz w:val="24"/>
        </w:rPr>
        <w:t>年土壤耕层养分普查时，依据《河南省土壤普查技术规程》，将区内的土壤划分为</w:t>
      </w:r>
      <w:r>
        <w:rPr>
          <w:rFonts w:ascii="Times New Roman"/>
          <w:color w:val="000000"/>
          <w:sz w:val="24"/>
        </w:rPr>
        <w:t>4</w:t>
      </w:r>
      <w:r>
        <w:rPr>
          <w:rFonts w:ascii="Times New Roman" w:hAnsi="宋体"/>
          <w:color w:val="000000"/>
          <w:sz w:val="24"/>
        </w:rPr>
        <w:t>个土类：黄棕壤土、潮土、砂疆黑土、水稻土。</w:t>
      </w:r>
      <w:r>
        <w:rPr>
          <w:rFonts w:ascii="Times New Roman"/>
          <w:color w:val="000000"/>
          <w:sz w:val="24"/>
        </w:rPr>
        <w:t xml:space="preserve"> </w:t>
      </w:r>
    </w:p>
    <w:p>
      <w:pPr>
        <w:spacing w:line="360" w:lineRule="auto"/>
        <w:ind w:firstLine="480" w:firstLineChars="200"/>
        <w:rPr>
          <w:rFonts w:hint="eastAsia"/>
          <w:sz w:val="24"/>
          <w:lang w:eastAsia="zh-CN"/>
        </w:rPr>
      </w:pPr>
      <w:r>
        <w:rPr>
          <w:rFonts w:ascii="Times New Roman" w:hAnsi="宋体"/>
          <w:color w:val="000000"/>
          <w:sz w:val="24"/>
        </w:rPr>
        <w:t>项目区黄棕壤土以</w:t>
      </w:r>
      <w:r>
        <w:rPr>
          <w:rFonts w:hint="eastAsia" w:ascii="Times New Roman" w:hAnsi="宋体"/>
          <w:color w:val="000000"/>
          <w:sz w:val="24"/>
        </w:rPr>
        <w:t>粘</w:t>
      </w:r>
      <w:r>
        <w:rPr>
          <w:rFonts w:ascii="Times New Roman" w:hAnsi="宋体"/>
          <w:color w:val="000000"/>
          <w:sz w:val="24"/>
        </w:rPr>
        <w:t>土为主。黄棕壤土主要分布在驿城区西部、中部、南部、东南部、西北部岗丘地带、平原区地势较高部位。该土类面积大，是驻马店市主要产粮土壤，在农业生产上有举足轻重的地位，但由于质地黏重，土层黏化现象明显，形成障碍层次，多数土地适耕期短</w:t>
      </w:r>
      <w:r>
        <w:rPr>
          <w:rFonts w:hint="eastAsia"/>
          <w:sz w:val="24"/>
          <w:lang w:eastAsia="zh-CN"/>
        </w:rPr>
        <w:t>。</w:t>
      </w:r>
    </w:p>
    <w:p>
      <w:pPr>
        <w:pStyle w:val="6"/>
        <w:spacing w:before="0" w:after="0" w:line="520" w:lineRule="exact"/>
        <w:rPr>
          <w:rFonts w:hint="eastAsia" w:eastAsia="黑体"/>
          <w:sz w:val="24"/>
          <w:szCs w:val="24"/>
          <w:lang w:val="en-US" w:eastAsia="zh-CN"/>
        </w:rPr>
      </w:pPr>
      <w:r>
        <w:rPr>
          <w:rFonts w:hint="eastAsia" w:eastAsia="黑体"/>
          <w:sz w:val="24"/>
          <w:szCs w:val="24"/>
          <w:lang w:val="en-US" w:eastAsia="zh-CN"/>
        </w:rPr>
        <w:t>3.1.6 生态环境</w:t>
      </w:r>
    </w:p>
    <w:p>
      <w:pPr>
        <w:autoSpaceDE w:val="0"/>
        <w:autoSpaceDN w:val="0"/>
        <w:spacing w:line="520" w:lineRule="exact"/>
        <w:ind w:firstLine="511"/>
        <w:rPr>
          <w:rFonts w:ascii="Times New Roman" w:hAnsi="宋体"/>
          <w:color w:val="000000"/>
          <w:sz w:val="24"/>
        </w:rPr>
      </w:pPr>
      <w:r>
        <w:rPr>
          <w:rFonts w:ascii="Times New Roman" w:hAnsi="宋体"/>
          <w:color w:val="000000"/>
          <w:sz w:val="24"/>
        </w:rPr>
        <w:t>正阳县为平原农业地区，植被以农作物为主，兼有少量的道路林。野生动物种类主要有麻雀、喜鹊、斑鸠、鹌鹑、黄鼠狼、野兔、稚鸡、鹰、蛇、鼠类、青蛙、刺猬等，生物多样性程度相对较低。</w:t>
      </w:r>
    </w:p>
    <w:p>
      <w:pPr>
        <w:autoSpaceDE w:val="0"/>
        <w:autoSpaceDN w:val="0"/>
        <w:spacing w:line="520" w:lineRule="exact"/>
        <w:ind w:firstLine="511"/>
        <w:rPr>
          <w:rFonts w:ascii="Times New Roman" w:hAnsi="宋体"/>
          <w:color w:val="000000"/>
          <w:sz w:val="24"/>
        </w:rPr>
      </w:pPr>
      <w:r>
        <w:rPr>
          <w:rFonts w:ascii="Times New Roman" w:hAnsi="宋体"/>
          <w:color w:val="000000"/>
          <w:sz w:val="24"/>
        </w:rPr>
        <w:t>项目区域植被以农作物为主，主要种植有小麦、玉米、红薯、芝麻、大豆等作物。</w:t>
      </w:r>
    </w:p>
    <w:p>
      <w:pPr>
        <w:autoSpaceDE w:val="0"/>
        <w:autoSpaceDN w:val="0"/>
        <w:spacing w:line="520" w:lineRule="exact"/>
        <w:ind w:firstLine="511"/>
        <w:rPr>
          <w:rFonts w:hint="default" w:ascii="Times New Roman" w:hAnsi="宋体"/>
          <w:color w:val="000000"/>
          <w:sz w:val="24"/>
          <w:lang w:val="en-US" w:eastAsia="zh-CN"/>
        </w:rPr>
      </w:pPr>
      <w:r>
        <w:rPr>
          <w:rFonts w:ascii="Times New Roman" w:hAnsi="宋体"/>
          <w:color w:val="000000"/>
          <w:sz w:val="24"/>
        </w:rPr>
        <w:t>区域内没有珍稀、濒危动物物种，动物以家禽、家畜为主；家禽以鸡、鸭、鹅为主，家畜以猪、牛、羊为主</w:t>
      </w:r>
      <w:r>
        <w:rPr>
          <w:rFonts w:hint="eastAsia" w:ascii="Times New Roman" w:hAnsi="宋体"/>
          <w:color w:val="000000"/>
          <w:sz w:val="24"/>
        </w:rPr>
        <w:t>。</w:t>
      </w:r>
    </w:p>
    <w:p>
      <w:pPr>
        <w:snapToGrid w:val="0"/>
        <w:spacing w:line="520" w:lineRule="exact"/>
        <w:outlineLvl w:val="1"/>
        <w:rPr>
          <w:rFonts w:eastAsia="黑体"/>
          <w:bCs/>
          <w:sz w:val="28"/>
          <w:szCs w:val="28"/>
        </w:rPr>
      </w:pPr>
      <w:bookmarkStart w:id="186" w:name="_Toc4814"/>
      <w:bookmarkStart w:id="187" w:name="_Toc485996381"/>
      <w:bookmarkStart w:id="188" w:name="_Toc472009597"/>
      <w:r>
        <w:rPr>
          <w:rFonts w:hint="eastAsia" w:eastAsia="黑体"/>
          <w:bCs/>
          <w:sz w:val="28"/>
          <w:szCs w:val="28"/>
          <w:lang w:val="en-US" w:eastAsia="zh-CN"/>
        </w:rPr>
        <w:t>3</w:t>
      </w:r>
      <w:r>
        <w:rPr>
          <w:rFonts w:eastAsia="黑体"/>
          <w:bCs/>
          <w:sz w:val="28"/>
          <w:szCs w:val="28"/>
        </w:rPr>
        <w:t>.2环境保护目标调查</w:t>
      </w:r>
      <w:bookmarkEnd w:id="186"/>
      <w:bookmarkEnd w:id="187"/>
      <w:bookmarkEnd w:id="188"/>
    </w:p>
    <w:p>
      <w:pPr>
        <w:pStyle w:val="99"/>
        <w:adjustRightInd w:val="0"/>
        <w:snapToGrid w:val="0"/>
        <w:spacing w:line="520" w:lineRule="exact"/>
        <w:ind w:firstLine="480"/>
      </w:pPr>
      <w:r>
        <w:t>根据项目特点，确定以评价范围内的主要居民点为环境保护目标，经过对拟建项目区域的现场踏勘，评价区域内尚未发现重点文物、自然保护区、珍稀护目标，项目周边2.5km范围内的环境保护目标具体见表</w:t>
      </w:r>
      <w:r>
        <w:rPr>
          <w:rFonts w:hint="eastAsia"/>
          <w:lang w:val="en-US" w:eastAsia="zh-CN"/>
        </w:rPr>
        <w:t>3.2</w:t>
      </w:r>
      <w:r>
        <w:t>-1。</w:t>
      </w:r>
    </w:p>
    <w:p>
      <w:pPr>
        <w:spacing w:line="520" w:lineRule="exact"/>
        <w:jc w:val="center"/>
        <w:rPr>
          <w:b/>
          <w:sz w:val="24"/>
        </w:rPr>
      </w:pPr>
      <w:r>
        <w:rPr>
          <w:b/>
          <w:sz w:val="24"/>
        </w:rPr>
        <w:t>表</w:t>
      </w:r>
      <w:r>
        <w:rPr>
          <w:rFonts w:hint="eastAsia"/>
          <w:b/>
          <w:sz w:val="24"/>
          <w:lang w:val="en-US" w:eastAsia="zh-CN"/>
        </w:rPr>
        <w:t>3.2</w:t>
      </w:r>
      <w:r>
        <w:rPr>
          <w:b/>
          <w:sz w:val="24"/>
        </w:rPr>
        <w:t>-1      环境保护目标一览表</w:t>
      </w:r>
      <w:bookmarkStart w:id="189" w:name="_Toc472009598"/>
      <w:bookmarkStart w:id="190" w:name="_Toc485996382"/>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336"/>
        <w:gridCol w:w="1192"/>
        <w:gridCol w:w="895"/>
        <w:gridCol w:w="893"/>
        <w:gridCol w:w="893"/>
        <w:gridCol w:w="2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57" w:type="dxa"/>
            <w:vAlign w:val="center"/>
          </w:tcPr>
          <w:p>
            <w:pPr>
              <w:spacing w:line="320" w:lineRule="exact"/>
              <w:jc w:val="center"/>
              <w:rPr>
                <w:b w:val="0"/>
                <w:bCs w:val="0"/>
                <w:szCs w:val="21"/>
                <w:u w:val="none"/>
              </w:rPr>
            </w:pPr>
            <w:r>
              <w:rPr>
                <w:b w:val="0"/>
                <w:bCs w:val="0"/>
                <w:szCs w:val="21"/>
                <w:u w:val="none"/>
              </w:rPr>
              <w:t>环境要素</w:t>
            </w:r>
          </w:p>
        </w:tc>
        <w:tc>
          <w:tcPr>
            <w:tcW w:w="1336" w:type="dxa"/>
            <w:vAlign w:val="center"/>
          </w:tcPr>
          <w:p>
            <w:pPr>
              <w:spacing w:line="320" w:lineRule="exact"/>
              <w:jc w:val="center"/>
              <w:rPr>
                <w:b w:val="0"/>
                <w:bCs w:val="0"/>
                <w:szCs w:val="21"/>
                <w:u w:val="none"/>
              </w:rPr>
            </w:pPr>
            <w:r>
              <w:rPr>
                <w:b w:val="0"/>
                <w:bCs w:val="0"/>
                <w:szCs w:val="21"/>
                <w:u w:val="none"/>
              </w:rPr>
              <w:t>环境保护对象名称</w:t>
            </w:r>
          </w:p>
        </w:tc>
        <w:tc>
          <w:tcPr>
            <w:tcW w:w="1192" w:type="dxa"/>
            <w:vAlign w:val="center"/>
          </w:tcPr>
          <w:p>
            <w:pPr>
              <w:spacing w:line="320" w:lineRule="exact"/>
              <w:jc w:val="center"/>
              <w:rPr>
                <w:b w:val="0"/>
                <w:bCs w:val="0"/>
                <w:szCs w:val="21"/>
                <w:u w:val="none"/>
              </w:rPr>
            </w:pPr>
            <w:r>
              <w:rPr>
                <w:b w:val="0"/>
                <w:bCs w:val="0"/>
                <w:szCs w:val="21"/>
                <w:u w:val="none"/>
              </w:rPr>
              <w:t>与养殖场相对方位</w:t>
            </w:r>
          </w:p>
        </w:tc>
        <w:tc>
          <w:tcPr>
            <w:tcW w:w="895" w:type="dxa"/>
            <w:vAlign w:val="center"/>
          </w:tcPr>
          <w:p>
            <w:pPr>
              <w:spacing w:line="320" w:lineRule="exact"/>
              <w:jc w:val="center"/>
              <w:rPr>
                <w:b w:val="0"/>
                <w:bCs w:val="0"/>
                <w:szCs w:val="21"/>
                <w:u w:val="none"/>
              </w:rPr>
            </w:pPr>
            <w:r>
              <w:rPr>
                <w:b w:val="0"/>
                <w:bCs w:val="0"/>
                <w:szCs w:val="21"/>
                <w:u w:val="none"/>
              </w:rPr>
              <w:t>距离（m）</w:t>
            </w:r>
          </w:p>
        </w:tc>
        <w:tc>
          <w:tcPr>
            <w:tcW w:w="893" w:type="dxa"/>
            <w:vAlign w:val="center"/>
          </w:tcPr>
          <w:p>
            <w:pPr>
              <w:spacing w:line="320" w:lineRule="exact"/>
              <w:jc w:val="center"/>
              <w:rPr>
                <w:b w:val="0"/>
                <w:bCs w:val="0"/>
                <w:szCs w:val="21"/>
                <w:u w:val="none"/>
              </w:rPr>
            </w:pPr>
            <w:r>
              <w:rPr>
                <w:b w:val="0"/>
                <w:bCs w:val="0"/>
                <w:szCs w:val="21"/>
                <w:u w:val="none"/>
              </w:rPr>
              <w:t>户数</w:t>
            </w:r>
          </w:p>
        </w:tc>
        <w:tc>
          <w:tcPr>
            <w:tcW w:w="893" w:type="dxa"/>
            <w:vAlign w:val="center"/>
          </w:tcPr>
          <w:p>
            <w:pPr>
              <w:spacing w:line="320" w:lineRule="exact"/>
              <w:jc w:val="center"/>
              <w:rPr>
                <w:b w:val="0"/>
                <w:bCs w:val="0"/>
                <w:szCs w:val="21"/>
                <w:u w:val="none"/>
              </w:rPr>
            </w:pPr>
            <w:r>
              <w:rPr>
                <w:b w:val="0"/>
                <w:bCs w:val="0"/>
                <w:szCs w:val="21"/>
                <w:u w:val="none"/>
              </w:rPr>
              <w:t>人口</w:t>
            </w:r>
          </w:p>
        </w:tc>
        <w:tc>
          <w:tcPr>
            <w:tcW w:w="2580" w:type="dxa"/>
            <w:vAlign w:val="center"/>
          </w:tcPr>
          <w:p>
            <w:pPr>
              <w:spacing w:line="320" w:lineRule="exact"/>
              <w:jc w:val="center"/>
              <w:rPr>
                <w:b w:val="0"/>
                <w:bCs w:val="0"/>
                <w:szCs w:val="21"/>
                <w:u w:val="none"/>
              </w:rPr>
            </w:pPr>
            <w:r>
              <w:rPr>
                <w:b w:val="0"/>
                <w:bCs w:val="0"/>
                <w:szCs w:val="21"/>
                <w:u w:val="none"/>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restart"/>
            <w:vAlign w:val="center"/>
          </w:tcPr>
          <w:p>
            <w:pPr>
              <w:spacing w:line="320" w:lineRule="exact"/>
              <w:jc w:val="center"/>
              <w:rPr>
                <w:b w:val="0"/>
                <w:bCs w:val="0"/>
                <w:szCs w:val="21"/>
                <w:u w:val="none"/>
              </w:rPr>
            </w:pPr>
            <w:r>
              <w:rPr>
                <w:b w:val="0"/>
                <w:bCs w:val="0"/>
                <w:szCs w:val="21"/>
                <w:u w:val="none"/>
              </w:rPr>
              <w:t>空气环境</w:t>
            </w: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姜庄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620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60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250</w:t>
            </w:r>
          </w:p>
        </w:tc>
        <w:tc>
          <w:tcPr>
            <w:tcW w:w="2580" w:type="dxa"/>
            <w:vMerge w:val="restart"/>
            <w:vAlign w:val="center"/>
          </w:tcPr>
          <w:p>
            <w:pPr>
              <w:spacing w:line="320" w:lineRule="exact"/>
              <w:jc w:val="center"/>
              <w:rPr>
                <w:b w:val="0"/>
                <w:bCs w:val="0"/>
                <w:szCs w:val="21"/>
                <w:u w:val="none"/>
              </w:rPr>
            </w:pPr>
            <w:r>
              <w:rPr>
                <w:b w:val="0"/>
                <w:bCs w:val="0"/>
                <w:szCs w:val="21"/>
                <w:u w:val="none"/>
              </w:rPr>
              <w:t>《环境空气质量标准》（GB3095-2012）中二类、</w:t>
            </w:r>
            <w:r>
              <w:rPr>
                <w:rFonts w:hint="eastAsia"/>
                <w:b w:val="0"/>
                <w:bCs w:val="0"/>
                <w:szCs w:val="21"/>
                <w:u w:val="none"/>
                <w:lang w:eastAsia="zh-CN"/>
              </w:rPr>
              <w:t>《环境影响评价技术导则 大气环境（HJ2.2-2018）》中附录D</w:t>
            </w:r>
            <w:r>
              <w:rPr>
                <w:b w:val="0"/>
                <w:bCs w:val="0"/>
                <w:szCs w:val="21"/>
                <w:u w:val="none"/>
              </w:rPr>
              <w:t>标1中居住区大气中有害物质的最高容许浓度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前周庄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E</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501</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70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320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西吴楼</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E</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1000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35</w:t>
            </w:r>
          </w:p>
        </w:tc>
        <w:tc>
          <w:tcPr>
            <w:tcW w:w="893"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120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新张庄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1220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150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小鲁庄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SW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1252</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80</w:t>
            </w:r>
          </w:p>
        </w:tc>
        <w:tc>
          <w:tcPr>
            <w:tcW w:w="893"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320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后余庄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SW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1030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70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290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董庄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SE</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1397</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200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贺庄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N</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1377</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50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240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皮庄</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NW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1750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45</w:t>
            </w:r>
          </w:p>
        </w:tc>
        <w:tc>
          <w:tcPr>
            <w:tcW w:w="893"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200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vAlign w:val="center"/>
          </w:tcPr>
          <w:p>
            <w:pPr>
              <w:spacing w:line="320" w:lineRule="exact"/>
              <w:jc w:val="center"/>
              <w:rPr>
                <w:b w:val="0"/>
                <w:bCs w:val="0"/>
                <w:szCs w:val="21"/>
                <w:u w:val="none"/>
              </w:rPr>
            </w:pPr>
          </w:p>
        </w:tc>
        <w:tc>
          <w:tcPr>
            <w:tcW w:w="1336"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段围孜</w:t>
            </w:r>
          </w:p>
        </w:tc>
        <w:tc>
          <w:tcPr>
            <w:tcW w:w="1192"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NW</w:t>
            </w:r>
          </w:p>
        </w:tc>
        <w:tc>
          <w:tcPr>
            <w:tcW w:w="895" w:type="dxa"/>
            <w:vAlign w:val="center"/>
          </w:tcPr>
          <w:p>
            <w:pPr>
              <w:widowControl/>
              <w:spacing w:line="320" w:lineRule="exact"/>
              <w:jc w:val="center"/>
              <w:textAlignment w:val="center"/>
              <w:rPr>
                <w:rFonts w:hint="default" w:eastAsia="宋体"/>
                <w:b w:val="0"/>
                <w:bCs w:val="0"/>
                <w:color w:val="000000"/>
                <w:sz w:val="22"/>
                <w:szCs w:val="22"/>
                <w:u w:val="none"/>
                <w:lang w:val="en-US" w:eastAsia="zh-CN"/>
              </w:rPr>
            </w:pPr>
            <w:r>
              <w:rPr>
                <w:rFonts w:hint="eastAsia"/>
                <w:b w:val="0"/>
                <w:bCs w:val="0"/>
                <w:color w:val="000000"/>
                <w:sz w:val="22"/>
                <w:szCs w:val="22"/>
                <w:u w:val="none"/>
                <w:lang w:val="en-US" w:eastAsia="zh-CN"/>
              </w:rPr>
              <w:t>1888</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100</w:t>
            </w:r>
          </w:p>
        </w:tc>
        <w:tc>
          <w:tcPr>
            <w:tcW w:w="893" w:type="dxa"/>
            <w:vAlign w:val="center"/>
          </w:tcPr>
          <w:p>
            <w:pPr>
              <w:widowControl/>
              <w:spacing w:line="320" w:lineRule="exact"/>
              <w:jc w:val="center"/>
              <w:textAlignment w:val="center"/>
              <w:rPr>
                <w:rFonts w:hint="default" w:eastAsia="宋体"/>
                <w:b w:val="0"/>
                <w:bCs w:val="0"/>
                <w:color w:val="000000"/>
                <w:szCs w:val="21"/>
                <w:u w:val="none"/>
                <w:lang w:val="en-US" w:eastAsia="zh-CN"/>
              </w:rPr>
            </w:pPr>
            <w:r>
              <w:rPr>
                <w:rFonts w:hint="eastAsia"/>
                <w:b w:val="0"/>
                <w:bCs w:val="0"/>
                <w:color w:val="000000"/>
                <w:szCs w:val="21"/>
                <w:u w:val="none"/>
                <w:lang w:val="en-US" w:eastAsia="zh-CN"/>
              </w:rPr>
              <w:t>410</w:t>
            </w:r>
          </w:p>
        </w:tc>
        <w:tc>
          <w:tcPr>
            <w:tcW w:w="2580" w:type="dxa"/>
            <w:vMerge w:val="continue"/>
            <w:vAlign w:val="center"/>
          </w:tcPr>
          <w:p>
            <w:pPr>
              <w:spacing w:line="320" w:lineRule="exact"/>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地表水</w:t>
            </w:r>
          </w:p>
          <w:p>
            <w:pPr>
              <w:spacing w:line="320" w:lineRule="exact"/>
              <w:jc w:val="center"/>
              <w:rPr>
                <w:b w:val="0"/>
                <w:bCs w:val="0"/>
                <w:szCs w:val="21"/>
                <w:u w:val="none"/>
              </w:rPr>
            </w:pPr>
            <w:r>
              <w:rPr>
                <w:b w:val="0"/>
                <w:bCs w:val="0"/>
                <w:szCs w:val="21"/>
                <w:u w:val="none"/>
              </w:rPr>
              <w:t>环境</w:t>
            </w:r>
          </w:p>
        </w:tc>
        <w:tc>
          <w:tcPr>
            <w:tcW w:w="1336"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闾河</w:t>
            </w:r>
          </w:p>
        </w:tc>
        <w:tc>
          <w:tcPr>
            <w:tcW w:w="1192"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S</w:t>
            </w:r>
          </w:p>
        </w:tc>
        <w:tc>
          <w:tcPr>
            <w:tcW w:w="895" w:type="dxa"/>
            <w:vAlign w:val="center"/>
          </w:tcPr>
          <w:p>
            <w:pPr>
              <w:widowControl/>
              <w:spacing w:line="320" w:lineRule="exact"/>
              <w:jc w:val="center"/>
              <w:textAlignment w:val="center"/>
              <w:rPr>
                <w:rFonts w:hint="default"/>
                <w:b w:val="0"/>
                <w:bCs w:val="0"/>
                <w:color w:val="000000"/>
                <w:sz w:val="22"/>
                <w:szCs w:val="22"/>
                <w:u w:val="none"/>
                <w:lang w:val="en-US" w:eastAsia="zh-CN"/>
              </w:rPr>
            </w:pPr>
            <w:r>
              <w:rPr>
                <w:rFonts w:hint="eastAsia"/>
                <w:b w:val="0"/>
                <w:bCs w:val="0"/>
                <w:color w:val="000000"/>
                <w:sz w:val="22"/>
                <w:szCs w:val="22"/>
                <w:u w:val="none"/>
                <w:lang w:val="en-US" w:eastAsia="zh-CN"/>
              </w:rPr>
              <w:t>6200</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w:t>
            </w:r>
          </w:p>
        </w:tc>
        <w:tc>
          <w:tcPr>
            <w:tcW w:w="893" w:type="dxa"/>
            <w:vAlign w:val="center"/>
          </w:tcPr>
          <w:p>
            <w:pPr>
              <w:widowControl/>
              <w:spacing w:line="320" w:lineRule="exact"/>
              <w:jc w:val="center"/>
              <w:textAlignment w:val="center"/>
              <w:rPr>
                <w:rFonts w:hint="default"/>
                <w:b w:val="0"/>
                <w:bCs w:val="0"/>
                <w:color w:val="000000"/>
                <w:szCs w:val="21"/>
                <w:u w:val="none"/>
                <w:lang w:val="en-US" w:eastAsia="zh-CN"/>
              </w:rPr>
            </w:pPr>
            <w:r>
              <w:rPr>
                <w:rFonts w:hint="eastAsia"/>
                <w:b w:val="0"/>
                <w:bCs w:val="0"/>
                <w:color w:val="000000"/>
                <w:szCs w:val="21"/>
                <w:u w:val="none"/>
                <w:lang w:val="en-US" w:eastAsia="zh-CN"/>
              </w:rPr>
              <w:t>/</w:t>
            </w:r>
          </w:p>
        </w:tc>
        <w:tc>
          <w:tcPr>
            <w:tcW w:w="2580" w:type="dxa"/>
            <w:vAlign w:val="center"/>
          </w:tcPr>
          <w:p>
            <w:pPr>
              <w:spacing w:line="320" w:lineRule="exact"/>
              <w:jc w:val="center"/>
              <w:rPr>
                <w:b w:val="0"/>
                <w:bCs w:val="0"/>
                <w:szCs w:val="21"/>
                <w:u w:val="none"/>
              </w:rPr>
            </w:pPr>
            <w:r>
              <w:rPr>
                <w:b w:val="0"/>
                <w:bCs w:val="0"/>
                <w:szCs w:val="21"/>
                <w:u w:val="none"/>
              </w:rPr>
              <w:t>《地表水环境质量标准》（GB3838-2002）</w:t>
            </w:r>
            <w:r>
              <w:rPr>
                <w:rFonts w:hint="eastAsia" w:ascii="宋体" w:hAnsi="宋体" w:cs="宋体"/>
                <w:b w:val="0"/>
                <w:bCs w:val="0"/>
                <w:szCs w:val="21"/>
                <w:u w:val="none"/>
              </w:rPr>
              <w:t>Ⅲ</w:t>
            </w:r>
            <w:r>
              <w:rPr>
                <w:b w:val="0"/>
                <w:bCs w:val="0"/>
                <w:szCs w:val="21"/>
                <w:u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地下水</w:t>
            </w:r>
          </w:p>
        </w:tc>
        <w:tc>
          <w:tcPr>
            <w:tcW w:w="3423" w:type="dxa"/>
            <w:gridSpan w:val="3"/>
            <w:vAlign w:val="center"/>
          </w:tcPr>
          <w:p>
            <w:pPr>
              <w:spacing w:line="320" w:lineRule="exact"/>
              <w:jc w:val="center"/>
              <w:rPr>
                <w:b w:val="0"/>
                <w:bCs w:val="0"/>
                <w:szCs w:val="21"/>
                <w:u w:val="none"/>
              </w:rPr>
            </w:pPr>
            <w:r>
              <w:rPr>
                <w:b w:val="0"/>
                <w:bCs w:val="0"/>
                <w:szCs w:val="21"/>
                <w:u w:val="none"/>
              </w:rPr>
              <w:t>场区下游村庄地下水、配套沼液消纳地附近村庄地下水</w:t>
            </w:r>
          </w:p>
        </w:tc>
        <w:tc>
          <w:tcPr>
            <w:tcW w:w="893" w:type="dxa"/>
            <w:vAlign w:val="center"/>
          </w:tcPr>
          <w:p>
            <w:pPr>
              <w:spacing w:line="320" w:lineRule="exact"/>
              <w:jc w:val="center"/>
              <w:rPr>
                <w:b w:val="0"/>
                <w:bCs w:val="0"/>
                <w:szCs w:val="21"/>
                <w:u w:val="none"/>
              </w:rPr>
            </w:pPr>
            <w:r>
              <w:rPr>
                <w:b w:val="0"/>
                <w:bCs w:val="0"/>
                <w:szCs w:val="21"/>
                <w:u w:val="none"/>
              </w:rPr>
              <w:t>/</w:t>
            </w:r>
          </w:p>
        </w:tc>
        <w:tc>
          <w:tcPr>
            <w:tcW w:w="893" w:type="dxa"/>
            <w:vAlign w:val="center"/>
          </w:tcPr>
          <w:p>
            <w:pPr>
              <w:spacing w:line="320" w:lineRule="exact"/>
              <w:jc w:val="center"/>
              <w:rPr>
                <w:b w:val="0"/>
                <w:bCs w:val="0"/>
                <w:szCs w:val="21"/>
                <w:u w:val="none"/>
              </w:rPr>
            </w:pPr>
            <w:r>
              <w:rPr>
                <w:b w:val="0"/>
                <w:bCs w:val="0"/>
                <w:szCs w:val="21"/>
                <w:u w:val="none"/>
              </w:rPr>
              <w:t>/</w:t>
            </w:r>
          </w:p>
        </w:tc>
        <w:tc>
          <w:tcPr>
            <w:tcW w:w="2580" w:type="dxa"/>
            <w:vAlign w:val="center"/>
          </w:tcPr>
          <w:p>
            <w:pPr>
              <w:spacing w:line="320" w:lineRule="exact"/>
              <w:jc w:val="center"/>
              <w:rPr>
                <w:b w:val="0"/>
                <w:bCs w:val="0"/>
                <w:szCs w:val="21"/>
                <w:u w:val="none"/>
              </w:rPr>
            </w:pPr>
            <w:r>
              <w:rPr>
                <w:b w:val="0"/>
                <w:bCs w:val="0"/>
                <w:szCs w:val="21"/>
                <w:u w:val="none"/>
              </w:rPr>
              <w:t>《地下水质量标准》（GB/T14848-2017）</w:t>
            </w:r>
            <w:r>
              <w:rPr>
                <w:rFonts w:hint="eastAsia" w:ascii="宋体" w:hAnsi="宋体" w:cs="宋体"/>
                <w:b w:val="0"/>
                <w:bCs w:val="0"/>
                <w:szCs w:val="21"/>
                <w:u w:val="none"/>
              </w:rPr>
              <w:t>Ⅲ</w:t>
            </w:r>
            <w:r>
              <w:rPr>
                <w:b w:val="0"/>
                <w:bCs w:val="0"/>
                <w:szCs w:val="21"/>
                <w:u w:val="non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土壤</w:t>
            </w:r>
          </w:p>
        </w:tc>
        <w:tc>
          <w:tcPr>
            <w:tcW w:w="3423" w:type="dxa"/>
            <w:gridSpan w:val="3"/>
            <w:vAlign w:val="center"/>
          </w:tcPr>
          <w:p>
            <w:pPr>
              <w:spacing w:line="320" w:lineRule="exact"/>
              <w:jc w:val="center"/>
              <w:rPr>
                <w:b w:val="0"/>
                <w:bCs w:val="0"/>
                <w:szCs w:val="21"/>
                <w:u w:val="none"/>
              </w:rPr>
            </w:pPr>
            <w:r>
              <w:rPr>
                <w:b w:val="0"/>
                <w:bCs w:val="0"/>
                <w:szCs w:val="21"/>
                <w:u w:val="none"/>
              </w:rPr>
              <w:t>配套沼液消纳地附近土壤环境</w:t>
            </w:r>
          </w:p>
        </w:tc>
        <w:tc>
          <w:tcPr>
            <w:tcW w:w="893" w:type="dxa"/>
            <w:vAlign w:val="center"/>
          </w:tcPr>
          <w:p>
            <w:pPr>
              <w:spacing w:line="320" w:lineRule="exact"/>
              <w:jc w:val="center"/>
              <w:rPr>
                <w:b w:val="0"/>
                <w:bCs w:val="0"/>
                <w:szCs w:val="21"/>
                <w:u w:val="none"/>
              </w:rPr>
            </w:pPr>
            <w:r>
              <w:rPr>
                <w:b w:val="0"/>
                <w:bCs w:val="0"/>
                <w:szCs w:val="21"/>
                <w:u w:val="none"/>
              </w:rPr>
              <w:t>/</w:t>
            </w:r>
          </w:p>
        </w:tc>
        <w:tc>
          <w:tcPr>
            <w:tcW w:w="893" w:type="dxa"/>
            <w:vAlign w:val="center"/>
          </w:tcPr>
          <w:p>
            <w:pPr>
              <w:spacing w:line="320" w:lineRule="exact"/>
              <w:jc w:val="center"/>
              <w:rPr>
                <w:b w:val="0"/>
                <w:bCs w:val="0"/>
                <w:szCs w:val="21"/>
                <w:u w:val="none"/>
              </w:rPr>
            </w:pPr>
            <w:r>
              <w:rPr>
                <w:b w:val="0"/>
                <w:bCs w:val="0"/>
                <w:szCs w:val="21"/>
                <w:u w:val="none"/>
              </w:rPr>
              <w:t>/</w:t>
            </w:r>
          </w:p>
        </w:tc>
        <w:tc>
          <w:tcPr>
            <w:tcW w:w="2580" w:type="dxa"/>
            <w:vAlign w:val="center"/>
          </w:tcPr>
          <w:p>
            <w:pPr>
              <w:spacing w:line="320" w:lineRule="exact"/>
              <w:jc w:val="center"/>
              <w:rPr>
                <w:b w:val="0"/>
                <w:bCs w:val="0"/>
                <w:szCs w:val="21"/>
                <w:u w:val="none"/>
              </w:rPr>
            </w:pPr>
            <w:r>
              <w:rPr>
                <w:b w:val="0"/>
                <w:bCs w:val="0"/>
                <w:szCs w:val="21"/>
                <w:u w:val="none"/>
              </w:rPr>
              <w:t>《土壤环境质量农用地土壤污染风险管控标准》（GB15618-2018）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val="0"/>
                <w:bCs w:val="0"/>
                <w:szCs w:val="21"/>
                <w:u w:val="none"/>
              </w:rPr>
            </w:pPr>
            <w:r>
              <w:rPr>
                <w:b w:val="0"/>
                <w:bCs w:val="0"/>
                <w:szCs w:val="21"/>
                <w:u w:val="none"/>
              </w:rPr>
              <w:t>噪声</w:t>
            </w:r>
          </w:p>
        </w:tc>
        <w:tc>
          <w:tcPr>
            <w:tcW w:w="3423" w:type="dxa"/>
            <w:gridSpan w:val="3"/>
            <w:vAlign w:val="center"/>
          </w:tcPr>
          <w:p>
            <w:pPr>
              <w:spacing w:line="320" w:lineRule="exact"/>
              <w:jc w:val="center"/>
              <w:rPr>
                <w:b w:val="0"/>
                <w:bCs w:val="0"/>
                <w:szCs w:val="21"/>
                <w:u w:val="none"/>
              </w:rPr>
            </w:pPr>
            <w:r>
              <w:rPr>
                <w:b w:val="0"/>
                <w:bCs w:val="0"/>
                <w:szCs w:val="21"/>
                <w:u w:val="none"/>
              </w:rPr>
              <w:t>场区四周场界</w:t>
            </w:r>
          </w:p>
        </w:tc>
        <w:tc>
          <w:tcPr>
            <w:tcW w:w="893" w:type="dxa"/>
            <w:vAlign w:val="center"/>
          </w:tcPr>
          <w:p>
            <w:pPr>
              <w:spacing w:line="320" w:lineRule="exact"/>
              <w:jc w:val="center"/>
              <w:rPr>
                <w:b w:val="0"/>
                <w:bCs w:val="0"/>
                <w:szCs w:val="21"/>
                <w:u w:val="none"/>
              </w:rPr>
            </w:pPr>
            <w:r>
              <w:rPr>
                <w:b w:val="0"/>
                <w:bCs w:val="0"/>
                <w:szCs w:val="21"/>
                <w:u w:val="none"/>
              </w:rPr>
              <w:t>/</w:t>
            </w:r>
          </w:p>
        </w:tc>
        <w:tc>
          <w:tcPr>
            <w:tcW w:w="893" w:type="dxa"/>
            <w:vAlign w:val="center"/>
          </w:tcPr>
          <w:p>
            <w:pPr>
              <w:spacing w:line="320" w:lineRule="exact"/>
              <w:jc w:val="center"/>
              <w:rPr>
                <w:b w:val="0"/>
                <w:bCs w:val="0"/>
                <w:szCs w:val="21"/>
                <w:u w:val="none"/>
              </w:rPr>
            </w:pPr>
            <w:r>
              <w:rPr>
                <w:b w:val="0"/>
                <w:bCs w:val="0"/>
                <w:szCs w:val="21"/>
                <w:u w:val="none"/>
              </w:rPr>
              <w:t>/</w:t>
            </w:r>
          </w:p>
        </w:tc>
        <w:tc>
          <w:tcPr>
            <w:tcW w:w="2580" w:type="dxa"/>
            <w:vAlign w:val="center"/>
          </w:tcPr>
          <w:p>
            <w:pPr>
              <w:spacing w:line="320" w:lineRule="exact"/>
              <w:jc w:val="center"/>
              <w:rPr>
                <w:b w:val="0"/>
                <w:bCs w:val="0"/>
                <w:szCs w:val="21"/>
                <w:u w:val="none"/>
              </w:rPr>
            </w:pPr>
            <w:r>
              <w:rPr>
                <w:b w:val="0"/>
                <w:bCs w:val="0"/>
                <w:szCs w:val="21"/>
                <w:u w:val="none"/>
              </w:rPr>
              <w:t>《声环境质量标准》（GB3096-2008）2类</w:t>
            </w:r>
          </w:p>
        </w:tc>
      </w:tr>
    </w:tbl>
    <w:p>
      <w:pPr>
        <w:snapToGrid w:val="0"/>
        <w:spacing w:line="520" w:lineRule="exact"/>
        <w:outlineLvl w:val="1"/>
        <w:rPr>
          <w:rFonts w:eastAsia="黑体"/>
          <w:bCs/>
          <w:sz w:val="28"/>
          <w:szCs w:val="28"/>
        </w:rPr>
      </w:pPr>
      <w:bookmarkStart w:id="191" w:name="_Toc31524"/>
      <w:r>
        <w:rPr>
          <w:rFonts w:hint="eastAsia" w:eastAsia="黑体"/>
          <w:bCs/>
          <w:sz w:val="28"/>
          <w:szCs w:val="28"/>
          <w:lang w:val="en-US" w:eastAsia="zh-CN"/>
        </w:rPr>
        <w:t>3</w:t>
      </w:r>
      <w:r>
        <w:rPr>
          <w:rFonts w:eastAsia="黑体"/>
          <w:bCs/>
          <w:sz w:val="28"/>
          <w:szCs w:val="28"/>
        </w:rPr>
        <w:t>.3现状监测</w:t>
      </w:r>
      <w:bookmarkEnd w:id="189"/>
      <w:bookmarkEnd w:id="190"/>
      <w:bookmarkEnd w:id="191"/>
    </w:p>
    <w:p>
      <w:pPr>
        <w:pStyle w:val="6"/>
        <w:spacing w:before="0" w:after="0" w:line="520" w:lineRule="exact"/>
        <w:rPr>
          <w:rFonts w:eastAsia="黑体"/>
          <w:color w:val="000000" w:themeColor="text1"/>
          <w:sz w:val="24"/>
          <w:szCs w:val="24"/>
        </w:rPr>
      </w:pPr>
      <w:bookmarkStart w:id="192" w:name="_Toc413829628"/>
      <w:bookmarkStart w:id="193" w:name="_Toc468366612"/>
      <w:bookmarkStart w:id="194" w:name="_Toc406662995"/>
      <w:r>
        <w:rPr>
          <w:rFonts w:hint="eastAsia" w:eastAsia="黑体"/>
          <w:color w:val="000000" w:themeColor="text1"/>
          <w:sz w:val="24"/>
          <w:szCs w:val="24"/>
          <w:lang w:val="en-US" w:eastAsia="zh-CN"/>
        </w:rPr>
        <w:t>3</w:t>
      </w:r>
      <w:r>
        <w:rPr>
          <w:rFonts w:eastAsia="黑体"/>
          <w:color w:val="000000" w:themeColor="text1"/>
          <w:sz w:val="24"/>
          <w:szCs w:val="24"/>
        </w:rPr>
        <w:t>.3.1环境空气质量现状监测与评价</w:t>
      </w:r>
      <w:bookmarkEnd w:id="192"/>
      <w:bookmarkEnd w:id="193"/>
      <w:bookmarkEnd w:id="194"/>
    </w:p>
    <w:p>
      <w:pPr>
        <w:pStyle w:val="7"/>
        <w:spacing w:before="0" w:after="0" w:line="520" w:lineRule="exact"/>
        <w:rPr>
          <w:rFonts w:hint="eastAsia" w:hAnsi="Times New Roman" w:eastAsia="宋体"/>
          <w:sz w:val="24"/>
          <w:lang w:val="en-US" w:eastAsia="zh-CN"/>
        </w:rPr>
      </w:pPr>
      <w:bookmarkStart w:id="195" w:name="_Toc406662996"/>
      <w:bookmarkStart w:id="196" w:name="_Toc413829629"/>
      <w:r>
        <w:rPr>
          <w:rFonts w:hint="eastAsia" w:hAnsi="Times New Roman" w:eastAsia="宋体"/>
          <w:sz w:val="24"/>
          <w:lang w:val="en-US" w:eastAsia="zh-CN"/>
        </w:rPr>
        <w:t>3.3.1.1 区域环境质量达标情况判定</w:t>
      </w:r>
    </w:p>
    <w:p>
      <w:pPr>
        <w:spacing w:line="520" w:lineRule="exact"/>
        <w:ind w:firstLine="480"/>
        <w:rPr>
          <w:i w:val="0"/>
          <w:iCs w:val="0"/>
          <w:sz w:val="24"/>
          <w:szCs w:val="24"/>
          <w:u w:val="none"/>
        </w:rPr>
      </w:pPr>
      <w:r>
        <w:rPr>
          <w:i w:val="0"/>
          <w:iCs w:val="0"/>
          <w:sz w:val="24"/>
          <w:szCs w:val="24"/>
          <w:u w:val="none"/>
        </w:rPr>
        <w:t>根据《环境影响评价技术导则 大气环境》（HJ2.2-2018）中有关环境空气质量现状调查原则中</w:t>
      </w:r>
      <w:r>
        <w:rPr>
          <w:rFonts w:hint="eastAsia"/>
          <w:i w:val="0"/>
          <w:iCs w:val="0"/>
          <w:sz w:val="24"/>
          <w:szCs w:val="24"/>
          <w:u w:val="none"/>
        </w:rPr>
        <w:t>“</w:t>
      </w:r>
      <w:r>
        <w:rPr>
          <w:i w:val="0"/>
          <w:iCs w:val="0"/>
          <w:sz w:val="24"/>
          <w:szCs w:val="24"/>
          <w:u w:val="none"/>
        </w:rPr>
        <w:t>项目所在区域达标判定，优先采用国家或地方生态环境主管部门公开发布的评价基准年环境质量公告或环境质量报告中的数据或结论</w:t>
      </w:r>
      <w:r>
        <w:rPr>
          <w:rFonts w:hint="eastAsia"/>
          <w:i w:val="0"/>
          <w:iCs w:val="0"/>
          <w:sz w:val="24"/>
          <w:szCs w:val="24"/>
          <w:u w:val="none"/>
        </w:rPr>
        <w:t>”</w:t>
      </w:r>
      <w:r>
        <w:rPr>
          <w:i w:val="0"/>
          <w:iCs w:val="0"/>
          <w:sz w:val="24"/>
          <w:szCs w:val="24"/>
          <w:u w:val="none"/>
        </w:rPr>
        <w:t>，本次环评通过</w:t>
      </w:r>
      <w:r>
        <w:rPr>
          <w:rFonts w:hint="eastAsia"/>
          <w:i w:val="0"/>
          <w:iCs w:val="0"/>
          <w:sz w:val="24"/>
          <w:szCs w:val="24"/>
          <w:u w:val="none"/>
        </w:rPr>
        <w:t>收集</w:t>
      </w:r>
      <w:r>
        <w:rPr>
          <w:i w:val="0"/>
          <w:iCs w:val="0"/>
          <w:sz w:val="24"/>
          <w:szCs w:val="24"/>
          <w:u w:val="none"/>
        </w:rPr>
        <w:t>现有监测资料和补充监测对本项目所在区域的环境空气质量进行现状评价。</w:t>
      </w:r>
    </w:p>
    <w:p>
      <w:pPr>
        <w:spacing w:line="520" w:lineRule="exact"/>
        <w:ind w:firstLine="480"/>
        <w:rPr>
          <w:i w:val="0"/>
          <w:iCs w:val="0"/>
          <w:sz w:val="24"/>
          <w:szCs w:val="24"/>
          <w:u w:val="none"/>
        </w:rPr>
      </w:pPr>
      <w:r>
        <w:rPr>
          <w:i w:val="0"/>
          <w:iCs w:val="0"/>
          <w:sz w:val="24"/>
          <w:szCs w:val="24"/>
          <w:u w:val="none"/>
        </w:rPr>
        <w:t>本次评价引用驻马店环境保护局发布的《</w:t>
      </w:r>
      <w:bookmarkStart w:id="197" w:name="_Hlk10558758"/>
      <w:r>
        <w:rPr>
          <w:i w:val="0"/>
          <w:iCs w:val="0"/>
          <w:sz w:val="24"/>
          <w:szCs w:val="24"/>
          <w:u w:val="none"/>
        </w:rPr>
        <w:t>201</w:t>
      </w:r>
      <w:r>
        <w:rPr>
          <w:rFonts w:hint="eastAsia"/>
          <w:i w:val="0"/>
          <w:iCs w:val="0"/>
          <w:sz w:val="24"/>
          <w:szCs w:val="24"/>
          <w:u w:val="none"/>
          <w:lang w:val="en-US" w:eastAsia="zh-CN"/>
        </w:rPr>
        <w:t>8</w:t>
      </w:r>
      <w:r>
        <w:rPr>
          <w:i w:val="0"/>
          <w:iCs w:val="0"/>
          <w:sz w:val="24"/>
          <w:szCs w:val="24"/>
          <w:u w:val="none"/>
        </w:rPr>
        <w:t>年度驻马店市环境</w:t>
      </w:r>
      <w:r>
        <w:rPr>
          <w:rFonts w:hint="eastAsia"/>
          <w:i w:val="0"/>
          <w:iCs w:val="0"/>
          <w:sz w:val="24"/>
          <w:szCs w:val="24"/>
          <w:u w:val="none"/>
        </w:rPr>
        <w:t>影响</w:t>
      </w:r>
      <w:r>
        <w:rPr>
          <w:i w:val="0"/>
          <w:iCs w:val="0"/>
          <w:sz w:val="24"/>
          <w:szCs w:val="24"/>
          <w:u w:val="none"/>
        </w:rPr>
        <w:t>概要</w:t>
      </w:r>
      <w:bookmarkEnd w:id="197"/>
      <w:r>
        <w:rPr>
          <w:i w:val="0"/>
          <w:iCs w:val="0"/>
          <w:sz w:val="24"/>
          <w:szCs w:val="24"/>
          <w:u w:val="none"/>
        </w:rPr>
        <w:t>》中环境空气质量数据进行评价。驻马店市201</w:t>
      </w:r>
      <w:r>
        <w:rPr>
          <w:rFonts w:hint="eastAsia"/>
          <w:i w:val="0"/>
          <w:iCs w:val="0"/>
          <w:sz w:val="24"/>
          <w:szCs w:val="24"/>
          <w:u w:val="none"/>
          <w:lang w:val="en-US" w:eastAsia="zh-CN"/>
        </w:rPr>
        <w:t>8</w:t>
      </w:r>
      <w:r>
        <w:rPr>
          <w:i w:val="0"/>
          <w:iCs w:val="0"/>
          <w:sz w:val="24"/>
          <w:szCs w:val="24"/>
          <w:u w:val="none"/>
        </w:rPr>
        <w:t>年监测数据统计分析见表</w:t>
      </w:r>
      <w:r>
        <w:rPr>
          <w:rFonts w:hint="eastAsia"/>
          <w:i w:val="0"/>
          <w:iCs w:val="0"/>
          <w:sz w:val="24"/>
          <w:szCs w:val="24"/>
          <w:u w:val="none"/>
          <w:lang w:val="en-US" w:eastAsia="zh-CN"/>
        </w:rPr>
        <w:t>3</w:t>
      </w:r>
      <w:r>
        <w:rPr>
          <w:i w:val="0"/>
          <w:iCs w:val="0"/>
          <w:sz w:val="24"/>
          <w:szCs w:val="24"/>
          <w:u w:val="none"/>
        </w:rPr>
        <w:t>.</w:t>
      </w:r>
      <w:r>
        <w:rPr>
          <w:rFonts w:hint="eastAsia"/>
          <w:i w:val="0"/>
          <w:iCs w:val="0"/>
          <w:sz w:val="24"/>
          <w:szCs w:val="24"/>
          <w:u w:val="none"/>
        </w:rPr>
        <w:t>3</w:t>
      </w:r>
      <w:r>
        <w:rPr>
          <w:i w:val="0"/>
          <w:iCs w:val="0"/>
          <w:sz w:val="24"/>
          <w:szCs w:val="24"/>
          <w:u w:val="none"/>
        </w:rPr>
        <w:t>-1。</w:t>
      </w:r>
    </w:p>
    <w:p>
      <w:pPr>
        <w:pStyle w:val="281"/>
        <w:ind w:firstLine="0" w:firstLineChars="0"/>
        <w:jc w:val="center"/>
        <w:rPr>
          <w:i w:val="0"/>
          <w:iCs w:val="0"/>
          <w:u w:val="none"/>
        </w:rPr>
      </w:pPr>
      <w:r>
        <w:rPr>
          <w:i w:val="0"/>
          <w:iCs w:val="0"/>
          <w:u w:val="none"/>
        </w:rPr>
        <w:t>表</w:t>
      </w:r>
      <w:r>
        <w:rPr>
          <w:rFonts w:hint="eastAsia"/>
          <w:i w:val="0"/>
          <w:iCs w:val="0"/>
          <w:u w:val="none"/>
          <w:lang w:val="en-US" w:eastAsia="zh-CN"/>
        </w:rPr>
        <w:t>3</w:t>
      </w:r>
      <w:r>
        <w:rPr>
          <w:i w:val="0"/>
          <w:iCs w:val="0"/>
          <w:u w:val="none"/>
        </w:rPr>
        <w:t>.</w:t>
      </w:r>
      <w:r>
        <w:rPr>
          <w:rFonts w:hint="eastAsia"/>
          <w:i w:val="0"/>
          <w:iCs w:val="0"/>
          <w:u w:val="none"/>
        </w:rPr>
        <w:t>3</w:t>
      </w:r>
      <w:r>
        <w:rPr>
          <w:i w:val="0"/>
          <w:iCs w:val="0"/>
          <w:u w:val="none"/>
        </w:rPr>
        <w:t>-1      市控点驻马店市自动监测点监测数据统计表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728"/>
        <w:gridCol w:w="2462"/>
        <w:gridCol w:w="1453"/>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070" w:type="pct"/>
            <w:vMerge w:val="restart"/>
            <w:tcBorders>
              <w:top w:val="single" w:color="auto" w:sz="12" w:space="0"/>
              <w:left w:val="single" w:color="auto" w:sz="12" w:space="0"/>
              <w:tl2br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项目</w:t>
            </w:r>
          </w:p>
          <w:p>
            <w:pPr>
              <w:ind w:firstLine="420"/>
              <w:jc w:val="left"/>
              <w:textAlignment w:val="center"/>
              <w:rPr>
                <w:i w:val="0"/>
                <w:iCs w:val="0"/>
                <w:kern w:val="0"/>
                <w:sz w:val="21"/>
                <w:szCs w:val="21"/>
                <w:u w:val="none"/>
              </w:rPr>
            </w:pPr>
            <w:r>
              <w:rPr>
                <w:i w:val="0"/>
                <w:iCs w:val="0"/>
                <w:kern w:val="0"/>
                <w:sz w:val="21"/>
                <w:szCs w:val="21"/>
                <w:u w:val="none"/>
              </w:rPr>
              <w:t>时间</w:t>
            </w:r>
          </w:p>
        </w:tc>
        <w:tc>
          <w:tcPr>
            <w:tcW w:w="966" w:type="pct"/>
            <w:vMerge w:val="restart"/>
            <w:tcBorders>
              <w:top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污染物</w:t>
            </w:r>
          </w:p>
        </w:tc>
        <w:tc>
          <w:tcPr>
            <w:tcW w:w="1376" w:type="pct"/>
            <w:vMerge w:val="restart"/>
            <w:tcBorders>
              <w:top w:val="single" w:color="auto" w:sz="12" w:space="0"/>
              <w:left w:val="single" w:color="auto" w:sz="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年均值(μg/m</w:t>
            </w:r>
            <w:r>
              <w:rPr>
                <w:i w:val="0"/>
                <w:iCs w:val="0"/>
                <w:kern w:val="0"/>
                <w:sz w:val="21"/>
                <w:szCs w:val="21"/>
                <w:u w:val="none"/>
                <w:vertAlign w:val="superscript"/>
              </w:rPr>
              <w:t>3</w:t>
            </w:r>
            <w:r>
              <w:rPr>
                <w:i w:val="0"/>
                <w:iCs w:val="0"/>
                <w:kern w:val="0"/>
                <w:sz w:val="21"/>
                <w:szCs w:val="21"/>
                <w:u w:val="none"/>
              </w:rPr>
              <w:t>)</w:t>
            </w:r>
          </w:p>
        </w:tc>
        <w:tc>
          <w:tcPr>
            <w:tcW w:w="812" w:type="pct"/>
            <w:vMerge w:val="restart"/>
            <w:tcBorders>
              <w:top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标准值 (μg/m</w:t>
            </w:r>
            <w:r>
              <w:rPr>
                <w:i w:val="0"/>
                <w:iCs w:val="0"/>
                <w:kern w:val="0"/>
                <w:sz w:val="21"/>
                <w:szCs w:val="21"/>
                <w:u w:val="none"/>
                <w:vertAlign w:val="superscript"/>
              </w:rPr>
              <w:t>3</w:t>
            </w:r>
            <w:r>
              <w:rPr>
                <w:i w:val="0"/>
                <w:iCs w:val="0"/>
                <w:kern w:val="0"/>
                <w:sz w:val="21"/>
                <w:szCs w:val="21"/>
                <w:u w:val="none"/>
              </w:rPr>
              <w:t>)</w:t>
            </w:r>
          </w:p>
        </w:tc>
        <w:tc>
          <w:tcPr>
            <w:tcW w:w="774" w:type="pct"/>
            <w:vMerge w:val="restart"/>
            <w:tcBorders>
              <w:top w:val="single" w:color="auto" w:sz="12"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2" w:hRule="atLeast"/>
          <w:jc w:val="center"/>
        </w:trPr>
        <w:tc>
          <w:tcPr>
            <w:tcW w:w="1070" w:type="pct"/>
            <w:vMerge w:val="continue"/>
            <w:tcBorders>
              <w:left w:val="single" w:color="auto" w:sz="12" w:space="0"/>
              <w:bottom w:val="single" w:color="auto" w:sz="4" w:space="0"/>
              <w:tl2br w:val="single" w:color="auto" w:sz="4" w:space="0"/>
            </w:tcBorders>
            <w:noWrap w:val="0"/>
            <w:vAlign w:val="center"/>
          </w:tcPr>
          <w:p>
            <w:pPr>
              <w:ind w:firstLine="420"/>
              <w:jc w:val="center"/>
              <w:textAlignment w:val="center"/>
              <w:rPr>
                <w:i w:val="0"/>
                <w:iCs w:val="0"/>
                <w:kern w:val="0"/>
                <w:sz w:val="21"/>
                <w:szCs w:val="21"/>
                <w:u w:val="none"/>
              </w:rPr>
            </w:pPr>
          </w:p>
        </w:tc>
        <w:tc>
          <w:tcPr>
            <w:tcW w:w="966" w:type="pct"/>
            <w:vMerge w:val="continue"/>
            <w:tcBorders>
              <w:bottom w:val="single" w:color="auto" w:sz="4" w:space="0"/>
            </w:tcBorders>
            <w:noWrap w:val="0"/>
            <w:vAlign w:val="center"/>
          </w:tcPr>
          <w:p>
            <w:pPr>
              <w:ind w:firstLine="420"/>
              <w:jc w:val="center"/>
              <w:textAlignment w:val="center"/>
              <w:rPr>
                <w:i w:val="0"/>
                <w:iCs w:val="0"/>
                <w:kern w:val="0"/>
                <w:sz w:val="21"/>
                <w:szCs w:val="21"/>
                <w:u w:val="none"/>
              </w:rPr>
            </w:pPr>
          </w:p>
        </w:tc>
        <w:tc>
          <w:tcPr>
            <w:tcW w:w="1376" w:type="pct"/>
            <w:vMerge w:val="continue"/>
            <w:tcBorders>
              <w:left w:val="single" w:color="auto" w:sz="2" w:space="0"/>
              <w:bottom w:val="single" w:color="auto" w:sz="4" w:space="0"/>
            </w:tcBorders>
            <w:noWrap w:val="0"/>
            <w:vAlign w:val="center"/>
          </w:tcPr>
          <w:p>
            <w:pPr>
              <w:ind w:firstLine="420"/>
              <w:jc w:val="center"/>
              <w:textAlignment w:val="center"/>
              <w:rPr>
                <w:i w:val="0"/>
                <w:iCs w:val="0"/>
                <w:kern w:val="0"/>
                <w:sz w:val="21"/>
                <w:szCs w:val="21"/>
                <w:u w:val="none"/>
              </w:rPr>
            </w:pPr>
          </w:p>
        </w:tc>
        <w:tc>
          <w:tcPr>
            <w:tcW w:w="812" w:type="pct"/>
            <w:vMerge w:val="continue"/>
            <w:tcBorders>
              <w:bottom w:val="single" w:color="auto" w:sz="4" w:space="0"/>
            </w:tcBorders>
            <w:noWrap w:val="0"/>
            <w:vAlign w:val="center"/>
          </w:tcPr>
          <w:p>
            <w:pPr>
              <w:ind w:firstLine="420"/>
              <w:jc w:val="center"/>
              <w:textAlignment w:val="center"/>
              <w:rPr>
                <w:i w:val="0"/>
                <w:iCs w:val="0"/>
                <w:kern w:val="0"/>
                <w:sz w:val="21"/>
                <w:szCs w:val="21"/>
                <w:u w:val="none"/>
              </w:rPr>
            </w:pPr>
          </w:p>
        </w:tc>
        <w:tc>
          <w:tcPr>
            <w:tcW w:w="774" w:type="pct"/>
            <w:vMerge w:val="continue"/>
            <w:tcBorders>
              <w:bottom w:val="single" w:color="auto" w:sz="4" w:space="0"/>
              <w:right w:val="single" w:color="auto" w:sz="12" w:space="0"/>
            </w:tcBorders>
            <w:noWrap w:val="0"/>
            <w:vAlign w:val="center"/>
          </w:tcPr>
          <w:p>
            <w:pPr>
              <w:ind w:firstLine="420"/>
              <w:jc w:val="center"/>
              <w:textAlignment w:val="center"/>
              <w:rPr>
                <w:i w:val="0"/>
                <w:iCs w:val="0"/>
                <w:kern w:val="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1070" w:type="pct"/>
            <w:vMerge w:val="restart"/>
            <w:tcBorders>
              <w:top w:val="single" w:color="auto" w:sz="4" w:space="0"/>
              <w:left w:val="single" w:color="auto" w:sz="12" w:space="0"/>
              <w:right w:val="single" w:color="auto" w:sz="4" w:space="0"/>
            </w:tcBorders>
            <w:noWrap w:val="0"/>
            <w:vAlign w:val="center"/>
          </w:tcPr>
          <w:p>
            <w:pPr>
              <w:ind w:firstLine="0" w:firstLineChars="0"/>
              <w:jc w:val="center"/>
              <w:textAlignment w:val="center"/>
              <w:rPr>
                <w:i w:val="0"/>
                <w:iCs w:val="0"/>
                <w:kern w:val="0"/>
                <w:sz w:val="21"/>
                <w:szCs w:val="21"/>
                <w:u w:val="none"/>
              </w:rPr>
            </w:pPr>
            <w:bookmarkStart w:id="198" w:name="_Hlk261512383"/>
            <w:r>
              <w:rPr>
                <w:i w:val="0"/>
                <w:iCs w:val="0"/>
                <w:kern w:val="0"/>
                <w:sz w:val="21"/>
                <w:szCs w:val="21"/>
                <w:u w:val="none"/>
              </w:rPr>
              <w:t>201</w:t>
            </w:r>
            <w:r>
              <w:rPr>
                <w:rFonts w:hint="eastAsia"/>
                <w:i w:val="0"/>
                <w:iCs w:val="0"/>
                <w:kern w:val="0"/>
                <w:sz w:val="21"/>
                <w:szCs w:val="21"/>
                <w:u w:val="none"/>
                <w:lang w:val="en-US" w:eastAsia="zh-CN"/>
              </w:rPr>
              <w:t>8</w:t>
            </w:r>
            <w:r>
              <w:rPr>
                <w:i w:val="0"/>
                <w:iCs w:val="0"/>
                <w:kern w:val="0"/>
                <w:sz w:val="21"/>
                <w:szCs w:val="21"/>
                <w:u w:val="none"/>
              </w:rPr>
              <w:t>年</w:t>
            </w:r>
          </w:p>
        </w:tc>
        <w:tc>
          <w:tcPr>
            <w:tcW w:w="966"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SO</w:t>
            </w:r>
            <w:r>
              <w:rPr>
                <w:i w:val="0"/>
                <w:iCs w:val="0"/>
                <w:kern w:val="0"/>
                <w:sz w:val="21"/>
                <w:szCs w:val="21"/>
                <w:u w:val="none"/>
                <w:vertAlign w:val="subscript"/>
              </w:rPr>
              <w:t>2</w:t>
            </w:r>
          </w:p>
        </w:tc>
        <w:tc>
          <w:tcPr>
            <w:tcW w:w="1376"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5" w:leftChars="50" w:firstLine="0" w:firstLineChars="0"/>
              <w:jc w:val="center"/>
              <w:rPr>
                <w:i w:val="0"/>
                <w:iCs w:val="0"/>
                <w:kern w:val="0"/>
                <w:sz w:val="21"/>
                <w:szCs w:val="21"/>
                <w:u w:val="none"/>
              </w:rPr>
            </w:pPr>
            <w:r>
              <w:rPr>
                <w:sz w:val="21"/>
                <w:szCs w:val="21"/>
              </w:rPr>
              <w:t>1</w:t>
            </w:r>
            <w:r>
              <w:rPr>
                <w:rFonts w:hint="eastAsia"/>
                <w:sz w:val="21"/>
                <w:szCs w:val="21"/>
                <w:lang w:val="en-US" w:eastAsia="zh-CN"/>
              </w:rPr>
              <w:t>3</w:t>
            </w:r>
          </w:p>
        </w:tc>
        <w:tc>
          <w:tcPr>
            <w:tcW w:w="812"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60</w:t>
            </w:r>
          </w:p>
        </w:tc>
        <w:tc>
          <w:tcPr>
            <w:tcW w:w="774" w:type="pct"/>
            <w:tcBorders>
              <w:top w:val="single" w:color="auto" w:sz="4" w:space="0"/>
              <w:left w:val="single" w:color="auto" w:sz="4" w:space="0"/>
              <w:bottom w:val="single" w:color="auto" w:sz="4"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070" w:type="pct"/>
            <w:vMerge w:val="continue"/>
            <w:tcBorders>
              <w:left w:val="single" w:color="auto" w:sz="12" w:space="0"/>
              <w:right w:val="single" w:color="auto" w:sz="4" w:space="0"/>
            </w:tcBorders>
            <w:noWrap w:val="0"/>
            <w:vAlign w:val="center"/>
          </w:tcPr>
          <w:p>
            <w:pPr>
              <w:ind w:firstLine="420"/>
              <w:jc w:val="center"/>
              <w:textAlignment w:val="center"/>
              <w:rPr>
                <w:i w:val="0"/>
                <w:iCs w:val="0"/>
                <w:kern w:val="0"/>
                <w:sz w:val="21"/>
                <w:szCs w:val="21"/>
                <w:u w:val="none"/>
              </w:rPr>
            </w:pPr>
          </w:p>
        </w:tc>
        <w:tc>
          <w:tcPr>
            <w:tcW w:w="966"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NO</w:t>
            </w:r>
            <w:r>
              <w:rPr>
                <w:i w:val="0"/>
                <w:iCs w:val="0"/>
                <w:kern w:val="0"/>
                <w:sz w:val="21"/>
                <w:szCs w:val="21"/>
                <w:u w:val="none"/>
                <w:vertAlign w:val="subscript"/>
              </w:rPr>
              <w:t>2</w:t>
            </w:r>
          </w:p>
        </w:tc>
        <w:tc>
          <w:tcPr>
            <w:tcW w:w="1376"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5" w:leftChars="50" w:firstLine="0" w:firstLineChars="0"/>
              <w:jc w:val="center"/>
              <w:rPr>
                <w:i w:val="0"/>
                <w:iCs w:val="0"/>
                <w:kern w:val="0"/>
                <w:sz w:val="21"/>
                <w:szCs w:val="21"/>
                <w:u w:val="none"/>
              </w:rPr>
            </w:pPr>
            <w:r>
              <w:rPr>
                <w:sz w:val="21"/>
                <w:szCs w:val="21"/>
              </w:rPr>
              <w:t>35</w:t>
            </w:r>
          </w:p>
        </w:tc>
        <w:tc>
          <w:tcPr>
            <w:tcW w:w="812"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40</w:t>
            </w:r>
          </w:p>
        </w:tc>
        <w:tc>
          <w:tcPr>
            <w:tcW w:w="774" w:type="pct"/>
            <w:tcBorders>
              <w:top w:val="single" w:color="auto" w:sz="4" w:space="0"/>
              <w:left w:val="single" w:color="auto" w:sz="4" w:space="0"/>
              <w:bottom w:val="single" w:color="auto" w:sz="4"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070" w:type="pct"/>
            <w:vMerge w:val="continue"/>
            <w:tcBorders>
              <w:left w:val="single" w:color="auto" w:sz="12" w:space="0"/>
              <w:right w:val="single" w:color="auto" w:sz="4" w:space="0"/>
            </w:tcBorders>
            <w:noWrap w:val="0"/>
            <w:vAlign w:val="center"/>
          </w:tcPr>
          <w:p>
            <w:pPr>
              <w:ind w:firstLine="420"/>
              <w:jc w:val="center"/>
              <w:textAlignment w:val="center"/>
              <w:rPr>
                <w:i w:val="0"/>
                <w:iCs w:val="0"/>
                <w:kern w:val="0"/>
                <w:sz w:val="21"/>
                <w:szCs w:val="21"/>
                <w:u w:val="none"/>
              </w:rPr>
            </w:pPr>
          </w:p>
        </w:tc>
        <w:tc>
          <w:tcPr>
            <w:tcW w:w="966"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PM</w:t>
            </w:r>
            <w:r>
              <w:rPr>
                <w:i w:val="0"/>
                <w:iCs w:val="0"/>
                <w:kern w:val="0"/>
                <w:sz w:val="21"/>
                <w:szCs w:val="21"/>
                <w:u w:val="none"/>
                <w:vertAlign w:val="subscript"/>
              </w:rPr>
              <w:t>10</w:t>
            </w:r>
          </w:p>
        </w:tc>
        <w:tc>
          <w:tcPr>
            <w:tcW w:w="1376"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5" w:leftChars="50" w:firstLine="0" w:firstLineChars="0"/>
              <w:jc w:val="center"/>
              <w:rPr>
                <w:i w:val="0"/>
                <w:iCs w:val="0"/>
                <w:kern w:val="0"/>
                <w:sz w:val="21"/>
                <w:szCs w:val="21"/>
                <w:u w:val="none"/>
              </w:rPr>
            </w:pPr>
            <w:r>
              <w:rPr>
                <w:sz w:val="21"/>
                <w:szCs w:val="21"/>
              </w:rPr>
              <w:t>1</w:t>
            </w:r>
            <w:r>
              <w:rPr>
                <w:rFonts w:hint="eastAsia"/>
                <w:sz w:val="21"/>
                <w:szCs w:val="21"/>
                <w:lang w:val="en-US" w:eastAsia="zh-CN"/>
              </w:rPr>
              <w:t>10</w:t>
            </w:r>
          </w:p>
        </w:tc>
        <w:tc>
          <w:tcPr>
            <w:tcW w:w="812"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70</w:t>
            </w:r>
          </w:p>
        </w:tc>
        <w:tc>
          <w:tcPr>
            <w:tcW w:w="774" w:type="pct"/>
            <w:tcBorders>
              <w:top w:val="single" w:color="auto" w:sz="4" w:space="0"/>
              <w:left w:val="single" w:color="auto" w:sz="4" w:space="0"/>
              <w:bottom w:val="single" w:color="auto" w:sz="4"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070" w:type="pct"/>
            <w:vMerge w:val="continue"/>
            <w:tcBorders>
              <w:left w:val="single" w:color="auto" w:sz="12" w:space="0"/>
              <w:right w:val="single" w:color="auto" w:sz="4" w:space="0"/>
            </w:tcBorders>
            <w:noWrap w:val="0"/>
            <w:vAlign w:val="center"/>
          </w:tcPr>
          <w:p>
            <w:pPr>
              <w:ind w:firstLine="420"/>
              <w:jc w:val="center"/>
              <w:textAlignment w:val="center"/>
              <w:rPr>
                <w:i w:val="0"/>
                <w:iCs w:val="0"/>
                <w:kern w:val="0"/>
                <w:sz w:val="21"/>
                <w:szCs w:val="21"/>
                <w:u w:val="none"/>
              </w:rPr>
            </w:pPr>
          </w:p>
        </w:tc>
        <w:tc>
          <w:tcPr>
            <w:tcW w:w="966"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PM</w:t>
            </w:r>
            <w:r>
              <w:rPr>
                <w:i w:val="0"/>
                <w:iCs w:val="0"/>
                <w:kern w:val="0"/>
                <w:sz w:val="21"/>
                <w:szCs w:val="21"/>
                <w:u w:val="none"/>
                <w:vertAlign w:val="subscript"/>
              </w:rPr>
              <w:t>2.5</w:t>
            </w:r>
          </w:p>
        </w:tc>
        <w:tc>
          <w:tcPr>
            <w:tcW w:w="1376"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5" w:leftChars="50" w:firstLine="0" w:firstLineChars="0"/>
              <w:jc w:val="center"/>
              <w:rPr>
                <w:i w:val="0"/>
                <w:iCs w:val="0"/>
                <w:kern w:val="0"/>
                <w:sz w:val="21"/>
                <w:szCs w:val="21"/>
                <w:u w:val="none"/>
              </w:rPr>
            </w:pPr>
            <w:r>
              <w:rPr>
                <w:rFonts w:hint="eastAsia"/>
                <w:sz w:val="21"/>
                <w:szCs w:val="21"/>
                <w:lang w:val="en-US" w:eastAsia="zh-CN"/>
              </w:rPr>
              <w:t>62</w:t>
            </w:r>
          </w:p>
        </w:tc>
        <w:tc>
          <w:tcPr>
            <w:tcW w:w="812"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35</w:t>
            </w:r>
          </w:p>
        </w:tc>
        <w:tc>
          <w:tcPr>
            <w:tcW w:w="774" w:type="pct"/>
            <w:tcBorders>
              <w:top w:val="single" w:color="auto" w:sz="4" w:space="0"/>
              <w:left w:val="single" w:color="auto" w:sz="4" w:space="0"/>
              <w:bottom w:val="single" w:color="auto" w:sz="4"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1070" w:type="pct"/>
            <w:vMerge w:val="continue"/>
            <w:tcBorders>
              <w:left w:val="single" w:color="auto" w:sz="12" w:space="0"/>
              <w:right w:val="single" w:color="auto" w:sz="4" w:space="0"/>
            </w:tcBorders>
            <w:noWrap w:val="0"/>
            <w:vAlign w:val="center"/>
          </w:tcPr>
          <w:p>
            <w:pPr>
              <w:ind w:firstLine="420"/>
              <w:jc w:val="center"/>
              <w:textAlignment w:val="center"/>
              <w:rPr>
                <w:i w:val="0"/>
                <w:iCs w:val="0"/>
                <w:kern w:val="0"/>
                <w:sz w:val="21"/>
                <w:szCs w:val="21"/>
                <w:u w:val="none"/>
              </w:rPr>
            </w:pPr>
          </w:p>
        </w:tc>
        <w:tc>
          <w:tcPr>
            <w:tcW w:w="966"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CO</w:t>
            </w:r>
          </w:p>
        </w:tc>
        <w:tc>
          <w:tcPr>
            <w:tcW w:w="1376"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left="105" w:leftChars="50" w:firstLine="0" w:firstLineChars="0"/>
              <w:jc w:val="center"/>
              <w:rPr>
                <w:i w:val="0"/>
                <w:iCs w:val="0"/>
                <w:kern w:val="0"/>
                <w:sz w:val="21"/>
                <w:szCs w:val="21"/>
                <w:u w:val="none"/>
              </w:rPr>
            </w:pPr>
            <w:r>
              <w:rPr>
                <w:sz w:val="21"/>
                <w:szCs w:val="21"/>
              </w:rPr>
              <w:t>1</w:t>
            </w:r>
            <w:r>
              <w:rPr>
                <w:rFonts w:hint="eastAsia"/>
                <w:sz w:val="21"/>
                <w:szCs w:val="21"/>
                <w:lang w:val="en-US" w:eastAsia="zh-CN"/>
              </w:rPr>
              <w:t>8</w:t>
            </w:r>
            <w:r>
              <w:rPr>
                <w:sz w:val="21"/>
                <w:szCs w:val="21"/>
              </w:rPr>
              <w:t>0</w:t>
            </w:r>
          </w:p>
        </w:tc>
        <w:tc>
          <w:tcPr>
            <w:tcW w:w="812" w:type="pct"/>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4000</w:t>
            </w:r>
          </w:p>
        </w:tc>
        <w:tc>
          <w:tcPr>
            <w:tcW w:w="774" w:type="pct"/>
            <w:tcBorders>
              <w:top w:val="single" w:color="auto" w:sz="4" w:space="0"/>
              <w:left w:val="single" w:color="auto" w:sz="4" w:space="0"/>
              <w:bottom w:val="single" w:color="auto" w:sz="4"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070" w:type="pct"/>
            <w:vMerge w:val="continue"/>
            <w:tcBorders>
              <w:left w:val="single" w:color="auto" w:sz="12" w:space="0"/>
              <w:bottom w:val="single" w:color="auto" w:sz="12" w:space="0"/>
              <w:right w:val="single" w:color="auto" w:sz="4" w:space="0"/>
            </w:tcBorders>
            <w:noWrap w:val="0"/>
            <w:vAlign w:val="center"/>
          </w:tcPr>
          <w:p>
            <w:pPr>
              <w:ind w:firstLine="420"/>
              <w:jc w:val="center"/>
              <w:textAlignment w:val="center"/>
              <w:rPr>
                <w:i w:val="0"/>
                <w:iCs w:val="0"/>
                <w:kern w:val="0"/>
                <w:sz w:val="21"/>
                <w:szCs w:val="21"/>
                <w:u w:val="none"/>
              </w:rPr>
            </w:pPr>
          </w:p>
        </w:tc>
        <w:tc>
          <w:tcPr>
            <w:tcW w:w="966" w:type="pct"/>
            <w:tcBorders>
              <w:top w:val="single" w:color="auto" w:sz="4" w:space="0"/>
              <w:left w:val="single" w:color="auto" w:sz="4" w:space="0"/>
              <w:bottom w:val="single" w:color="auto" w:sz="12"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O</w:t>
            </w:r>
            <w:r>
              <w:rPr>
                <w:i w:val="0"/>
                <w:iCs w:val="0"/>
                <w:kern w:val="0"/>
                <w:sz w:val="21"/>
                <w:szCs w:val="21"/>
                <w:u w:val="none"/>
                <w:vertAlign w:val="subscript"/>
              </w:rPr>
              <w:t>3</w:t>
            </w:r>
          </w:p>
        </w:tc>
        <w:tc>
          <w:tcPr>
            <w:tcW w:w="1376" w:type="pct"/>
            <w:tcBorders>
              <w:top w:val="single" w:color="auto" w:sz="4" w:space="0"/>
              <w:left w:val="single" w:color="auto" w:sz="4" w:space="0"/>
              <w:bottom w:val="single" w:color="auto" w:sz="12" w:space="0"/>
              <w:right w:val="single" w:color="auto" w:sz="4" w:space="0"/>
            </w:tcBorders>
            <w:noWrap w:val="0"/>
            <w:vAlign w:val="center"/>
          </w:tcPr>
          <w:p>
            <w:pPr>
              <w:spacing w:line="240" w:lineRule="auto"/>
              <w:ind w:left="105" w:leftChars="50" w:firstLine="0" w:firstLineChars="0"/>
              <w:jc w:val="center"/>
              <w:rPr>
                <w:i w:val="0"/>
                <w:iCs w:val="0"/>
                <w:kern w:val="0"/>
                <w:sz w:val="21"/>
                <w:szCs w:val="21"/>
                <w:u w:val="none"/>
              </w:rPr>
            </w:pPr>
            <w:r>
              <w:rPr>
                <w:sz w:val="21"/>
                <w:szCs w:val="21"/>
              </w:rPr>
              <w:t>1.</w:t>
            </w:r>
            <w:r>
              <w:rPr>
                <w:rFonts w:hint="eastAsia"/>
                <w:sz w:val="21"/>
                <w:szCs w:val="21"/>
                <w:lang w:val="en-US" w:eastAsia="zh-CN"/>
              </w:rPr>
              <w:t>6</w:t>
            </w:r>
          </w:p>
        </w:tc>
        <w:tc>
          <w:tcPr>
            <w:tcW w:w="812" w:type="pct"/>
            <w:tcBorders>
              <w:top w:val="single" w:color="auto" w:sz="4" w:space="0"/>
              <w:left w:val="single" w:color="auto" w:sz="4" w:space="0"/>
              <w:bottom w:val="single" w:color="auto" w:sz="12" w:space="0"/>
              <w:right w:val="single" w:color="auto" w:sz="4"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160</w:t>
            </w:r>
          </w:p>
        </w:tc>
        <w:tc>
          <w:tcPr>
            <w:tcW w:w="774" w:type="pct"/>
            <w:tcBorders>
              <w:top w:val="single" w:color="auto" w:sz="4" w:space="0"/>
              <w:left w:val="single" w:color="auto" w:sz="4" w:space="0"/>
              <w:bottom w:val="single" w:color="auto" w:sz="12" w:space="0"/>
              <w:right w:val="single" w:color="auto" w:sz="12" w:space="0"/>
            </w:tcBorders>
            <w:noWrap w:val="0"/>
            <w:vAlign w:val="center"/>
          </w:tcPr>
          <w:p>
            <w:pPr>
              <w:ind w:firstLine="0" w:firstLineChars="0"/>
              <w:jc w:val="center"/>
              <w:textAlignment w:val="center"/>
              <w:rPr>
                <w:i w:val="0"/>
                <w:iCs w:val="0"/>
                <w:kern w:val="0"/>
                <w:sz w:val="21"/>
                <w:szCs w:val="21"/>
                <w:u w:val="none"/>
              </w:rPr>
            </w:pPr>
            <w:r>
              <w:rPr>
                <w:i w:val="0"/>
                <w:iCs w:val="0"/>
                <w:kern w:val="0"/>
                <w:sz w:val="21"/>
                <w:szCs w:val="21"/>
                <w:u w:val="none"/>
              </w:rPr>
              <w:t>达标</w:t>
            </w:r>
          </w:p>
        </w:tc>
      </w:tr>
      <w:bookmarkEnd w:id="198"/>
    </w:tbl>
    <w:p>
      <w:pPr>
        <w:spacing w:line="520" w:lineRule="exact"/>
        <w:ind w:firstLine="480"/>
        <w:rPr>
          <w:i w:val="0"/>
          <w:iCs w:val="0"/>
          <w:sz w:val="24"/>
          <w:szCs w:val="24"/>
          <w:u w:val="none"/>
        </w:rPr>
      </w:pPr>
      <w:r>
        <w:rPr>
          <w:i w:val="0"/>
          <w:iCs w:val="0"/>
          <w:sz w:val="24"/>
          <w:szCs w:val="24"/>
          <w:u w:val="none"/>
        </w:rPr>
        <w:t>由表</w:t>
      </w:r>
      <w:r>
        <w:rPr>
          <w:rFonts w:hint="eastAsia"/>
          <w:i w:val="0"/>
          <w:iCs w:val="0"/>
          <w:sz w:val="24"/>
          <w:szCs w:val="24"/>
          <w:u w:val="none"/>
          <w:lang w:val="en-US" w:eastAsia="zh-CN"/>
        </w:rPr>
        <w:t>4</w:t>
      </w:r>
      <w:r>
        <w:rPr>
          <w:rFonts w:hint="eastAsia"/>
          <w:i w:val="0"/>
          <w:iCs w:val="0"/>
          <w:sz w:val="24"/>
          <w:szCs w:val="24"/>
          <w:u w:val="none"/>
        </w:rPr>
        <w:t>.3</w:t>
      </w:r>
      <w:r>
        <w:rPr>
          <w:i w:val="0"/>
          <w:iCs w:val="0"/>
          <w:sz w:val="24"/>
          <w:szCs w:val="24"/>
          <w:u w:val="none"/>
        </w:rPr>
        <w:t>-1可知，项目所在区域基本污染物SO</w:t>
      </w:r>
      <w:r>
        <w:rPr>
          <w:i w:val="0"/>
          <w:iCs w:val="0"/>
          <w:sz w:val="24"/>
          <w:szCs w:val="24"/>
          <w:u w:val="none"/>
          <w:vertAlign w:val="subscript"/>
        </w:rPr>
        <w:t>2</w:t>
      </w:r>
      <w:r>
        <w:rPr>
          <w:i w:val="0"/>
          <w:iCs w:val="0"/>
          <w:sz w:val="24"/>
          <w:szCs w:val="24"/>
          <w:u w:val="none"/>
        </w:rPr>
        <w:t>、NO</w:t>
      </w:r>
      <w:r>
        <w:rPr>
          <w:i w:val="0"/>
          <w:iCs w:val="0"/>
          <w:sz w:val="24"/>
          <w:szCs w:val="24"/>
          <w:u w:val="none"/>
          <w:vertAlign w:val="subscript"/>
        </w:rPr>
        <w:t>2</w:t>
      </w:r>
      <w:r>
        <w:rPr>
          <w:i w:val="0"/>
          <w:iCs w:val="0"/>
          <w:sz w:val="24"/>
          <w:szCs w:val="24"/>
          <w:u w:val="none"/>
        </w:rPr>
        <w:t>、CO、O</w:t>
      </w:r>
      <w:r>
        <w:rPr>
          <w:i w:val="0"/>
          <w:iCs w:val="0"/>
          <w:sz w:val="24"/>
          <w:szCs w:val="24"/>
          <w:u w:val="none"/>
          <w:vertAlign w:val="subscript"/>
        </w:rPr>
        <w:t>3</w:t>
      </w:r>
      <w:r>
        <w:rPr>
          <w:i w:val="0"/>
          <w:iCs w:val="0"/>
          <w:sz w:val="24"/>
          <w:szCs w:val="24"/>
          <w:u w:val="none"/>
        </w:rPr>
        <w:t>201</w:t>
      </w:r>
      <w:r>
        <w:rPr>
          <w:rFonts w:hint="eastAsia"/>
          <w:i w:val="0"/>
          <w:iCs w:val="0"/>
          <w:sz w:val="24"/>
          <w:szCs w:val="24"/>
          <w:u w:val="none"/>
          <w:lang w:val="en-US" w:eastAsia="zh-CN"/>
        </w:rPr>
        <w:t>8</w:t>
      </w:r>
      <w:r>
        <w:rPr>
          <w:i w:val="0"/>
          <w:iCs w:val="0"/>
          <w:sz w:val="24"/>
          <w:szCs w:val="24"/>
          <w:u w:val="none"/>
        </w:rPr>
        <w:t>年全年度可满足《环境空气质量标准》（GB3095-2012）中的二级标准要求，PM</w:t>
      </w:r>
      <w:r>
        <w:rPr>
          <w:i w:val="0"/>
          <w:iCs w:val="0"/>
          <w:sz w:val="24"/>
          <w:szCs w:val="24"/>
          <w:u w:val="none"/>
          <w:vertAlign w:val="subscript"/>
        </w:rPr>
        <w:t>10</w:t>
      </w:r>
      <w:r>
        <w:rPr>
          <w:i w:val="0"/>
          <w:iCs w:val="0"/>
          <w:sz w:val="24"/>
          <w:szCs w:val="24"/>
          <w:u w:val="none"/>
        </w:rPr>
        <w:t>、PM</w:t>
      </w:r>
      <w:r>
        <w:rPr>
          <w:i w:val="0"/>
          <w:iCs w:val="0"/>
          <w:sz w:val="24"/>
          <w:szCs w:val="24"/>
          <w:u w:val="none"/>
          <w:vertAlign w:val="subscript"/>
        </w:rPr>
        <w:t>2.5</w:t>
      </w:r>
      <w:r>
        <w:rPr>
          <w:i w:val="0"/>
          <w:iCs w:val="0"/>
          <w:sz w:val="24"/>
          <w:szCs w:val="24"/>
          <w:u w:val="none"/>
        </w:rPr>
        <w:t>201</w:t>
      </w:r>
      <w:r>
        <w:rPr>
          <w:rFonts w:hint="eastAsia"/>
          <w:i w:val="0"/>
          <w:iCs w:val="0"/>
          <w:sz w:val="24"/>
          <w:szCs w:val="24"/>
          <w:u w:val="none"/>
          <w:lang w:val="en-US" w:eastAsia="zh-CN"/>
        </w:rPr>
        <w:t>8</w:t>
      </w:r>
      <w:r>
        <w:rPr>
          <w:i w:val="0"/>
          <w:iCs w:val="0"/>
          <w:sz w:val="24"/>
          <w:szCs w:val="24"/>
          <w:u w:val="none"/>
        </w:rPr>
        <w:t>年度年均值均超过《环境空气质量标准》（GB3095-2012）中的二级标准要求，由此判断项目所在区域为不达标区域。</w:t>
      </w:r>
    </w:p>
    <w:p>
      <w:pPr>
        <w:pStyle w:val="7"/>
        <w:spacing w:before="0" w:after="0" w:line="520" w:lineRule="exact"/>
        <w:rPr>
          <w:rFonts w:hint="default" w:hAnsi="Times New Roman" w:eastAsia="宋体"/>
          <w:sz w:val="24"/>
          <w:lang w:val="en-US" w:eastAsia="zh-CN"/>
        </w:rPr>
      </w:pPr>
      <w:r>
        <w:rPr>
          <w:rFonts w:hint="eastAsia" w:hAnsi="Times New Roman" w:eastAsia="宋体"/>
          <w:sz w:val="24"/>
          <w:lang w:val="en-US" w:eastAsia="zh-CN"/>
        </w:rPr>
        <w:t>3.3.1.2 环境空气质量现状监测</w:t>
      </w:r>
    </w:p>
    <w:p>
      <w:pPr>
        <w:spacing w:line="500" w:lineRule="exact"/>
        <w:ind w:firstLine="480" w:firstLineChars="200"/>
        <w:rPr>
          <w:rFonts w:hint="default"/>
          <w:color w:val="000000" w:themeColor="text1"/>
          <w:sz w:val="24"/>
          <w:lang w:val="en-US" w:eastAsia="zh-CN"/>
        </w:rPr>
      </w:pPr>
      <w:r>
        <w:rPr>
          <w:rFonts w:hint="eastAsia"/>
          <w:color w:val="000000" w:themeColor="text1"/>
          <w:sz w:val="24"/>
          <w:lang w:val="en-US" w:eastAsia="zh-CN"/>
        </w:rPr>
        <w:t>本项目监测数据引用《</w:t>
      </w:r>
      <w:r>
        <w:rPr>
          <w:rFonts w:hint="eastAsia" w:ascii="Times New Roman" w:hAnsi="Times New Roman"/>
          <w:color w:val="000000"/>
          <w:kern w:val="0"/>
          <w:sz w:val="24"/>
          <w:szCs w:val="21"/>
        </w:rPr>
        <w:t>驻马店市联合英伟养殖有限公司商品猪养殖项目</w:t>
      </w:r>
      <w:r>
        <w:rPr>
          <w:rFonts w:hint="eastAsia"/>
          <w:color w:val="000000" w:themeColor="text1"/>
          <w:sz w:val="24"/>
          <w:lang w:val="en-US" w:eastAsia="zh-CN"/>
        </w:rPr>
        <w:t>》现状监测数据。</w:t>
      </w:r>
    </w:p>
    <w:p>
      <w:pPr>
        <w:spacing w:line="500" w:lineRule="exact"/>
        <w:ind w:firstLine="480" w:firstLineChars="200"/>
        <w:rPr>
          <w:color w:val="000000" w:themeColor="text1"/>
          <w:sz w:val="24"/>
        </w:rPr>
      </w:pPr>
      <w:r>
        <w:rPr>
          <w:rFonts w:hint="eastAsia"/>
          <w:color w:val="000000" w:themeColor="text1"/>
          <w:sz w:val="24"/>
          <w:lang w:val="en-US" w:eastAsia="zh-CN"/>
        </w:rPr>
        <w:t>（1）</w:t>
      </w:r>
      <w:r>
        <w:rPr>
          <w:color w:val="000000" w:themeColor="text1"/>
          <w:sz w:val="24"/>
        </w:rPr>
        <w:t>监测点布设</w:t>
      </w:r>
      <w:bookmarkEnd w:id="195"/>
      <w:bookmarkEnd w:id="196"/>
    </w:p>
    <w:p>
      <w:pPr>
        <w:spacing w:line="500" w:lineRule="exact"/>
        <w:jc w:val="center"/>
        <w:rPr>
          <w:b/>
          <w:color w:val="000000" w:themeColor="text1"/>
          <w:sz w:val="24"/>
        </w:rPr>
      </w:pPr>
      <w:bookmarkStart w:id="199" w:name="_Toc406663003"/>
      <w:bookmarkStart w:id="200" w:name="_Toc413829636"/>
      <w:r>
        <w:rPr>
          <w:b/>
          <w:color w:val="000000" w:themeColor="text1"/>
          <w:sz w:val="24"/>
        </w:rPr>
        <w:t>表</w:t>
      </w:r>
      <w:r>
        <w:rPr>
          <w:rFonts w:hint="eastAsia"/>
          <w:b/>
          <w:color w:val="000000" w:themeColor="text1"/>
          <w:sz w:val="24"/>
          <w:lang w:val="en-US" w:eastAsia="zh-CN"/>
        </w:rPr>
        <w:t>3.3-2</w:t>
      </w:r>
      <w:r>
        <w:rPr>
          <w:b/>
          <w:color w:val="000000" w:themeColor="text1"/>
          <w:sz w:val="24"/>
        </w:rPr>
        <w:t xml:space="preserve">      环境空气现状监测点位布设一览表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145"/>
        <w:gridCol w:w="1480"/>
        <w:gridCol w:w="2197"/>
        <w:gridCol w:w="1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49" w:type="pct"/>
            <w:tcBorders>
              <w:top w:val="single" w:color="auto" w:sz="12"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点号</w:t>
            </w:r>
          </w:p>
        </w:tc>
        <w:tc>
          <w:tcPr>
            <w:tcW w:w="1199" w:type="pct"/>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监测点名称</w:t>
            </w:r>
          </w:p>
        </w:tc>
        <w:tc>
          <w:tcPr>
            <w:tcW w:w="827" w:type="pct"/>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有效日数</w:t>
            </w:r>
          </w:p>
        </w:tc>
        <w:tc>
          <w:tcPr>
            <w:tcW w:w="1228" w:type="pct"/>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布设目的</w:t>
            </w:r>
          </w:p>
        </w:tc>
        <w:tc>
          <w:tcPr>
            <w:tcW w:w="1094" w:type="pct"/>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距场区方位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49" w:type="pct"/>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1</w:t>
            </w:r>
          </w:p>
        </w:tc>
        <w:tc>
          <w:tcPr>
            <w:tcW w:w="11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宋体"/>
                <w:szCs w:val="21"/>
                <w:lang w:val="en-US" w:eastAsia="zh-CN"/>
              </w:rPr>
            </w:pPr>
            <w:r>
              <w:rPr>
                <w:rFonts w:hint="eastAsia"/>
                <w:szCs w:val="21"/>
                <w:lang w:val="en-US" w:eastAsia="zh-CN"/>
              </w:rPr>
              <w:t>上邹庄</w:t>
            </w:r>
          </w:p>
        </w:tc>
        <w:tc>
          <w:tcPr>
            <w:tcW w:w="82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7</w:t>
            </w:r>
          </w:p>
        </w:tc>
        <w:tc>
          <w:tcPr>
            <w:tcW w:w="12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敏感点</w:t>
            </w:r>
          </w:p>
        </w:tc>
        <w:tc>
          <w:tcPr>
            <w:tcW w:w="1094" w:type="pct"/>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SW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9" w:type="pct"/>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2</w:t>
            </w:r>
          </w:p>
        </w:tc>
        <w:tc>
          <w:tcPr>
            <w:tcW w:w="11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宋体"/>
                <w:szCs w:val="21"/>
                <w:lang w:val="en-US" w:eastAsia="zh-CN"/>
              </w:rPr>
            </w:pPr>
            <w:r>
              <w:rPr>
                <w:rFonts w:hint="eastAsia"/>
                <w:szCs w:val="21"/>
                <w:lang w:val="en-US" w:eastAsia="zh-CN"/>
              </w:rPr>
              <w:t>南龚庄</w:t>
            </w:r>
          </w:p>
        </w:tc>
        <w:tc>
          <w:tcPr>
            <w:tcW w:w="82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7</w:t>
            </w:r>
          </w:p>
        </w:tc>
        <w:tc>
          <w:tcPr>
            <w:tcW w:w="1228"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宋体"/>
                <w:color w:val="000000" w:themeColor="text1"/>
                <w:lang w:eastAsia="zh-CN"/>
              </w:rPr>
            </w:pPr>
            <w:r>
              <w:rPr>
                <w:rFonts w:hint="eastAsia"/>
                <w:color w:val="000000" w:themeColor="text1"/>
                <w:lang w:val="en-US" w:eastAsia="zh-CN"/>
              </w:rPr>
              <w:t>敏感点</w:t>
            </w:r>
          </w:p>
        </w:tc>
        <w:tc>
          <w:tcPr>
            <w:tcW w:w="1094"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eastAsia="宋体"/>
                <w:color w:val="000000" w:themeColor="text1"/>
                <w:szCs w:val="21"/>
                <w:lang w:val="en-US" w:eastAsia="zh-CN"/>
              </w:rPr>
            </w:pPr>
            <w:r>
              <w:rPr>
                <w:rFonts w:hint="eastAsia"/>
                <w:color w:val="000000" w:themeColor="text1"/>
                <w:szCs w:val="21"/>
                <w:lang w:val="en-US" w:eastAsia="zh-CN"/>
              </w:rPr>
              <w:t>SW</w:t>
            </w:r>
          </w:p>
        </w:tc>
      </w:tr>
    </w:tbl>
    <w:p>
      <w:pPr>
        <w:spacing w:line="500" w:lineRule="exact"/>
        <w:ind w:firstLine="480" w:firstLineChars="200"/>
        <w:rPr>
          <w:color w:val="000000" w:themeColor="text1"/>
          <w:sz w:val="24"/>
        </w:rPr>
      </w:pPr>
      <w:bookmarkStart w:id="201" w:name="_Toc406662997"/>
      <w:bookmarkStart w:id="202" w:name="_Toc413829630"/>
      <w:r>
        <w:rPr>
          <w:rFonts w:hint="eastAsia"/>
          <w:color w:val="000000" w:themeColor="text1"/>
          <w:sz w:val="24"/>
          <w:lang w:val="en-US" w:eastAsia="zh-CN"/>
        </w:rPr>
        <w:t>（2）</w:t>
      </w:r>
      <w:r>
        <w:rPr>
          <w:color w:val="000000" w:themeColor="text1"/>
          <w:sz w:val="24"/>
        </w:rPr>
        <w:t>监测因子及监测分析方法</w:t>
      </w:r>
      <w:bookmarkEnd w:id="201"/>
      <w:bookmarkEnd w:id="202"/>
    </w:p>
    <w:p>
      <w:pPr>
        <w:widowControl/>
        <w:snapToGrid w:val="0"/>
        <w:spacing w:line="500" w:lineRule="exact"/>
        <w:ind w:firstLine="480" w:firstLineChars="200"/>
        <w:rPr>
          <w:color w:val="000000" w:themeColor="text1"/>
          <w:sz w:val="24"/>
          <w:szCs w:val="28"/>
        </w:rPr>
      </w:pPr>
      <w:bookmarkStart w:id="203" w:name="_Toc406662998"/>
      <w:bookmarkStart w:id="204" w:name="_Toc413829631"/>
      <w:r>
        <w:rPr>
          <w:color w:val="000000" w:themeColor="text1"/>
          <w:sz w:val="24"/>
          <w:szCs w:val="28"/>
        </w:rPr>
        <w:t>根据本项目废气污染物产生情况，确定本次环境空气质量现状监测因子为</w:t>
      </w:r>
      <w:r>
        <w:rPr>
          <w:sz w:val="24"/>
        </w:rPr>
        <w:t>H</w:t>
      </w:r>
      <w:r>
        <w:rPr>
          <w:sz w:val="24"/>
          <w:vertAlign w:val="subscript"/>
        </w:rPr>
        <w:t>2</w:t>
      </w:r>
      <w:r>
        <w:rPr>
          <w:sz w:val="24"/>
        </w:rPr>
        <w:t>S、NH</w:t>
      </w:r>
      <w:r>
        <w:rPr>
          <w:sz w:val="24"/>
          <w:vertAlign w:val="subscript"/>
        </w:rPr>
        <w:t>3</w:t>
      </w:r>
      <w:r>
        <w:rPr>
          <w:sz w:val="24"/>
        </w:rPr>
        <w:t>同步监测风速、风向、气温、气压、总云、低云及天气状况</w:t>
      </w:r>
      <w:r>
        <w:rPr>
          <w:color w:val="000000" w:themeColor="text1"/>
          <w:sz w:val="24"/>
          <w:szCs w:val="28"/>
        </w:rPr>
        <w:t>。监测方法见表</w:t>
      </w:r>
      <w:r>
        <w:rPr>
          <w:rFonts w:hint="eastAsia"/>
          <w:color w:val="000000" w:themeColor="text1"/>
          <w:sz w:val="24"/>
          <w:szCs w:val="28"/>
          <w:lang w:val="en-US" w:eastAsia="zh-CN"/>
        </w:rPr>
        <w:t>3.3-3</w:t>
      </w:r>
      <w:r>
        <w:rPr>
          <w:color w:val="000000" w:themeColor="text1"/>
          <w:sz w:val="24"/>
          <w:szCs w:val="28"/>
        </w:rPr>
        <w:t>。</w:t>
      </w:r>
    </w:p>
    <w:p>
      <w:pPr>
        <w:spacing w:line="500" w:lineRule="exact"/>
        <w:jc w:val="center"/>
        <w:rPr>
          <w:b/>
          <w:color w:val="000000" w:themeColor="text1"/>
          <w:sz w:val="24"/>
        </w:rPr>
      </w:pPr>
      <w:r>
        <w:rPr>
          <w:b/>
          <w:color w:val="000000" w:themeColor="text1"/>
          <w:sz w:val="24"/>
        </w:rPr>
        <w:t>表</w:t>
      </w:r>
      <w:r>
        <w:rPr>
          <w:rFonts w:hint="eastAsia"/>
          <w:b/>
          <w:color w:val="000000" w:themeColor="text1"/>
          <w:sz w:val="24"/>
          <w:lang w:val="en-US" w:eastAsia="zh-CN"/>
        </w:rPr>
        <w:t>3.3-3</w:t>
      </w:r>
      <w:r>
        <w:rPr>
          <w:b/>
          <w:color w:val="000000" w:themeColor="text1"/>
          <w:sz w:val="24"/>
        </w:rPr>
        <w:t xml:space="preserve">   环境空气检测分析方法及使用仪器</w:t>
      </w:r>
    </w:p>
    <w:tbl>
      <w:tblPr>
        <w:tblStyle w:val="45"/>
        <w:tblW w:w="920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3957"/>
        <w:gridCol w:w="2469"/>
        <w:gridCol w:w="13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469" w:type="dxa"/>
            <w:noWrap/>
            <w:vAlign w:val="center"/>
          </w:tcPr>
          <w:p>
            <w:pPr>
              <w:spacing w:line="360" w:lineRule="auto"/>
              <w:jc w:val="center"/>
              <w:rPr>
                <w:b/>
                <w:szCs w:val="21"/>
              </w:rPr>
            </w:pPr>
            <w:r>
              <w:rPr>
                <w:b/>
                <w:szCs w:val="21"/>
              </w:rPr>
              <w:t>检测项目</w:t>
            </w:r>
          </w:p>
        </w:tc>
        <w:tc>
          <w:tcPr>
            <w:tcW w:w="3957" w:type="dxa"/>
            <w:noWrap/>
            <w:vAlign w:val="center"/>
          </w:tcPr>
          <w:p>
            <w:pPr>
              <w:spacing w:line="360" w:lineRule="auto"/>
              <w:jc w:val="center"/>
              <w:rPr>
                <w:b/>
                <w:szCs w:val="21"/>
              </w:rPr>
            </w:pPr>
            <w:r>
              <w:rPr>
                <w:b/>
                <w:szCs w:val="21"/>
              </w:rPr>
              <w:t>检测方法</w:t>
            </w:r>
          </w:p>
        </w:tc>
        <w:tc>
          <w:tcPr>
            <w:tcW w:w="2469" w:type="dxa"/>
            <w:noWrap/>
            <w:vAlign w:val="center"/>
          </w:tcPr>
          <w:p>
            <w:pPr>
              <w:spacing w:line="360" w:lineRule="auto"/>
              <w:jc w:val="center"/>
              <w:rPr>
                <w:b/>
                <w:szCs w:val="21"/>
              </w:rPr>
            </w:pPr>
            <w:r>
              <w:rPr>
                <w:b/>
                <w:szCs w:val="21"/>
              </w:rPr>
              <w:t>使用仪器</w:t>
            </w:r>
          </w:p>
        </w:tc>
        <w:tc>
          <w:tcPr>
            <w:tcW w:w="1309" w:type="dxa"/>
            <w:noWrap/>
            <w:vAlign w:val="center"/>
          </w:tcPr>
          <w:p>
            <w:pPr>
              <w:spacing w:line="360" w:lineRule="auto"/>
              <w:jc w:val="center"/>
              <w:rPr>
                <w:b/>
                <w:szCs w:val="21"/>
              </w:rPr>
            </w:pPr>
            <w:r>
              <w:rPr>
                <w:b/>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469" w:type="dxa"/>
            <w:noWrap/>
            <w:vAlign w:val="center"/>
          </w:tcPr>
          <w:p>
            <w:pPr>
              <w:spacing w:line="360" w:lineRule="auto"/>
              <w:jc w:val="center"/>
              <w:rPr>
                <w:szCs w:val="21"/>
              </w:rPr>
            </w:pPr>
            <w:r>
              <w:rPr>
                <w:szCs w:val="21"/>
              </w:rPr>
              <w:t>H</w:t>
            </w:r>
            <w:r>
              <w:rPr>
                <w:szCs w:val="21"/>
                <w:vertAlign w:val="subscript"/>
              </w:rPr>
              <w:t>2</w:t>
            </w:r>
            <w:r>
              <w:rPr>
                <w:szCs w:val="21"/>
              </w:rPr>
              <w:t>S</w:t>
            </w:r>
          </w:p>
        </w:tc>
        <w:tc>
          <w:tcPr>
            <w:tcW w:w="3957" w:type="dxa"/>
            <w:noWrap/>
            <w:vAlign w:val="center"/>
          </w:tcPr>
          <w:p>
            <w:pPr>
              <w:spacing w:line="360" w:lineRule="auto"/>
              <w:jc w:val="center"/>
              <w:rPr>
                <w:color w:val="000000"/>
                <w:szCs w:val="21"/>
              </w:rPr>
            </w:pPr>
            <w:r>
              <w:rPr>
                <w:szCs w:val="21"/>
              </w:rPr>
              <w:t>环境空气 硫化氢 亚甲基蓝分光光度法  《空气和废气检测分析方法》(第四版增补版) 国家环境保护总局(2003年)第三篇第一章十一 （二）</w:t>
            </w:r>
          </w:p>
        </w:tc>
        <w:tc>
          <w:tcPr>
            <w:tcW w:w="2469" w:type="dxa"/>
            <w:noWrap/>
            <w:vAlign w:val="center"/>
          </w:tcPr>
          <w:p>
            <w:pPr>
              <w:spacing w:line="360" w:lineRule="auto"/>
              <w:jc w:val="center"/>
              <w:rPr>
                <w:szCs w:val="21"/>
              </w:rPr>
            </w:pPr>
            <w:r>
              <w:rPr>
                <w:szCs w:val="21"/>
              </w:rPr>
              <w:t>综合气体采样器/2050</w:t>
            </w:r>
          </w:p>
          <w:p>
            <w:pPr>
              <w:spacing w:line="360" w:lineRule="auto"/>
              <w:jc w:val="center"/>
              <w:rPr>
                <w:color w:val="000000"/>
                <w:szCs w:val="21"/>
              </w:rPr>
            </w:pPr>
            <w:r>
              <w:rPr>
                <w:szCs w:val="21"/>
              </w:rPr>
              <w:t>分光光度计/T6新悦</w:t>
            </w:r>
          </w:p>
        </w:tc>
        <w:tc>
          <w:tcPr>
            <w:tcW w:w="1309" w:type="dxa"/>
            <w:noWrap/>
            <w:vAlign w:val="center"/>
          </w:tcPr>
          <w:p>
            <w:pPr>
              <w:spacing w:line="360" w:lineRule="auto"/>
              <w:jc w:val="center"/>
              <w:rPr>
                <w:szCs w:val="21"/>
              </w:rPr>
            </w:pPr>
            <w:r>
              <w:rPr>
                <w:szCs w:val="21"/>
              </w:rPr>
              <w:t>0.001mg/m</w:t>
            </w:r>
            <w:r>
              <w:rPr>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469" w:type="dxa"/>
            <w:noWrap/>
            <w:vAlign w:val="center"/>
          </w:tcPr>
          <w:p>
            <w:pPr>
              <w:spacing w:line="360" w:lineRule="auto"/>
              <w:jc w:val="center"/>
              <w:rPr>
                <w:szCs w:val="21"/>
              </w:rPr>
            </w:pPr>
            <w:r>
              <w:rPr>
                <w:szCs w:val="21"/>
              </w:rPr>
              <w:t>NH</w:t>
            </w:r>
            <w:r>
              <w:rPr>
                <w:szCs w:val="21"/>
                <w:vertAlign w:val="subscript"/>
              </w:rPr>
              <w:t>3</w:t>
            </w:r>
          </w:p>
        </w:tc>
        <w:tc>
          <w:tcPr>
            <w:tcW w:w="3957" w:type="dxa"/>
            <w:noWrap/>
            <w:vAlign w:val="center"/>
          </w:tcPr>
          <w:p>
            <w:pPr>
              <w:spacing w:afterLines="50"/>
              <w:rPr>
                <w:szCs w:val="21"/>
              </w:rPr>
            </w:pPr>
            <w:r>
              <w:rPr>
                <w:szCs w:val="21"/>
              </w:rPr>
              <w:t>环境空气和废气 氨的测定 纳氏试剂分光光度法  HJ 533-2009</w:t>
            </w:r>
          </w:p>
          <w:p>
            <w:pPr>
              <w:spacing w:afterLines="50"/>
              <w:jc w:val="center"/>
              <w:rPr>
                <w:szCs w:val="21"/>
              </w:rPr>
            </w:pPr>
          </w:p>
          <w:p>
            <w:pPr>
              <w:spacing w:afterLines="50"/>
              <w:jc w:val="center"/>
              <w:rPr>
                <w:szCs w:val="21"/>
              </w:rPr>
            </w:pPr>
          </w:p>
          <w:p>
            <w:pPr>
              <w:spacing w:afterLines="50"/>
              <w:jc w:val="center"/>
              <w:rPr>
                <w:szCs w:val="21"/>
              </w:rPr>
            </w:pPr>
          </w:p>
          <w:p>
            <w:pPr>
              <w:spacing w:afterLines="50"/>
              <w:jc w:val="center"/>
              <w:rPr>
                <w:szCs w:val="21"/>
              </w:rPr>
            </w:pPr>
          </w:p>
        </w:tc>
        <w:tc>
          <w:tcPr>
            <w:tcW w:w="2469" w:type="dxa"/>
            <w:noWrap/>
            <w:vAlign w:val="center"/>
          </w:tcPr>
          <w:p>
            <w:pPr>
              <w:spacing w:line="360" w:lineRule="auto"/>
              <w:jc w:val="center"/>
              <w:rPr>
                <w:szCs w:val="21"/>
              </w:rPr>
            </w:pPr>
            <w:r>
              <w:rPr>
                <w:szCs w:val="21"/>
              </w:rPr>
              <w:t>综合气体采样器/2050</w:t>
            </w:r>
          </w:p>
          <w:p>
            <w:pPr>
              <w:spacing w:line="360" w:lineRule="auto"/>
              <w:jc w:val="center"/>
              <w:rPr>
                <w:szCs w:val="21"/>
              </w:rPr>
            </w:pPr>
            <w:r>
              <w:rPr>
                <w:szCs w:val="21"/>
              </w:rPr>
              <w:t>分光光度计/T6新悦</w:t>
            </w:r>
          </w:p>
        </w:tc>
        <w:tc>
          <w:tcPr>
            <w:tcW w:w="1309" w:type="dxa"/>
            <w:noWrap/>
            <w:vAlign w:val="center"/>
          </w:tcPr>
          <w:p>
            <w:pPr>
              <w:spacing w:line="360" w:lineRule="auto"/>
              <w:jc w:val="center"/>
              <w:rPr>
                <w:szCs w:val="21"/>
              </w:rPr>
            </w:pPr>
            <w:r>
              <w:rPr>
                <w:szCs w:val="21"/>
              </w:rPr>
              <w:t>0.01 mg/m</w:t>
            </w:r>
            <w:r>
              <w:rPr>
                <w:szCs w:val="21"/>
                <w:vertAlign w:val="superscript"/>
              </w:rPr>
              <w:t>3</w:t>
            </w:r>
          </w:p>
        </w:tc>
      </w:tr>
    </w:tbl>
    <w:p>
      <w:pPr>
        <w:spacing w:line="500" w:lineRule="exact"/>
        <w:ind w:firstLine="480" w:firstLineChars="200"/>
        <w:rPr>
          <w:rFonts w:hint="eastAsia"/>
          <w:color w:val="000000" w:themeColor="text1"/>
          <w:sz w:val="24"/>
          <w:lang w:val="en-US" w:eastAsia="zh-CN"/>
        </w:rPr>
      </w:pPr>
      <w:r>
        <w:rPr>
          <w:rFonts w:hint="eastAsia"/>
          <w:color w:val="000000" w:themeColor="text1"/>
          <w:sz w:val="24"/>
          <w:lang w:val="en-US" w:eastAsia="zh-CN"/>
        </w:rPr>
        <w:t>（3）监测时间及监测频率</w:t>
      </w:r>
      <w:bookmarkEnd w:id="203"/>
      <w:bookmarkEnd w:id="204"/>
    </w:p>
    <w:p>
      <w:pPr>
        <w:adjustRightInd w:val="0"/>
        <w:snapToGrid w:val="0"/>
        <w:spacing w:line="500" w:lineRule="exact"/>
        <w:ind w:firstLine="480" w:firstLineChars="200"/>
        <w:rPr>
          <w:color w:val="000000" w:themeColor="text1"/>
          <w:sz w:val="24"/>
          <w:szCs w:val="28"/>
        </w:rPr>
      </w:pPr>
      <w:r>
        <w:rPr>
          <w:rFonts w:ascii="Times New Roman" w:hAnsi="Times New Roman"/>
          <w:color w:val="000000"/>
          <w:sz w:val="24"/>
          <w:szCs w:val="24"/>
        </w:rPr>
        <w:t>河南</w:t>
      </w:r>
      <w:r>
        <w:rPr>
          <w:rFonts w:hint="eastAsia" w:ascii="Times New Roman" w:hAnsi="Times New Roman"/>
          <w:color w:val="000000"/>
          <w:sz w:val="24"/>
          <w:szCs w:val="24"/>
        </w:rPr>
        <w:t>宜信检测技术服务有限公司</w:t>
      </w:r>
      <w:r>
        <w:rPr>
          <w:rFonts w:ascii="Times New Roman" w:hAnsi="Times New Roman"/>
          <w:color w:val="000000"/>
          <w:sz w:val="24"/>
          <w:szCs w:val="24"/>
        </w:rPr>
        <w:t>于2019年</w:t>
      </w:r>
      <w:r>
        <w:rPr>
          <w:rFonts w:hint="eastAsia" w:ascii="Times New Roman" w:hAnsi="Times New Roman"/>
          <w:color w:val="000000"/>
          <w:sz w:val="24"/>
          <w:szCs w:val="24"/>
        </w:rPr>
        <w:t>12</w:t>
      </w:r>
      <w:r>
        <w:rPr>
          <w:rFonts w:ascii="Times New Roman" w:hAnsi="Times New Roman"/>
          <w:color w:val="000000"/>
          <w:sz w:val="24"/>
          <w:szCs w:val="24"/>
        </w:rPr>
        <w:t>月</w:t>
      </w:r>
      <w:r>
        <w:rPr>
          <w:rFonts w:hint="eastAsia" w:ascii="Times New Roman" w:hAnsi="Times New Roman"/>
          <w:color w:val="000000"/>
          <w:sz w:val="24"/>
          <w:szCs w:val="24"/>
        </w:rPr>
        <w:t>19</w:t>
      </w:r>
      <w:r>
        <w:rPr>
          <w:rFonts w:ascii="Times New Roman" w:hAnsi="Times New Roman"/>
          <w:color w:val="000000"/>
          <w:sz w:val="24"/>
          <w:szCs w:val="24"/>
        </w:rPr>
        <w:t>日-</w:t>
      </w:r>
      <w:r>
        <w:rPr>
          <w:rFonts w:hint="eastAsia" w:ascii="Times New Roman" w:hAnsi="Times New Roman"/>
          <w:color w:val="000000"/>
          <w:sz w:val="24"/>
          <w:szCs w:val="24"/>
        </w:rPr>
        <w:t>12</w:t>
      </w:r>
      <w:r>
        <w:rPr>
          <w:rFonts w:ascii="Times New Roman" w:hAnsi="Times New Roman"/>
          <w:color w:val="000000"/>
          <w:sz w:val="24"/>
          <w:szCs w:val="24"/>
        </w:rPr>
        <w:t>月</w:t>
      </w:r>
      <w:r>
        <w:rPr>
          <w:rFonts w:hint="eastAsia" w:ascii="Times New Roman" w:hAnsi="Times New Roman"/>
          <w:color w:val="000000"/>
          <w:sz w:val="24"/>
          <w:szCs w:val="24"/>
        </w:rPr>
        <w:t>25</w:t>
      </w:r>
      <w:r>
        <w:rPr>
          <w:rFonts w:ascii="Times New Roman" w:hAnsi="Times New Roman"/>
          <w:color w:val="000000"/>
          <w:sz w:val="24"/>
          <w:szCs w:val="24"/>
        </w:rPr>
        <w:t>日对区域空气质量现状进行了监测</w:t>
      </w:r>
      <w:r>
        <w:rPr>
          <w:color w:val="000000" w:themeColor="text1"/>
          <w:sz w:val="24"/>
          <w:szCs w:val="28"/>
        </w:rPr>
        <w:t>，具体监测频率见表</w:t>
      </w:r>
      <w:r>
        <w:rPr>
          <w:rFonts w:hint="eastAsia"/>
          <w:color w:val="000000" w:themeColor="text1"/>
          <w:sz w:val="24"/>
          <w:szCs w:val="28"/>
          <w:lang w:val="en-US" w:eastAsia="zh-CN"/>
        </w:rPr>
        <w:t>3.3-4</w:t>
      </w:r>
      <w:r>
        <w:rPr>
          <w:color w:val="000000" w:themeColor="text1"/>
          <w:sz w:val="24"/>
          <w:szCs w:val="28"/>
        </w:rPr>
        <w:t>。</w:t>
      </w:r>
    </w:p>
    <w:p>
      <w:pPr>
        <w:spacing w:afterLines="30" w:line="500" w:lineRule="exact"/>
        <w:jc w:val="center"/>
        <w:rPr>
          <w:b/>
          <w:color w:val="000000" w:themeColor="text1"/>
          <w:sz w:val="24"/>
        </w:rPr>
      </w:pPr>
      <w:r>
        <w:rPr>
          <w:b/>
          <w:color w:val="000000" w:themeColor="text1"/>
          <w:sz w:val="24"/>
        </w:rPr>
        <w:t>表</w:t>
      </w:r>
      <w:r>
        <w:rPr>
          <w:rFonts w:hint="eastAsia"/>
          <w:b/>
          <w:color w:val="000000" w:themeColor="text1"/>
          <w:sz w:val="24"/>
          <w:lang w:val="en-US" w:eastAsia="zh-CN"/>
        </w:rPr>
        <w:t>3.3-4</w:t>
      </w:r>
      <w:r>
        <w:rPr>
          <w:b/>
          <w:color w:val="000000" w:themeColor="text1"/>
          <w:sz w:val="24"/>
        </w:rPr>
        <w:t xml:space="preserve">     环境空气监测频率一览表</w:t>
      </w:r>
    </w:p>
    <w:tbl>
      <w:tblPr>
        <w:tblStyle w:val="45"/>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94"/>
        <w:gridCol w:w="1022"/>
        <w:gridCol w:w="624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8" w:hRule="atLeast"/>
          <w:jc w:val="center"/>
        </w:trPr>
        <w:tc>
          <w:tcPr>
            <w:tcW w:w="794" w:type="dxa"/>
            <w:vAlign w:val="center"/>
          </w:tcPr>
          <w:p>
            <w:pPr>
              <w:adjustRightInd w:val="0"/>
              <w:snapToGrid w:val="0"/>
              <w:spacing w:line="240" w:lineRule="exact"/>
              <w:jc w:val="center"/>
              <w:rPr>
                <w:szCs w:val="21"/>
              </w:rPr>
            </w:pPr>
            <w:r>
              <w:rPr>
                <w:szCs w:val="21"/>
              </w:rPr>
              <w:t>检测项目</w:t>
            </w:r>
          </w:p>
        </w:tc>
        <w:tc>
          <w:tcPr>
            <w:tcW w:w="1022" w:type="dxa"/>
            <w:vAlign w:val="center"/>
          </w:tcPr>
          <w:p>
            <w:pPr>
              <w:adjustRightInd w:val="0"/>
              <w:snapToGrid w:val="0"/>
              <w:spacing w:line="240" w:lineRule="exact"/>
              <w:jc w:val="center"/>
              <w:rPr>
                <w:szCs w:val="21"/>
              </w:rPr>
            </w:pPr>
            <w:r>
              <w:rPr>
                <w:szCs w:val="21"/>
              </w:rPr>
              <w:t>取值时间</w:t>
            </w:r>
          </w:p>
        </w:tc>
        <w:tc>
          <w:tcPr>
            <w:tcW w:w="6244" w:type="dxa"/>
            <w:vAlign w:val="center"/>
          </w:tcPr>
          <w:p>
            <w:pPr>
              <w:adjustRightInd w:val="0"/>
              <w:snapToGrid w:val="0"/>
              <w:spacing w:line="240" w:lineRule="exact"/>
              <w:jc w:val="center"/>
              <w:rPr>
                <w:szCs w:val="21"/>
              </w:rPr>
            </w:pPr>
            <w:r>
              <w:rPr>
                <w:szCs w:val="21"/>
              </w:rPr>
              <w:t>检测频率</w:t>
            </w:r>
          </w:p>
        </w:tc>
        <w:tc>
          <w:tcPr>
            <w:tcW w:w="913" w:type="dxa"/>
            <w:vAlign w:val="center"/>
          </w:tcPr>
          <w:p>
            <w:pPr>
              <w:adjustRightInd w:val="0"/>
              <w:snapToGrid w:val="0"/>
              <w:spacing w:line="2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Align w:val="center"/>
          </w:tcPr>
          <w:p>
            <w:pPr>
              <w:adjustRightInd w:val="0"/>
              <w:snapToGrid w:val="0"/>
              <w:spacing w:line="240" w:lineRule="exact"/>
              <w:jc w:val="center"/>
              <w:rPr>
                <w:szCs w:val="21"/>
              </w:rPr>
            </w:pPr>
            <w:r>
              <w:rPr>
                <w:szCs w:val="21"/>
              </w:rPr>
              <w:t>H</w:t>
            </w:r>
            <w:r>
              <w:rPr>
                <w:szCs w:val="21"/>
                <w:vertAlign w:val="subscript"/>
              </w:rPr>
              <w:t>2</w:t>
            </w:r>
            <w:r>
              <w:rPr>
                <w:szCs w:val="21"/>
              </w:rPr>
              <w:t>S</w:t>
            </w: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restart"/>
            <w:vAlign w:val="center"/>
          </w:tcPr>
          <w:p>
            <w:pPr>
              <w:adjustRightInd w:val="0"/>
              <w:snapToGrid w:val="0"/>
              <w:spacing w:line="240" w:lineRule="exact"/>
              <w:jc w:val="center"/>
              <w:rPr>
                <w:rFonts w:hint="eastAsia" w:eastAsia="宋体"/>
                <w:szCs w:val="21"/>
                <w:lang w:val="en-US"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Align w:val="center"/>
          </w:tcPr>
          <w:p>
            <w:pPr>
              <w:adjustRightInd w:val="0"/>
              <w:snapToGrid w:val="0"/>
              <w:spacing w:line="240" w:lineRule="exact"/>
              <w:jc w:val="center"/>
              <w:rPr>
                <w:szCs w:val="21"/>
              </w:rPr>
            </w:pPr>
            <w:r>
              <w:rPr>
                <w:szCs w:val="21"/>
              </w:rPr>
              <w:t>NH</w:t>
            </w:r>
            <w:r>
              <w:rPr>
                <w:szCs w:val="21"/>
                <w:vertAlign w:val="subscript"/>
              </w:rPr>
              <w:t>3</w:t>
            </w: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bl>
    <w:p>
      <w:pPr>
        <w:spacing w:line="500" w:lineRule="exact"/>
        <w:ind w:firstLine="480" w:firstLineChars="200"/>
        <w:rPr>
          <w:rFonts w:hint="eastAsia"/>
          <w:color w:val="000000" w:themeColor="text1"/>
          <w:sz w:val="24"/>
          <w:lang w:val="en-US" w:eastAsia="zh-CN"/>
        </w:rPr>
      </w:pPr>
      <w:bookmarkStart w:id="205" w:name="_Toc413829632"/>
      <w:bookmarkStart w:id="206" w:name="_Toc406662999"/>
      <w:r>
        <w:rPr>
          <w:rFonts w:hint="eastAsia"/>
          <w:color w:val="000000" w:themeColor="text1"/>
          <w:sz w:val="24"/>
          <w:lang w:val="en-US" w:eastAsia="zh-CN"/>
        </w:rPr>
        <w:t>（4）评价因子和评价方法</w:t>
      </w:r>
      <w:bookmarkEnd w:id="205"/>
      <w:bookmarkEnd w:id="206"/>
    </w:p>
    <w:p>
      <w:pPr>
        <w:spacing w:line="500" w:lineRule="exact"/>
        <w:ind w:firstLine="480" w:firstLineChars="200"/>
        <w:rPr>
          <w:color w:val="000000" w:themeColor="text1"/>
          <w:sz w:val="24"/>
        </w:rPr>
      </w:pPr>
      <w:r>
        <w:rPr>
          <w:rFonts w:hint="eastAsia"/>
          <w:color w:val="000000" w:themeColor="text1"/>
          <w:sz w:val="24"/>
          <w:lang w:val="en-US" w:eastAsia="zh-CN"/>
        </w:rPr>
        <w:t>评价因子采用单因子污染指数法进行评价。具体公式为</w:t>
      </w:r>
      <w:r>
        <w:rPr>
          <w:color w:val="000000" w:themeColor="text1"/>
          <w:sz w:val="24"/>
        </w:rPr>
        <w:t>：</w:t>
      </w:r>
    </w:p>
    <w:p>
      <w:pPr>
        <w:spacing w:line="520" w:lineRule="exact"/>
        <w:ind w:firstLine="570"/>
        <w:jc w:val="center"/>
        <w:rPr>
          <w:color w:val="000000" w:themeColor="text1"/>
          <w:sz w:val="24"/>
        </w:rPr>
      </w:pPr>
      <w:r>
        <w:rPr>
          <w:color w:val="000000" w:themeColor="text1"/>
          <w:sz w:val="24"/>
        </w:rPr>
        <w:t>Pi = Ci / Coi</w:t>
      </w:r>
    </w:p>
    <w:p>
      <w:pPr>
        <w:spacing w:line="520" w:lineRule="exact"/>
        <w:ind w:firstLine="480" w:firstLineChars="200"/>
        <w:rPr>
          <w:color w:val="000000" w:themeColor="text1"/>
          <w:sz w:val="24"/>
        </w:rPr>
      </w:pPr>
      <w:r>
        <w:rPr>
          <w:color w:val="000000" w:themeColor="text1"/>
          <w:sz w:val="24"/>
        </w:rPr>
        <w:t>式中：Pi—i种污染物的污染指数，无量纲；</w:t>
      </w:r>
    </w:p>
    <w:p>
      <w:pPr>
        <w:spacing w:line="520" w:lineRule="exact"/>
        <w:ind w:firstLine="480" w:firstLineChars="200"/>
        <w:rPr>
          <w:color w:val="000000" w:themeColor="text1"/>
          <w:sz w:val="24"/>
        </w:rPr>
      </w:pPr>
      <w:r>
        <w:rPr>
          <w:color w:val="000000" w:themeColor="text1"/>
          <w:sz w:val="24"/>
        </w:rPr>
        <w:t xml:space="preserve">          Ci—i种污染物的实测浓度，mg/m</w:t>
      </w:r>
      <w:r>
        <w:rPr>
          <w:color w:val="000000" w:themeColor="text1"/>
          <w:sz w:val="24"/>
          <w:vertAlign w:val="superscript"/>
        </w:rPr>
        <w:t>3</w:t>
      </w:r>
      <w:r>
        <w:rPr>
          <w:color w:val="000000" w:themeColor="text1"/>
          <w:sz w:val="24"/>
        </w:rPr>
        <w:t>；</w:t>
      </w:r>
    </w:p>
    <w:p>
      <w:pPr>
        <w:spacing w:line="520" w:lineRule="exact"/>
        <w:ind w:firstLine="480" w:firstLineChars="200"/>
        <w:rPr>
          <w:color w:val="000000" w:themeColor="text1"/>
          <w:sz w:val="24"/>
        </w:rPr>
      </w:pPr>
      <w:r>
        <w:rPr>
          <w:color w:val="000000" w:themeColor="text1"/>
          <w:sz w:val="24"/>
        </w:rPr>
        <w:t xml:space="preserve">          Coi—i种污染物的评价标准值，mg/m</w:t>
      </w:r>
      <w:r>
        <w:rPr>
          <w:color w:val="000000" w:themeColor="text1"/>
          <w:sz w:val="24"/>
          <w:vertAlign w:val="superscript"/>
        </w:rPr>
        <w:t>3</w:t>
      </w:r>
      <w:r>
        <w:rPr>
          <w:color w:val="000000" w:themeColor="text1"/>
          <w:sz w:val="24"/>
        </w:rPr>
        <w:t>。</w:t>
      </w:r>
    </w:p>
    <w:p>
      <w:pPr>
        <w:spacing w:line="520" w:lineRule="exact"/>
        <w:ind w:firstLine="480" w:firstLineChars="200"/>
        <w:rPr>
          <w:color w:val="000000" w:themeColor="text1"/>
          <w:sz w:val="24"/>
        </w:rPr>
      </w:pPr>
      <w:bookmarkStart w:id="207" w:name="_Toc413829633"/>
      <w:bookmarkStart w:id="208" w:name="_Toc406663000"/>
      <w:r>
        <w:rPr>
          <w:rFonts w:hint="eastAsia"/>
          <w:color w:val="000000" w:themeColor="text1"/>
          <w:sz w:val="24"/>
          <w:lang w:eastAsia="zh-CN"/>
        </w:rPr>
        <w:t>（</w:t>
      </w:r>
      <w:r>
        <w:rPr>
          <w:rFonts w:hint="eastAsia"/>
          <w:color w:val="000000" w:themeColor="text1"/>
          <w:sz w:val="24"/>
          <w:lang w:val="en-US" w:eastAsia="zh-CN"/>
        </w:rPr>
        <w:t>5</w:t>
      </w:r>
      <w:r>
        <w:rPr>
          <w:rFonts w:hint="eastAsia"/>
          <w:color w:val="000000" w:themeColor="text1"/>
          <w:sz w:val="24"/>
          <w:lang w:eastAsia="zh-CN"/>
        </w:rPr>
        <w:t>）</w:t>
      </w:r>
      <w:r>
        <w:rPr>
          <w:color w:val="000000" w:themeColor="text1"/>
          <w:sz w:val="24"/>
        </w:rPr>
        <w:t>评价标准</w:t>
      </w:r>
      <w:bookmarkEnd w:id="207"/>
      <w:bookmarkEnd w:id="208"/>
    </w:p>
    <w:p>
      <w:pPr>
        <w:spacing w:line="520" w:lineRule="exact"/>
        <w:ind w:firstLine="480" w:firstLineChars="200"/>
        <w:rPr>
          <w:color w:val="000000" w:themeColor="text1"/>
          <w:sz w:val="24"/>
        </w:rPr>
      </w:pPr>
      <w:r>
        <w:rPr>
          <w:color w:val="000000" w:themeColor="text1"/>
          <w:sz w:val="24"/>
        </w:rPr>
        <w:t>根据《环境影响评价技术导则 大气环</w:t>
      </w:r>
      <w:r>
        <w:rPr>
          <w:sz w:val="24"/>
        </w:rPr>
        <w:t>境（HJ2.2-2018）》中附录D</w:t>
      </w:r>
      <w:r>
        <w:rPr>
          <w:color w:val="000000" w:themeColor="text1"/>
          <w:sz w:val="24"/>
        </w:rPr>
        <w:t>的最高允许浓度限值，评价执行标准具体见表</w:t>
      </w:r>
      <w:r>
        <w:rPr>
          <w:rFonts w:hint="eastAsia"/>
          <w:color w:val="000000" w:themeColor="text1"/>
          <w:sz w:val="24"/>
          <w:lang w:val="en-US" w:eastAsia="zh-CN"/>
        </w:rPr>
        <w:t>3.3-5</w:t>
      </w:r>
      <w:r>
        <w:rPr>
          <w:color w:val="000000" w:themeColor="text1"/>
          <w:sz w:val="24"/>
        </w:rPr>
        <w:t>。</w:t>
      </w:r>
    </w:p>
    <w:p>
      <w:pPr>
        <w:spacing w:afterLines="30" w:line="500" w:lineRule="exact"/>
        <w:jc w:val="center"/>
        <w:rPr>
          <w:b/>
          <w:color w:val="000000" w:themeColor="text1"/>
          <w:sz w:val="24"/>
        </w:rPr>
      </w:pPr>
      <w:r>
        <w:rPr>
          <w:b/>
          <w:color w:val="000000" w:themeColor="text1"/>
          <w:sz w:val="24"/>
        </w:rPr>
        <w:t>表</w:t>
      </w:r>
      <w:r>
        <w:rPr>
          <w:rFonts w:hint="eastAsia"/>
          <w:b/>
          <w:color w:val="000000" w:themeColor="text1"/>
          <w:sz w:val="24"/>
          <w:lang w:val="en-US" w:eastAsia="zh-CN"/>
        </w:rPr>
        <w:t>3.3-5</w:t>
      </w:r>
      <w:r>
        <w:rPr>
          <w:b/>
          <w:color w:val="000000" w:themeColor="text1"/>
          <w:sz w:val="24"/>
        </w:rPr>
        <w:t xml:space="preserve">    环境空气质量标准</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51"/>
        <w:gridCol w:w="1701"/>
        <w:gridCol w:w="3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85" w:type="dxa"/>
            <w:noWrap/>
            <w:vAlign w:val="center"/>
          </w:tcPr>
          <w:p>
            <w:pPr>
              <w:adjustRightInd w:val="0"/>
              <w:snapToGrid w:val="0"/>
              <w:jc w:val="center"/>
              <w:rPr>
                <w:b/>
                <w:szCs w:val="21"/>
              </w:rPr>
            </w:pPr>
            <w:bookmarkStart w:id="209" w:name="_Toc406663001"/>
            <w:bookmarkStart w:id="210" w:name="_Toc413829634"/>
            <w:r>
              <w:rPr>
                <w:b/>
                <w:szCs w:val="21"/>
              </w:rPr>
              <w:t>污染物名称</w:t>
            </w:r>
          </w:p>
        </w:tc>
        <w:tc>
          <w:tcPr>
            <w:tcW w:w="1951" w:type="dxa"/>
            <w:noWrap/>
            <w:vAlign w:val="center"/>
          </w:tcPr>
          <w:p>
            <w:pPr>
              <w:adjustRightInd w:val="0"/>
              <w:snapToGrid w:val="0"/>
              <w:jc w:val="center"/>
              <w:rPr>
                <w:b/>
                <w:szCs w:val="21"/>
              </w:rPr>
            </w:pPr>
            <w:r>
              <w:rPr>
                <w:b/>
                <w:szCs w:val="21"/>
              </w:rPr>
              <w:t>取值时间</w:t>
            </w:r>
          </w:p>
        </w:tc>
        <w:tc>
          <w:tcPr>
            <w:tcW w:w="1701" w:type="dxa"/>
            <w:noWrap/>
            <w:vAlign w:val="center"/>
          </w:tcPr>
          <w:p>
            <w:pPr>
              <w:adjustRightInd w:val="0"/>
              <w:snapToGrid w:val="0"/>
              <w:jc w:val="center"/>
              <w:rPr>
                <w:b/>
                <w:szCs w:val="21"/>
              </w:rPr>
            </w:pPr>
            <w:r>
              <w:rPr>
                <w:b/>
                <w:szCs w:val="21"/>
              </w:rPr>
              <w:t>单位</w:t>
            </w:r>
          </w:p>
        </w:tc>
        <w:tc>
          <w:tcPr>
            <w:tcW w:w="3309" w:type="dxa"/>
            <w:noWrap/>
            <w:vAlign w:val="center"/>
          </w:tcPr>
          <w:p>
            <w:pPr>
              <w:adjustRightInd w:val="0"/>
              <w:snapToGrid w:val="0"/>
              <w:jc w:val="center"/>
              <w:rPr>
                <w:b/>
                <w:szCs w:val="21"/>
              </w:rPr>
            </w:pPr>
            <w:r>
              <w:rPr>
                <w:b/>
                <w:szCs w:val="21"/>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985" w:type="dxa"/>
            <w:noWrap/>
            <w:vAlign w:val="center"/>
          </w:tcPr>
          <w:p>
            <w:pPr>
              <w:adjustRightInd w:val="0"/>
              <w:snapToGrid w:val="0"/>
              <w:jc w:val="center"/>
              <w:rPr>
                <w:szCs w:val="21"/>
              </w:rPr>
            </w:pPr>
            <w:r>
              <w:rPr>
                <w:szCs w:val="21"/>
              </w:rPr>
              <w:t>H</w:t>
            </w:r>
            <w:r>
              <w:rPr>
                <w:szCs w:val="21"/>
                <w:vertAlign w:val="subscript"/>
              </w:rPr>
              <w:t>2</w:t>
            </w:r>
            <w:r>
              <w:rPr>
                <w:szCs w:val="21"/>
              </w:rPr>
              <w:t>S</w:t>
            </w:r>
          </w:p>
        </w:tc>
        <w:tc>
          <w:tcPr>
            <w:tcW w:w="1951" w:type="dxa"/>
            <w:noWrap/>
            <w:vAlign w:val="center"/>
          </w:tcPr>
          <w:p>
            <w:pPr>
              <w:adjustRightInd w:val="0"/>
              <w:snapToGrid w:val="0"/>
              <w:jc w:val="center"/>
              <w:rPr>
                <w:szCs w:val="21"/>
              </w:rPr>
            </w:pPr>
            <w:r>
              <w:rPr>
                <w:szCs w:val="21"/>
              </w:rPr>
              <w:t>一次值</w:t>
            </w:r>
          </w:p>
        </w:tc>
        <w:tc>
          <w:tcPr>
            <w:tcW w:w="1701" w:type="dxa"/>
            <w:noWrap/>
            <w:vAlign w:val="center"/>
          </w:tcPr>
          <w:p>
            <w:pPr>
              <w:adjustRightInd w:val="0"/>
              <w:snapToGrid w:val="0"/>
              <w:jc w:val="center"/>
              <w:rPr>
                <w:szCs w:val="21"/>
              </w:rPr>
            </w:pPr>
            <w:r>
              <w:rPr>
                <w:szCs w:val="21"/>
              </w:rPr>
              <w:t>mg/m</w:t>
            </w:r>
            <w:r>
              <w:rPr>
                <w:szCs w:val="21"/>
                <w:vertAlign w:val="superscript"/>
              </w:rPr>
              <w:t>3</w:t>
            </w:r>
          </w:p>
        </w:tc>
        <w:tc>
          <w:tcPr>
            <w:tcW w:w="3309" w:type="dxa"/>
            <w:noWrap/>
            <w:vAlign w:val="center"/>
          </w:tcPr>
          <w:p>
            <w:pPr>
              <w:adjustRightInd w:val="0"/>
              <w:snapToGrid w:val="0"/>
              <w:jc w:val="center"/>
              <w:rPr>
                <w:szCs w:val="21"/>
              </w:rPr>
            </w:pPr>
            <w:r>
              <w:rPr>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85" w:type="dxa"/>
            <w:noWrap/>
            <w:vAlign w:val="center"/>
          </w:tcPr>
          <w:p>
            <w:pPr>
              <w:adjustRightInd w:val="0"/>
              <w:snapToGrid w:val="0"/>
              <w:jc w:val="center"/>
              <w:rPr>
                <w:szCs w:val="21"/>
              </w:rPr>
            </w:pPr>
            <w:r>
              <w:rPr>
                <w:szCs w:val="21"/>
              </w:rPr>
              <w:t>NH</w:t>
            </w:r>
            <w:r>
              <w:rPr>
                <w:szCs w:val="21"/>
                <w:vertAlign w:val="subscript"/>
              </w:rPr>
              <w:t>3</w:t>
            </w:r>
          </w:p>
        </w:tc>
        <w:tc>
          <w:tcPr>
            <w:tcW w:w="1951" w:type="dxa"/>
            <w:noWrap/>
            <w:vAlign w:val="center"/>
          </w:tcPr>
          <w:p>
            <w:pPr>
              <w:adjustRightInd w:val="0"/>
              <w:snapToGrid w:val="0"/>
              <w:jc w:val="center"/>
              <w:rPr>
                <w:szCs w:val="21"/>
              </w:rPr>
            </w:pPr>
            <w:r>
              <w:rPr>
                <w:szCs w:val="21"/>
              </w:rPr>
              <w:t>一次值</w:t>
            </w:r>
          </w:p>
        </w:tc>
        <w:tc>
          <w:tcPr>
            <w:tcW w:w="1701" w:type="dxa"/>
            <w:noWrap/>
            <w:vAlign w:val="center"/>
          </w:tcPr>
          <w:p>
            <w:pPr>
              <w:jc w:val="center"/>
              <w:rPr>
                <w:szCs w:val="21"/>
              </w:rPr>
            </w:pPr>
            <w:r>
              <w:rPr>
                <w:szCs w:val="21"/>
              </w:rPr>
              <w:t>mg/m</w:t>
            </w:r>
            <w:r>
              <w:rPr>
                <w:szCs w:val="21"/>
                <w:vertAlign w:val="superscript"/>
              </w:rPr>
              <w:t>3</w:t>
            </w:r>
          </w:p>
        </w:tc>
        <w:tc>
          <w:tcPr>
            <w:tcW w:w="3309" w:type="dxa"/>
            <w:noWrap/>
            <w:vAlign w:val="center"/>
          </w:tcPr>
          <w:p>
            <w:pPr>
              <w:adjustRightInd w:val="0"/>
              <w:snapToGrid w:val="0"/>
              <w:jc w:val="center"/>
              <w:rPr>
                <w:szCs w:val="21"/>
              </w:rPr>
            </w:pPr>
            <w:r>
              <w:rPr>
                <w:szCs w:val="21"/>
              </w:rPr>
              <w:t>0.20</w:t>
            </w:r>
          </w:p>
        </w:tc>
      </w:tr>
    </w:tbl>
    <w:p>
      <w:pPr>
        <w:spacing w:line="500" w:lineRule="exact"/>
        <w:ind w:firstLine="480" w:firstLineChars="200"/>
        <w:rPr>
          <w:b w:val="0"/>
          <w:bCs w:val="0"/>
          <w:color w:val="000000" w:themeColor="text1"/>
          <w:sz w:val="24"/>
          <w:u w:val="none"/>
        </w:rPr>
      </w:pPr>
      <w:r>
        <w:rPr>
          <w:rFonts w:hint="eastAsia"/>
          <w:b w:val="0"/>
          <w:bCs w:val="0"/>
          <w:color w:val="000000" w:themeColor="text1"/>
          <w:sz w:val="24"/>
          <w:u w:val="none"/>
          <w:lang w:eastAsia="zh-CN"/>
        </w:rPr>
        <w:t>（</w:t>
      </w:r>
      <w:r>
        <w:rPr>
          <w:rFonts w:hint="eastAsia"/>
          <w:b w:val="0"/>
          <w:bCs w:val="0"/>
          <w:color w:val="000000" w:themeColor="text1"/>
          <w:sz w:val="24"/>
          <w:u w:val="none"/>
          <w:lang w:val="en-US" w:eastAsia="zh-CN"/>
        </w:rPr>
        <w:t>6</w:t>
      </w:r>
      <w:r>
        <w:rPr>
          <w:rFonts w:hint="eastAsia"/>
          <w:b w:val="0"/>
          <w:bCs w:val="0"/>
          <w:color w:val="000000" w:themeColor="text1"/>
          <w:sz w:val="24"/>
          <w:u w:val="none"/>
          <w:lang w:eastAsia="zh-CN"/>
        </w:rPr>
        <w:t>）</w:t>
      </w:r>
      <w:r>
        <w:rPr>
          <w:b w:val="0"/>
          <w:bCs w:val="0"/>
          <w:color w:val="000000" w:themeColor="text1"/>
          <w:sz w:val="24"/>
          <w:u w:val="none"/>
        </w:rPr>
        <w:t>监测结果与分析</w:t>
      </w:r>
      <w:bookmarkEnd w:id="209"/>
      <w:bookmarkEnd w:id="210"/>
    </w:p>
    <w:p>
      <w:pPr>
        <w:spacing w:line="520" w:lineRule="exact"/>
        <w:ind w:firstLine="480" w:firstLineChars="200"/>
        <w:rPr>
          <w:rFonts w:hint="default" w:eastAsia="宋体"/>
          <w:b w:val="0"/>
          <w:bCs w:val="0"/>
          <w:color w:val="000000" w:themeColor="text1"/>
          <w:sz w:val="24"/>
          <w:u w:val="none"/>
          <w:lang w:val="en-US" w:eastAsia="zh-CN"/>
        </w:rPr>
      </w:pPr>
      <w:r>
        <w:rPr>
          <w:b w:val="0"/>
          <w:bCs w:val="0"/>
          <w:color w:val="000000" w:themeColor="text1"/>
          <w:sz w:val="24"/>
          <w:u w:val="none"/>
        </w:rPr>
        <w:t>本评价环境空气质量监测统计结果列于表</w:t>
      </w:r>
      <w:r>
        <w:rPr>
          <w:rFonts w:hint="eastAsia"/>
          <w:b w:val="0"/>
          <w:bCs w:val="0"/>
          <w:color w:val="000000" w:themeColor="text1"/>
          <w:sz w:val="24"/>
          <w:u w:val="none"/>
          <w:lang w:val="en-US" w:eastAsia="zh-CN"/>
        </w:rPr>
        <w:t>3.3-6。</w:t>
      </w:r>
    </w:p>
    <w:p>
      <w:pPr>
        <w:topLinePunct/>
        <w:spacing w:beforeLines="50"/>
        <w:jc w:val="center"/>
        <w:rPr>
          <w:b w:val="0"/>
          <w:bCs w:val="0"/>
          <w:szCs w:val="21"/>
          <w:u w:val="none"/>
        </w:rPr>
      </w:pPr>
      <w:r>
        <w:rPr>
          <w:b w:val="0"/>
          <w:bCs w:val="0"/>
          <w:spacing w:val="-8"/>
          <w:sz w:val="24"/>
          <w:u w:val="none"/>
        </w:rPr>
        <w:t>表</w:t>
      </w:r>
      <w:r>
        <w:rPr>
          <w:rFonts w:hint="eastAsia"/>
          <w:b w:val="0"/>
          <w:bCs w:val="0"/>
          <w:spacing w:val="-8"/>
          <w:sz w:val="24"/>
          <w:u w:val="none"/>
          <w:lang w:val="en-US" w:eastAsia="zh-CN"/>
        </w:rPr>
        <w:t>3.3-6</w:t>
      </w:r>
      <w:r>
        <w:rPr>
          <w:b w:val="0"/>
          <w:bCs w:val="0"/>
          <w:spacing w:val="-8"/>
          <w:sz w:val="24"/>
          <w:u w:val="none"/>
        </w:rPr>
        <w:t xml:space="preserve">     </w:t>
      </w:r>
      <w:r>
        <w:rPr>
          <w:b w:val="0"/>
          <w:bCs w:val="0"/>
          <w:szCs w:val="21"/>
          <w:u w:val="none"/>
        </w:rPr>
        <w:t>环境空气质量现状评价结果</w:t>
      </w:r>
    </w:p>
    <w:tbl>
      <w:tblPr>
        <w:tblStyle w:val="45"/>
        <w:tblW w:w="91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06"/>
        <w:gridCol w:w="1311"/>
        <w:gridCol w:w="1522"/>
        <w:gridCol w:w="848"/>
        <w:gridCol w:w="756"/>
        <w:gridCol w:w="1485"/>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tblHeader/>
        </w:trPr>
        <w:tc>
          <w:tcPr>
            <w:tcW w:w="541" w:type="dxa"/>
            <w:noWrap/>
            <w:vAlign w:val="center"/>
          </w:tcPr>
          <w:p>
            <w:pPr>
              <w:jc w:val="center"/>
              <w:rPr>
                <w:b w:val="0"/>
                <w:bCs w:val="0"/>
                <w:szCs w:val="21"/>
                <w:u w:val="none"/>
              </w:rPr>
            </w:pPr>
            <w:r>
              <w:rPr>
                <w:b w:val="0"/>
                <w:bCs w:val="0"/>
                <w:szCs w:val="21"/>
                <w:u w:val="none"/>
              </w:rPr>
              <w:t>监测点位</w:t>
            </w:r>
          </w:p>
        </w:tc>
        <w:tc>
          <w:tcPr>
            <w:tcW w:w="1406" w:type="dxa"/>
            <w:noWrap/>
            <w:vAlign w:val="center"/>
          </w:tcPr>
          <w:p>
            <w:pPr>
              <w:jc w:val="center"/>
              <w:rPr>
                <w:b w:val="0"/>
                <w:bCs w:val="0"/>
                <w:szCs w:val="21"/>
                <w:u w:val="none"/>
              </w:rPr>
            </w:pPr>
            <w:r>
              <w:rPr>
                <w:b w:val="0"/>
                <w:bCs w:val="0"/>
                <w:szCs w:val="21"/>
                <w:u w:val="none"/>
              </w:rPr>
              <w:t>监测项目</w:t>
            </w:r>
          </w:p>
        </w:tc>
        <w:tc>
          <w:tcPr>
            <w:tcW w:w="1311" w:type="dxa"/>
            <w:noWrap/>
            <w:vAlign w:val="center"/>
          </w:tcPr>
          <w:p>
            <w:pPr>
              <w:jc w:val="center"/>
              <w:rPr>
                <w:b w:val="0"/>
                <w:bCs w:val="0"/>
                <w:szCs w:val="21"/>
                <w:u w:val="none"/>
              </w:rPr>
            </w:pPr>
            <w:r>
              <w:rPr>
                <w:b w:val="0"/>
                <w:bCs w:val="0"/>
                <w:szCs w:val="21"/>
                <w:u w:val="none"/>
              </w:rPr>
              <w:t>测值范围（mg/m</w:t>
            </w:r>
            <w:r>
              <w:rPr>
                <w:b w:val="0"/>
                <w:bCs w:val="0"/>
                <w:szCs w:val="21"/>
                <w:u w:val="none"/>
                <w:vertAlign w:val="superscript"/>
              </w:rPr>
              <w:t>3</w:t>
            </w:r>
            <w:r>
              <w:rPr>
                <w:b w:val="0"/>
                <w:bCs w:val="0"/>
                <w:szCs w:val="21"/>
                <w:u w:val="none"/>
              </w:rPr>
              <w:t>）</w:t>
            </w:r>
          </w:p>
        </w:tc>
        <w:tc>
          <w:tcPr>
            <w:tcW w:w="1522" w:type="dxa"/>
            <w:noWrap/>
            <w:vAlign w:val="center"/>
          </w:tcPr>
          <w:p>
            <w:pPr>
              <w:jc w:val="center"/>
              <w:rPr>
                <w:b w:val="0"/>
                <w:bCs w:val="0"/>
                <w:szCs w:val="21"/>
                <w:u w:val="none"/>
              </w:rPr>
            </w:pPr>
            <w:r>
              <w:rPr>
                <w:b w:val="0"/>
                <w:bCs w:val="0"/>
                <w:szCs w:val="21"/>
                <w:u w:val="none"/>
              </w:rPr>
              <w:t>评价标准（mg/m</w:t>
            </w:r>
            <w:r>
              <w:rPr>
                <w:b w:val="0"/>
                <w:bCs w:val="0"/>
                <w:szCs w:val="21"/>
                <w:u w:val="none"/>
                <w:vertAlign w:val="superscript"/>
              </w:rPr>
              <w:t>3</w:t>
            </w:r>
            <w:r>
              <w:rPr>
                <w:b w:val="0"/>
                <w:bCs w:val="0"/>
                <w:szCs w:val="21"/>
                <w:u w:val="none"/>
              </w:rPr>
              <w:t>）</w:t>
            </w:r>
          </w:p>
        </w:tc>
        <w:tc>
          <w:tcPr>
            <w:tcW w:w="848" w:type="dxa"/>
            <w:noWrap/>
            <w:vAlign w:val="center"/>
          </w:tcPr>
          <w:p>
            <w:pPr>
              <w:jc w:val="center"/>
              <w:rPr>
                <w:b w:val="0"/>
                <w:bCs w:val="0"/>
                <w:szCs w:val="21"/>
                <w:u w:val="none"/>
              </w:rPr>
            </w:pPr>
            <w:r>
              <w:rPr>
                <w:b w:val="0"/>
                <w:bCs w:val="0"/>
                <w:szCs w:val="21"/>
                <w:u w:val="none"/>
              </w:rPr>
              <w:t>超标率</w:t>
            </w:r>
          </w:p>
          <w:p>
            <w:pPr>
              <w:jc w:val="center"/>
              <w:rPr>
                <w:b w:val="0"/>
                <w:bCs w:val="0"/>
                <w:szCs w:val="21"/>
                <w:u w:val="none"/>
              </w:rPr>
            </w:pPr>
            <w:r>
              <w:rPr>
                <w:b w:val="0"/>
                <w:bCs w:val="0"/>
                <w:szCs w:val="21"/>
                <w:u w:val="none"/>
              </w:rPr>
              <w:t>（%）</w:t>
            </w:r>
          </w:p>
        </w:tc>
        <w:tc>
          <w:tcPr>
            <w:tcW w:w="756" w:type="dxa"/>
            <w:noWrap/>
            <w:vAlign w:val="center"/>
          </w:tcPr>
          <w:p>
            <w:pPr>
              <w:jc w:val="center"/>
              <w:rPr>
                <w:b w:val="0"/>
                <w:bCs w:val="0"/>
                <w:szCs w:val="21"/>
                <w:u w:val="none"/>
              </w:rPr>
            </w:pPr>
            <w:r>
              <w:rPr>
                <w:b w:val="0"/>
                <w:bCs w:val="0"/>
                <w:szCs w:val="21"/>
                <w:u w:val="none"/>
              </w:rPr>
              <w:t>达标</w:t>
            </w:r>
          </w:p>
          <w:p>
            <w:pPr>
              <w:jc w:val="center"/>
              <w:rPr>
                <w:b w:val="0"/>
                <w:bCs w:val="0"/>
                <w:szCs w:val="21"/>
                <w:u w:val="none"/>
              </w:rPr>
            </w:pPr>
            <w:r>
              <w:rPr>
                <w:b w:val="0"/>
                <w:bCs w:val="0"/>
                <w:szCs w:val="21"/>
                <w:u w:val="none"/>
              </w:rPr>
              <w:t>情况</w:t>
            </w:r>
          </w:p>
        </w:tc>
        <w:tc>
          <w:tcPr>
            <w:tcW w:w="1485" w:type="dxa"/>
            <w:noWrap/>
            <w:vAlign w:val="center"/>
          </w:tcPr>
          <w:p>
            <w:pPr>
              <w:jc w:val="center"/>
              <w:rPr>
                <w:b w:val="0"/>
                <w:bCs w:val="0"/>
                <w:szCs w:val="21"/>
                <w:u w:val="none"/>
              </w:rPr>
            </w:pPr>
            <w:r>
              <w:rPr>
                <w:b w:val="0"/>
                <w:bCs w:val="0"/>
                <w:szCs w:val="21"/>
                <w:u w:val="none"/>
              </w:rPr>
              <w:t>标准指数范围</w:t>
            </w:r>
          </w:p>
        </w:tc>
        <w:tc>
          <w:tcPr>
            <w:tcW w:w="1313" w:type="dxa"/>
            <w:noWrap/>
            <w:vAlign w:val="center"/>
          </w:tcPr>
          <w:p>
            <w:pPr>
              <w:jc w:val="center"/>
              <w:rPr>
                <w:b w:val="0"/>
                <w:bCs w:val="0"/>
                <w:szCs w:val="21"/>
                <w:u w:val="none"/>
              </w:rPr>
            </w:pPr>
            <w:r>
              <w:rPr>
                <w:b w:val="0"/>
                <w:bCs w:val="0"/>
                <w:szCs w:val="21"/>
                <w:u w:val="none"/>
              </w:rPr>
              <w:t>最大质量浓度值占标率（%）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restart"/>
            <w:noWrap/>
            <w:vAlign w:val="center"/>
          </w:tcPr>
          <w:p>
            <w:pPr>
              <w:jc w:val="center"/>
              <w:rPr>
                <w:rFonts w:hint="eastAsia" w:eastAsia="宋体"/>
                <w:b w:val="0"/>
                <w:bCs w:val="0"/>
                <w:szCs w:val="21"/>
                <w:u w:val="none"/>
                <w:lang w:val="en-US" w:eastAsia="zh-CN"/>
              </w:rPr>
            </w:pPr>
            <w:r>
              <w:rPr>
                <w:rFonts w:hint="eastAsia" w:ascii="Times New Roman" w:hAnsi="Times New Roman"/>
                <w:color w:val="000000"/>
                <w:sz w:val="21"/>
                <w:szCs w:val="21"/>
              </w:rPr>
              <w:t>上邹庄</w:t>
            </w:r>
          </w:p>
        </w:tc>
        <w:tc>
          <w:tcPr>
            <w:tcW w:w="1406" w:type="dxa"/>
            <w:noWrap/>
            <w:vAlign w:val="center"/>
          </w:tcPr>
          <w:p>
            <w:pPr>
              <w:jc w:val="center"/>
              <w:rPr>
                <w:b w:val="0"/>
                <w:bCs w:val="0"/>
                <w:szCs w:val="21"/>
                <w:u w:val="none"/>
              </w:rPr>
            </w:pPr>
            <w:r>
              <w:rPr>
                <w:rFonts w:ascii="Times New Roman" w:hAnsi="Times New Roman"/>
                <w:color w:val="000000"/>
                <w:sz w:val="21"/>
                <w:szCs w:val="21"/>
              </w:rPr>
              <w:t>H</w:t>
            </w:r>
            <w:r>
              <w:rPr>
                <w:rFonts w:ascii="Times New Roman" w:hAnsi="Times New Roman"/>
                <w:color w:val="000000"/>
                <w:sz w:val="21"/>
                <w:szCs w:val="21"/>
                <w:vertAlign w:val="subscript"/>
              </w:rPr>
              <w:t>2</w:t>
            </w:r>
            <w:r>
              <w:rPr>
                <w:rFonts w:ascii="Times New Roman" w:hAnsi="Times New Roman"/>
                <w:color w:val="000000"/>
                <w:sz w:val="21"/>
                <w:szCs w:val="21"/>
              </w:rPr>
              <w:t>S一次值</w:t>
            </w:r>
          </w:p>
        </w:tc>
        <w:tc>
          <w:tcPr>
            <w:tcW w:w="1311" w:type="dxa"/>
            <w:noWrap/>
            <w:vAlign w:val="center"/>
          </w:tcPr>
          <w:p>
            <w:pPr>
              <w:jc w:val="center"/>
              <w:rPr>
                <w:b w:val="0"/>
                <w:bCs w:val="0"/>
                <w:szCs w:val="21"/>
                <w:u w:val="none"/>
              </w:rPr>
            </w:pPr>
            <w:r>
              <w:rPr>
                <w:rFonts w:hint="eastAsia" w:ascii="Times New Roman" w:hAnsi="Times New Roman"/>
                <w:color w:val="000000"/>
                <w:sz w:val="21"/>
                <w:szCs w:val="21"/>
              </w:rPr>
              <w:t>0.003~0.005</w:t>
            </w:r>
          </w:p>
        </w:tc>
        <w:tc>
          <w:tcPr>
            <w:tcW w:w="1522" w:type="dxa"/>
            <w:noWrap/>
            <w:vAlign w:val="center"/>
          </w:tcPr>
          <w:p>
            <w:pPr>
              <w:jc w:val="center"/>
              <w:rPr>
                <w:b w:val="0"/>
                <w:bCs w:val="0"/>
                <w:szCs w:val="21"/>
                <w:u w:val="none"/>
              </w:rPr>
            </w:pPr>
            <w:r>
              <w:rPr>
                <w:rFonts w:ascii="Times New Roman" w:hAnsi="Times New Roman"/>
                <w:color w:val="000000"/>
                <w:sz w:val="21"/>
                <w:szCs w:val="21"/>
              </w:rPr>
              <w:t>0.01</w:t>
            </w:r>
          </w:p>
        </w:tc>
        <w:tc>
          <w:tcPr>
            <w:tcW w:w="848" w:type="dxa"/>
            <w:noWrap/>
            <w:vAlign w:val="center"/>
          </w:tcPr>
          <w:p>
            <w:pPr>
              <w:jc w:val="center"/>
              <w:rPr>
                <w:b w:val="0"/>
                <w:bCs w:val="0"/>
                <w:szCs w:val="21"/>
                <w:u w:val="none"/>
              </w:rPr>
            </w:pPr>
            <w:r>
              <w:rPr>
                <w:rFonts w:ascii="Times New Roman" w:hAnsi="Times New Roman"/>
                <w:color w:val="000000"/>
                <w:sz w:val="21"/>
                <w:szCs w:val="21"/>
              </w:rPr>
              <w:t>0</w:t>
            </w:r>
          </w:p>
        </w:tc>
        <w:tc>
          <w:tcPr>
            <w:tcW w:w="756" w:type="dxa"/>
            <w:noWrap/>
            <w:vAlign w:val="center"/>
          </w:tcPr>
          <w:p>
            <w:pPr>
              <w:jc w:val="center"/>
              <w:rPr>
                <w:b w:val="0"/>
                <w:bCs w:val="0"/>
                <w:szCs w:val="21"/>
                <w:u w:val="none"/>
              </w:rPr>
            </w:pPr>
            <w:r>
              <w:rPr>
                <w:rFonts w:ascii="Times New Roman" w:hAnsi="Times New Roman"/>
                <w:color w:val="000000"/>
                <w:sz w:val="21"/>
                <w:szCs w:val="21"/>
              </w:rPr>
              <w:t>达标</w:t>
            </w:r>
          </w:p>
        </w:tc>
        <w:tc>
          <w:tcPr>
            <w:tcW w:w="1485" w:type="dxa"/>
            <w:noWrap/>
            <w:vAlign w:val="center"/>
          </w:tcPr>
          <w:p>
            <w:pPr>
              <w:jc w:val="center"/>
              <w:rPr>
                <w:b w:val="0"/>
                <w:bCs w:val="0"/>
                <w:szCs w:val="21"/>
                <w:u w:val="none"/>
              </w:rPr>
            </w:pPr>
            <w:r>
              <w:rPr>
                <w:rFonts w:hint="eastAsia" w:ascii="Times New Roman" w:hAnsi="Times New Roman"/>
                <w:color w:val="000000"/>
                <w:sz w:val="21"/>
                <w:szCs w:val="21"/>
              </w:rPr>
              <w:t>0.3~0.5</w:t>
            </w:r>
          </w:p>
        </w:tc>
        <w:tc>
          <w:tcPr>
            <w:tcW w:w="1313" w:type="dxa"/>
            <w:noWrap/>
            <w:vAlign w:val="center"/>
          </w:tcPr>
          <w:p>
            <w:pPr>
              <w:jc w:val="center"/>
              <w:rPr>
                <w:b w:val="0"/>
                <w:bCs w:val="0"/>
                <w:szCs w:val="21"/>
                <w:u w:val="none"/>
              </w:rPr>
            </w:pPr>
            <w:r>
              <w:rPr>
                <w:rFonts w:hint="eastAsia" w:ascii="Times New Roman" w:hAnsi="Times New Roman"/>
                <w:bCs/>
                <w:color w:val="000000"/>
                <w:sz w:val="21"/>
                <w:szCs w:val="21"/>
              </w:rPr>
              <w:t>50</w:t>
            </w:r>
            <w:r>
              <w:rPr>
                <w:rFonts w:ascii="Times New Roman" w:hAnsi="Times New Roman"/>
                <w:bCs/>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b w:val="0"/>
                <w:bCs w:val="0"/>
                <w:szCs w:val="21"/>
                <w:u w:val="none"/>
              </w:rPr>
            </w:pPr>
          </w:p>
        </w:tc>
        <w:tc>
          <w:tcPr>
            <w:tcW w:w="1406" w:type="dxa"/>
            <w:noWrap/>
            <w:vAlign w:val="center"/>
          </w:tcPr>
          <w:p>
            <w:pPr>
              <w:jc w:val="center"/>
              <w:rPr>
                <w:b w:val="0"/>
                <w:bCs w:val="0"/>
                <w:szCs w:val="21"/>
                <w:u w:val="none"/>
              </w:rPr>
            </w:pPr>
            <w:r>
              <w:rPr>
                <w:rFonts w:ascii="Times New Roman" w:hAnsi="Times New Roman"/>
                <w:color w:val="000000"/>
                <w:sz w:val="21"/>
                <w:szCs w:val="21"/>
              </w:rPr>
              <w:t>NH</w:t>
            </w:r>
            <w:r>
              <w:rPr>
                <w:rFonts w:ascii="Times New Roman" w:hAnsi="Times New Roman"/>
                <w:color w:val="000000"/>
                <w:sz w:val="21"/>
                <w:szCs w:val="21"/>
                <w:vertAlign w:val="subscript"/>
              </w:rPr>
              <w:t>3</w:t>
            </w:r>
            <w:r>
              <w:rPr>
                <w:rFonts w:ascii="Times New Roman" w:hAnsi="Times New Roman"/>
                <w:color w:val="000000"/>
                <w:sz w:val="21"/>
                <w:szCs w:val="21"/>
              </w:rPr>
              <w:t>一次值</w:t>
            </w:r>
          </w:p>
        </w:tc>
        <w:tc>
          <w:tcPr>
            <w:tcW w:w="1311" w:type="dxa"/>
            <w:noWrap/>
            <w:vAlign w:val="center"/>
          </w:tcPr>
          <w:p>
            <w:pPr>
              <w:jc w:val="center"/>
              <w:rPr>
                <w:rFonts w:hint="default" w:eastAsia="宋体"/>
                <w:b w:val="0"/>
                <w:bCs w:val="0"/>
                <w:color w:val="000000"/>
                <w:szCs w:val="21"/>
                <w:u w:val="none"/>
                <w:lang w:val="en-US" w:eastAsia="zh-CN"/>
              </w:rPr>
            </w:pPr>
            <w:r>
              <w:rPr>
                <w:rFonts w:ascii="Times New Roman" w:hAnsi="Times New Roman"/>
                <w:bCs/>
                <w:color w:val="000000"/>
                <w:sz w:val="21"/>
                <w:szCs w:val="21"/>
              </w:rPr>
              <w:t>0.0</w:t>
            </w:r>
            <w:r>
              <w:rPr>
                <w:rFonts w:hint="eastAsia" w:ascii="Times New Roman" w:hAnsi="Times New Roman"/>
                <w:bCs/>
                <w:color w:val="000000"/>
                <w:sz w:val="21"/>
                <w:szCs w:val="21"/>
              </w:rPr>
              <w:t>1</w:t>
            </w:r>
            <w:r>
              <w:rPr>
                <w:rFonts w:ascii="Times New Roman" w:hAnsi="Times New Roman"/>
                <w:bCs/>
                <w:color w:val="000000"/>
                <w:sz w:val="21"/>
                <w:szCs w:val="21"/>
              </w:rPr>
              <w:t>~0.</w:t>
            </w:r>
            <w:r>
              <w:rPr>
                <w:rFonts w:hint="eastAsia" w:ascii="Times New Roman" w:hAnsi="Times New Roman"/>
                <w:bCs/>
                <w:color w:val="000000"/>
                <w:sz w:val="21"/>
                <w:szCs w:val="21"/>
              </w:rPr>
              <w:t>1</w:t>
            </w:r>
          </w:p>
        </w:tc>
        <w:tc>
          <w:tcPr>
            <w:tcW w:w="1522" w:type="dxa"/>
            <w:noWrap/>
            <w:vAlign w:val="center"/>
          </w:tcPr>
          <w:p>
            <w:pPr>
              <w:jc w:val="center"/>
              <w:rPr>
                <w:b w:val="0"/>
                <w:bCs w:val="0"/>
                <w:szCs w:val="21"/>
                <w:u w:val="none"/>
              </w:rPr>
            </w:pPr>
            <w:r>
              <w:rPr>
                <w:rFonts w:ascii="Times New Roman" w:hAnsi="Times New Roman"/>
                <w:color w:val="000000"/>
                <w:sz w:val="21"/>
                <w:szCs w:val="21"/>
              </w:rPr>
              <w:t>0.2</w:t>
            </w:r>
          </w:p>
        </w:tc>
        <w:tc>
          <w:tcPr>
            <w:tcW w:w="848" w:type="dxa"/>
            <w:noWrap/>
            <w:vAlign w:val="center"/>
          </w:tcPr>
          <w:p>
            <w:pPr>
              <w:jc w:val="center"/>
              <w:rPr>
                <w:b w:val="0"/>
                <w:bCs w:val="0"/>
                <w:szCs w:val="21"/>
                <w:u w:val="none"/>
              </w:rPr>
            </w:pPr>
            <w:r>
              <w:rPr>
                <w:rFonts w:ascii="Times New Roman" w:hAnsi="Times New Roman"/>
                <w:color w:val="000000"/>
                <w:sz w:val="21"/>
                <w:szCs w:val="21"/>
              </w:rPr>
              <w:t>0</w:t>
            </w:r>
          </w:p>
        </w:tc>
        <w:tc>
          <w:tcPr>
            <w:tcW w:w="756" w:type="dxa"/>
            <w:noWrap/>
            <w:vAlign w:val="center"/>
          </w:tcPr>
          <w:p>
            <w:pPr>
              <w:jc w:val="center"/>
              <w:rPr>
                <w:b w:val="0"/>
                <w:bCs w:val="0"/>
                <w:szCs w:val="21"/>
                <w:u w:val="none"/>
              </w:rPr>
            </w:pPr>
            <w:r>
              <w:rPr>
                <w:rFonts w:ascii="Times New Roman" w:hAnsi="Times New Roman"/>
                <w:color w:val="000000"/>
                <w:sz w:val="21"/>
                <w:szCs w:val="21"/>
              </w:rPr>
              <w:t>达标</w:t>
            </w:r>
          </w:p>
        </w:tc>
        <w:tc>
          <w:tcPr>
            <w:tcW w:w="1485" w:type="dxa"/>
            <w:noWrap/>
            <w:vAlign w:val="center"/>
          </w:tcPr>
          <w:p>
            <w:pPr>
              <w:jc w:val="center"/>
              <w:rPr>
                <w:rFonts w:hint="default" w:eastAsia="宋体"/>
                <w:b w:val="0"/>
                <w:bCs w:val="0"/>
                <w:color w:val="000000"/>
                <w:szCs w:val="21"/>
                <w:u w:val="none"/>
                <w:lang w:val="en-US" w:eastAsia="zh-CN"/>
              </w:rPr>
            </w:pPr>
            <w:r>
              <w:rPr>
                <w:rFonts w:hint="eastAsia" w:ascii="Times New Roman" w:hAnsi="Times New Roman"/>
                <w:bCs/>
                <w:color w:val="000000"/>
                <w:sz w:val="21"/>
                <w:szCs w:val="21"/>
              </w:rPr>
              <w:t>0.05</w:t>
            </w:r>
            <w:r>
              <w:rPr>
                <w:rFonts w:ascii="Times New Roman" w:hAnsi="Times New Roman"/>
                <w:bCs/>
                <w:color w:val="000000"/>
                <w:sz w:val="21"/>
                <w:szCs w:val="21"/>
              </w:rPr>
              <w:t>~</w:t>
            </w:r>
            <w:r>
              <w:rPr>
                <w:rFonts w:hint="eastAsia" w:ascii="Times New Roman" w:hAnsi="Times New Roman"/>
                <w:bCs/>
                <w:color w:val="000000"/>
                <w:sz w:val="21"/>
                <w:szCs w:val="21"/>
              </w:rPr>
              <w:t>0.2</w:t>
            </w:r>
          </w:p>
        </w:tc>
        <w:tc>
          <w:tcPr>
            <w:tcW w:w="1313" w:type="dxa"/>
            <w:noWrap/>
            <w:vAlign w:val="center"/>
          </w:tcPr>
          <w:p>
            <w:pPr>
              <w:jc w:val="center"/>
              <w:rPr>
                <w:b w:val="0"/>
                <w:bCs w:val="0"/>
                <w:color w:val="000000"/>
                <w:szCs w:val="21"/>
                <w:u w:val="none"/>
              </w:rPr>
            </w:pPr>
            <w:r>
              <w:rPr>
                <w:rFonts w:hint="eastAsia" w:ascii="Times New Roman" w:hAnsi="Times New Roman"/>
                <w:bCs/>
                <w:color w:val="000000"/>
                <w:sz w:val="21"/>
                <w:szCs w:val="21"/>
              </w:rPr>
              <w:t>50</w:t>
            </w:r>
            <w:r>
              <w:rPr>
                <w:rFonts w:ascii="Times New Roman" w:hAnsi="Times New Roman"/>
                <w:bCs/>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restart"/>
            <w:noWrap/>
            <w:vAlign w:val="center"/>
          </w:tcPr>
          <w:p>
            <w:pPr>
              <w:jc w:val="center"/>
              <w:rPr>
                <w:rFonts w:hint="eastAsia" w:eastAsia="宋体"/>
                <w:b w:val="0"/>
                <w:bCs w:val="0"/>
                <w:szCs w:val="21"/>
                <w:u w:val="none"/>
                <w:lang w:val="en-US" w:eastAsia="zh-CN"/>
              </w:rPr>
            </w:pPr>
            <w:r>
              <w:rPr>
                <w:rFonts w:hint="eastAsia" w:ascii="Times New Roman" w:hAnsi="Times New Roman"/>
                <w:color w:val="000000"/>
                <w:sz w:val="21"/>
                <w:szCs w:val="21"/>
              </w:rPr>
              <w:t>南龚庄</w:t>
            </w:r>
          </w:p>
        </w:tc>
        <w:tc>
          <w:tcPr>
            <w:tcW w:w="1406" w:type="dxa"/>
            <w:noWrap/>
            <w:vAlign w:val="center"/>
          </w:tcPr>
          <w:p>
            <w:pPr>
              <w:jc w:val="center"/>
              <w:rPr>
                <w:b w:val="0"/>
                <w:bCs w:val="0"/>
                <w:szCs w:val="21"/>
                <w:u w:val="none"/>
              </w:rPr>
            </w:pPr>
            <w:r>
              <w:rPr>
                <w:rFonts w:ascii="Times New Roman" w:hAnsi="Times New Roman"/>
                <w:color w:val="000000"/>
                <w:sz w:val="21"/>
                <w:szCs w:val="21"/>
              </w:rPr>
              <w:t>H</w:t>
            </w:r>
            <w:r>
              <w:rPr>
                <w:rFonts w:ascii="Times New Roman" w:hAnsi="Times New Roman"/>
                <w:color w:val="000000"/>
                <w:sz w:val="21"/>
                <w:szCs w:val="21"/>
                <w:vertAlign w:val="subscript"/>
              </w:rPr>
              <w:t>2</w:t>
            </w:r>
            <w:r>
              <w:rPr>
                <w:rFonts w:ascii="Times New Roman" w:hAnsi="Times New Roman"/>
                <w:color w:val="000000"/>
                <w:sz w:val="21"/>
                <w:szCs w:val="21"/>
              </w:rPr>
              <w:t>S一次值</w:t>
            </w:r>
          </w:p>
        </w:tc>
        <w:tc>
          <w:tcPr>
            <w:tcW w:w="1311" w:type="dxa"/>
            <w:noWrap/>
            <w:vAlign w:val="center"/>
          </w:tcPr>
          <w:p>
            <w:pPr>
              <w:jc w:val="center"/>
              <w:rPr>
                <w:b w:val="0"/>
                <w:bCs w:val="0"/>
                <w:szCs w:val="21"/>
                <w:u w:val="none"/>
              </w:rPr>
            </w:pPr>
            <w:r>
              <w:rPr>
                <w:rFonts w:hint="eastAsia" w:ascii="Times New Roman" w:hAnsi="Times New Roman"/>
                <w:color w:val="000000"/>
                <w:sz w:val="21"/>
                <w:szCs w:val="21"/>
              </w:rPr>
              <w:t>0.003~0.005</w:t>
            </w:r>
          </w:p>
        </w:tc>
        <w:tc>
          <w:tcPr>
            <w:tcW w:w="1522" w:type="dxa"/>
            <w:noWrap/>
            <w:vAlign w:val="center"/>
          </w:tcPr>
          <w:p>
            <w:pPr>
              <w:jc w:val="center"/>
              <w:rPr>
                <w:b w:val="0"/>
                <w:bCs w:val="0"/>
                <w:szCs w:val="21"/>
                <w:u w:val="none"/>
              </w:rPr>
            </w:pPr>
            <w:r>
              <w:rPr>
                <w:rFonts w:ascii="Times New Roman" w:hAnsi="Times New Roman"/>
                <w:color w:val="000000"/>
                <w:sz w:val="21"/>
                <w:szCs w:val="21"/>
              </w:rPr>
              <w:t>0.01</w:t>
            </w:r>
          </w:p>
        </w:tc>
        <w:tc>
          <w:tcPr>
            <w:tcW w:w="848" w:type="dxa"/>
            <w:noWrap/>
            <w:vAlign w:val="center"/>
          </w:tcPr>
          <w:p>
            <w:pPr>
              <w:jc w:val="center"/>
              <w:rPr>
                <w:b w:val="0"/>
                <w:bCs w:val="0"/>
                <w:szCs w:val="21"/>
                <w:u w:val="none"/>
              </w:rPr>
            </w:pPr>
            <w:r>
              <w:rPr>
                <w:rFonts w:ascii="Times New Roman" w:hAnsi="Times New Roman"/>
                <w:color w:val="000000"/>
                <w:sz w:val="21"/>
                <w:szCs w:val="21"/>
              </w:rPr>
              <w:t>0</w:t>
            </w:r>
          </w:p>
        </w:tc>
        <w:tc>
          <w:tcPr>
            <w:tcW w:w="756" w:type="dxa"/>
            <w:noWrap/>
            <w:vAlign w:val="center"/>
          </w:tcPr>
          <w:p>
            <w:pPr>
              <w:jc w:val="center"/>
              <w:rPr>
                <w:b w:val="0"/>
                <w:bCs w:val="0"/>
                <w:szCs w:val="21"/>
                <w:u w:val="none"/>
              </w:rPr>
            </w:pPr>
            <w:r>
              <w:rPr>
                <w:rFonts w:ascii="Times New Roman" w:hAnsi="Times New Roman"/>
                <w:color w:val="000000"/>
                <w:sz w:val="21"/>
                <w:szCs w:val="21"/>
              </w:rPr>
              <w:t>达标</w:t>
            </w:r>
          </w:p>
        </w:tc>
        <w:tc>
          <w:tcPr>
            <w:tcW w:w="1485" w:type="dxa"/>
            <w:noWrap/>
            <w:vAlign w:val="center"/>
          </w:tcPr>
          <w:p>
            <w:pPr>
              <w:jc w:val="center"/>
              <w:rPr>
                <w:b w:val="0"/>
                <w:bCs w:val="0"/>
                <w:szCs w:val="21"/>
                <w:u w:val="none"/>
              </w:rPr>
            </w:pPr>
            <w:r>
              <w:rPr>
                <w:rFonts w:hint="eastAsia" w:ascii="Times New Roman" w:hAnsi="Times New Roman"/>
                <w:bCs/>
                <w:color w:val="000000"/>
                <w:sz w:val="21"/>
                <w:szCs w:val="21"/>
              </w:rPr>
              <w:t>0.3~0.5</w:t>
            </w:r>
          </w:p>
        </w:tc>
        <w:tc>
          <w:tcPr>
            <w:tcW w:w="1313" w:type="dxa"/>
            <w:noWrap/>
            <w:vAlign w:val="center"/>
          </w:tcPr>
          <w:p>
            <w:pPr>
              <w:jc w:val="center"/>
              <w:rPr>
                <w:b w:val="0"/>
                <w:bCs w:val="0"/>
                <w:szCs w:val="21"/>
                <w:u w:val="none"/>
              </w:rPr>
            </w:pPr>
            <w:r>
              <w:rPr>
                <w:rFonts w:hint="eastAsia" w:ascii="Times New Roman" w:hAnsi="Times New Roman"/>
                <w:bCs/>
                <w:color w:val="000000"/>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b w:val="0"/>
                <w:bCs w:val="0"/>
                <w:szCs w:val="21"/>
                <w:u w:val="none"/>
              </w:rPr>
            </w:pPr>
          </w:p>
        </w:tc>
        <w:tc>
          <w:tcPr>
            <w:tcW w:w="1406" w:type="dxa"/>
            <w:noWrap/>
            <w:vAlign w:val="center"/>
          </w:tcPr>
          <w:p>
            <w:pPr>
              <w:jc w:val="center"/>
              <w:rPr>
                <w:b w:val="0"/>
                <w:bCs w:val="0"/>
                <w:szCs w:val="21"/>
                <w:u w:val="none"/>
              </w:rPr>
            </w:pPr>
            <w:r>
              <w:rPr>
                <w:rFonts w:ascii="Times New Roman" w:hAnsi="Times New Roman"/>
                <w:color w:val="000000"/>
                <w:sz w:val="21"/>
                <w:szCs w:val="21"/>
              </w:rPr>
              <w:t>NH</w:t>
            </w:r>
            <w:r>
              <w:rPr>
                <w:rFonts w:ascii="Times New Roman" w:hAnsi="Times New Roman"/>
                <w:color w:val="000000"/>
                <w:sz w:val="21"/>
                <w:szCs w:val="21"/>
                <w:vertAlign w:val="subscript"/>
              </w:rPr>
              <w:t>3</w:t>
            </w:r>
            <w:r>
              <w:rPr>
                <w:rFonts w:ascii="Times New Roman" w:hAnsi="Times New Roman"/>
                <w:color w:val="000000"/>
                <w:sz w:val="21"/>
                <w:szCs w:val="21"/>
              </w:rPr>
              <w:t>一次值</w:t>
            </w:r>
          </w:p>
        </w:tc>
        <w:tc>
          <w:tcPr>
            <w:tcW w:w="1311" w:type="dxa"/>
            <w:noWrap/>
            <w:vAlign w:val="center"/>
          </w:tcPr>
          <w:p>
            <w:pPr>
              <w:jc w:val="center"/>
              <w:rPr>
                <w:rFonts w:hint="default" w:eastAsia="宋体"/>
                <w:b w:val="0"/>
                <w:bCs w:val="0"/>
                <w:color w:val="000000"/>
                <w:szCs w:val="21"/>
                <w:u w:val="none"/>
                <w:lang w:val="en-US" w:eastAsia="zh-CN"/>
              </w:rPr>
            </w:pPr>
            <w:r>
              <w:rPr>
                <w:rFonts w:ascii="Times New Roman" w:hAnsi="Times New Roman"/>
                <w:bCs/>
                <w:color w:val="000000"/>
                <w:sz w:val="21"/>
                <w:szCs w:val="21"/>
              </w:rPr>
              <w:t>0.0</w:t>
            </w:r>
            <w:r>
              <w:rPr>
                <w:rFonts w:hint="eastAsia" w:ascii="Times New Roman" w:hAnsi="Times New Roman"/>
                <w:bCs/>
                <w:color w:val="000000"/>
                <w:sz w:val="21"/>
                <w:szCs w:val="21"/>
              </w:rPr>
              <w:t>1</w:t>
            </w:r>
            <w:r>
              <w:rPr>
                <w:rFonts w:ascii="Times New Roman" w:hAnsi="Times New Roman"/>
                <w:bCs/>
                <w:color w:val="000000"/>
                <w:sz w:val="21"/>
                <w:szCs w:val="21"/>
              </w:rPr>
              <w:t>~0.</w:t>
            </w:r>
            <w:r>
              <w:rPr>
                <w:rFonts w:hint="eastAsia" w:ascii="Times New Roman" w:hAnsi="Times New Roman"/>
                <w:bCs/>
                <w:color w:val="000000"/>
                <w:sz w:val="21"/>
                <w:szCs w:val="21"/>
              </w:rPr>
              <w:t>1</w:t>
            </w:r>
          </w:p>
        </w:tc>
        <w:tc>
          <w:tcPr>
            <w:tcW w:w="1522" w:type="dxa"/>
            <w:noWrap/>
            <w:vAlign w:val="center"/>
          </w:tcPr>
          <w:p>
            <w:pPr>
              <w:jc w:val="center"/>
              <w:rPr>
                <w:b w:val="0"/>
                <w:bCs w:val="0"/>
                <w:szCs w:val="21"/>
                <w:u w:val="none"/>
              </w:rPr>
            </w:pPr>
            <w:r>
              <w:rPr>
                <w:rFonts w:ascii="Times New Roman" w:hAnsi="Times New Roman"/>
                <w:color w:val="000000"/>
                <w:sz w:val="21"/>
                <w:szCs w:val="21"/>
              </w:rPr>
              <w:t>0.2</w:t>
            </w:r>
          </w:p>
        </w:tc>
        <w:tc>
          <w:tcPr>
            <w:tcW w:w="848" w:type="dxa"/>
            <w:noWrap/>
            <w:vAlign w:val="center"/>
          </w:tcPr>
          <w:p>
            <w:pPr>
              <w:jc w:val="center"/>
              <w:rPr>
                <w:b w:val="0"/>
                <w:bCs w:val="0"/>
                <w:szCs w:val="21"/>
                <w:u w:val="none"/>
              </w:rPr>
            </w:pPr>
            <w:r>
              <w:rPr>
                <w:rFonts w:ascii="Times New Roman" w:hAnsi="Times New Roman"/>
                <w:color w:val="000000"/>
                <w:sz w:val="21"/>
                <w:szCs w:val="21"/>
              </w:rPr>
              <w:t>0</w:t>
            </w:r>
          </w:p>
        </w:tc>
        <w:tc>
          <w:tcPr>
            <w:tcW w:w="756" w:type="dxa"/>
            <w:noWrap/>
            <w:vAlign w:val="center"/>
          </w:tcPr>
          <w:p>
            <w:pPr>
              <w:jc w:val="center"/>
              <w:rPr>
                <w:b w:val="0"/>
                <w:bCs w:val="0"/>
                <w:szCs w:val="21"/>
                <w:u w:val="none"/>
              </w:rPr>
            </w:pPr>
            <w:r>
              <w:rPr>
                <w:rFonts w:ascii="Times New Roman" w:hAnsi="Times New Roman"/>
                <w:color w:val="000000"/>
                <w:sz w:val="21"/>
                <w:szCs w:val="21"/>
              </w:rPr>
              <w:t>达标</w:t>
            </w:r>
          </w:p>
        </w:tc>
        <w:tc>
          <w:tcPr>
            <w:tcW w:w="1485" w:type="dxa"/>
            <w:noWrap/>
            <w:vAlign w:val="center"/>
          </w:tcPr>
          <w:p>
            <w:pPr>
              <w:jc w:val="center"/>
              <w:rPr>
                <w:b w:val="0"/>
                <w:bCs w:val="0"/>
                <w:color w:val="000000"/>
                <w:szCs w:val="21"/>
                <w:u w:val="none"/>
              </w:rPr>
            </w:pPr>
            <w:r>
              <w:rPr>
                <w:rFonts w:hint="eastAsia" w:ascii="Times New Roman" w:hAnsi="Times New Roman"/>
                <w:bCs/>
                <w:color w:val="000000"/>
                <w:sz w:val="21"/>
                <w:szCs w:val="21"/>
              </w:rPr>
              <w:t>0.05</w:t>
            </w:r>
            <w:r>
              <w:rPr>
                <w:rFonts w:ascii="Times New Roman" w:hAnsi="Times New Roman"/>
                <w:bCs/>
                <w:color w:val="000000"/>
                <w:sz w:val="21"/>
                <w:szCs w:val="21"/>
              </w:rPr>
              <w:t>~</w:t>
            </w:r>
            <w:r>
              <w:rPr>
                <w:rFonts w:hint="eastAsia" w:ascii="Times New Roman" w:hAnsi="Times New Roman"/>
                <w:bCs/>
                <w:color w:val="000000"/>
                <w:sz w:val="21"/>
                <w:szCs w:val="21"/>
              </w:rPr>
              <w:t>0.2</w:t>
            </w:r>
          </w:p>
        </w:tc>
        <w:tc>
          <w:tcPr>
            <w:tcW w:w="1313" w:type="dxa"/>
            <w:noWrap/>
            <w:vAlign w:val="center"/>
          </w:tcPr>
          <w:p>
            <w:pPr>
              <w:jc w:val="center"/>
              <w:rPr>
                <w:b w:val="0"/>
                <w:bCs w:val="0"/>
                <w:szCs w:val="21"/>
                <w:u w:val="none"/>
              </w:rPr>
            </w:pPr>
            <w:r>
              <w:rPr>
                <w:rFonts w:hint="eastAsia" w:ascii="Times New Roman" w:hAnsi="Times New Roman"/>
                <w:bCs/>
                <w:color w:val="000000"/>
                <w:sz w:val="21"/>
                <w:szCs w:val="21"/>
              </w:rPr>
              <w:t>50</w:t>
            </w:r>
            <w:r>
              <w:rPr>
                <w:rFonts w:ascii="Times New Roman" w:hAnsi="Times New Roman"/>
                <w:bCs/>
                <w:color w:val="000000"/>
                <w:sz w:val="21"/>
                <w:szCs w:val="21"/>
              </w:rPr>
              <w:t>%</w:t>
            </w:r>
          </w:p>
        </w:tc>
      </w:tr>
    </w:tbl>
    <w:p>
      <w:pPr>
        <w:spacing w:line="520" w:lineRule="exact"/>
        <w:ind w:firstLine="480" w:firstLineChars="200"/>
        <w:rPr>
          <w:b w:val="0"/>
          <w:bCs w:val="0"/>
          <w:i w:val="0"/>
          <w:iCs w:val="0"/>
          <w:color w:val="000000"/>
          <w:sz w:val="24"/>
          <w:szCs w:val="24"/>
          <w:u w:val="none"/>
        </w:rPr>
      </w:pPr>
      <w:r>
        <w:rPr>
          <w:rFonts w:hint="eastAsia"/>
          <w:i w:val="0"/>
          <w:iCs w:val="0"/>
          <w:sz w:val="24"/>
          <w:szCs w:val="24"/>
          <w:u w:val="none"/>
        </w:rPr>
        <w:t>由表</w:t>
      </w:r>
      <w:r>
        <w:rPr>
          <w:rFonts w:hint="eastAsia"/>
          <w:i w:val="0"/>
          <w:iCs w:val="0"/>
          <w:sz w:val="24"/>
          <w:szCs w:val="24"/>
          <w:u w:val="none"/>
          <w:lang w:val="en-US" w:eastAsia="zh-CN"/>
        </w:rPr>
        <w:t>3.3-5</w:t>
      </w:r>
      <w:r>
        <w:rPr>
          <w:rFonts w:hint="eastAsia"/>
          <w:i w:val="0"/>
          <w:iCs w:val="0"/>
          <w:sz w:val="24"/>
          <w:szCs w:val="24"/>
          <w:u w:val="none"/>
        </w:rPr>
        <w:t>可以看出，评价区域各监测点</w:t>
      </w:r>
      <w:r>
        <w:rPr>
          <w:i w:val="0"/>
          <w:iCs w:val="0"/>
          <w:sz w:val="24"/>
          <w:szCs w:val="24"/>
          <w:u w:val="none"/>
        </w:rPr>
        <w:t>NH</w:t>
      </w:r>
      <w:r>
        <w:rPr>
          <w:i w:val="0"/>
          <w:iCs w:val="0"/>
          <w:sz w:val="24"/>
          <w:szCs w:val="24"/>
          <w:u w:val="none"/>
          <w:vertAlign w:val="subscript"/>
        </w:rPr>
        <w:t>3</w:t>
      </w:r>
      <w:r>
        <w:rPr>
          <w:rFonts w:hint="eastAsia"/>
          <w:i w:val="0"/>
          <w:iCs w:val="0"/>
          <w:sz w:val="24"/>
          <w:szCs w:val="24"/>
          <w:u w:val="none"/>
        </w:rPr>
        <w:t>一次浓度值范围为0.0</w:t>
      </w:r>
      <w:r>
        <w:rPr>
          <w:rFonts w:hint="eastAsia"/>
          <w:i w:val="0"/>
          <w:iCs w:val="0"/>
          <w:sz w:val="24"/>
          <w:szCs w:val="24"/>
          <w:u w:val="none"/>
          <w:lang w:val="en-US" w:eastAsia="zh-CN"/>
        </w:rPr>
        <w:t>1</w:t>
      </w:r>
      <w:r>
        <w:rPr>
          <w:rFonts w:hint="eastAsia"/>
          <w:i w:val="0"/>
          <w:iCs w:val="0"/>
          <w:sz w:val="24"/>
          <w:szCs w:val="24"/>
          <w:u w:val="none"/>
        </w:rPr>
        <w:t>~</w:t>
      </w:r>
      <w:r>
        <w:rPr>
          <w:i w:val="0"/>
          <w:iCs w:val="0"/>
          <w:sz w:val="24"/>
          <w:szCs w:val="24"/>
          <w:u w:val="none"/>
        </w:rPr>
        <w:t>0.</w:t>
      </w:r>
      <w:r>
        <w:rPr>
          <w:rFonts w:hint="eastAsia"/>
          <w:i w:val="0"/>
          <w:iCs w:val="0"/>
          <w:sz w:val="24"/>
          <w:szCs w:val="24"/>
          <w:u w:val="none"/>
          <w:lang w:val="en-US" w:eastAsia="zh-CN"/>
        </w:rPr>
        <w:t>1</w:t>
      </w:r>
      <w:r>
        <w:rPr>
          <w:i w:val="0"/>
          <w:iCs w:val="0"/>
          <w:sz w:val="24"/>
          <w:szCs w:val="24"/>
          <w:u w:val="none"/>
        </w:rPr>
        <w:t>mg/m</w:t>
      </w:r>
      <w:r>
        <w:rPr>
          <w:i w:val="0"/>
          <w:iCs w:val="0"/>
          <w:sz w:val="24"/>
          <w:szCs w:val="24"/>
          <w:u w:val="none"/>
          <w:vertAlign w:val="superscript"/>
        </w:rPr>
        <w:t>3</w:t>
      </w:r>
      <w:r>
        <w:rPr>
          <w:rFonts w:hint="eastAsia"/>
          <w:i w:val="0"/>
          <w:iCs w:val="0"/>
          <w:sz w:val="24"/>
          <w:szCs w:val="24"/>
          <w:u w:val="none"/>
        </w:rPr>
        <w:t>、</w:t>
      </w:r>
      <w:r>
        <w:rPr>
          <w:i w:val="0"/>
          <w:iCs w:val="0"/>
          <w:sz w:val="24"/>
          <w:szCs w:val="24"/>
          <w:u w:val="none"/>
        </w:rPr>
        <w:t>H</w:t>
      </w:r>
      <w:r>
        <w:rPr>
          <w:i w:val="0"/>
          <w:iCs w:val="0"/>
          <w:sz w:val="24"/>
          <w:szCs w:val="24"/>
          <w:u w:val="none"/>
          <w:vertAlign w:val="subscript"/>
        </w:rPr>
        <w:t>2</w:t>
      </w:r>
      <w:r>
        <w:rPr>
          <w:i w:val="0"/>
          <w:iCs w:val="0"/>
          <w:sz w:val="24"/>
          <w:szCs w:val="24"/>
          <w:u w:val="none"/>
        </w:rPr>
        <w:t>S</w:t>
      </w:r>
      <w:r>
        <w:rPr>
          <w:rFonts w:hint="eastAsia"/>
          <w:i w:val="0"/>
          <w:iCs w:val="0"/>
          <w:sz w:val="24"/>
          <w:szCs w:val="24"/>
          <w:u w:val="none"/>
        </w:rPr>
        <w:t>0.0</w:t>
      </w:r>
      <w:r>
        <w:rPr>
          <w:rFonts w:hint="eastAsia"/>
          <w:i w:val="0"/>
          <w:iCs w:val="0"/>
          <w:sz w:val="24"/>
          <w:szCs w:val="24"/>
          <w:u w:val="none"/>
          <w:lang w:val="en-US" w:eastAsia="zh-CN"/>
        </w:rPr>
        <w:t>03</w:t>
      </w:r>
      <w:r>
        <w:rPr>
          <w:rFonts w:hint="eastAsia"/>
          <w:i w:val="0"/>
          <w:iCs w:val="0"/>
          <w:sz w:val="24"/>
          <w:szCs w:val="24"/>
          <w:u w:val="none"/>
        </w:rPr>
        <w:t>~</w:t>
      </w:r>
      <w:r>
        <w:rPr>
          <w:i w:val="0"/>
          <w:iCs w:val="0"/>
          <w:sz w:val="24"/>
          <w:szCs w:val="24"/>
          <w:u w:val="none"/>
        </w:rPr>
        <w:t>0.</w:t>
      </w:r>
      <w:r>
        <w:rPr>
          <w:rFonts w:hint="eastAsia"/>
          <w:i w:val="0"/>
          <w:iCs w:val="0"/>
          <w:sz w:val="24"/>
          <w:szCs w:val="24"/>
          <w:u w:val="none"/>
          <w:lang w:val="en-US" w:eastAsia="zh-CN"/>
        </w:rPr>
        <w:t>005</w:t>
      </w:r>
      <w:r>
        <w:rPr>
          <w:i w:val="0"/>
          <w:iCs w:val="0"/>
          <w:sz w:val="24"/>
          <w:szCs w:val="24"/>
          <w:u w:val="none"/>
        </w:rPr>
        <w:t>mg/m</w:t>
      </w:r>
      <w:r>
        <w:rPr>
          <w:i w:val="0"/>
          <w:iCs w:val="0"/>
          <w:sz w:val="24"/>
          <w:szCs w:val="24"/>
          <w:u w:val="none"/>
          <w:vertAlign w:val="superscript"/>
        </w:rPr>
        <w:t>3</w:t>
      </w:r>
      <w:r>
        <w:rPr>
          <w:rFonts w:hint="eastAsia"/>
          <w:i w:val="0"/>
          <w:iCs w:val="0"/>
          <w:sz w:val="24"/>
          <w:szCs w:val="24"/>
          <w:u w:val="none"/>
        </w:rPr>
        <w:t>，均能满足</w:t>
      </w:r>
      <w:r>
        <w:rPr>
          <w:i w:val="0"/>
          <w:iCs w:val="0"/>
          <w:sz w:val="24"/>
          <w:szCs w:val="24"/>
          <w:u w:val="none"/>
        </w:rPr>
        <w:t>《环境影响评价技术导则 大气环境（HJ2.2-2018）》中附录D</w:t>
      </w:r>
      <w:r>
        <w:rPr>
          <w:i w:val="0"/>
          <w:iCs w:val="0"/>
          <w:color w:val="000000"/>
          <w:sz w:val="24"/>
          <w:szCs w:val="24"/>
          <w:u w:val="none"/>
        </w:rPr>
        <w:t>的最高允许浓度限值</w:t>
      </w:r>
      <w:r>
        <w:rPr>
          <w:rFonts w:hint="eastAsia"/>
          <w:i w:val="0"/>
          <w:iCs w:val="0"/>
          <w:spacing w:val="-4"/>
          <w:sz w:val="24"/>
          <w:szCs w:val="24"/>
          <w:u w:val="none"/>
        </w:rPr>
        <w:t>要求</w:t>
      </w:r>
      <w:r>
        <w:rPr>
          <w:b w:val="0"/>
          <w:bCs w:val="0"/>
          <w:i w:val="0"/>
          <w:iCs w:val="0"/>
          <w:color w:val="000000"/>
          <w:sz w:val="24"/>
          <w:szCs w:val="24"/>
          <w:u w:val="none"/>
        </w:rPr>
        <w:t>。</w:t>
      </w:r>
    </w:p>
    <w:p>
      <w:pPr>
        <w:pStyle w:val="6"/>
        <w:spacing w:before="0" w:after="0" w:line="520" w:lineRule="exact"/>
        <w:rPr>
          <w:rFonts w:hint="default" w:eastAsia="黑体"/>
          <w:color w:val="000000" w:themeColor="text1"/>
          <w:sz w:val="24"/>
          <w:szCs w:val="24"/>
          <w:lang w:val="en-US" w:eastAsia="zh-CN"/>
        </w:rPr>
      </w:pPr>
      <w:r>
        <w:rPr>
          <w:rFonts w:hint="eastAsia" w:eastAsia="黑体"/>
          <w:color w:val="000000" w:themeColor="text1"/>
          <w:sz w:val="24"/>
          <w:szCs w:val="24"/>
          <w:lang w:val="en-US" w:eastAsia="zh-CN"/>
        </w:rPr>
        <w:t>3.3.2 地表水环境质量现状监测与评价</w:t>
      </w:r>
    </w:p>
    <w:bookmarkEnd w:id="199"/>
    <w:bookmarkEnd w:id="200"/>
    <w:p>
      <w:pPr>
        <w:pStyle w:val="99"/>
        <w:ind w:firstLine="480"/>
        <w:rPr>
          <w:rFonts w:hint="eastAsia"/>
          <w:b/>
          <w:bCs/>
          <w:color w:val="000000"/>
          <w:kern w:val="0"/>
        </w:rPr>
      </w:pPr>
      <w:bookmarkStart w:id="211" w:name="_Toc413829637"/>
      <w:bookmarkStart w:id="212" w:name="_Toc406663004"/>
      <w:r>
        <w:rPr>
          <w:rStyle w:val="118"/>
          <w:rFonts w:hint="eastAsia" w:ascii="宋体" w:hAnsi="宋体"/>
          <w:color w:val="000000"/>
        </w:rPr>
        <w:t>本项目区域地表水</w:t>
      </w:r>
      <w:r>
        <w:rPr>
          <w:rStyle w:val="118"/>
          <w:rFonts w:hint="eastAsia" w:ascii="宋体" w:hAnsi="宋体"/>
          <w:color w:val="000000"/>
          <w:lang w:val="en-US" w:eastAsia="zh-CN"/>
        </w:rPr>
        <w:t>体有闾河和汝河</w:t>
      </w:r>
      <w:r>
        <w:rPr>
          <w:rStyle w:val="118"/>
          <w:rFonts w:hint="eastAsia" w:ascii="宋体" w:hAnsi="宋体"/>
          <w:color w:val="000000"/>
        </w:rPr>
        <w:t>，本次评价查阅了2019年</w:t>
      </w:r>
      <w:r>
        <w:rPr>
          <w:rStyle w:val="118"/>
          <w:rFonts w:hint="eastAsia" w:ascii="宋体" w:hAnsi="宋体"/>
          <w:color w:val="000000"/>
          <w:lang w:val="en-US" w:eastAsia="zh-CN"/>
        </w:rPr>
        <w:t>8月份驻马店市地表水责任目标断面及饮用水质状况公示表</w:t>
      </w:r>
      <w:r>
        <w:rPr>
          <w:rStyle w:val="118"/>
          <w:rFonts w:hint="eastAsia" w:ascii="宋体" w:hAnsi="宋体"/>
          <w:color w:val="000000"/>
        </w:rPr>
        <w:t>（其主要监控因子为COD、氨氮和总磷），具体如下：</w:t>
      </w:r>
    </w:p>
    <w:p>
      <w:pPr>
        <w:widowControl/>
        <w:adjustRightInd w:val="0"/>
        <w:snapToGrid w:val="0"/>
        <w:ind w:firstLine="482" w:firstLineChars="200"/>
        <w:jc w:val="center"/>
        <w:rPr>
          <w:rFonts w:hint="eastAsia" w:ascii="Times New Roman" w:hAnsi="Times New Roman"/>
          <w:b/>
          <w:bCs/>
          <w:color w:val="000000"/>
          <w:kern w:val="0"/>
          <w:sz w:val="24"/>
          <w:szCs w:val="24"/>
        </w:rPr>
      </w:pPr>
      <w:r>
        <w:rPr>
          <w:rFonts w:ascii="Times New Roman" w:hAnsi="Times New Roman"/>
          <w:b/>
          <w:bCs/>
          <w:color w:val="000000"/>
          <w:kern w:val="0"/>
          <w:sz w:val="24"/>
          <w:szCs w:val="24"/>
        </w:rPr>
        <w:t>表3-</w:t>
      </w:r>
      <w:r>
        <w:rPr>
          <w:rFonts w:hint="eastAsia" w:ascii="Times New Roman" w:hAnsi="Times New Roman"/>
          <w:b/>
          <w:bCs/>
          <w:color w:val="000000"/>
          <w:kern w:val="0"/>
          <w:sz w:val="24"/>
          <w:szCs w:val="24"/>
        </w:rPr>
        <w:t>8</w:t>
      </w:r>
      <w:r>
        <w:rPr>
          <w:rFonts w:ascii="Times New Roman" w:hAnsi="Times New Roman"/>
          <w:b/>
          <w:bCs/>
          <w:color w:val="000000"/>
          <w:kern w:val="0"/>
          <w:sz w:val="24"/>
          <w:szCs w:val="24"/>
        </w:rPr>
        <w:t xml:space="preserve">     </w:t>
      </w:r>
      <w:r>
        <w:rPr>
          <w:rFonts w:hint="eastAsia" w:ascii="Times New Roman" w:hAnsi="Times New Roman"/>
          <w:b/>
          <w:bCs/>
          <w:color w:val="000000"/>
          <w:kern w:val="0"/>
          <w:sz w:val="24"/>
          <w:szCs w:val="24"/>
        </w:rPr>
        <w:t>2019年</w:t>
      </w:r>
      <w:r>
        <w:rPr>
          <w:rFonts w:hint="eastAsia" w:ascii="Times New Roman" w:hAnsi="Times New Roman"/>
          <w:b/>
          <w:bCs/>
          <w:color w:val="000000"/>
          <w:kern w:val="0"/>
          <w:sz w:val="24"/>
          <w:szCs w:val="24"/>
          <w:lang w:val="en-US" w:eastAsia="zh-CN"/>
        </w:rPr>
        <w:t>8</w:t>
      </w:r>
      <w:r>
        <w:rPr>
          <w:rFonts w:hint="eastAsia" w:ascii="Times New Roman" w:hAnsi="Times New Roman"/>
          <w:b/>
          <w:bCs/>
          <w:color w:val="000000"/>
          <w:kern w:val="0"/>
          <w:sz w:val="24"/>
          <w:szCs w:val="24"/>
        </w:rPr>
        <w:t>月份监控数据（单位：</w:t>
      </w:r>
      <w:r>
        <w:rPr>
          <w:rFonts w:ascii="Times New Roman" w:hAnsi="Times New Roman"/>
          <w:b/>
          <w:bCs/>
          <w:color w:val="000000"/>
          <w:kern w:val="0"/>
          <w:sz w:val="24"/>
          <w:szCs w:val="24"/>
        </w:rPr>
        <w:t>mg/L</w:t>
      </w:r>
      <w:r>
        <w:rPr>
          <w:rFonts w:hint="eastAsia" w:ascii="Times New Roman" w:hAnsi="Times New Roman"/>
          <w:b/>
          <w:bCs/>
          <w:color w:val="000000"/>
          <w:kern w:val="0"/>
          <w:sz w:val="24"/>
          <w:szCs w:val="24"/>
        </w:rPr>
        <w:t>）</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6"/>
        <w:gridCol w:w="1047"/>
        <w:gridCol w:w="1134"/>
        <w:gridCol w:w="850"/>
        <w:gridCol w:w="1134"/>
        <w:gridCol w:w="1480"/>
        <w:gridCol w:w="22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46" w:type="dxa"/>
            <w:noWrap w:val="0"/>
            <w:vAlign w:val="center"/>
          </w:tcPr>
          <w:p>
            <w:pPr>
              <w:jc w:val="center"/>
              <w:rPr>
                <w:rFonts w:ascii="Times New Roman" w:hAnsi="Times New Roman"/>
                <w:color w:val="000000"/>
                <w:sz w:val="21"/>
                <w:szCs w:val="21"/>
              </w:rPr>
            </w:pPr>
            <w:r>
              <w:rPr>
                <w:rFonts w:ascii="Times New Roman"/>
                <w:color w:val="000000"/>
                <w:sz w:val="21"/>
                <w:szCs w:val="21"/>
              </w:rPr>
              <w:t>监控断面</w:t>
            </w:r>
          </w:p>
        </w:tc>
        <w:tc>
          <w:tcPr>
            <w:tcW w:w="1047" w:type="dxa"/>
            <w:noWrap w:val="0"/>
            <w:vAlign w:val="center"/>
          </w:tcPr>
          <w:p>
            <w:pPr>
              <w:jc w:val="center"/>
              <w:rPr>
                <w:rFonts w:ascii="Times New Roman" w:hAnsi="Times New Roman"/>
                <w:color w:val="000000"/>
                <w:sz w:val="21"/>
                <w:szCs w:val="21"/>
              </w:rPr>
            </w:pPr>
            <w:r>
              <w:rPr>
                <w:rFonts w:ascii="Times New Roman"/>
                <w:color w:val="000000"/>
                <w:sz w:val="21"/>
                <w:szCs w:val="21"/>
              </w:rPr>
              <w:t>月份</w:t>
            </w:r>
          </w:p>
        </w:tc>
        <w:tc>
          <w:tcPr>
            <w:tcW w:w="113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COD</w:t>
            </w:r>
          </w:p>
        </w:tc>
        <w:tc>
          <w:tcPr>
            <w:tcW w:w="850" w:type="dxa"/>
            <w:noWrap w:val="0"/>
            <w:vAlign w:val="center"/>
          </w:tcPr>
          <w:p>
            <w:pPr>
              <w:jc w:val="center"/>
              <w:rPr>
                <w:rFonts w:ascii="Times New Roman" w:hAnsi="Times New Roman"/>
                <w:color w:val="000000"/>
                <w:sz w:val="21"/>
                <w:szCs w:val="21"/>
              </w:rPr>
            </w:pPr>
            <w:r>
              <w:rPr>
                <w:rFonts w:ascii="Times New Roman"/>
                <w:color w:val="000000"/>
                <w:sz w:val="21"/>
                <w:szCs w:val="21"/>
              </w:rPr>
              <w:t>氨氮</w:t>
            </w:r>
          </w:p>
        </w:tc>
        <w:tc>
          <w:tcPr>
            <w:tcW w:w="1134" w:type="dxa"/>
            <w:noWrap w:val="0"/>
            <w:vAlign w:val="center"/>
          </w:tcPr>
          <w:p>
            <w:pPr>
              <w:snapToGrid w:val="0"/>
              <w:jc w:val="center"/>
              <w:rPr>
                <w:rFonts w:ascii="Times New Roman" w:hAnsi="Times New Roman"/>
                <w:color w:val="000000"/>
                <w:sz w:val="21"/>
                <w:szCs w:val="21"/>
              </w:rPr>
            </w:pPr>
            <w:r>
              <w:rPr>
                <w:rFonts w:ascii="Times New Roman"/>
                <w:color w:val="000000"/>
                <w:sz w:val="21"/>
                <w:szCs w:val="21"/>
              </w:rPr>
              <w:t>总磷</w:t>
            </w:r>
          </w:p>
        </w:tc>
        <w:tc>
          <w:tcPr>
            <w:tcW w:w="1480" w:type="dxa"/>
            <w:noWrap w:val="0"/>
            <w:vAlign w:val="center"/>
          </w:tcPr>
          <w:p>
            <w:pPr>
              <w:jc w:val="center"/>
              <w:rPr>
                <w:rFonts w:ascii="Times New Roman" w:hAnsi="Times New Roman"/>
                <w:color w:val="000000"/>
                <w:sz w:val="21"/>
                <w:szCs w:val="21"/>
              </w:rPr>
            </w:pPr>
            <w:r>
              <w:rPr>
                <w:rFonts w:ascii="Times New Roman"/>
                <w:color w:val="000000"/>
                <w:sz w:val="21"/>
                <w:szCs w:val="21"/>
              </w:rPr>
              <w:t>达标情况</w:t>
            </w:r>
          </w:p>
        </w:tc>
        <w:tc>
          <w:tcPr>
            <w:tcW w:w="2255" w:type="dxa"/>
            <w:noWrap w:val="0"/>
            <w:vAlign w:val="center"/>
          </w:tcPr>
          <w:p>
            <w:pPr>
              <w:jc w:val="center"/>
              <w:rPr>
                <w:rFonts w:ascii="Times New Roman" w:hAnsi="Times New Roman"/>
                <w:color w:val="000000"/>
                <w:sz w:val="21"/>
                <w:szCs w:val="21"/>
              </w:rPr>
            </w:pPr>
            <w:r>
              <w:rPr>
                <w:rFonts w:ascii="Times New Roman"/>
                <w:color w:val="000000"/>
                <w:sz w:val="21"/>
                <w:szCs w:val="21"/>
              </w:rPr>
              <w:t>主要超标因子及超标倍数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6" w:type="dxa"/>
            <w:noWrap w:val="0"/>
            <w:vAlign w:val="center"/>
          </w:tcPr>
          <w:p>
            <w:pP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正阳闾河何岗断面</w:t>
            </w:r>
          </w:p>
        </w:tc>
        <w:tc>
          <w:tcPr>
            <w:tcW w:w="1047"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lang w:val="en-US" w:eastAsia="zh-CN"/>
              </w:rPr>
              <w:t>8</w:t>
            </w:r>
            <w:r>
              <w:rPr>
                <w:rFonts w:ascii="Times New Roman"/>
                <w:color w:val="000000"/>
                <w:sz w:val="21"/>
                <w:szCs w:val="21"/>
              </w:rPr>
              <w:t>月</w:t>
            </w:r>
          </w:p>
        </w:tc>
        <w:tc>
          <w:tcPr>
            <w:tcW w:w="1134" w:type="dxa"/>
            <w:noWrap w:val="0"/>
            <w:vAlign w:val="center"/>
          </w:tcPr>
          <w:p>
            <w:pPr>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17</w:t>
            </w:r>
          </w:p>
        </w:tc>
        <w:tc>
          <w:tcPr>
            <w:tcW w:w="850" w:type="dxa"/>
            <w:noWrap w:val="0"/>
            <w:vAlign w:val="center"/>
          </w:tcPr>
          <w:p>
            <w:pPr>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0.34</w:t>
            </w:r>
          </w:p>
        </w:tc>
        <w:tc>
          <w:tcPr>
            <w:tcW w:w="1134" w:type="dxa"/>
            <w:noWrap w:val="0"/>
            <w:vAlign w:val="center"/>
          </w:tcPr>
          <w:p>
            <w:pPr>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0.19</w:t>
            </w:r>
          </w:p>
        </w:tc>
        <w:tc>
          <w:tcPr>
            <w:tcW w:w="1480" w:type="dxa"/>
            <w:noWrap w:val="0"/>
            <w:vAlign w:val="center"/>
          </w:tcPr>
          <w:p>
            <w:pPr>
              <w:jc w:val="center"/>
              <w:rPr>
                <w:rFonts w:ascii="Times New Roman" w:hAnsi="Times New Roman"/>
                <w:color w:val="000000"/>
                <w:sz w:val="21"/>
                <w:szCs w:val="21"/>
              </w:rPr>
            </w:pPr>
            <w:r>
              <w:rPr>
                <w:rFonts w:hint="eastAsia" w:ascii="Times New Roman"/>
                <w:color w:val="000000"/>
                <w:sz w:val="21"/>
                <w:szCs w:val="21"/>
              </w:rPr>
              <w:t>达标</w:t>
            </w:r>
          </w:p>
        </w:tc>
        <w:tc>
          <w:tcPr>
            <w:tcW w:w="2255" w:type="dxa"/>
            <w:noWrap w:val="0"/>
            <w:vAlign w:val="center"/>
          </w:tcPr>
          <w:p>
            <w:pPr>
              <w:jc w:val="center"/>
              <w:rPr>
                <w:rFonts w:ascii="Times New Roman" w:hAnsi="Times New Roman"/>
                <w:color w:val="000000"/>
                <w:sz w:val="21"/>
                <w:szCs w:val="21"/>
              </w:rPr>
            </w:pPr>
            <w:r>
              <w:rPr>
                <w:rFonts w:hint="eastAsia" w:asci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93" w:type="dxa"/>
            <w:gridSpan w:val="2"/>
            <w:noWrap w:val="0"/>
            <w:vAlign w:val="center"/>
          </w:tcPr>
          <w:p>
            <w:pPr>
              <w:jc w:val="center"/>
              <w:rPr>
                <w:rFonts w:ascii="Times New Roman" w:hAnsi="Times New Roman"/>
                <w:color w:val="000000"/>
                <w:sz w:val="21"/>
                <w:szCs w:val="21"/>
              </w:rPr>
            </w:pPr>
            <w:r>
              <w:rPr>
                <w:rFonts w:ascii="Times New Roman"/>
                <w:color w:val="000000"/>
                <w:sz w:val="21"/>
                <w:szCs w:val="21"/>
              </w:rPr>
              <w:t>目标值</w:t>
            </w:r>
          </w:p>
        </w:tc>
        <w:tc>
          <w:tcPr>
            <w:tcW w:w="1134" w:type="dxa"/>
            <w:noWrap w:val="0"/>
            <w:vAlign w:val="center"/>
          </w:tcPr>
          <w:p>
            <w:pPr>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w:t>
            </w:r>
          </w:p>
        </w:tc>
        <w:tc>
          <w:tcPr>
            <w:tcW w:w="850" w:type="dxa"/>
            <w:noWrap w:val="0"/>
            <w:vAlign w:val="center"/>
          </w:tcPr>
          <w:p>
            <w:pPr>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1.0</w:t>
            </w:r>
          </w:p>
        </w:tc>
        <w:tc>
          <w:tcPr>
            <w:tcW w:w="1134" w:type="dxa"/>
            <w:noWrap w:val="0"/>
            <w:vAlign w:val="center"/>
          </w:tcPr>
          <w:p>
            <w:pPr>
              <w:jc w:val="center"/>
              <w:rPr>
                <w:rFonts w:hint="eastAsia" w:ascii="Times New Roman" w:hAnsi="Times New Roman" w:eastAsia="宋体"/>
                <w:color w:val="000000"/>
                <w:sz w:val="21"/>
                <w:szCs w:val="21"/>
                <w:lang w:eastAsia="zh-CN"/>
              </w:rPr>
            </w:pPr>
            <w:r>
              <w:rPr>
                <w:rFonts w:ascii="Times New Roman" w:hAnsi="Times New Roman"/>
                <w:color w:val="000000"/>
                <w:sz w:val="21"/>
                <w:szCs w:val="21"/>
              </w:rPr>
              <w:t>0</w:t>
            </w:r>
            <w:r>
              <w:rPr>
                <w:rFonts w:hint="eastAsia" w:ascii="Times New Roman" w:hAnsi="Times New Roman"/>
                <w:color w:val="000000"/>
                <w:sz w:val="21"/>
                <w:szCs w:val="21"/>
              </w:rPr>
              <w:t>.</w:t>
            </w:r>
            <w:r>
              <w:rPr>
                <w:rFonts w:hint="eastAsia" w:ascii="Times New Roman" w:hAnsi="Times New Roman"/>
                <w:color w:val="000000"/>
                <w:sz w:val="21"/>
                <w:szCs w:val="21"/>
                <w:lang w:val="en-US" w:eastAsia="zh-CN"/>
              </w:rPr>
              <w:t>2</w:t>
            </w:r>
          </w:p>
        </w:tc>
        <w:tc>
          <w:tcPr>
            <w:tcW w:w="148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2255"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r>
    </w:tbl>
    <w:p>
      <w:pPr>
        <w:adjustRightInd w:val="0"/>
        <w:snapToGrid w:val="0"/>
        <w:spacing w:line="500" w:lineRule="atLeast"/>
        <w:ind w:firstLine="480" w:firstLineChars="200"/>
        <w:rPr>
          <w:b w:val="0"/>
          <w:bCs w:val="0"/>
          <w:sz w:val="24"/>
          <w:u w:val="none"/>
        </w:rPr>
      </w:pPr>
      <w:r>
        <w:rPr>
          <w:rFonts w:hint="eastAsia"/>
          <w:color w:val="000000"/>
          <w:sz w:val="24"/>
          <w:szCs w:val="24"/>
        </w:rPr>
        <w:t>由监控数据来看，</w:t>
      </w:r>
      <w:r>
        <w:rPr>
          <w:rFonts w:hint="eastAsia" w:ascii="Times New Roman" w:hAnsi="Times New Roman"/>
          <w:bCs/>
          <w:color w:val="000000"/>
          <w:kern w:val="0"/>
          <w:sz w:val="24"/>
          <w:szCs w:val="24"/>
          <w:lang w:val="en-US" w:eastAsia="zh-CN"/>
        </w:rPr>
        <w:t>正阳闾河何岗断面主要监控因子满足目标值要求，闾河水体水质较好</w:t>
      </w:r>
      <w:r>
        <w:rPr>
          <w:b w:val="0"/>
          <w:bCs w:val="0"/>
          <w:sz w:val="24"/>
          <w:u w:val="none"/>
        </w:rPr>
        <w:t>。</w:t>
      </w:r>
    </w:p>
    <w:bookmarkEnd w:id="211"/>
    <w:bookmarkEnd w:id="212"/>
    <w:p>
      <w:pPr>
        <w:pStyle w:val="6"/>
        <w:spacing w:before="0" w:after="0" w:line="520" w:lineRule="exact"/>
        <w:rPr>
          <w:rFonts w:eastAsia="黑体"/>
          <w:bCs w:val="0"/>
          <w:color w:val="000000" w:themeColor="text1"/>
          <w:sz w:val="24"/>
          <w:szCs w:val="24"/>
        </w:rPr>
      </w:pPr>
      <w:bookmarkStart w:id="213" w:name="_Toc468366614"/>
      <w:bookmarkStart w:id="214" w:name="_Toc413829638"/>
      <w:bookmarkStart w:id="215" w:name="_Toc406663005"/>
      <w:r>
        <w:rPr>
          <w:rFonts w:hint="eastAsia" w:eastAsia="黑体"/>
          <w:bCs w:val="0"/>
          <w:color w:val="000000" w:themeColor="text1"/>
          <w:sz w:val="24"/>
          <w:szCs w:val="24"/>
          <w:lang w:val="en-US" w:eastAsia="zh-CN"/>
        </w:rPr>
        <w:t>3</w:t>
      </w:r>
      <w:r>
        <w:rPr>
          <w:rFonts w:eastAsia="黑体"/>
          <w:bCs w:val="0"/>
          <w:color w:val="000000" w:themeColor="text1"/>
          <w:sz w:val="24"/>
          <w:szCs w:val="24"/>
        </w:rPr>
        <w:t>.3.3地下水质量现状监测与评价</w:t>
      </w:r>
      <w:bookmarkEnd w:id="213"/>
      <w:bookmarkEnd w:id="214"/>
      <w:bookmarkEnd w:id="215"/>
    </w:p>
    <w:p>
      <w:pPr>
        <w:adjustRightInd w:val="0"/>
        <w:snapToGrid w:val="0"/>
        <w:spacing w:line="600" w:lineRule="exact"/>
        <w:jc w:val="left"/>
        <w:outlineLvl w:val="3"/>
        <w:rPr>
          <w:rFonts w:hint="eastAsia"/>
          <w:b w:val="0"/>
          <w:bCs w:val="0"/>
          <w:color w:val="000000" w:themeColor="text1"/>
          <w:sz w:val="24"/>
          <w:u w:val="none"/>
          <w:lang w:val="en-US" w:eastAsia="zh-CN"/>
        </w:rPr>
      </w:pPr>
      <w:bookmarkStart w:id="216" w:name="_Toc413829640"/>
      <w:bookmarkStart w:id="217" w:name="_Toc406663007"/>
      <w:r>
        <w:rPr>
          <w:rFonts w:hint="eastAsia"/>
          <w:b w:val="0"/>
          <w:bCs w:val="0"/>
          <w:color w:val="000000" w:themeColor="text1"/>
          <w:sz w:val="24"/>
          <w:u w:val="none"/>
          <w:lang w:val="en-US" w:eastAsia="zh-CN"/>
        </w:rPr>
        <w:t>3.3.3.1监测项目、时间及分析方法</w:t>
      </w:r>
      <w:bookmarkEnd w:id="216"/>
      <w:bookmarkEnd w:id="217"/>
    </w:p>
    <w:p>
      <w:pPr>
        <w:adjustRightInd w:val="0"/>
        <w:snapToGrid w:val="0"/>
        <w:spacing w:line="500" w:lineRule="exact"/>
        <w:ind w:firstLine="480" w:firstLineChars="200"/>
        <w:rPr>
          <w:b w:val="0"/>
          <w:bCs/>
          <w:sz w:val="24"/>
          <w:u w:val="none"/>
        </w:rPr>
      </w:pPr>
      <w:bookmarkStart w:id="218" w:name="_Toc413829641"/>
      <w:bookmarkStart w:id="219" w:name="_Toc406663008"/>
      <w:r>
        <w:rPr>
          <w:b w:val="0"/>
          <w:bCs/>
          <w:sz w:val="24"/>
          <w:u w:val="none"/>
        </w:rPr>
        <w:t>监测项目：</w:t>
      </w:r>
      <w:r>
        <w:rPr>
          <w:rFonts w:hint="eastAsia"/>
          <w:sz w:val="24"/>
        </w:rPr>
        <w:t>K</w:t>
      </w:r>
      <w:r>
        <w:rPr>
          <w:rFonts w:hint="eastAsia"/>
          <w:sz w:val="24"/>
          <w:vertAlign w:val="superscript"/>
        </w:rPr>
        <w:t>+</w:t>
      </w:r>
      <w:r>
        <w:rPr>
          <w:rFonts w:hint="eastAsia"/>
          <w:sz w:val="24"/>
        </w:rPr>
        <w:t>、Na</w:t>
      </w:r>
      <w:r>
        <w:rPr>
          <w:rFonts w:hint="eastAsia"/>
          <w:sz w:val="24"/>
          <w:vertAlign w:val="superscript"/>
        </w:rPr>
        <w:t>+</w:t>
      </w:r>
      <w:r>
        <w:rPr>
          <w:rFonts w:hint="eastAsia"/>
          <w:sz w:val="24"/>
        </w:rPr>
        <w:t>、Ca</w:t>
      </w:r>
      <w:r>
        <w:rPr>
          <w:rFonts w:hint="eastAsia"/>
          <w:sz w:val="24"/>
          <w:vertAlign w:val="superscript"/>
        </w:rPr>
        <w:t>2+</w:t>
      </w:r>
      <w:r>
        <w:rPr>
          <w:rFonts w:hint="eastAsia"/>
          <w:sz w:val="24"/>
        </w:rPr>
        <w:t>、Mg</w:t>
      </w:r>
      <w:r>
        <w:rPr>
          <w:rFonts w:hint="eastAsia"/>
          <w:sz w:val="24"/>
          <w:vertAlign w:val="superscript"/>
        </w:rPr>
        <w:t>2+</w:t>
      </w:r>
      <w:r>
        <w:rPr>
          <w:rFonts w:hint="eastAsia"/>
          <w:sz w:val="24"/>
        </w:rPr>
        <w:t>、CO</w:t>
      </w:r>
      <w:r>
        <w:rPr>
          <w:rFonts w:hint="eastAsia"/>
          <w:sz w:val="24"/>
          <w:vertAlign w:val="subscript"/>
        </w:rPr>
        <w:t>3</w:t>
      </w:r>
      <w:r>
        <w:rPr>
          <w:rFonts w:hint="eastAsia"/>
          <w:sz w:val="24"/>
          <w:vertAlign w:val="superscript"/>
        </w:rPr>
        <w:t>2-</w:t>
      </w:r>
      <w:r>
        <w:rPr>
          <w:rFonts w:hint="eastAsia"/>
          <w:sz w:val="24"/>
        </w:rPr>
        <w:t>、HCO</w:t>
      </w:r>
      <w:r>
        <w:rPr>
          <w:rFonts w:hint="eastAsia"/>
          <w:sz w:val="24"/>
          <w:vertAlign w:val="subscript"/>
        </w:rPr>
        <w:t>3</w:t>
      </w:r>
      <w:r>
        <w:rPr>
          <w:rFonts w:hint="eastAsia"/>
          <w:sz w:val="24"/>
          <w:vertAlign w:val="superscript"/>
        </w:rPr>
        <w:t>-</w:t>
      </w:r>
      <w:r>
        <w:rPr>
          <w:rFonts w:hint="eastAsia"/>
          <w:sz w:val="24"/>
        </w:rPr>
        <w:t>、Cl</w:t>
      </w:r>
      <w:r>
        <w:rPr>
          <w:rFonts w:hint="eastAsia"/>
          <w:sz w:val="24"/>
          <w:vertAlign w:val="superscript"/>
        </w:rPr>
        <w:t>-</w:t>
      </w:r>
      <w:r>
        <w:rPr>
          <w:rFonts w:hint="eastAsia"/>
          <w:sz w:val="24"/>
        </w:rPr>
        <w:t>、SO</w:t>
      </w:r>
      <w:r>
        <w:rPr>
          <w:rFonts w:hint="eastAsia"/>
          <w:sz w:val="24"/>
          <w:vertAlign w:val="subscript"/>
        </w:rPr>
        <w:t>4</w:t>
      </w:r>
      <w:r>
        <w:rPr>
          <w:rFonts w:hint="eastAsia"/>
          <w:sz w:val="24"/>
          <w:vertAlign w:val="superscript"/>
        </w:rPr>
        <w:t>2-</w:t>
      </w:r>
      <w:r>
        <w:rPr>
          <w:rFonts w:hint="eastAsia"/>
          <w:sz w:val="24"/>
        </w:rPr>
        <w:t>、pH、氨氮、硝酸盐、亚硝酸盐、挥发性酚类、氰化物、砷、汞、铬(六价)、总硬度、铅、氟、镉、铁、锰、溶解性总固体、高锰酸盐指数、硫酸盐、氯化物、总大肠菌群、细菌总数</w:t>
      </w:r>
      <w:r>
        <w:rPr>
          <w:b w:val="0"/>
          <w:bCs/>
          <w:sz w:val="24"/>
          <w:u w:val="none"/>
        </w:rPr>
        <w:t>同时检测井深、水位和水温。</w:t>
      </w:r>
    </w:p>
    <w:p>
      <w:pPr>
        <w:adjustRightInd w:val="0"/>
        <w:snapToGrid w:val="0"/>
        <w:spacing w:line="500" w:lineRule="exact"/>
        <w:ind w:firstLine="480" w:firstLineChars="200"/>
        <w:rPr>
          <w:b w:val="0"/>
          <w:bCs/>
          <w:sz w:val="24"/>
          <w:u w:val="none"/>
        </w:rPr>
      </w:pPr>
      <w:r>
        <w:rPr>
          <w:b w:val="0"/>
          <w:bCs/>
          <w:sz w:val="24"/>
          <w:u w:val="none"/>
        </w:rPr>
        <w:t>监测时间及频次：</w:t>
      </w:r>
      <w:r>
        <w:rPr>
          <w:b w:val="0"/>
          <w:bCs/>
          <w:kern w:val="0"/>
          <w:sz w:val="24"/>
          <w:u w:val="none"/>
        </w:rPr>
        <w:t>1#~2#</w:t>
      </w:r>
      <w:r>
        <w:rPr>
          <w:b w:val="0"/>
          <w:bCs/>
          <w:sz w:val="24"/>
          <w:u w:val="none"/>
        </w:rPr>
        <w:t>地下水监测由</w:t>
      </w:r>
      <w:r>
        <w:rPr>
          <w:rFonts w:ascii="Times New Roman" w:hAnsi="Times New Roman"/>
          <w:color w:val="000000"/>
          <w:sz w:val="24"/>
          <w:szCs w:val="24"/>
        </w:rPr>
        <w:t>河南</w:t>
      </w:r>
      <w:r>
        <w:rPr>
          <w:rFonts w:hint="eastAsia" w:ascii="Times New Roman" w:hAnsi="Times New Roman"/>
          <w:color w:val="000000"/>
          <w:sz w:val="24"/>
          <w:szCs w:val="24"/>
        </w:rPr>
        <w:t>宜信检测技术服务有限公司</w:t>
      </w:r>
      <w:r>
        <w:rPr>
          <w:rFonts w:ascii="Times New Roman" w:hAnsi="Times New Roman"/>
          <w:color w:val="000000"/>
          <w:sz w:val="24"/>
          <w:szCs w:val="24"/>
        </w:rPr>
        <w:t>于2019年</w:t>
      </w:r>
      <w:r>
        <w:rPr>
          <w:rFonts w:hint="eastAsia" w:ascii="Times New Roman" w:hAnsi="Times New Roman"/>
          <w:color w:val="000000"/>
          <w:sz w:val="24"/>
          <w:szCs w:val="24"/>
        </w:rPr>
        <w:t>12</w:t>
      </w:r>
      <w:r>
        <w:rPr>
          <w:rFonts w:ascii="Times New Roman" w:hAnsi="Times New Roman"/>
          <w:color w:val="000000"/>
          <w:sz w:val="24"/>
          <w:szCs w:val="24"/>
        </w:rPr>
        <w:t>月</w:t>
      </w:r>
      <w:r>
        <w:rPr>
          <w:rFonts w:hint="eastAsia" w:ascii="Times New Roman" w:hAnsi="Times New Roman"/>
          <w:color w:val="000000"/>
          <w:sz w:val="24"/>
          <w:szCs w:val="24"/>
        </w:rPr>
        <w:t>19</w:t>
      </w:r>
      <w:r>
        <w:rPr>
          <w:rFonts w:ascii="Times New Roman" w:hAnsi="Times New Roman"/>
          <w:color w:val="000000"/>
          <w:sz w:val="24"/>
          <w:szCs w:val="24"/>
        </w:rPr>
        <w:t>日-</w:t>
      </w:r>
      <w:r>
        <w:rPr>
          <w:rFonts w:hint="eastAsia" w:ascii="Times New Roman" w:hAnsi="Times New Roman"/>
          <w:color w:val="000000"/>
          <w:sz w:val="24"/>
          <w:szCs w:val="24"/>
        </w:rPr>
        <w:t>12</w:t>
      </w:r>
      <w:r>
        <w:rPr>
          <w:rFonts w:ascii="Times New Roman" w:hAnsi="Times New Roman"/>
          <w:color w:val="000000"/>
          <w:sz w:val="24"/>
          <w:szCs w:val="24"/>
        </w:rPr>
        <w:t>月</w:t>
      </w:r>
      <w:r>
        <w:rPr>
          <w:rFonts w:hint="eastAsia" w:ascii="Times New Roman" w:hAnsi="Times New Roman"/>
          <w:color w:val="000000"/>
          <w:sz w:val="24"/>
          <w:szCs w:val="24"/>
        </w:rPr>
        <w:t>20</w:t>
      </w:r>
      <w:r>
        <w:rPr>
          <w:rFonts w:ascii="Times New Roman" w:hAnsi="Times New Roman"/>
          <w:color w:val="000000"/>
          <w:sz w:val="24"/>
          <w:szCs w:val="24"/>
        </w:rPr>
        <w:t>日</w:t>
      </w:r>
      <w:r>
        <w:rPr>
          <w:rFonts w:ascii="Times New Roman" w:hAnsi="Times New Roman"/>
          <w:color w:val="000000"/>
          <w:sz w:val="24"/>
        </w:rPr>
        <w:t>进行监测</w:t>
      </w:r>
      <w:r>
        <w:rPr>
          <w:b w:val="0"/>
          <w:bCs/>
          <w:sz w:val="24"/>
          <w:u w:val="none"/>
        </w:rPr>
        <w:t>，采样一次。</w:t>
      </w:r>
    </w:p>
    <w:p>
      <w:pPr>
        <w:topLinePunct/>
        <w:autoSpaceDE w:val="0"/>
        <w:adjustRightInd w:val="0"/>
        <w:spacing w:line="520" w:lineRule="exact"/>
        <w:ind w:firstLine="484" w:firstLineChars="202"/>
        <w:jc w:val="left"/>
        <w:rPr>
          <w:b w:val="0"/>
          <w:bCs/>
          <w:kern w:val="0"/>
          <w:sz w:val="24"/>
          <w:u w:val="none"/>
        </w:rPr>
      </w:pPr>
      <w:r>
        <w:rPr>
          <w:b w:val="0"/>
          <w:bCs/>
          <w:kern w:val="0"/>
          <w:sz w:val="24"/>
          <w:u w:val="none"/>
        </w:rPr>
        <w:t>分析方法：水样的采集、保存按《生活饮用水标准检验方法水样的采集和保存》（GB/T5750.2-2006）进行，分析方法按照《生活饮用水标准检验方法》（GB/T5750.4、5750.5、5750.7、5750.8－2006）中相关规定的监测方法进行。</w:t>
      </w:r>
    </w:p>
    <w:p>
      <w:pPr>
        <w:adjustRightInd w:val="0"/>
        <w:snapToGrid w:val="0"/>
        <w:spacing w:line="600" w:lineRule="exact"/>
        <w:jc w:val="left"/>
        <w:outlineLvl w:val="3"/>
        <w:rPr>
          <w:rFonts w:hint="eastAsia"/>
          <w:b w:val="0"/>
          <w:bCs w:val="0"/>
          <w:color w:val="000000" w:themeColor="text1"/>
          <w:sz w:val="24"/>
          <w:u w:val="none"/>
          <w:lang w:val="en-US" w:eastAsia="zh-CN"/>
        </w:rPr>
      </w:pPr>
      <w:r>
        <w:rPr>
          <w:rFonts w:hint="eastAsia"/>
          <w:b w:val="0"/>
          <w:bCs w:val="0"/>
          <w:color w:val="000000" w:themeColor="text1"/>
          <w:sz w:val="24"/>
          <w:u w:val="none"/>
          <w:lang w:val="en-US" w:eastAsia="zh-CN"/>
        </w:rPr>
        <w:t>3.3.3.2评价方法</w:t>
      </w:r>
      <w:bookmarkEnd w:id="218"/>
      <w:bookmarkEnd w:id="219"/>
    </w:p>
    <w:p>
      <w:pPr>
        <w:spacing w:line="500" w:lineRule="exact"/>
        <w:ind w:firstLine="482"/>
        <w:rPr>
          <w:b w:val="0"/>
          <w:bCs/>
          <w:color w:val="000000" w:themeColor="text1"/>
          <w:sz w:val="24"/>
          <w:u w:val="none"/>
        </w:rPr>
      </w:pPr>
      <w:bookmarkStart w:id="220" w:name="_Toc406663009"/>
      <w:bookmarkStart w:id="221" w:name="_Toc413829642"/>
      <w:r>
        <w:rPr>
          <w:b w:val="0"/>
          <w:bCs/>
          <w:color w:val="000000" w:themeColor="text1"/>
          <w:sz w:val="24"/>
          <w:u w:val="none"/>
        </w:rPr>
        <w:t>采用单项标准指数法对各评价因子进行单项水质参数评价，计算方法如下：</w:t>
      </w:r>
    </w:p>
    <w:p>
      <w:pPr>
        <w:spacing w:line="500" w:lineRule="exact"/>
        <w:ind w:firstLine="482"/>
        <w:rPr>
          <w:b w:val="0"/>
          <w:bCs/>
          <w:color w:val="000000" w:themeColor="text1"/>
          <w:sz w:val="24"/>
          <w:u w:val="none"/>
        </w:rPr>
      </w:pPr>
      <w:r>
        <w:rPr>
          <w:b w:val="0"/>
          <w:bCs/>
          <w:color w:val="000000" w:themeColor="text1"/>
          <w:sz w:val="24"/>
          <w:u w:val="none"/>
        </w:rPr>
        <w:t xml:space="preserve">                  P</w:t>
      </w:r>
      <w:r>
        <w:rPr>
          <w:b w:val="0"/>
          <w:bCs/>
          <w:color w:val="000000" w:themeColor="text1"/>
          <w:sz w:val="24"/>
          <w:u w:val="none"/>
          <w:vertAlign w:val="subscript"/>
        </w:rPr>
        <w:t>i</w:t>
      </w:r>
      <w:r>
        <w:rPr>
          <w:b w:val="0"/>
          <w:bCs/>
          <w:color w:val="000000" w:themeColor="text1"/>
          <w:sz w:val="24"/>
          <w:u w:val="none"/>
        </w:rPr>
        <w:t>=C</w:t>
      </w:r>
      <w:r>
        <w:rPr>
          <w:b w:val="0"/>
          <w:bCs/>
          <w:color w:val="000000" w:themeColor="text1"/>
          <w:sz w:val="24"/>
          <w:u w:val="none"/>
          <w:vertAlign w:val="subscript"/>
        </w:rPr>
        <w:t>i</w:t>
      </w:r>
      <w:r>
        <w:rPr>
          <w:b w:val="0"/>
          <w:bCs/>
          <w:color w:val="000000" w:themeColor="text1"/>
          <w:sz w:val="24"/>
          <w:u w:val="none"/>
        </w:rPr>
        <w:t>/C</w:t>
      </w:r>
      <w:r>
        <w:rPr>
          <w:b w:val="0"/>
          <w:bCs/>
          <w:color w:val="000000" w:themeColor="text1"/>
          <w:sz w:val="24"/>
          <w:u w:val="none"/>
          <w:vertAlign w:val="subscript"/>
        </w:rPr>
        <w:t>si</w:t>
      </w:r>
    </w:p>
    <w:p>
      <w:pPr>
        <w:spacing w:line="500" w:lineRule="exact"/>
        <w:ind w:firstLine="482"/>
        <w:rPr>
          <w:b w:val="0"/>
          <w:bCs/>
          <w:color w:val="000000" w:themeColor="text1"/>
          <w:sz w:val="24"/>
          <w:u w:val="none"/>
        </w:rPr>
      </w:pPr>
      <w:r>
        <w:rPr>
          <w:b w:val="0"/>
          <w:bCs/>
          <w:color w:val="000000" w:themeColor="text1"/>
          <w:sz w:val="24"/>
          <w:u w:val="none"/>
        </w:rPr>
        <w:t>式中：P</w:t>
      </w:r>
      <w:r>
        <w:rPr>
          <w:b w:val="0"/>
          <w:bCs/>
          <w:color w:val="000000" w:themeColor="text1"/>
          <w:sz w:val="24"/>
          <w:u w:val="none"/>
          <w:vertAlign w:val="subscript"/>
        </w:rPr>
        <w:t>i</w:t>
      </w:r>
      <w:r>
        <w:rPr>
          <w:b w:val="0"/>
          <w:bCs/>
          <w:color w:val="000000" w:themeColor="text1"/>
          <w:sz w:val="24"/>
          <w:u w:val="none"/>
        </w:rPr>
        <w:t>——第i个水质因子的标准指数，无量纲；</w:t>
      </w:r>
    </w:p>
    <w:p>
      <w:pPr>
        <w:spacing w:line="500" w:lineRule="exact"/>
        <w:ind w:firstLine="482"/>
        <w:rPr>
          <w:b w:val="0"/>
          <w:bCs/>
          <w:color w:val="000000" w:themeColor="text1"/>
          <w:sz w:val="24"/>
          <w:u w:val="none"/>
        </w:rPr>
      </w:pPr>
      <w:r>
        <w:rPr>
          <w:b w:val="0"/>
          <w:bCs/>
          <w:color w:val="000000" w:themeColor="text1"/>
          <w:sz w:val="24"/>
          <w:u w:val="none"/>
        </w:rPr>
        <w:t xml:space="preserve">          Ci</w:t>
      </w:r>
      <w:r>
        <w:rPr>
          <w:b w:val="0"/>
          <w:bCs/>
          <w:color w:val="000000" w:themeColor="text1"/>
          <w:sz w:val="24"/>
          <w:u w:val="none"/>
          <w:vertAlign w:val="subscript"/>
        </w:rPr>
        <w:t>j</w:t>
      </w:r>
      <w:r>
        <w:rPr>
          <w:b w:val="0"/>
          <w:bCs/>
          <w:color w:val="000000" w:themeColor="text1"/>
          <w:sz w:val="24"/>
          <w:u w:val="none"/>
        </w:rPr>
        <w:t>——第i个水质因子的监测浓度（mg/L）；</w:t>
      </w:r>
    </w:p>
    <w:p>
      <w:pPr>
        <w:spacing w:line="500" w:lineRule="exact"/>
        <w:ind w:firstLine="482"/>
        <w:rPr>
          <w:b w:val="0"/>
          <w:bCs/>
          <w:color w:val="000000" w:themeColor="text1"/>
          <w:sz w:val="24"/>
          <w:u w:val="none"/>
        </w:rPr>
      </w:pPr>
      <w:r>
        <w:rPr>
          <w:b w:val="0"/>
          <w:bCs/>
          <w:color w:val="000000" w:themeColor="text1"/>
          <w:sz w:val="24"/>
          <w:u w:val="none"/>
        </w:rPr>
        <w:t xml:space="preserve">          C</w:t>
      </w:r>
      <w:r>
        <w:rPr>
          <w:b w:val="0"/>
          <w:bCs/>
          <w:color w:val="000000" w:themeColor="text1"/>
          <w:sz w:val="24"/>
          <w:u w:val="none"/>
          <w:vertAlign w:val="subscript"/>
        </w:rPr>
        <w:t>si</w:t>
      </w:r>
      <w:r>
        <w:rPr>
          <w:b w:val="0"/>
          <w:bCs/>
          <w:color w:val="000000" w:themeColor="text1"/>
          <w:sz w:val="24"/>
          <w:u w:val="none"/>
        </w:rPr>
        <w:t>——第i个水质因子的标准限值（mg/L)。</w:t>
      </w:r>
    </w:p>
    <w:p>
      <w:pPr>
        <w:spacing w:line="500" w:lineRule="exact"/>
        <w:ind w:firstLine="482"/>
        <w:rPr>
          <w:b w:val="0"/>
          <w:bCs/>
          <w:color w:val="000000" w:themeColor="text1"/>
          <w:sz w:val="24"/>
          <w:u w:val="none"/>
        </w:rPr>
      </w:pPr>
      <w:r>
        <w:rPr>
          <w:b w:val="0"/>
          <w:bCs/>
          <w:color w:val="000000" w:themeColor="text1"/>
          <w:sz w:val="24"/>
          <w:u w:val="none"/>
        </w:rPr>
        <w:t xml:space="preserve">    pH的标准指数为：</w:t>
      </w:r>
    </w:p>
    <w:p>
      <w:pPr>
        <w:spacing w:line="500" w:lineRule="exact"/>
        <w:ind w:firstLine="482"/>
        <w:jc w:val="center"/>
        <w:rPr>
          <w:b w:val="0"/>
          <w:bCs/>
          <w:color w:val="000000" w:themeColor="text1"/>
          <w:sz w:val="24"/>
          <w:u w:val="none"/>
        </w:rPr>
      </w:pPr>
      <w:r>
        <w:rPr>
          <w:b w:val="0"/>
          <w:bCs/>
          <w:color w:val="000000" w:themeColor="text1"/>
          <w:sz w:val="24"/>
          <w:u w:val="none"/>
        </w:rPr>
        <w:t>S</w:t>
      </w:r>
      <w:r>
        <w:rPr>
          <w:b w:val="0"/>
          <w:bCs/>
          <w:color w:val="000000" w:themeColor="text1"/>
          <w:sz w:val="24"/>
          <w:u w:val="none"/>
          <w:vertAlign w:val="subscript"/>
        </w:rPr>
        <w:t>pH,j</w:t>
      </w:r>
      <w:r>
        <w:rPr>
          <w:b w:val="0"/>
          <w:bCs/>
          <w:color w:val="000000" w:themeColor="text1"/>
          <w:sz w:val="24"/>
          <w:u w:val="none"/>
        </w:rPr>
        <w:t>=(7.0-pH</w:t>
      </w:r>
      <w:r>
        <w:rPr>
          <w:b w:val="0"/>
          <w:bCs/>
          <w:color w:val="000000" w:themeColor="text1"/>
          <w:sz w:val="24"/>
          <w:u w:val="none"/>
          <w:vertAlign w:val="subscript"/>
        </w:rPr>
        <w:t>j</w:t>
      </w:r>
      <w:r>
        <w:rPr>
          <w:b w:val="0"/>
          <w:bCs/>
          <w:color w:val="000000" w:themeColor="text1"/>
          <w:sz w:val="24"/>
          <w:u w:val="none"/>
        </w:rPr>
        <w:t>)/(7.0-pH</w:t>
      </w:r>
      <w:r>
        <w:rPr>
          <w:b w:val="0"/>
          <w:bCs/>
          <w:color w:val="000000" w:themeColor="text1"/>
          <w:sz w:val="24"/>
          <w:u w:val="none"/>
          <w:vertAlign w:val="subscript"/>
        </w:rPr>
        <w:t>sd</w:t>
      </w:r>
      <w:r>
        <w:rPr>
          <w:b w:val="0"/>
          <w:bCs/>
          <w:color w:val="000000" w:themeColor="text1"/>
          <w:sz w:val="24"/>
          <w:u w:val="none"/>
        </w:rPr>
        <w:t>)     (pH</w:t>
      </w:r>
      <w:r>
        <w:rPr>
          <w:b w:val="0"/>
          <w:bCs/>
          <w:color w:val="000000" w:themeColor="text1"/>
          <w:sz w:val="24"/>
          <w:u w:val="none"/>
          <w:vertAlign w:val="subscript"/>
        </w:rPr>
        <w:t>i</w:t>
      </w:r>
      <w:r>
        <w:rPr>
          <w:b w:val="0"/>
          <w:bCs/>
          <w:color w:val="000000" w:themeColor="text1"/>
          <w:sz w:val="24"/>
          <w:u w:val="none"/>
        </w:rPr>
        <w:t>≤7.0时)</w:t>
      </w:r>
    </w:p>
    <w:p>
      <w:pPr>
        <w:spacing w:line="500" w:lineRule="exact"/>
        <w:ind w:firstLine="482"/>
        <w:jc w:val="center"/>
        <w:rPr>
          <w:b w:val="0"/>
          <w:bCs/>
          <w:color w:val="000000" w:themeColor="text1"/>
          <w:sz w:val="24"/>
          <w:u w:val="none"/>
        </w:rPr>
      </w:pPr>
      <w:r>
        <w:rPr>
          <w:b w:val="0"/>
          <w:bCs/>
          <w:color w:val="000000" w:themeColor="text1"/>
          <w:sz w:val="24"/>
          <w:u w:val="none"/>
        </w:rPr>
        <w:t>S</w:t>
      </w:r>
      <w:r>
        <w:rPr>
          <w:b w:val="0"/>
          <w:bCs/>
          <w:color w:val="000000" w:themeColor="text1"/>
          <w:sz w:val="24"/>
          <w:u w:val="none"/>
          <w:vertAlign w:val="subscript"/>
        </w:rPr>
        <w:t>pH,j</w:t>
      </w:r>
      <w:r>
        <w:rPr>
          <w:b w:val="0"/>
          <w:bCs/>
          <w:color w:val="000000" w:themeColor="text1"/>
          <w:sz w:val="24"/>
          <w:u w:val="none"/>
        </w:rPr>
        <w:t>=(pH</w:t>
      </w:r>
      <w:r>
        <w:rPr>
          <w:b w:val="0"/>
          <w:bCs/>
          <w:color w:val="000000" w:themeColor="text1"/>
          <w:sz w:val="24"/>
          <w:u w:val="none"/>
          <w:vertAlign w:val="subscript"/>
        </w:rPr>
        <w:t>j</w:t>
      </w:r>
      <w:r>
        <w:rPr>
          <w:b w:val="0"/>
          <w:bCs/>
          <w:color w:val="000000" w:themeColor="text1"/>
          <w:sz w:val="24"/>
          <w:u w:val="none"/>
        </w:rPr>
        <w:t>-7.0)/(pH</w:t>
      </w:r>
      <w:r>
        <w:rPr>
          <w:b w:val="0"/>
          <w:bCs/>
          <w:color w:val="000000" w:themeColor="text1"/>
          <w:sz w:val="24"/>
          <w:u w:val="none"/>
          <w:vertAlign w:val="subscript"/>
        </w:rPr>
        <w:t>su</w:t>
      </w:r>
      <w:r>
        <w:rPr>
          <w:b w:val="0"/>
          <w:bCs/>
          <w:color w:val="000000" w:themeColor="text1"/>
          <w:sz w:val="24"/>
          <w:u w:val="none"/>
        </w:rPr>
        <w:t>-7.0)     (pH</w:t>
      </w:r>
      <w:r>
        <w:rPr>
          <w:b w:val="0"/>
          <w:bCs/>
          <w:color w:val="000000" w:themeColor="text1"/>
          <w:sz w:val="24"/>
          <w:u w:val="none"/>
          <w:vertAlign w:val="subscript"/>
        </w:rPr>
        <w:t>i</w:t>
      </w:r>
      <w:r>
        <w:rPr>
          <w:b w:val="0"/>
          <w:bCs/>
          <w:color w:val="000000" w:themeColor="text1"/>
          <w:sz w:val="24"/>
          <w:u w:val="none"/>
        </w:rPr>
        <w:t>＞7.0时)</w:t>
      </w:r>
    </w:p>
    <w:p>
      <w:pPr>
        <w:spacing w:line="500" w:lineRule="exact"/>
        <w:ind w:firstLine="482"/>
        <w:rPr>
          <w:b w:val="0"/>
          <w:bCs/>
          <w:color w:val="000000" w:themeColor="text1"/>
          <w:sz w:val="24"/>
          <w:u w:val="none"/>
        </w:rPr>
      </w:pPr>
      <w:r>
        <w:rPr>
          <w:b w:val="0"/>
          <w:bCs/>
          <w:color w:val="000000" w:themeColor="text1"/>
          <w:sz w:val="24"/>
          <w:u w:val="none"/>
        </w:rPr>
        <w:t>式中：S</w:t>
      </w:r>
      <w:r>
        <w:rPr>
          <w:b w:val="0"/>
          <w:bCs/>
          <w:color w:val="000000" w:themeColor="text1"/>
          <w:sz w:val="24"/>
          <w:u w:val="none"/>
          <w:vertAlign w:val="subscript"/>
        </w:rPr>
        <w:t>pH,j</w:t>
      </w:r>
      <w:r>
        <w:rPr>
          <w:b w:val="0"/>
          <w:bCs/>
          <w:color w:val="000000" w:themeColor="text1"/>
          <w:sz w:val="24"/>
          <w:u w:val="none"/>
        </w:rPr>
        <w:t>——第j点pH的标准指数；</w:t>
      </w:r>
    </w:p>
    <w:p>
      <w:pPr>
        <w:spacing w:line="500" w:lineRule="exact"/>
        <w:ind w:firstLine="482"/>
        <w:rPr>
          <w:b w:val="0"/>
          <w:bCs/>
          <w:color w:val="000000" w:themeColor="text1"/>
          <w:sz w:val="24"/>
          <w:u w:val="none"/>
        </w:rPr>
      </w:pPr>
      <w:r>
        <w:rPr>
          <w:b w:val="0"/>
          <w:bCs/>
          <w:color w:val="000000" w:themeColor="text1"/>
          <w:sz w:val="24"/>
          <w:u w:val="none"/>
        </w:rPr>
        <w:t xml:space="preserve">      pH</w:t>
      </w:r>
      <w:r>
        <w:rPr>
          <w:b w:val="0"/>
          <w:bCs/>
          <w:color w:val="000000" w:themeColor="text1"/>
          <w:sz w:val="24"/>
          <w:u w:val="none"/>
          <w:vertAlign w:val="subscript"/>
        </w:rPr>
        <w:t>j</w:t>
      </w:r>
      <w:r>
        <w:rPr>
          <w:b w:val="0"/>
          <w:bCs/>
          <w:color w:val="000000" w:themeColor="text1"/>
          <w:sz w:val="24"/>
          <w:u w:val="none"/>
        </w:rPr>
        <w:t>——第j点的监测值；</w:t>
      </w:r>
    </w:p>
    <w:p>
      <w:pPr>
        <w:spacing w:line="500" w:lineRule="exact"/>
        <w:ind w:firstLine="482"/>
        <w:rPr>
          <w:b w:val="0"/>
          <w:bCs/>
          <w:color w:val="000000" w:themeColor="text1"/>
          <w:sz w:val="24"/>
          <w:u w:val="none"/>
        </w:rPr>
      </w:pPr>
      <w:r>
        <w:rPr>
          <w:b w:val="0"/>
          <w:bCs/>
          <w:color w:val="000000" w:themeColor="text1"/>
          <w:sz w:val="24"/>
          <w:u w:val="none"/>
        </w:rPr>
        <w:t xml:space="preserve">      pH</w:t>
      </w:r>
      <w:r>
        <w:rPr>
          <w:b w:val="0"/>
          <w:bCs/>
          <w:color w:val="000000" w:themeColor="text1"/>
          <w:sz w:val="24"/>
          <w:u w:val="none"/>
          <w:vertAlign w:val="subscript"/>
        </w:rPr>
        <w:t>su</w:t>
      </w:r>
      <w:r>
        <w:rPr>
          <w:b w:val="0"/>
          <w:bCs/>
          <w:color w:val="000000" w:themeColor="text1"/>
          <w:sz w:val="24"/>
          <w:u w:val="none"/>
        </w:rPr>
        <w:t>、pH</w:t>
      </w:r>
      <w:r>
        <w:rPr>
          <w:b w:val="0"/>
          <w:bCs/>
          <w:color w:val="000000" w:themeColor="text1"/>
          <w:sz w:val="24"/>
          <w:u w:val="none"/>
          <w:vertAlign w:val="subscript"/>
        </w:rPr>
        <w:t>sd</w:t>
      </w:r>
      <w:r>
        <w:rPr>
          <w:b w:val="0"/>
          <w:bCs/>
          <w:color w:val="000000" w:themeColor="text1"/>
          <w:sz w:val="24"/>
          <w:u w:val="none"/>
        </w:rPr>
        <w:t>——pH标准限值的上、下限值。</w:t>
      </w:r>
    </w:p>
    <w:p>
      <w:pPr>
        <w:adjustRightInd w:val="0"/>
        <w:snapToGrid w:val="0"/>
        <w:spacing w:line="600" w:lineRule="exact"/>
        <w:jc w:val="left"/>
        <w:outlineLvl w:val="3"/>
        <w:rPr>
          <w:rFonts w:hint="eastAsia"/>
          <w:b w:val="0"/>
          <w:bCs w:val="0"/>
          <w:color w:val="000000" w:themeColor="text1"/>
          <w:sz w:val="24"/>
          <w:u w:val="none"/>
          <w:lang w:val="en-US" w:eastAsia="zh-CN"/>
        </w:rPr>
      </w:pPr>
      <w:r>
        <w:rPr>
          <w:rFonts w:hint="eastAsia"/>
          <w:b w:val="0"/>
          <w:bCs w:val="0"/>
          <w:color w:val="000000" w:themeColor="text1"/>
          <w:sz w:val="24"/>
          <w:u w:val="none"/>
          <w:lang w:val="en-US" w:eastAsia="zh-CN"/>
        </w:rPr>
        <w:t>3.3.3.3评价标准</w:t>
      </w:r>
      <w:bookmarkEnd w:id="220"/>
      <w:bookmarkEnd w:id="221"/>
    </w:p>
    <w:p>
      <w:pPr>
        <w:autoSpaceDE w:val="0"/>
        <w:autoSpaceDN w:val="0"/>
        <w:adjustRightInd w:val="0"/>
        <w:spacing w:line="520" w:lineRule="exact"/>
        <w:ind w:firstLine="424" w:firstLineChars="177"/>
        <w:jc w:val="left"/>
        <w:rPr>
          <w:b w:val="0"/>
          <w:bCs/>
          <w:color w:val="000000" w:themeColor="text1"/>
          <w:sz w:val="24"/>
          <w:u w:val="none"/>
        </w:rPr>
      </w:pPr>
      <w:bookmarkStart w:id="222" w:name="_Toc413829643"/>
      <w:bookmarkStart w:id="223" w:name="_Toc406663010"/>
      <w:r>
        <w:rPr>
          <w:b w:val="0"/>
          <w:bCs/>
          <w:color w:val="000000" w:themeColor="text1"/>
          <w:sz w:val="24"/>
          <w:u w:val="none"/>
        </w:rPr>
        <w:t>地下水水质现状评价执行《地下水质量标准》（GB/T 14848-2017）中的</w:t>
      </w:r>
      <w:r>
        <w:rPr>
          <w:b w:val="0"/>
          <w:bCs/>
          <w:color w:val="000000" w:themeColor="text1"/>
          <w:u w:val="none"/>
        </w:rPr>
        <w:fldChar w:fldCharType="begin"/>
      </w:r>
      <w:r>
        <w:rPr>
          <w:b w:val="0"/>
          <w:bCs/>
          <w:color w:val="000000" w:themeColor="text1"/>
          <w:sz w:val="24"/>
          <w:u w:val="none"/>
        </w:rPr>
        <w:instrText xml:space="preserve"> = 3 \* ROMAN </w:instrText>
      </w:r>
      <w:r>
        <w:rPr>
          <w:b w:val="0"/>
          <w:bCs/>
          <w:color w:val="000000" w:themeColor="text1"/>
          <w:u w:val="none"/>
        </w:rPr>
        <w:fldChar w:fldCharType="separate"/>
      </w:r>
      <w:r>
        <w:rPr>
          <w:b w:val="0"/>
          <w:bCs/>
          <w:color w:val="000000" w:themeColor="text1"/>
          <w:sz w:val="24"/>
          <w:u w:val="none"/>
        </w:rPr>
        <w:t>III</w:t>
      </w:r>
      <w:r>
        <w:rPr>
          <w:b w:val="0"/>
          <w:bCs/>
          <w:color w:val="000000" w:themeColor="text1"/>
          <w:u w:val="none"/>
        </w:rPr>
        <w:fldChar w:fldCharType="end"/>
      </w:r>
      <w:r>
        <w:rPr>
          <w:b w:val="0"/>
          <w:bCs/>
          <w:color w:val="000000" w:themeColor="text1"/>
          <w:sz w:val="24"/>
          <w:u w:val="none"/>
        </w:rPr>
        <w:t>类标准，根据《环境影响评价技术导则—地下水环境》（HJ 610-2016）要求对地下水因子进行监测。</w:t>
      </w:r>
    </w:p>
    <w:p>
      <w:pPr>
        <w:spacing w:line="500" w:lineRule="exact"/>
        <w:rPr>
          <w:b w:val="0"/>
          <w:bCs/>
          <w:color w:val="000000" w:themeColor="text1"/>
          <w:sz w:val="24"/>
          <w:u w:val="none"/>
        </w:rPr>
      </w:pPr>
      <w:r>
        <w:rPr>
          <w:rFonts w:hint="eastAsia"/>
          <w:b w:val="0"/>
          <w:bCs/>
          <w:color w:val="000000" w:themeColor="text1"/>
          <w:sz w:val="24"/>
          <w:u w:val="none"/>
          <w:lang w:val="en-US" w:eastAsia="zh-CN"/>
        </w:rPr>
        <w:t>3</w:t>
      </w:r>
      <w:r>
        <w:rPr>
          <w:b w:val="0"/>
          <w:bCs/>
          <w:color w:val="000000" w:themeColor="text1"/>
          <w:sz w:val="24"/>
          <w:u w:val="none"/>
        </w:rPr>
        <w:t>.3.3.</w:t>
      </w:r>
      <w:r>
        <w:rPr>
          <w:rFonts w:hint="eastAsia"/>
          <w:b w:val="0"/>
          <w:bCs/>
          <w:color w:val="000000" w:themeColor="text1"/>
          <w:sz w:val="24"/>
          <w:u w:val="none"/>
          <w:lang w:val="en-US" w:eastAsia="zh-CN"/>
        </w:rPr>
        <w:t>4</w:t>
      </w:r>
      <w:r>
        <w:rPr>
          <w:b w:val="0"/>
          <w:bCs/>
          <w:color w:val="000000" w:themeColor="text1"/>
          <w:sz w:val="24"/>
          <w:u w:val="none"/>
        </w:rPr>
        <w:t>监测统计及评价</w:t>
      </w:r>
      <w:r>
        <w:rPr>
          <w:rFonts w:hint="eastAsia"/>
          <w:b w:val="0"/>
          <w:bCs/>
          <w:color w:val="000000" w:themeColor="text1"/>
          <w:sz w:val="24"/>
          <w:lang w:val="en-US" w:eastAsia="zh-CN"/>
        </w:rPr>
        <w:t>结果</w:t>
      </w:r>
      <w:bookmarkEnd w:id="222"/>
      <w:bookmarkEnd w:id="223"/>
    </w:p>
    <w:p>
      <w:pPr>
        <w:topLinePunct/>
        <w:spacing w:line="520" w:lineRule="exact"/>
        <w:ind w:firstLine="480" w:firstLineChars="200"/>
        <w:rPr>
          <w:b w:val="0"/>
          <w:bCs/>
          <w:sz w:val="24"/>
          <w:u w:val="none"/>
        </w:rPr>
      </w:pPr>
      <w:r>
        <w:rPr>
          <w:b w:val="0"/>
          <w:bCs/>
          <w:sz w:val="24"/>
          <w:u w:val="none"/>
        </w:rPr>
        <w:t>地下水环境现状监测统计及评价结果见表</w:t>
      </w:r>
      <w:r>
        <w:rPr>
          <w:rFonts w:hint="eastAsia"/>
          <w:b w:val="0"/>
          <w:bCs/>
          <w:sz w:val="24"/>
          <w:u w:val="none"/>
          <w:lang w:val="en-US" w:eastAsia="zh-CN"/>
        </w:rPr>
        <w:t>3.3-12</w:t>
      </w:r>
      <w:r>
        <w:rPr>
          <w:b w:val="0"/>
          <w:bCs/>
          <w:sz w:val="24"/>
          <w:u w:val="none"/>
        </w:rPr>
        <w:t>。</w:t>
      </w:r>
    </w:p>
    <w:p>
      <w:pPr>
        <w:widowControl/>
        <w:snapToGrid w:val="0"/>
        <w:spacing w:beforeLines="50" w:afterLines="50"/>
        <w:ind w:firstLine="480" w:firstLineChars="200"/>
        <w:jc w:val="center"/>
        <w:rPr>
          <w:rFonts w:hint="eastAsia" w:eastAsia="黑体"/>
          <w:b w:val="0"/>
          <w:bCs/>
          <w:color w:val="000000"/>
          <w:sz w:val="24"/>
          <w:u w:val="none"/>
          <w:lang w:val="en-US" w:eastAsia="zh-CN"/>
        </w:rPr>
      </w:pPr>
      <w:r>
        <w:rPr>
          <w:rFonts w:hint="eastAsia" w:eastAsia="黑体"/>
          <w:b w:val="0"/>
          <w:bCs/>
          <w:color w:val="000000"/>
          <w:sz w:val="24"/>
          <w:u w:val="none"/>
          <w:lang w:val="en-US" w:eastAsia="zh-CN"/>
        </w:rPr>
        <w:t>表3.3-12   地下水水质监测统计及评价结果表</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58"/>
        <w:gridCol w:w="1605"/>
        <w:gridCol w:w="1238"/>
        <w:gridCol w:w="1238"/>
        <w:gridCol w:w="1240"/>
        <w:gridCol w:w="871"/>
        <w:gridCol w:w="159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blHeader/>
        </w:trPr>
        <w:tc>
          <w:tcPr>
            <w:tcW w:w="115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名称</w:t>
            </w:r>
          </w:p>
        </w:tc>
        <w:tc>
          <w:tcPr>
            <w:tcW w:w="1605"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监测项目</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监测值</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标准指数</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超标率（%）</w:t>
            </w:r>
          </w:p>
        </w:tc>
        <w:tc>
          <w:tcPr>
            <w:tcW w:w="871" w:type="dxa"/>
            <w:noWrap w:val="0"/>
            <w:vAlign w:val="center"/>
          </w:tcPr>
          <w:p>
            <w:pPr>
              <w:ind w:left="-105" w:leftChars="-50" w:right="-105" w:rightChars="-50"/>
              <w:jc w:val="center"/>
              <w:rPr>
                <w:rFonts w:ascii="Times New Roman" w:hAnsi="Times New Roman"/>
                <w:color w:val="000000"/>
                <w:sz w:val="21"/>
                <w:szCs w:val="21"/>
              </w:rPr>
            </w:pPr>
            <w:r>
              <w:rPr>
                <w:rFonts w:ascii="Times New Roman" w:hAnsi="Times New Roman"/>
                <w:color w:val="000000"/>
                <w:sz w:val="21"/>
                <w:szCs w:val="21"/>
              </w:rPr>
              <w:t>超标倍数</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7" w:hRule="atLeast"/>
        </w:trPr>
        <w:tc>
          <w:tcPr>
            <w:tcW w:w="1158" w:type="dxa"/>
            <w:vMerge w:val="restart"/>
            <w:noWrap w:val="0"/>
            <w:vAlign w:val="center"/>
          </w:tcPr>
          <w:p>
            <w:pPr>
              <w:pStyle w:val="191"/>
              <w:rPr>
                <w:rFonts w:cs="Times New Roman"/>
                <w:bCs/>
                <w:color w:val="000000"/>
                <w:sz w:val="21"/>
                <w:szCs w:val="21"/>
              </w:rPr>
            </w:pPr>
            <w:r>
              <w:rPr>
                <w:rFonts w:hint="eastAsia" w:cs="Times New Roman"/>
                <w:bCs/>
                <w:color w:val="000000"/>
                <w:sz w:val="21"/>
                <w:szCs w:val="21"/>
                <w:lang w:val="en-US" w:eastAsia="zh-CN"/>
              </w:rPr>
              <w:t>1</w:t>
            </w:r>
            <w:r>
              <w:rPr>
                <w:rFonts w:cs="Times New Roman"/>
                <w:bCs/>
                <w:color w:val="000000"/>
                <w:sz w:val="21"/>
                <w:szCs w:val="21"/>
              </w:rPr>
              <w:t>#</w:t>
            </w:r>
            <w:r>
              <w:rPr>
                <w:rFonts w:hint="eastAsia"/>
                <w:color w:val="000000"/>
                <w:kern w:val="0"/>
                <w:sz w:val="21"/>
                <w:szCs w:val="21"/>
              </w:rPr>
              <w:t>上邹庄</w:t>
            </w:r>
          </w:p>
        </w:tc>
        <w:tc>
          <w:tcPr>
            <w:tcW w:w="1605"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pH</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7.35</w:t>
            </w:r>
            <w:r>
              <w:rPr>
                <w:rFonts w:ascii="Times New Roman" w:hAnsi="Times New Roman"/>
                <w:color w:val="000000"/>
                <w:sz w:val="21"/>
                <w:szCs w:val="21"/>
              </w:rPr>
              <w:t>-7.</w:t>
            </w:r>
            <w:r>
              <w:rPr>
                <w:rFonts w:hint="eastAsia" w:ascii="Times New Roman" w:hAnsi="Times New Roman"/>
                <w:color w:val="000000"/>
                <w:sz w:val="21"/>
                <w:szCs w:val="21"/>
              </w:rPr>
              <w:t>43</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0.86</w:t>
            </w:r>
            <w:r>
              <w:rPr>
                <w:rFonts w:ascii="Times New Roman" w:hAnsi="Times New Roman"/>
                <w:color w:val="000000"/>
                <w:sz w:val="21"/>
                <w:szCs w:val="21"/>
              </w:rPr>
              <w:t>-</w:t>
            </w:r>
            <w:r>
              <w:rPr>
                <w:rFonts w:hint="eastAsia" w:ascii="Times New Roman" w:hAnsi="Times New Roman"/>
                <w:color w:val="000000"/>
                <w:sz w:val="21"/>
                <w:szCs w:val="21"/>
              </w:rPr>
              <w:t>0.87</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6.5~8.5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氨氮</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0.13</w:t>
            </w:r>
            <w:r>
              <w:rPr>
                <w:rFonts w:ascii="Times New Roman" w:hAnsi="Times New Roman"/>
                <w:color w:val="000000"/>
                <w:sz w:val="21"/>
                <w:szCs w:val="21"/>
              </w:rPr>
              <w:t>-0.</w:t>
            </w:r>
            <w:r>
              <w:rPr>
                <w:rFonts w:hint="eastAsia" w:ascii="Times New Roman" w:hAnsi="Times New Roman"/>
                <w:color w:val="000000"/>
                <w:sz w:val="21"/>
                <w:szCs w:val="21"/>
              </w:rPr>
              <w:t>14</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0.26</w:t>
            </w:r>
            <w:r>
              <w:rPr>
                <w:rFonts w:ascii="Times New Roman" w:hAnsi="Times New Roman"/>
                <w:color w:val="000000"/>
                <w:sz w:val="21"/>
                <w:szCs w:val="21"/>
              </w:rPr>
              <w:t>-</w:t>
            </w:r>
            <w:r>
              <w:rPr>
                <w:rFonts w:hint="eastAsia" w:ascii="Times New Roman" w:hAnsi="Times New Roman"/>
                <w:color w:val="000000"/>
                <w:sz w:val="21"/>
                <w:szCs w:val="21"/>
              </w:rPr>
              <w:t>0.28</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耗氧量</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1.0</w:t>
            </w:r>
            <w:r>
              <w:rPr>
                <w:rFonts w:ascii="Times New Roman" w:hAnsi="Times New Roman"/>
                <w:color w:val="000000"/>
                <w:sz w:val="21"/>
                <w:szCs w:val="21"/>
              </w:rPr>
              <w:t>-1.</w:t>
            </w:r>
            <w:r>
              <w:rPr>
                <w:rFonts w:hint="eastAsia" w:ascii="Times New Roman" w:hAnsi="Times New Roman"/>
                <w:color w:val="000000"/>
                <w:sz w:val="21"/>
                <w:szCs w:val="21"/>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w:t>
            </w:r>
            <w:r>
              <w:rPr>
                <w:rFonts w:ascii="Times New Roman" w:hAnsi="Times New Roman"/>
                <w:color w:val="000000"/>
                <w:sz w:val="21"/>
                <w:szCs w:val="21"/>
              </w:rPr>
              <w:t>-</w:t>
            </w:r>
            <w:r>
              <w:rPr>
                <w:rFonts w:hint="eastAsia" w:ascii="Times New Roman" w:hAnsi="Times New Roman"/>
                <w:color w:val="000000"/>
                <w:sz w:val="21"/>
                <w:szCs w:val="21"/>
              </w:rPr>
              <w:t>0.4</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总硬度</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423</w:t>
            </w:r>
            <w:r>
              <w:rPr>
                <w:rFonts w:ascii="Times New Roman" w:hAnsi="Times New Roman"/>
                <w:color w:val="000000"/>
                <w:sz w:val="21"/>
                <w:szCs w:val="21"/>
              </w:rPr>
              <w:t>-</w:t>
            </w:r>
            <w:r>
              <w:rPr>
                <w:rFonts w:hint="eastAsia" w:ascii="Times New Roman" w:hAnsi="Times New Roman"/>
                <w:color w:val="000000"/>
                <w:sz w:val="21"/>
                <w:szCs w:val="21"/>
              </w:rPr>
              <w:t>441</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0.94-0.98</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溶解性总固体</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859</w:t>
            </w:r>
            <w:r>
              <w:rPr>
                <w:rFonts w:ascii="Times New Roman" w:hAnsi="Times New Roman"/>
                <w:color w:val="000000"/>
                <w:sz w:val="21"/>
                <w:szCs w:val="21"/>
              </w:rPr>
              <w:t>-</w:t>
            </w:r>
            <w:r>
              <w:rPr>
                <w:rFonts w:hint="eastAsia" w:ascii="Times New Roman" w:hAnsi="Times New Roman"/>
                <w:color w:val="000000"/>
                <w:sz w:val="21"/>
                <w:szCs w:val="21"/>
              </w:rPr>
              <w:t>895</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0.859-0.895</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亚硝酸盐（以N计）</w:t>
            </w:r>
          </w:p>
        </w:tc>
        <w:tc>
          <w:tcPr>
            <w:tcW w:w="1238"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硝酸盐（以N计）</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5.22-5.37</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0.261-0.269</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氰化物</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w:t>
            </w:r>
            <w:r>
              <w:rPr>
                <w:rFonts w:hint="eastAsia" w:ascii="Times New Roman" w:hAnsi="Times New Roman"/>
                <w:color w:val="00000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氯化物</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80.4</w:t>
            </w:r>
            <w:r>
              <w:rPr>
                <w:rFonts w:ascii="Times New Roman" w:hAnsi="Times New Roman"/>
                <w:color w:val="000000"/>
                <w:sz w:val="21"/>
                <w:szCs w:val="21"/>
              </w:rPr>
              <w:t>-</w:t>
            </w:r>
            <w:r>
              <w:rPr>
                <w:rFonts w:hint="eastAsia" w:ascii="Times New Roman" w:hAnsi="Times New Roman"/>
                <w:color w:val="000000"/>
                <w:sz w:val="21"/>
                <w:szCs w:val="21"/>
              </w:rPr>
              <w:t>81.7</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0.322-0.327</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硫酸盐</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71</w:t>
            </w:r>
            <w:r>
              <w:rPr>
                <w:rFonts w:ascii="Times New Roman" w:hAnsi="Times New Roman"/>
                <w:color w:val="000000"/>
                <w:sz w:val="21"/>
                <w:szCs w:val="21"/>
              </w:rPr>
              <w:t>-</w:t>
            </w:r>
            <w:r>
              <w:rPr>
                <w:rFonts w:hint="eastAsia" w:ascii="Times New Roman" w:hAnsi="Times New Roman"/>
                <w:color w:val="000000"/>
                <w:sz w:val="21"/>
                <w:szCs w:val="21"/>
              </w:rPr>
              <w:t>73</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0.284</w:t>
            </w:r>
            <w:r>
              <w:rPr>
                <w:rFonts w:ascii="Times New Roman" w:hAnsi="Times New Roman"/>
                <w:color w:val="000000"/>
                <w:sz w:val="21"/>
                <w:szCs w:val="21"/>
              </w:rPr>
              <w:t>-</w:t>
            </w:r>
            <w:r>
              <w:rPr>
                <w:rFonts w:hint="eastAsia" w:ascii="Times New Roman" w:hAnsi="Times New Roman"/>
                <w:color w:val="000000"/>
                <w:sz w:val="21"/>
                <w:szCs w:val="21"/>
              </w:rPr>
              <w:t>0.292</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挥发性酚类</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氟化物</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0.381</w:t>
            </w:r>
            <w:r>
              <w:rPr>
                <w:rFonts w:ascii="Times New Roman" w:hAnsi="Times New Roman"/>
                <w:color w:val="000000"/>
                <w:sz w:val="21"/>
                <w:szCs w:val="21"/>
              </w:rPr>
              <w:t>-</w:t>
            </w:r>
            <w:r>
              <w:rPr>
                <w:rFonts w:hint="eastAsia" w:ascii="Times New Roman" w:hAnsi="Times New Roman"/>
                <w:color w:val="000000"/>
                <w:sz w:val="21"/>
                <w:szCs w:val="21"/>
              </w:rPr>
              <w:t>0.394</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0.381-0.394</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highlight w:val="yellow"/>
              </w:rPr>
            </w:pPr>
            <w:r>
              <w:rPr>
                <w:rFonts w:hint="eastAsia" w:ascii="Times New Roman" w:hAnsi="Times New Roman"/>
                <w:color w:val="000000"/>
                <w:sz w:val="21"/>
                <w:szCs w:val="21"/>
              </w:rPr>
              <w:t>铅</w:t>
            </w:r>
          </w:p>
        </w:tc>
        <w:tc>
          <w:tcPr>
            <w:tcW w:w="1238" w:type="dxa"/>
            <w:noWrap w:val="0"/>
            <w:vAlign w:val="center"/>
          </w:tcPr>
          <w:p>
            <w:pPr>
              <w:jc w:val="center"/>
              <w:rPr>
                <w:rFonts w:ascii="Times New Roman" w:hAnsi="Times New Roman"/>
                <w:color w:val="000000"/>
                <w:sz w:val="21"/>
                <w:szCs w:val="21"/>
                <w:highlight w:val="yellow"/>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砷</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六价铬</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汞</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铁</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highlight w:val="yellow"/>
              </w:rPr>
            </w:pPr>
            <w:r>
              <w:rPr>
                <w:rFonts w:hint="eastAsia" w:ascii="Times New Roman" w:hAnsi="Times New Roman"/>
                <w:color w:val="000000"/>
                <w:sz w:val="21"/>
                <w:szCs w:val="21"/>
              </w:rPr>
              <w:t>锰</w:t>
            </w:r>
          </w:p>
        </w:tc>
        <w:tc>
          <w:tcPr>
            <w:tcW w:w="1238" w:type="dxa"/>
            <w:noWrap w:val="0"/>
            <w:vAlign w:val="center"/>
          </w:tcPr>
          <w:p>
            <w:pPr>
              <w:jc w:val="center"/>
              <w:rPr>
                <w:rFonts w:ascii="Times New Roman" w:hAnsi="Times New Roman"/>
                <w:color w:val="000000"/>
                <w:sz w:val="21"/>
                <w:szCs w:val="21"/>
                <w:highlight w:val="yellow"/>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镉</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细菌总数</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63-65</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0.63-0.65</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总大肠菌群</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K</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1.57-1.81</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Na</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63.1-67.1</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0.316-0.336</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Ca</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174-178</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Mg</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86.1-90.1</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CO</w:t>
            </w:r>
            <w:r>
              <w:rPr>
                <w:rFonts w:hint="eastAsia"/>
                <w:color w:val="000000"/>
                <w:sz w:val="21"/>
                <w:szCs w:val="21"/>
                <w:vertAlign w:val="subscript"/>
              </w:rPr>
              <w:t>3</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color w:val="000000"/>
                <w:sz w:val="21"/>
                <w:szCs w:val="21"/>
              </w:rPr>
            </w:pPr>
            <w:r>
              <w:rPr>
                <w:rFonts w:hint="eastAsia"/>
                <w:color w:val="000000"/>
                <w:sz w:val="21"/>
                <w:szCs w:val="21"/>
              </w:rPr>
              <w:t>HCO</w:t>
            </w:r>
            <w:r>
              <w:rPr>
                <w:rFonts w:hint="eastAsia"/>
                <w:color w:val="000000"/>
                <w:sz w:val="21"/>
                <w:szCs w:val="21"/>
                <w:vertAlign w:val="subscript"/>
              </w:rPr>
              <w:t>3</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10.66-11.88</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color w:val="000000"/>
                <w:sz w:val="21"/>
                <w:szCs w:val="21"/>
              </w:rPr>
            </w:pPr>
            <w:r>
              <w:rPr>
                <w:rFonts w:hint="eastAsia"/>
                <w:color w:val="000000"/>
                <w:sz w:val="21"/>
                <w:szCs w:val="21"/>
              </w:rPr>
              <w:t>Cl</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71.5-74.1</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158" w:type="dxa"/>
            <w:vMerge w:val="continue"/>
            <w:noWrap w:val="0"/>
            <w:vAlign w:val="center"/>
          </w:tcPr>
          <w:p>
            <w:pPr>
              <w:pStyle w:val="191"/>
              <w:rPr>
                <w:rFonts w:cs="Times New Roman"/>
                <w:bCs/>
                <w:color w:val="000000"/>
                <w:sz w:val="21"/>
                <w:szCs w:val="21"/>
              </w:rPr>
            </w:pPr>
          </w:p>
        </w:tc>
        <w:tc>
          <w:tcPr>
            <w:tcW w:w="1605" w:type="dxa"/>
            <w:noWrap w:val="0"/>
            <w:vAlign w:val="center"/>
          </w:tcPr>
          <w:p>
            <w:pPr>
              <w:jc w:val="center"/>
              <w:rPr>
                <w:rFonts w:hint="eastAsia"/>
                <w:color w:val="000000"/>
                <w:sz w:val="21"/>
                <w:szCs w:val="21"/>
              </w:rPr>
            </w:pPr>
            <w:r>
              <w:rPr>
                <w:rFonts w:hint="eastAsia"/>
                <w:color w:val="000000"/>
                <w:sz w:val="21"/>
                <w:szCs w:val="21"/>
              </w:rPr>
              <w:t>SO</w:t>
            </w:r>
            <w:r>
              <w:rPr>
                <w:rFonts w:hint="eastAsia"/>
                <w:color w:val="000000"/>
                <w:sz w:val="21"/>
                <w:szCs w:val="21"/>
                <w:vertAlign w:val="subscript"/>
              </w:rPr>
              <w:t>4</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84.1-86.2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restart"/>
            <w:noWrap w:val="0"/>
            <w:vAlign w:val="center"/>
          </w:tcPr>
          <w:p>
            <w:pPr>
              <w:pStyle w:val="191"/>
              <w:rPr>
                <w:rFonts w:cs="Times New Roman"/>
                <w:bCs/>
                <w:color w:val="000000"/>
                <w:sz w:val="21"/>
                <w:szCs w:val="21"/>
              </w:rPr>
            </w:pPr>
            <w:r>
              <w:rPr>
                <w:rFonts w:hint="eastAsia" w:cs="Times New Roman"/>
                <w:bCs/>
                <w:color w:val="000000"/>
                <w:sz w:val="21"/>
                <w:szCs w:val="21"/>
                <w:lang w:val="en-US" w:eastAsia="zh-CN"/>
              </w:rPr>
              <w:t>2</w:t>
            </w:r>
            <w:r>
              <w:rPr>
                <w:rFonts w:cs="Times New Roman"/>
                <w:bCs/>
                <w:color w:val="000000"/>
                <w:sz w:val="21"/>
                <w:szCs w:val="21"/>
              </w:rPr>
              <w:t>#</w:t>
            </w:r>
            <w:r>
              <w:rPr>
                <w:rFonts w:hint="eastAsia" w:cs="Times New Roman"/>
                <w:color w:val="000000"/>
                <w:kern w:val="0"/>
                <w:sz w:val="21"/>
                <w:szCs w:val="21"/>
              </w:rPr>
              <w:t>南龚庄</w:t>
            </w:r>
          </w:p>
        </w:tc>
        <w:tc>
          <w:tcPr>
            <w:tcW w:w="1605"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pH</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7.26</w:t>
            </w:r>
            <w:r>
              <w:rPr>
                <w:rFonts w:ascii="Times New Roman" w:hAnsi="Times New Roman"/>
                <w:color w:val="000000"/>
                <w:sz w:val="21"/>
                <w:szCs w:val="21"/>
              </w:rPr>
              <w:t>-7</w:t>
            </w:r>
            <w:r>
              <w:rPr>
                <w:rFonts w:hint="eastAsia" w:ascii="Times New Roman" w:hAnsi="Times New Roman"/>
                <w:color w:val="000000"/>
                <w:sz w:val="21"/>
                <w:szCs w:val="21"/>
              </w:rPr>
              <w:t>.28</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0.854</w:t>
            </w:r>
            <w:r>
              <w:rPr>
                <w:rFonts w:ascii="Times New Roman" w:hAnsi="Times New Roman"/>
                <w:color w:val="000000"/>
                <w:sz w:val="21"/>
                <w:szCs w:val="21"/>
              </w:rPr>
              <w:t>-</w:t>
            </w:r>
            <w:r>
              <w:rPr>
                <w:rFonts w:hint="eastAsia" w:ascii="Times New Roman" w:hAnsi="Times New Roman"/>
                <w:color w:val="000000"/>
                <w:sz w:val="21"/>
                <w:szCs w:val="21"/>
              </w:rPr>
              <w:t>0.856</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6.5~8.5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氨氮</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0.10</w:t>
            </w:r>
            <w:r>
              <w:rPr>
                <w:rFonts w:ascii="Times New Roman" w:hAnsi="Times New Roman"/>
                <w:color w:val="000000"/>
                <w:sz w:val="21"/>
                <w:szCs w:val="21"/>
              </w:rPr>
              <w:t>-0.</w:t>
            </w:r>
            <w:r>
              <w:rPr>
                <w:rFonts w:hint="eastAsia" w:ascii="Times New Roman" w:hAnsi="Times New Roman"/>
                <w:color w:val="000000"/>
                <w:sz w:val="21"/>
                <w:szCs w:val="21"/>
              </w:rPr>
              <w:t>15</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0.20</w:t>
            </w:r>
            <w:r>
              <w:rPr>
                <w:rFonts w:ascii="Times New Roman" w:hAnsi="Times New Roman"/>
                <w:color w:val="000000"/>
                <w:sz w:val="21"/>
                <w:szCs w:val="21"/>
              </w:rPr>
              <w:t>-</w:t>
            </w:r>
            <w:r>
              <w:rPr>
                <w:rFonts w:hint="eastAsia" w:ascii="Times New Roman" w:hAnsi="Times New Roman"/>
                <w:color w:val="000000"/>
                <w:sz w:val="21"/>
                <w:szCs w:val="21"/>
              </w:rPr>
              <w:t>0.30</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耗氧量</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1.8</w:t>
            </w:r>
            <w:r>
              <w:rPr>
                <w:rFonts w:ascii="Times New Roman" w:hAnsi="Times New Roman"/>
                <w:color w:val="000000"/>
                <w:sz w:val="21"/>
                <w:szCs w:val="21"/>
              </w:rPr>
              <w:t>-1.</w:t>
            </w:r>
            <w:r>
              <w:rPr>
                <w:rFonts w:hint="eastAsia" w:ascii="Times New Roman" w:hAnsi="Times New Roman"/>
                <w:color w:val="000000"/>
                <w:sz w:val="21"/>
                <w:szCs w:val="21"/>
              </w:rPr>
              <w:t>9</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0.60-0.63</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总硬度</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425</w:t>
            </w:r>
            <w:r>
              <w:rPr>
                <w:rFonts w:ascii="Times New Roman" w:hAnsi="Times New Roman"/>
                <w:color w:val="000000"/>
                <w:sz w:val="21"/>
                <w:szCs w:val="21"/>
              </w:rPr>
              <w:t>-</w:t>
            </w:r>
            <w:r>
              <w:rPr>
                <w:rFonts w:hint="eastAsia" w:ascii="Times New Roman" w:hAnsi="Times New Roman"/>
                <w:color w:val="000000"/>
                <w:sz w:val="21"/>
                <w:szCs w:val="21"/>
              </w:rPr>
              <w:t>434</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0.944-0.964</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溶解性总固体</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857</w:t>
            </w:r>
            <w:r>
              <w:rPr>
                <w:rFonts w:ascii="Times New Roman" w:hAnsi="Times New Roman"/>
                <w:color w:val="000000"/>
                <w:sz w:val="21"/>
                <w:szCs w:val="21"/>
              </w:rPr>
              <w:t>-</w:t>
            </w:r>
            <w:r>
              <w:rPr>
                <w:rFonts w:hint="eastAsia" w:ascii="Times New Roman" w:hAnsi="Times New Roman"/>
                <w:color w:val="000000"/>
                <w:sz w:val="21"/>
                <w:szCs w:val="21"/>
              </w:rPr>
              <w:t>862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0.857-0.862</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亚硝酸盐（以N计）</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硝酸盐（以N计）</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5.16-5.38</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0.258-0.269</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氰化物</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w:t>
            </w:r>
            <w:r>
              <w:rPr>
                <w:rFonts w:hint="eastAsia" w:ascii="Times New Roman" w:hAnsi="Times New Roman"/>
                <w:color w:val="000000"/>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氯化物</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75.3</w:t>
            </w:r>
            <w:r>
              <w:rPr>
                <w:rFonts w:ascii="Times New Roman" w:hAnsi="Times New Roman"/>
                <w:color w:val="000000"/>
                <w:sz w:val="21"/>
                <w:szCs w:val="21"/>
              </w:rPr>
              <w:t>-</w:t>
            </w:r>
            <w:r>
              <w:rPr>
                <w:rFonts w:hint="eastAsia" w:ascii="Times New Roman" w:hAnsi="Times New Roman"/>
                <w:color w:val="000000"/>
                <w:sz w:val="21"/>
                <w:szCs w:val="21"/>
              </w:rPr>
              <w:t>77.2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0.301</w:t>
            </w:r>
            <w:r>
              <w:rPr>
                <w:rFonts w:ascii="Times New Roman" w:hAnsi="Times New Roman"/>
                <w:color w:val="000000"/>
                <w:sz w:val="21"/>
                <w:szCs w:val="21"/>
              </w:rPr>
              <w:t>-</w:t>
            </w:r>
            <w:r>
              <w:rPr>
                <w:rFonts w:hint="eastAsia" w:ascii="Times New Roman" w:hAnsi="Times New Roman"/>
                <w:color w:val="000000"/>
                <w:sz w:val="21"/>
                <w:szCs w:val="21"/>
              </w:rPr>
              <w:t>0.309</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硫酸盐</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71</w:t>
            </w:r>
            <w:r>
              <w:rPr>
                <w:rFonts w:ascii="Times New Roman" w:hAnsi="Times New Roman"/>
                <w:color w:val="000000"/>
                <w:sz w:val="21"/>
                <w:szCs w:val="21"/>
              </w:rPr>
              <w:t>-</w:t>
            </w:r>
            <w:r>
              <w:rPr>
                <w:rFonts w:hint="eastAsia" w:ascii="Times New Roman" w:hAnsi="Times New Roman"/>
                <w:color w:val="000000"/>
                <w:sz w:val="21"/>
                <w:szCs w:val="21"/>
              </w:rPr>
              <w:t>75</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0.284</w:t>
            </w:r>
            <w:r>
              <w:rPr>
                <w:rFonts w:ascii="Times New Roman" w:hAnsi="Times New Roman"/>
                <w:color w:val="000000"/>
                <w:sz w:val="21"/>
                <w:szCs w:val="21"/>
              </w:rPr>
              <w:t>-</w:t>
            </w:r>
            <w:r>
              <w:rPr>
                <w:rFonts w:hint="eastAsia" w:ascii="Times New Roman" w:hAnsi="Times New Roman"/>
                <w:color w:val="000000"/>
                <w:sz w:val="21"/>
                <w:szCs w:val="21"/>
              </w:rPr>
              <w:t>0.300</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挥发性酚类</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氟化物</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0.426</w:t>
            </w:r>
            <w:r>
              <w:rPr>
                <w:rFonts w:ascii="Times New Roman" w:hAnsi="Times New Roman"/>
                <w:color w:val="000000"/>
                <w:sz w:val="21"/>
                <w:szCs w:val="21"/>
              </w:rPr>
              <w:t>-</w:t>
            </w:r>
            <w:r>
              <w:rPr>
                <w:rFonts w:hint="eastAsia" w:ascii="Times New Roman" w:hAnsi="Times New Roman"/>
                <w:color w:val="000000"/>
                <w:sz w:val="21"/>
                <w:szCs w:val="21"/>
              </w:rPr>
              <w:t>0.427</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0.426-0.427</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highlight w:val="yellow"/>
              </w:rPr>
            </w:pPr>
            <w:r>
              <w:rPr>
                <w:rFonts w:hint="eastAsia" w:ascii="Times New Roman" w:hAnsi="Times New Roman"/>
                <w:color w:val="000000"/>
                <w:sz w:val="21"/>
                <w:szCs w:val="21"/>
              </w:rPr>
              <w:t>铅</w:t>
            </w:r>
          </w:p>
        </w:tc>
        <w:tc>
          <w:tcPr>
            <w:tcW w:w="1238" w:type="dxa"/>
            <w:noWrap w:val="0"/>
            <w:vAlign w:val="center"/>
          </w:tcPr>
          <w:p>
            <w:pPr>
              <w:jc w:val="center"/>
              <w:rPr>
                <w:rFonts w:ascii="Times New Roman" w:hAnsi="Times New Roman"/>
                <w:color w:val="000000"/>
                <w:sz w:val="21"/>
                <w:szCs w:val="21"/>
                <w:highlight w:val="yellow"/>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砷</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六价铬</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汞</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铁</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highlight w:val="yellow"/>
              </w:rPr>
            </w:pPr>
            <w:r>
              <w:rPr>
                <w:rFonts w:hint="eastAsia" w:ascii="Times New Roman" w:hAnsi="Times New Roman"/>
                <w:color w:val="000000"/>
                <w:sz w:val="21"/>
                <w:szCs w:val="21"/>
              </w:rPr>
              <w:t>锰</w:t>
            </w:r>
          </w:p>
        </w:tc>
        <w:tc>
          <w:tcPr>
            <w:tcW w:w="1238" w:type="dxa"/>
            <w:noWrap w:val="0"/>
            <w:vAlign w:val="center"/>
          </w:tcPr>
          <w:p>
            <w:pPr>
              <w:jc w:val="center"/>
              <w:rPr>
                <w:rFonts w:ascii="Times New Roman" w:hAnsi="Times New Roman"/>
                <w:color w:val="000000"/>
                <w:sz w:val="21"/>
                <w:szCs w:val="21"/>
                <w:highlight w:val="yellow"/>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镉</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ascii="Times New Roman" w:hAnsi="Times New Roman"/>
                <w:color w:val="000000"/>
                <w:sz w:val="21"/>
                <w:szCs w:val="21"/>
              </w:rPr>
              <w:t>细菌总数</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58-64</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0.58-0.64</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总大肠菌群</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K</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1.66-1.67</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Na</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63.1-65.4</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0.316-0.327</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r>
              <w:rPr>
                <w:rFonts w:hint="eastAsia" w:ascii="Times New Roman" w:hAnsi="Times New Roman"/>
                <w:color w:val="00000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Ca</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153-165</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Mg</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88.1-98.0</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ascii="Times New Roman" w:hAnsi="Times New Roman"/>
                <w:color w:val="000000"/>
                <w:sz w:val="21"/>
                <w:szCs w:val="21"/>
              </w:rPr>
            </w:pPr>
            <w:r>
              <w:rPr>
                <w:rFonts w:hint="eastAsia"/>
                <w:color w:val="000000"/>
                <w:sz w:val="21"/>
                <w:szCs w:val="21"/>
              </w:rPr>
              <w:t>CO</w:t>
            </w:r>
            <w:r>
              <w:rPr>
                <w:rFonts w:hint="eastAsia"/>
                <w:color w:val="000000"/>
                <w:sz w:val="21"/>
                <w:szCs w:val="21"/>
                <w:vertAlign w:val="subscript"/>
              </w:rPr>
              <w:t>3</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未检出</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color w:val="000000"/>
                <w:sz w:val="21"/>
                <w:szCs w:val="21"/>
              </w:rPr>
            </w:pPr>
            <w:r>
              <w:rPr>
                <w:rFonts w:hint="eastAsia"/>
                <w:color w:val="000000"/>
                <w:sz w:val="21"/>
                <w:szCs w:val="21"/>
              </w:rPr>
              <w:t>HCO</w:t>
            </w:r>
            <w:r>
              <w:rPr>
                <w:rFonts w:hint="eastAsia"/>
                <w:color w:val="000000"/>
                <w:sz w:val="21"/>
                <w:szCs w:val="21"/>
                <w:vertAlign w:val="subscript"/>
              </w:rPr>
              <w:t>3</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11.48-11.51</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color w:val="000000"/>
                <w:sz w:val="21"/>
                <w:szCs w:val="21"/>
              </w:rPr>
            </w:pPr>
            <w:r>
              <w:rPr>
                <w:rFonts w:hint="eastAsia"/>
                <w:color w:val="000000"/>
                <w:sz w:val="21"/>
                <w:szCs w:val="21"/>
              </w:rPr>
              <w:t>Cl</w:t>
            </w:r>
            <w:r>
              <w:rPr>
                <w:rFonts w:hint="eastAsia"/>
                <w:color w:val="000000"/>
                <w:sz w:val="21"/>
                <w:szCs w:val="21"/>
                <w:vertAlign w:val="superscript"/>
              </w:rPr>
              <w:t>-</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73.4-73.6</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0"/>
            <w:vAlign w:val="center"/>
          </w:tcPr>
          <w:p>
            <w:pPr>
              <w:pStyle w:val="191"/>
              <w:rPr>
                <w:rFonts w:cs="Times New Roman"/>
                <w:b/>
                <w:bCs/>
                <w:color w:val="000000"/>
                <w:sz w:val="21"/>
                <w:szCs w:val="21"/>
                <w:u w:val="single"/>
              </w:rPr>
            </w:pPr>
          </w:p>
        </w:tc>
        <w:tc>
          <w:tcPr>
            <w:tcW w:w="1605" w:type="dxa"/>
            <w:noWrap w:val="0"/>
            <w:vAlign w:val="center"/>
          </w:tcPr>
          <w:p>
            <w:pPr>
              <w:jc w:val="center"/>
              <w:rPr>
                <w:rFonts w:hint="eastAsia"/>
                <w:color w:val="000000"/>
                <w:sz w:val="21"/>
                <w:szCs w:val="21"/>
              </w:rPr>
            </w:pPr>
            <w:r>
              <w:rPr>
                <w:rFonts w:hint="eastAsia"/>
                <w:color w:val="000000"/>
                <w:sz w:val="21"/>
                <w:szCs w:val="21"/>
              </w:rPr>
              <w:t>SO</w:t>
            </w:r>
            <w:r>
              <w:rPr>
                <w:rFonts w:hint="eastAsia"/>
                <w:color w:val="000000"/>
                <w:sz w:val="21"/>
                <w:szCs w:val="21"/>
                <w:vertAlign w:val="subscript"/>
              </w:rPr>
              <w:t>4</w:t>
            </w:r>
            <w:r>
              <w:rPr>
                <w:rFonts w:hint="eastAsia"/>
                <w:color w:val="000000"/>
                <w:sz w:val="21"/>
                <w:szCs w:val="21"/>
                <w:vertAlign w:val="superscript"/>
              </w:rPr>
              <w:t>2-</w:t>
            </w:r>
          </w:p>
        </w:tc>
        <w:tc>
          <w:tcPr>
            <w:tcW w:w="123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80.3-81.2</w:t>
            </w:r>
          </w:p>
        </w:tc>
        <w:tc>
          <w:tcPr>
            <w:tcW w:w="123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240"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71"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1596"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w:t>
            </w:r>
          </w:p>
        </w:tc>
      </w:tr>
    </w:tbl>
    <w:p>
      <w:pPr>
        <w:tabs>
          <w:tab w:val="right" w:leader="dot" w:pos="8647"/>
        </w:tabs>
        <w:autoSpaceDE w:val="0"/>
        <w:autoSpaceDN w:val="0"/>
        <w:adjustRightInd w:val="0"/>
        <w:spacing w:line="500" w:lineRule="exact"/>
        <w:ind w:firstLine="720" w:firstLineChars="300"/>
        <w:jc w:val="left"/>
        <w:rPr>
          <w:b w:val="0"/>
          <w:bCs/>
          <w:color w:val="000000" w:themeColor="text1"/>
          <w:sz w:val="24"/>
          <w:u w:val="none"/>
        </w:rPr>
      </w:pPr>
      <w:r>
        <w:rPr>
          <w:b w:val="0"/>
          <w:bCs/>
          <w:color w:val="000000" w:themeColor="text1"/>
          <w:sz w:val="24"/>
          <w:u w:val="none"/>
        </w:rPr>
        <w:t>由监测结果可知，各监测点位监测项目均符合《地下水质量标准》（GB/T 14848-2017）中的</w:t>
      </w:r>
      <w:r>
        <w:rPr>
          <w:b w:val="0"/>
          <w:bCs/>
          <w:color w:val="000000" w:themeColor="text1"/>
          <w:sz w:val="24"/>
          <w:u w:val="none"/>
        </w:rPr>
        <w:fldChar w:fldCharType="begin"/>
      </w:r>
      <w:r>
        <w:rPr>
          <w:b w:val="0"/>
          <w:bCs/>
          <w:color w:val="000000" w:themeColor="text1"/>
          <w:sz w:val="24"/>
          <w:u w:val="none"/>
        </w:rPr>
        <w:instrText xml:space="preserve"> = 3 \* ROMAN </w:instrText>
      </w:r>
      <w:r>
        <w:rPr>
          <w:b w:val="0"/>
          <w:bCs/>
          <w:color w:val="000000" w:themeColor="text1"/>
          <w:sz w:val="24"/>
          <w:u w:val="none"/>
        </w:rPr>
        <w:fldChar w:fldCharType="separate"/>
      </w:r>
      <w:r>
        <w:rPr>
          <w:b w:val="0"/>
          <w:bCs/>
          <w:color w:val="000000" w:themeColor="text1"/>
          <w:sz w:val="24"/>
          <w:u w:val="none"/>
        </w:rPr>
        <w:t>III</w:t>
      </w:r>
      <w:r>
        <w:rPr>
          <w:b w:val="0"/>
          <w:bCs/>
          <w:color w:val="000000" w:themeColor="text1"/>
          <w:sz w:val="24"/>
          <w:u w:val="none"/>
        </w:rPr>
        <w:fldChar w:fldCharType="end"/>
      </w:r>
      <w:r>
        <w:rPr>
          <w:b w:val="0"/>
          <w:bCs/>
          <w:color w:val="000000" w:themeColor="text1"/>
          <w:sz w:val="24"/>
          <w:u w:val="none"/>
        </w:rPr>
        <w:t>类标准。</w:t>
      </w:r>
    </w:p>
    <w:p>
      <w:pPr>
        <w:pStyle w:val="6"/>
        <w:spacing w:before="0" w:after="0" w:line="520" w:lineRule="exact"/>
        <w:rPr>
          <w:rFonts w:eastAsia="黑体"/>
          <w:bCs w:val="0"/>
          <w:color w:val="000000" w:themeColor="text1"/>
          <w:sz w:val="24"/>
          <w:szCs w:val="24"/>
        </w:rPr>
      </w:pPr>
      <w:bookmarkStart w:id="224" w:name="_Toc468366615"/>
      <w:bookmarkStart w:id="225" w:name="_Toc413829644"/>
      <w:bookmarkStart w:id="226" w:name="_Toc406663011"/>
      <w:r>
        <w:rPr>
          <w:rFonts w:hint="eastAsia" w:eastAsia="黑体"/>
          <w:bCs w:val="0"/>
          <w:color w:val="000000" w:themeColor="text1"/>
          <w:sz w:val="24"/>
          <w:szCs w:val="24"/>
          <w:lang w:val="en-US" w:eastAsia="zh-CN"/>
        </w:rPr>
        <w:t>3</w:t>
      </w:r>
      <w:r>
        <w:rPr>
          <w:rFonts w:eastAsia="黑体"/>
          <w:bCs w:val="0"/>
          <w:color w:val="000000" w:themeColor="text1"/>
          <w:sz w:val="24"/>
          <w:szCs w:val="24"/>
        </w:rPr>
        <w:t>.3.4声环境质量现状监测与评价</w:t>
      </w:r>
      <w:bookmarkEnd w:id="224"/>
      <w:bookmarkEnd w:id="225"/>
      <w:bookmarkEnd w:id="226"/>
    </w:p>
    <w:p>
      <w:pPr>
        <w:adjustRightInd w:val="0"/>
        <w:snapToGrid w:val="0"/>
        <w:spacing w:line="600" w:lineRule="exact"/>
        <w:jc w:val="left"/>
        <w:outlineLvl w:val="3"/>
        <w:rPr>
          <w:rFonts w:hint="eastAsia"/>
          <w:b w:val="0"/>
          <w:bCs w:val="0"/>
          <w:color w:val="000000" w:themeColor="text1"/>
          <w:sz w:val="24"/>
          <w:u w:val="none"/>
          <w:lang w:val="en-US" w:eastAsia="zh-CN"/>
        </w:rPr>
      </w:pPr>
      <w:bookmarkStart w:id="227" w:name="_Toc413829645"/>
      <w:bookmarkStart w:id="228" w:name="_Toc406663012"/>
      <w:r>
        <w:rPr>
          <w:rFonts w:hint="eastAsia"/>
          <w:b w:val="0"/>
          <w:bCs w:val="0"/>
          <w:color w:val="000000" w:themeColor="text1"/>
          <w:sz w:val="24"/>
          <w:u w:val="none"/>
          <w:lang w:val="en-US" w:eastAsia="zh-CN"/>
        </w:rPr>
        <w:t>3.3.4.1监测布点、频率及时间</w:t>
      </w:r>
      <w:bookmarkEnd w:id="227"/>
      <w:bookmarkEnd w:id="228"/>
    </w:p>
    <w:p>
      <w:pPr>
        <w:autoSpaceDE w:val="0"/>
        <w:autoSpaceDN w:val="0"/>
        <w:adjustRightInd w:val="0"/>
        <w:spacing w:line="480" w:lineRule="exact"/>
        <w:ind w:firstLine="424" w:firstLineChars="177"/>
        <w:jc w:val="left"/>
        <w:rPr>
          <w:color w:val="000000" w:themeColor="text1"/>
          <w:sz w:val="24"/>
        </w:rPr>
      </w:pPr>
      <w:r>
        <w:rPr>
          <w:color w:val="000000" w:themeColor="text1"/>
          <w:sz w:val="24"/>
        </w:rPr>
        <w:t>根据场址周围环境特点及敏感点分布情况，本次评价共设4个声环境监测点，布点位置见表</w:t>
      </w:r>
      <w:r>
        <w:rPr>
          <w:rFonts w:hint="eastAsia"/>
          <w:color w:val="000000" w:themeColor="text1"/>
          <w:sz w:val="24"/>
          <w:lang w:val="en-US" w:eastAsia="zh-CN"/>
        </w:rPr>
        <w:t>3.3-13</w:t>
      </w:r>
      <w:r>
        <w:rPr>
          <w:color w:val="000000" w:themeColor="text1"/>
          <w:sz w:val="24"/>
        </w:rPr>
        <w:t>。</w:t>
      </w:r>
    </w:p>
    <w:p>
      <w:pPr>
        <w:topLinePunct/>
        <w:autoSpaceDE w:val="0"/>
        <w:adjustRightInd w:val="0"/>
        <w:spacing w:beforeLines="50"/>
        <w:ind w:firstLine="484" w:firstLineChars="201"/>
        <w:jc w:val="center"/>
        <w:rPr>
          <w:b/>
          <w:kern w:val="0"/>
          <w:szCs w:val="21"/>
        </w:rPr>
      </w:pPr>
      <w:r>
        <w:rPr>
          <w:b/>
          <w:color w:val="000000" w:themeColor="text1"/>
          <w:sz w:val="24"/>
        </w:rPr>
        <w:t>表</w:t>
      </w:r>
      <w:r>
        <w:rPr>
          <w:rFonts w:hint="eastAsia"/>
          <w:b/>
          <w:color w:val="000000" w:themeColor="text1"/>
          <w:sz w:val="24"/>
          <w:lang w:val="en-US" w:eastAsia="zh-CN"/>
        </w:rPr>
        <w:t xml:space="preserve">3.3-13  </w:t>
      </w:r>
      <w:r>
        <w:rPr>
          <w:b/>
          <w:kern w:val="0"/>
          <w:szCs w:val="21"/>
        </w:rPr>
        <w:t xml:space="preserve"> 声环境现状监测情况</w:t>
      </w:r>
    </w:p>
    <w:tbl>
      <w:tblPr>
        <w:tblStyle w:val="45"/>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34"/>
        <w:gridCol w:w="1276"/>
        <w:gridCol w:w="851"/>
        <w:gridCol w:w="1134"/>
        <w:gridCol w:w="1186"/>
        <w:gridCol w:w="1223"/>
        <w:gridCol w:w="1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2" w:type="dxa"/>
            <w:noWrap/>
            <w:vAlign w:val="center"/>
          </w:tcPr>
          <w:p>
            <w:pPr>
              <w:topLinePunct/>
              <w:autoSpaceDE w:val="0"/>
              <w:adjustRightInd w:val="0"/>
              <w:spacing w:line="400" w:lineRule="exact"/>
              <w:jc w:val="center"/>
              <w:rPr>
                <w:b/>
                <w:kern w:val="0"/>
              </w:rPr>
            </w:pPr>
            <w:r>
              <w:rPr>
                <w:b/>
                <w:kern w:val="0"/>
              </w:rPr>
              <w:t>序号</w:t>
            </w:r>
          </w:p>
        </w:tc>
        <w:tc>
          <w:tcPr>
            <w:tcW w:w="1034" w:type="dxa"/>
            <w:noWrap/>
            <w:vAlign w:val="center"/>
          </w:tcPr>
          <w:p>
            <w:pPr>
              <w:topLinePunct/>
              <w:autoSpaceDE w:val="0"/>
              <w:adjustRightInd w:val="0"/>
              <w:spacing w:line="400" w:lineRule="exact"/>
              <w:jc w:val="center"/>
              <w:rPr>
                <w:b/>
                <w:kern w:val="0"/>
              </w:rPr>
            </w:pPr>
            <w:r>
              <w:rPr>
                <w:b/>
                <w:kern w:val="0"/>
              </w:rPr>
              <w:t>监测点</w:t>
            </w:r>
          </w:p>
        </w:tc>
        <w:tc>
          <w:tcPr>
            <w:tcW w:w="1276" w:type="dxa"/>
            <w:noWrap/>
            <w:vAlign w:val="center"/>
          </w:tcPr>
          <w:p>
            <w:pPr>
              <w:topLinePunct/>
              <w:autoSpaceDE w:val="0"/>
              <w:adjustRightInd w:val="0"/>
              <w:spacing w:line="400" w:lineRule="exact"/>
              <w:jc w:val="center"/>
              <w:rPr>
                <w:b/>
                <w:kern w:val="0"/>
              </w:rPr>
            </w:pPr>
            <w:r>
              <w:rPr>
                <w:b/>
                <w:kern w:val="0"/>
              </w:rPr>
              <w:t>监测点位置</w:t>
            </w:r>
          </w:p>
        </w:tc>
        <w:tc>
          <w:tcPr>
            <w:tcW w:w="851" w:type="dxa"/>
            <w:noWrap/>
            <w:vAlign w:val="center"/>
          </w:tcPr>
          <w:p>
            <w:pPr>
              <w:topLinePunct/>
              <w:autoSpaceDE w:val="0"/>
              <w:adjustRightInd w:val="0"/>
              <w:spacing w:line="400" w:lineRule="exact"/>
              <w:jc w:val="center"/>
              <w:rPr>
                <w:b/>
                <w:kern w:val="0"/>
              </w:rPr>
            </w:pPr>
            <w:r>
              <w:rPr>
                <w:b/>
                <w:kern w:val="0"/>
              </w:rPr>
              <w:t>功能</w:t>
            </w:r>
          </w:p>
        </w:tc>
        <w:tc>
          <w:tcPr>
            <w:tcW w:w="1134" w:type="dxa"/>
            <w:noWrap/>
            <w:vAlign w:val="center"/>
          </w:tcPr>
          <w:p>
            <w:pPr>
              <w:topLinePunct/>
              <w:autoSpaceDE w:val="0"/>
              <w:adjustRightInd w:val="0"/>
              <w:spacing w:line="400" w:lineRule="exact"/>
              <w:jc w:val="center"/>
              <w:rPr>
                <w:b/>
                <w:kern w:val="0"/>
              </w:rPr>
            </w:pPr>
            <w:r>
              <w:rPr>
                <w:b/>
                <w:kern w:val="0"/>
              </w:rPr>
              <w:t>监测因子</w:t>
            </w:r>
          </w:p>
        </w:tc>
        <w:tc>
          <w:tcPr>
            <w:tcW w:w="1186" w:type="dxa"/>
            <w:noWrap/>
            <w:vAlign w:val="center"/>
          </w:tcPr>
          <w:p>
            <w:pPr>
              <w:topLinePunct/>
              <w:autoSpaceDE w:val="0"/>
              <w:adjustRightInd w:val="0"/>
              <w:spacing w:line="400" w:lineRule="exact"/>
              <w:jc w:val="center"/>
              <w:rPr>
                <w:b/>
                <w:kern w:val="0"/>
              </w:rPr>
            </w:pPr>
            <w:r>
              <w:rPr>
                <w:b/>
                <w:kern w:val="0"/>
              </w:rPr>
              <w:t>监测频率</w:t>
            </w:r>
          </w:p>
        </w:tc>
        <w:tc>
          <w:tcPr>
            <w:tcW w:w="1223" w:type="dxa"/>
            <w:noWrap/>
            <w:vAlign w:val="center"/>
          </w:tcPr>
          <w:p>
            <w:pPr>
              <w:topLinePunct/>
              <w:autoSpaceDE w:val="0"/>
              <w:adjustRightInd w:val="0"/>
              <w:spacing w:line="400" w:lineRule="exact"/>
              <w:jc w:val="center"/>
              <w:rPr>
                <w:b/>
                <w:kern w:val="0"/>
              </w:rPr>
            </w:pPr>
            <w:r>
              <w:rPr>
                <w:b/>
                <w:kern w:val="0"/>
              </w:rPr>
              <w:t>监测方法</w:t>
            </w:r>
          </w:p>
        </w:tc>
        <w:tc>
          <w:tcPr>
            <w:tcW w:w="1354" w:type="dxa"/>
            <w:noWrap/>
            <w:vAlign w:val="center"/>
          </w:tcPr>
          <w:p>
            <w:pPr>
              <w:topLinePunct/>
              <w:autoSpaceDE w:val="0"/>
              <w:adjustRightInd w:val="0"/>
              <w:spacing w:line="400" w:lineRule="exact"/>
              <w:jc w:val="center"/>
              <w:rPr>
                <w:b/>
                <w:kern w:val="0"/>
              </w:rPr>
            </w:pPr>
            <w:r>
              <w:rPr>
                <w:b/>
                <w:kern w:val="0"/>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62" w:type="dxa"/>
            <w:noWrap/>
            <w:vAlign w:val="center"/>
          </w:tcPr>
          <w:p>
            <w:pPr>
              <w:topLinePunct/>
              <w:autoSpaceDE w:val="0"/>
              <w:adjustRightInd w:val="0"/>
              <w:spacing w:line="400" w:lineRule="exact"/>
              <w:jc w:val="center"/>
              <w:rPr>
                <w:kern w:val="0"/>
              </w:rPr>
            </w:pPr>
            <w:r>
              <w:rPr>
                <w:kern w:val="0"/>
              </w:rPr>
              <w:t>1</w:t>
            </w:r>
          </w:p>
        </w:tc>
        <w:tc>
          <w:tcPr>
            <w:tcW w:w="1034" w:type="dxa"/>
            <w:noWrap/>
            <w:vAlign w:val="center"/>
          </w:tcPr>
          <w:p>
            <w:pPr>
              <w:jc w:val="center"/>
              <w:rPr>
                <w:szCs w:val="21"/>
              </w:rPr>
            </w:pPr>
            <w:r>
              <w:rPr>
                <w:szCs w:val="21"/>
              </w:rPr>
              <w:t>东厂界</w:t>
            </w:r>
          </w:p>
        </w:tc>
        <w:tc>
          <w:tcPr>
            <w:tcW w:w="1276" w:type="dxa"/>
            <w:vMerge w:val="restart"/>
            <w:noWrap/>
            <w:vAlign w:val="center"/>
          </w:tcPr>
          <w:p>
            <w:pPr>
              <w:topLinePunct/>
              <w:autoSpaceDE w:val="0"/>
              <w:adjustRightInd w:val="0"/>
              <w:spacing w:line="400" w:lineRule="exact"/>
              <w:jc w:val="center"/>
              <w:rPr>
                <w:kern w:val="0"/>
              </w:rPr>
            </w:pPr>
            <w:r>
              <w:rPr>
                <w:kern w:val="0"/>
              </w:rPr>
              <w:t>厂界</w:t>
            </w:r>
          </w:p>
        </w:tc>
        <w:tc>
          <w:tcPr>
            <w:tcW w:w="851" w:type="dxa"/>
            <w:vMerge w:val="restart"/>
            <w:noWrap/>
            <w:vAlign w:val="center"/>
          </w:tcPr>
          <w:p>
            <w:pPr>
              <w:topLinePunct/>
              <w:autoSpaceDE w:val="0"/>
              <w:adjustRightInd w:val="0"/>
              <w:spacing w:line="400" w:lineRule="exact"/>
              <w:jc w:val="center"/>
              <w:rPr>
                <w:kern w:val="0"/>
              </w:rPr>
            </w:pPr>
            <w:r>
              <w:rPr>
                <w:kern w:val="0"/>
              </w:rPr>
              <w:t>场界噪声值</w:t>
            </w:r>
          </w:p>
        </w:tc>
        <w:tc>
          <w:tcPr>
            <w:tcW w:w="1134" w:type="dxa"/>
            <w:vMerge w:val="restart"/>
            <w:noWrap/>
            <w:vAlign w:val="center"/>
          </w:tcPr>
          <w:p>
            <w:pPr>
              <w:topLinePunct/>
              <w:autoSpaceDE w:val="0"/>
              <w:adjustRightInd w:val="0"/>
              <w:spacing w:line="400" w:lineRule="exact"/>
              <w:jc w:val="center"/>
              <w:rPr>
                <w:kern w:val="0"/>
              </w:rPr>
            </w:pPr>
            <w:r>
              <w:rPr>
                <w:kern w:val="0"/>
              </w:rPr>
              <w:t>连续等效A声级</w:t>
            </w:r>
            <w:r>
              <w:rPr>
                <w:sz w:val="24"/>
              </w:rPr>
              <w:t>LAeq</w:t>
            </w:r>
          </w:p>
        </w:tc>
        <w:tc>
          <w:tcPr>
            <w:tcW w:w="1186" w:type="dxa"/>
            <w:vMerge w:val="restart"/>
            <w:noWrap/>
            <w:vAlign w:val="center"/>
          </w:tcPr>
          <w:p>
            <w:pPr>
              <w:topLinePunct/>
              <w:autoSpaceDE w:val="0"/>
              <w:adjustRightInd w:val="0"/>
              <w:spacing w:line="400" w:lineRule="exact"/>
              <w:jc w:val="center"/>
              <w:rPr>
                <w:kern w:val="0"/>
              </w:rPr>
            </w:pPr>
            <w:r>
              <w:rPr>
                <w:kern w:val="0"/>
              </w:rPr>
              <w:t>连续监测两天，每天昼夜各1次</w:t>
            </w:r>
          </w:p>
        </w:tc>
        <w:tc>
          <w:tcPr>
            <w:tcW w:w="1223" w:type="dxa"/>
            <w:vMerge w:val="restart"/>
            <w:noWrap/>
            <w:vAlign w:val="center"/>
          </w:tcPr>
          <w:p>
            <w:pPr>
              <w:topLinePunct/>
              <w:autoSpaceDE w:val="0"/>
              <w:adjustRightInd w:val="0"/>
              <w:spacing w:line="400" w:lineRule="exact"/>
              <w:jc w:val="center"/>
              <w:rPr>
                <w:kern w:val="0"/>
              </w:rPr>
            </w:pPr>
            <w:r>
              <w:rPr>
                <w:kern w:val="0"/>
              </w:rPr>
              <w:t>按GB12348-</w:t>
            </w:r>
          </w:p>
          <w:p>
            <w:pPr>
              <w:topLinePunct/>
              <w:autoSpaceDE w:val="0"/>
              <w:adjustRightInd w:val="0"/>
              <w:spacing w:line="400" w:lineRule="exact"/>
              <w:jc w:val="center"/>
              <w:rPr>
                <w:kern w:val="0"/>
              </w:rPr>
            </w:pPr>
            <w:r>
              <w:rPr>
                <w:kern w:val="0"/>
              </w:rPr>
              <w:t>2008执行</w:t>
            </w:r>
          </w:p>
        </w:tc>
        <w:tc>
          <w:tcPr>
            <w:tcW w:w="1354" w:type="dxa"/>
            <w:vMerge w:val="restart"/>
            <w:noWrap/>
            <w:vAlign w:val="center"/>
          </w:tcPr>
          <w:p>
            <w:pPr>
              <w:topLinePunct/>
              <w:autoSpaceDE w:val="0"/>
              <w:adjustRightInd w:val="0"/>
              <w:spacing w:line="400" w:lineRule="exact"/>
              <w:jc w:val="center"/>
              <w:rPr>
                <w:rFonts w:hint="default"/>
                <w:kern w:val="0"/>
                <w:lang w:val="en-US"/>
              </w:rPr>
            </w:pPr>
            <w:r>
              <w:rPr>
                <w:szCs w:val="21"/>
              </w:rPr>
              <w:t>河南</w:t>
            </w:r>
            <w:r>
              <w:rPr>
                <w:rFonts w:hint="eastAsia"/>
                <w:szCs w:val="21"/>
                <w:lang w:val="en-US" w:eastAsia="zh-CN"/>
              </w:rPr>
              <w:t>金诺源环境</w:t>
            </w:r>
            <w:r>
              <w:rPr>
                <w:szCs w:val="21"/>
              </w:rPr>
              <w:t>检测有限公司</w:t>
            </w:r>
            <w:r>
              <w:rPr>
                <w:kern w:val="0"/>
              </w:rPr>
              <w:t>，20</w:t>
            </w:r>
            <w:r>
              <w:rPr>
                <w:rFonts w:hint="eastAsia"/>
                <w:kern w:val="0"/>
                <w:lang w:val="en-US" w:eastAsia="zh-CN"/>
              </w:rPr>
              <w:t>20</w:t>
            </w:r>
            <w:r>
              <w:rPr>
                <w:kern w:val="0"/>
              </w:rPr>
              <w:t>年</w:t>
            </w:r>
            <w:r>
              <w:rPr>
                <w:rFonts w:hint="eastAsia"/>
                <w:kern w:val="0"/>
                <w:lang w:val="en-US" w:eastAsia="zh-CN"/>
              </w:rPr>
              <w:t>3</w:t>
            </w:r>
            <w:r>
              <w:rPr>
                <w:kern w:val="0"/>
              </w:rPr>
              <w:t>月</w:t>
            </w:r>
            <w:r>
              <w:rPr>
                <w:rFonts w:hint="eastAsia"/>
                <w:kern w:val="0"/>
                <w:lang w:val="en-US" w:eastAsia="zh-CN"/>
              </w:rPr>
              <w:t>1日~2日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62" w:type="dxa"/>
            <w:noWrap/>
            <w:vAlign w:val="center"/>
          </w:tcPr>
          <w:p>
            <w:pPr>
              <w:topLinePunct/>
              <w:autoSpaceDE w:val="0"/>
              <w:adjustRightInd w:val="0"/>
              <w:spacing w:line="400" w:lineRule="exact"/>
              <w:jc w:val="center"/>
              <w:rPr>
                <w:kern w:val="0"/>
              </w:rPr>
            </w:pPr>
            <w:r>
              <w:rPr>
                <w:kern w:val="0"/>
              </w:rPr>
              <w:t>2</w:t>
            </w:r>
          </w:p>
        </w:tc>
        <w:tc>
          <w:tcPr>
            <w:tcW w:w="1034" w:type="dxa"/>
            <w:noWrap/>
            <w:vAlign w:val="center"/>
          </w:tcPr>
          <w:p>
            <w:pPr>
              <w:jc w:val="center"/>
              <w:rPr>
                <w:szCs w:val="21"/>
              </w:rPr>
            </w:pPr>
            <w:r>
              <w:rPr>
                <w:szCs w:val="21"/>
              </w:rPr>
              <w:t>西厂界</w:t>
            </w:r>
          </w:p>
        </w:tc>
        <w:tc>
          <w:tcPr>
            <w:tcW w:w="1276" w:type="dxa"/>
            <w:vMerge w:val="continue"/>
            <w:noWrap/>
            <w:vAlign w:val="center"/>
          </w:tcPr>
          <w:p>
            <w:pPr>
              <w:topLinePunct/>
              <w:autoSpaceDE w:val="0"/>
              <w:adjustRightInd w:val="0"/>
              <w:spacing w:line="400" w:lineRule="exact"/>
              <w:jc w:val="center"/>
              <w:rPr>
                <w:kern w:val="0"/>
              </w:rPr>
            </w:pPr>
          </w:p>
        </w:tc>
        <w:tc>
          <w:tcPr>
            <w:tcW w:w="851" w:type="dxa"/>
            <w:vMerge w:val="continue"/>
            <w:noWrap/>
            <w:vAlign w:val="center"/>
          </w:tcPr>
          <w:p>
            <w:pPr>
              <w:topLinePunct/>
              <w:autoSpaceDE w:val="0"/>
              <w:adjustRightInd w:val="0"/>
              <w:spacing w:line="400" w:lineRule="exact"/>
              <w:jc w:val="center"/>
              <w:rPr>
                <w:kern w:val="0"/>
              </w:rPr>
            </w:pPr>
          </w:p>
        </w:tc>
        <w:tc>
          <w:tcPr>
            <w:tcW w:w="1134" w:type="dxa"/>
            <w:vMerge w:val="continue"/>
            <w:noWrap/>
            <w:vAlign w:val="center"/>
          </w:tcPr>
          <w:p>
            <w:pPr>
              <w:topLinePunct/>
              <w:autoSpaceDE w:val="0"/>
              <w:adjustRightInd w:val="0"/>
              <w:spacing w:line="400" w:lineRule="exact"/>
              <w:jc w:val="center"/>
              <w:rPr>
                <w:kern w:val="0"/>
              </w:rPr>
            </w:pPr>
          </w:p>
        </w:tc>
        <w:tc>
          <w:tcPr>
            <w:tcW w:w="1186" w:type="dxa"/>
            <w:vMerge w:val="continue"/>
            <w:noWrap/>
            <w:vAlign w:val="center"/>
          </w:tcPr>
          <w:p>
            <w:pPr>
              <w:topLinePunct/>
              <w:autoSpaceDE w:val="0"/>
              <w:adjustRightInd w:val="0"/>
              <w:spacing w:line="400" w:lineRule="exact"/>
              <w:jc w:val="center"/>
              <w:rPr>
                <w:kern w:val="0"/>
              </w:rPr>
            </w:pPr>
          </w:p>
        </w:tc>
        <w:tc>
          <w:tcPr>
            <w:tcW w:w="1223" w:type="dxa"/>
            <w:vMerge w:val="continue"/>
            <w:noWrap/>
            <w:vAlign w:val="center"/>
          </w:tcPr>
          <w:p>
            <w:pPr>
              <w:topLinePunct/>
              <w:autoSpaceDE w:val="0"/>
              <w:adjustRightInd w:val="0"/>
              <w:spacing w:line="400" w:lineRule="exact"/>
              <w:jc w:val="center"/>
              <w:rPr>
                <w:kern w:val="0"/>
              </w:rPr>
            </w:pPr>
          </w:p>
        </w:tc>
        <w:tc>
          <w:tcPr>
            <w:tcW w:w="1354" w:type="dxa"/>
            <w:vMerge w:val="continue"/>
            <w:noWrap/>
            <w:vAlign w:val="center"/>
          </w:tcPr>
          <w:p>
            <w:pPr>
              <w:topLinePunct/>
              <w:autoSpaceDE w:val="0"/>
              <w:adjustRightInd w:val="0"/>
              <w:spacing w:line="400" w:lineRule="exact"/>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62" w:type="dxa"/>
            <w:noWrap/>
            <w:vAlign w:val="center"/>
          </w:tcPr>
          <w:p>
            <w:pPr>
              <w:topLinePunct/>
              <w:autoSpaceDE w:val="0"/>
              <w:adjustRightInd w:val="0"/>
              <w:spacing w:line="400" w:lineRule="exact"/>
              <w:jc w:val="center"/>
              <w:rPr>
                <w:kern w:val="0"/>
              </w:rPr>
            </w:pPr>
            <w:r>
              <w:rPr>
                <w:kern w:val="0"/>
              </w:rPr>
              <w:t>3</w:t>
            </w:r>
          </w:p>
        </w:tc>
        <w:tc>
          <w:tcPr>
            <w:tcW w:w="1034" w:type="dxa"/>
            <w:noWrap/>
            <w:vAlign w:val="center"/>
          </w:tcPr>
          <w:p>
            <w:pPr>
              <w:jc w:val="center"/>
              <w:rPr>
                <w:szCs w:val="21"/>
              </w:rPr>
            </w:pPr>
            <w:r>
              <w:rPr>
                <w:szCs w:val="21"/>
              </w:rPr>
              <w:t>南厂界</w:t>
            </w:r>
          </w:p>
        </w:tc>
        <w:tc>
          <w:tcPr>
            <w:tcW w:w="1276" w:type="dxa"/>
            <w:vMerge w:val="continue"/>
            <w:noWrap/>
            <w:vAlign w:val="center"/>
          </w:tcPr>
          <w:p>
            <w:pPr>
              <w:topLinePunct/>
              <w:autoSpaceDE w:val="0"/>
              <w:adjustRightInd w:val="0"/>
              <w:spacing w:line="400" w:lineRule="exact"/>
              <w:jc w:val="center"/>
              <w:rPr>
                <w:kern w:val="0"/>
              </w:rPr>
            </w:pPr>
          </w:p>
        </w:tc>
        <w:tc>
          <w:tcPr>
            <w:tcW w:w="851" w:type="dxa"/>
            <w:vMerge w:val="continue"/>
            <w:noWrap/>
            <w:vAlign w:val="center"/>
          </w:tcPr>
          <w:p>
            <w:pPr>
              <w:topLinePunct/>
              <w:autoSpaceDE w:val="0"/>
              <w:adjustRightInd w:val="0"/>
              <w:spacing w:line="400" w:lineRule="exact"/>
              <w:jc w:val="center"/>
              <w:rPr>
                <w:kern w:val="0"/>
              </w:rPr>
            </w:pPr>
          </w:p>
        </w:tc>
        <w:tc>
          <w:tcPr>
            <w:tcW w:w="1134" w:type="dxa"/>
            <w:vMerge w:val="continue"/>
            <w:noWrap/>
            <w:vAlign w:val="center"/>
          </w:tcPr>
          <w:p>
            <w:pPr>
              <w:topLinePunct/>
              <w:autoSpaceDE w:val="0"/>
              <w:adjustRightInd w:val="0"/>
              <w:spacing w:line="400" w:lineRule="exact"/>
              <w:jc w:val="center"/>
              <w:rPr>
                <w:kern w:val="0"/>
              </w:rPr>
            </w:pPr>
          </w:p>
        </w:tc>
        <w:tc>
          <w:tcPr>
            <w:tcW w:w="1186" w:type="dxa"/>
            <w:vMerge w:val="continue"/>
            <w:noWrap/>
            <w:vAlign w:val="center"/>
          </w:tcPr>
          <w:p>
            <w:pPr>
              <w:topLinePunct/>
              <w:autoSpaceDE w:val="0"/>
              <w:adjustRightInd w:val="0"/>
              <w:spacing w:line="400" w:lineRule="exact"/>
              <w:jc w:val="center"/>
              <w:rPr>
                <w:kern w:val="0"/>
              </w:rPr>
            </w:pPr>
          </w:p>
        </w:tc>
        <w:tc>
          <w:tcPr>
            <w:tcW w:w="1223" w:type="dxa"/>
            <w:vMerge w:val="continue"/>
            <w:noWrap/>
            <w:vAlign w:val="center"/>
          </w:tcPr>
          <w:p>
            <w:pPr>
              <w:topLinePunct/>
              <w:autoSpaceDE w:val="0"/>
              <w:adjustRightInd w:val="0"/>
              <w:spacing w:line="400" w:lineRule="exact"/>
              <w:jc w:val="center"/>
              <w:rPr>
                <w:kern w:val="0"/>
              </w:rPr>
            </w:pPr>
          </w:p>
        </w:tc>
        <w:tc>
          <w:tcPr>
            <w:tcW w:w="1354" w:type="dxa"/>
            <w:vMerge w:val="continue"/>
            <w:noWrap/>
            <w:vAlign w:val="center"/>
          </w:tcPr>
          <w:p>
            <w:pPr>
              <w:topLinePunct/>
              <w:autoSpaceDE w:val="0"/>
              <w:adjustRightInd w:val="0"/>
              <w:spacing w:line="400" w:lineRule="exact"/>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noWrap/>
            <w:vAlign w:val="center"/>
          </w:tcPr>
          <w:p>
            <w:pPr>
              <w:topLinePunct/>
              <w:autoSpaceDE w:val="0"/>
              <w:adjustRightInd w:val="0"/>
              <w:spacing w:line="400" w:lineRule="exact"/>
              <w:jc w:val="center"/>
              <w:rPr>
                <w:kern w:val="0"/>
              </w:rPr>
            </w:pPr>
            <w:r>
              <w:rPr>
                <w:kern w:val="0"/>
              </w:rPr>
              <w:t>4</w:t>
            </w:r>
          </w:p>
        </w:tc>
        <w:tc>
          <w:tcPr>
            <w:tcW w:w="1034" w:type="dxa"/>
            <w:noWrap/>
            <w:vAlign w:val="center"/>
          </w:tcPr>
          <w:p>
            <w:pPr>
              <w:jc w:val="center"/>
              <w:rPr>
                <w:szCs w:val="21"/>
              </w:rPr>
            </w:pPr>
            <w:r>
              <w:rPr>
                <w:szCs w:val="21"/>
              </w:rPr>
              <w:t>北厂界</w:t>
            </w:r>
          </w:p>
        </w:tc>
        <w:tc>
          <w:tcPr>
            <w:tcW w:w="1276" w:type="dxa"/>
            <w:vMerge w:val="continue"/>
            <w:noWrap/>
            <w:vAlign w:val="center"/>
          </w:tcPr>
          <w:p>
            <w:pPr>
              <w:topLinePunct/>
              <w:autoSpaceDE w:val="0"/>
              <w:adjustRightInd w:val="0"/>
              <w:spacing w:line="400" w:lineRule="exact"/>
              <w:jc w:val="center"/>
              <w:rPr>
                <w:kern w:val="0"/>
              </w:rPr>
            </w:pPr>
          </w:p>
        </w:tc>
        <w:tc>
          <w:tcPr>
            <w:tcW w:w="851" w:type="dxa"/>
            <w:vMerge w:val="continue"/>
            <w:noWrap/>
            <w:vAlign w:val="center"/>
          </w:tcPr>
          <w:p>
            <w:pPr>
              <w:topLinePunct/>
              <w:autoSpaceDE w:val="0"/>
              <w:adjustRightInd w:val="0"/>
              <w:spacing w:line="400" w:lineRule="exact"/>
              <w:jc w:val="center"/>
              <w:rPr>
                <w:kern w:val="0"/>
              </w:rPr>
            </w:pPr>
          </w:p>
        </w:tc>
        <w:tc>
          <w:tcPr>
            <w:tcW w:w="1134" w:type="dxa"/>
            <w:vMerge w:val="continue"/>
            <w:noWrap/>
            <w:vAlign w:val="center"/>
          </w:tcPr>
          <w:p>
            <w:pPr>
              <w:topLinePunct/>
              <w:autoSpaceDE w:val="0"/>
              <w:adjustRightInd w:val="0"/>
              <w:spacing w:line="400" w:lineRule="exact"/>
              <w:jc w:val="center"/>
              <w:rPr>
                <w:kern w:val="0"/>
              </w:rPr>
            </w:pPr>
          </w:p>
        </w:tc>
        <w:tc>
          <w:tcPr>
            <w:tcW w:w="1186" w:type="dxa"/>
            <w:vMerge w:val="continue"/>
            <w:noWrap/>
            <w:vAlign w:val="center"/>
          </w:tcPr>
          <w:p>
            <w:pPr>
              <w:topLinePunct/>
              <w:autoSpaceDE w:val="0"/>
              <w:adjustRightInd w:val="0"/>
              <w:spacing w:line="400" w:lineRule="exact"/>
              <w:jc w:val="center"/>
              <w:rPr>
                <w:kern w:val="0"/>
              </w:rPr>
            </w:pPr>
          </w:p>
        </w:tc>
        <w:tc>
          <w:tcPr>
            <w:tcW w:w="1223" w:type="dxa"/>
            <w:vMerge w:val="continue"/>
            <w:noWrap/>
            <w:vAlign w:val="center"/>
          </w:tcPr>
          <w:p>
            <w:pPr>
              <w:topLinePunct/>
              <w:autoSpaceDE w:val="0"/>
              <w:adjustRightInd w:val="0"/>
              <w:spacing w:line="400" w:lineRule="exact"/>
              <w:jc w:val="center"/>
              <w:rPr>
                <w:kern w:val="0"/>
              </w:rPr>
            </w:pPr>
          </w:p>
        </w:tc>
        <w:tc>
          <w:tcPr>
            <w:tcW w:w="1354" w:type="dxa"/>
            <w:vMerge w:val="continue"/>
            <w:noWrap/>
            <w:vAlign w:val="center"/>
          </w:tcPr>
          <w:p>
            <w:pPr>
              <w:topLinePunct/>
              <w:autoSpaceDE w:val="0"/>
              <w:adjustRightInd w:val="0"/>
              <w:spacing w:line="400" w:lineRule="exact"/>
              <w:jc w:val="center"/>
              <w:rPr>
                <w:kern w:val="0"/>
              </w:rPr>
            </w:pPr>
          </w:p>
        </w:tc>
      </w:tr>
    </w:tbl>
    <w:p>
      <w:pPr>
        <w:adjustRightInd w:val="0"/>
        <w:snapToGrid w:val="0"/>
        <w:spacing w:line="600" w:lineRule="exact"/>
        <w:jc w:val="left"/>
        <w:outlineLvl w:val="3"/>
        <w:rPr>
          <w:rFonts w:hint="eastAsia"/>
          <w:b w:val="0"/>
          <w:bCs w:val="0"/>
          <w:color w:val="000000" w:themeColor="text1"/>
          <w:sz w:val="24"/>
          <w:u w:val="none"/>
          <w:lang w:val="en-US" w:eastAsia="zh-CN"/>
        </w:rPr>
      </w:pPr>
      <w:bookmarkStart w:id="229" w:name="_Toc406663013"/>
      <w:bookmarkStart w:id="230" w:name="_Toc413829646"/>
      <w:r>
        <w:rPr>
          <w:rFonts w:hint="eastAsia"/>
          <w:b w:val="0"/>
          <w:bCs w:val="0"/>
          <w:color w:val="000000" w:themeColor="text1"/>
          <w:sz w:val="24"/>
          <w:u w:val="none"/>
          <w:lang w:val="en-US" w:eastAsia="zh-CN"/>
        </w:rPr>
        <w:t>3.3.4.2评价标准</w:t>
      </w:r>
      <w:bookmarkEnd w:id="229"/>
      <w:bookmarkEnd w:id="230"/>
    </w:p>
    <w:p>
      <w:pPr>
        <w:adjustRightInd w:val="0"/>
        <w:snapToGrid w:val="0"/>
        <w:spacing w:line="500" w:lineRule="exact"/>
        <w:ind w:firstLine="480" w:firstLineChars="200"/>
        <w:rPr>
          <w:b/>
          <w:bCs/>
          <w:color w:val="000000" w:themeColor="text1"/>
          <w:kern w:val="0"/>
          <w:szCs w:val="21"/>
        </w:rPr>
      </w:pPr>
      <w:bookmarkStart w:id="231" w:name="_Toc413829647"/>
      <w:bookmarkStart w:id="232" w:name="_Toc406663014"/>
      <w:r>
        <w:rPr>
          <w:bCs/>
          <w:color w:val="000000" w:themeColor="text1"/>
          <w:sz w:val="24"/>
        </w:rPr>
        <w:t>本次声环境质量现状评价执行《声环境质量标准》（GB3096-2008）中2类标准，具体见表</w:t>
      </w:r>
      <w:r>
        <w:rPr>
          <w:rFonts w:hint="eastAsia"/>
          <w:bCs/>
          <w:color w:val="000000" w:themeColor="text1"/>
          <w:sz w:val="24"/>
          <w:lang w:val="en-US" w:eastAsia="zh-CN"/>
        </w:rPr>
        <w:t>3.3-14</w:t>
      </w:r>
      <w:r>
        <w:rPr>
          <w:bCs/>
          <w:color w:val="000000" w:themeColor="text1"/>
          <w:sz w:val="24"/>
        </w:rPr>
        <w:t>。</w:t>
      </w:r>
    </w:p>
    <w:p>
      <w:pPr>
        <w:widowControl/>
        <w:snapToGrid w:val="0"/>
        <w:spacing w:beforeLines="50" w:afterLines="50"/>
        <w:ind w:firstLine="422" w:firstLineChars="200"/>
        <w:jc w:val="center"/>
        <w:rPr>
          <w:b/>
          <w:bCs/>
          <w:color w:val="000000" w:themeColor="text1"/>
          <w:kern w:val="0"/>
          <w:szCs w:val="21"/>
        </w:rPr>
      </w:pPr>
      <w:r>
        <w:rPr>
          <w:b/>
          <w:bCs/>
          <w:color w:val="000000" w:themeColor="text1"/>
          <w:kern w:val="0"/>
          <w:szCs w:val="21"/>
        </w:rPr>
        <w:t>表</w:t>
      </w:r>
      <w:r>
        <w:rPr>
          <w:rFonts w:hint="eastAsia"/>
          <w:b/>
          <w:bCs/>
          <w:color w:val="000000" w:themeColor="text1"/>
          <w:kern w:val="0"/>
          <w:szCs w:val="21"/>
          <w:lang w:val="en-US" w:eastAsia="zh-CN"/>
        </w:rPr>
        <w:t>3.3-14</w:t>
      </w:r>
      <w:r>
        <w:rPr>
          <w:b/>
          <w:bCs/>
          <w:color w:val="000000" w:themeColor="text1"/>
          <w:kern w:val="0"/>
          <w:szCs w:val="21"/>
        </w:rPr>
        <w:t xml:space="preserve">  声环境质量现状评价标准单位：dB(A)</w:t>
      </w:r>
    </w:p>
    <w:tbl>
      <w:tblPr>
        <w:tblStyle w:val="45"/>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906"/>
        <w:gridCol w:w="2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907"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pacing w:line="320" w:lineRule="exact"/>
              <w:jc w:val="center"/>
              <w:rPr>
                <w:b/>
                <w:color w:val="000000" w:themeColor="text1"/>
                <w:kern w:val="0"/>
              </w:rPr>
            </w:pPr>
            <w:r>
              <w:rPr>
                <w:b/>
                <w:color w:val="000000" w:themeColor="text1"/>
                <w:kern w:val="0"/>
              </w:rPr>
              <w:t>项目</w:t>
            </w:r>
          </w:p>
        </w:tc>
        <w:tc>
          <w:tcPr>
            <w:tcW w:w="29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320" w:lineRule="exact"/>
              <w:jc w:val="center"/>
              <w:rPr>
                <w:b/>
                <w:color w:val="000000" w:themeColor="text1"/>
                <w:kern w:val="0"/>
              </w:rPr>
            </w:pPr>
            <w:r>
              <w:rPr>
                <w:b/>
                <w:color w:val="000000" w:themeColor="text1"/>
                <w:kern w:val="0"/>
              </w:rPr>
              <w:t>昼间</w:t>
            </w:r>
          </w:p>
        </w:tc>
        <w:tc>
          <w:tcPr>
            <w:tcW w:w="2907"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pacing w:line="320" w:lineRule="exact"/>
              <w:jc w:val="center"/>
              <w:rPr>
                <w:b/>
                <w:color w:val="000000" w:themeColor="text1"/>
                <w:kern w:val="0"/>
              </w:rPr>
            </w:pPr>
            <w:r>
              <w:rPr>
                <w:b/>
                <w:color w:val="000000" w:themeColor="text1"/>
                <w:kern w:val="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907"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color w:val="000000" w:themeColor="text1"/>
              </w:rPr>
            </w:pPr>
            <w:r>
              <w:rPr>
                <w:color w:val="000000" w:themeColor="text1"/>
              </w:rPr>
              <w:t>2类标准限值</w:t>
            </w:r>
          </w:p>
        </w:tc>
        <w:tc>
          <w:tcPr>
            <w:tcW w:w="2906"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color w:val="000000" w:themeColor="text1"/>
              </w:rPr>
            </w:pPr>
            <w:r>
              <w:rPr>
                <w:color w:val="000000" w:themeColor="text1"/>
              </w:rPr>
              <w:t>60</w:t>
            </w:r>
          </w:p>
        </w:tc>
        <w:tc>
          <w:tcPr>
            <w:tcW w:w="2907"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color w:val="000000" w:themeColor="text1"/>
              </w:rPr>
            </w:pPr>
            <w:r>
              <w:rPr>
                <w:color w:val="000000" w:themeColor="text1"/>
              </w:rPr>
              <w:t>50</w:t>
            </w:r>
          </w:p>
        </w:tc>
      </w:tr>
    </w:tbl>
    <w:p>
      <w:pPr>
        <w:adjustRightInd w:val="0"/>
        <w:snapToGrid w:val="0"/>
        <w:spacing w:line="600" w:lineRule="exact"/>
        <w:jc w:val="left"/>
        <w:outlineLvl w:val="3"/>
        <w:rPr>
          <w:rFonts w:hint="eastAsia"/>
          <w:b w:val="0"/>
          <w:bCs w:val="0"/>
          <w:color w:val="000000" w:themeColor="text1"/>
          <w:sz w:val="24"/>
          <w:u w:val="none"/>
          <w:lang w:val="en-US" w:eastAsia="zh-CN"/>
        </w:rPr>
      </w:pPr>
      <w:r>
        <w:rPr>
          <w:rFonts w:hint="eastAsia"/>
          <w:b w:val="0"/>
          <w:bCs w:val="0"/>
          <w:color w:val="000000" w:themeColor="text1"/>
          <w:sz w:val="24"/>
          <w:u w:val="none"/>
          <w:lang w:val="en-US" w:eastAsia="zh-CN"/>
        </w:rPr>
        <w:t>3.3.4.3监测结果</w:t>
      </w:r>
      <w:bookmarkEnd w:id="231"/>
      <w:bookmarkEnd w:id="232"/>
    </w:p>
    <w:p>
      <w:pPr>
        <w:autoSpaceDE w:val="0"/>
        <w:autoSpaceDN w:val="0"/>
        <w:adjustRightInd w:val="0"/>
        <w:spacing w:line="520" w:lineRule="exact"/>
        <w:ind w:firstLine="424" w:firstLineChars="177"/>
        <w:jc w:val="left"/>
        <w:rPr>
          <w:b/>
          <w:color w:val="000000" w:themeColor="text1"/>
          <w:sz w:val="24"/>
        </w:rPr>
      </w:pPr>
      <w:r>
        <w:rPr>
          <w:color w:val="000000" w:themeColor="text1"/>
          <w:sz w:val="24"/>
        </w:rPr>
        <w:t>监测结果见表</w:t>
      </w:r>
      <w:r>
        <w:rPr>
          <w:rFonts w:hint="eastAsia"/>
          <w:color w:val="000000" w:themeColor="text1"/>
          <w:sz w:val="24"/>
          <w:lang w:val="en-US" w:eastAsia="zh-CN"/>
        </w:rPr>
        <w:t>3.3-15</w:t>
      </w:r>
      <w:r>
        <w:rPr>
          <w:color w:val="000000" w:themeColor="text1"/>
          <w:sz w:val="24"/>
        </w:rPr>
        <w:t>。</w:t>
      </w:r>
    </w:p>
    <w:p>
      <w:pPr>
        <w:topLinePunct/>
        <w:autoSpaceDE w:val="0"/>
        <w:spacing w:beforeLines="30"/>
        <w:ind w:firstLine="484" w:firstLineChars="201"/>
        <w:jc w:val="center"/>
        <w:rPr>
          <w:b/>
          <w:kern w:val="0"/>
          <w:szCs w:val="21"/>
        </w:rPr>
      </w:pPr>
      <w:r>
        <w:rPr>
          <w:b/>
          <w:color w:val="000000" w:themeColor="text1"/>
          <w:sz w:val="24"/>
        </w:rPr>
        <w:t>表</w:t>
      </w:r>
      <w:r>
        <w:rPr>
          <w:rFonts w:hint="eastAsia"/>
          <w:b/>
          <w:color w:val="000000" w:themeColor="text1"/>
          <w:sz w:val="24"/>
          <w:lang w:val="en-US" w:eastAsia="zh-CN"/>
        </w:rPr>
        <w:t>3.3-15</w:t>
      </w:r>
      <w:r>
        <w:rPr>
          <w:b/>
          <w:kern w:val="0"/>
          <w:szCs w:val="21"/>
        </w:rPr>
        <w:t xml:space="preserve">  声环境现状监测结果统计表单位：dB(A)</w:t>
      </w:r>
    </w:p>
    <w:tbl>
      <w:tblPr>
        <w:tblStyle w:val="45"/>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0"/>
        <w:gridCol w:w="2180"/>
        <w:gridCol w:w="21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180" w:type="dxa"/>
            <w:noWrap/>
            <w:vAlign w:val="center"/>
          </w:tcPr>
          <w:p>
            <w:pPr>
              <w:topLinePunct/>
              <w:spacing w:line="400" w:lineRule="exact"/>
              <w:jc w:val="center"/>
              <w:rPr>
                <w:b/>
              </w:rPr>
            </w:pPr>
            <w:r>
              <w:rPr>
                <w:b/>
              </w:rPr>
              <w:t>监测点位</w:t>
            </w:r>
          </w:p>
        </w:tc>
        <w:tc>
          <w:tcPr>
            <w:tcW w:w="2180" w:type="dxa"/>
            <w:noWrap/>
            <w:vAlign w:val="center"/>
          </w:tcPr>
          <w:p>
            <w:pPr>
              <w:topLinePunct/>
              <w:spacing w:line="400" w:lineRule="exact"/>
              <w:jc w:val="center"/>
              <w:rPr>
                <w:b/>
              </w:rPr>
            </w:pPr>
            <w:r>
              <w:rPr>
                <w:b/>
              </w:rPr>
              <w:t>昼间</w:t>
            </w:r>
          </w:p>
        </w:tc>
        <w:tc>
          <w:tcPr>
            <w:tcW w:w="2180" w:type="dxa"/>
            <w:noWrap/>
            <w:vAlign w:val="center"/>
          </w:tcPr>
          <w:p>
            <w:pPr>
              <w:topLinePunct/>
              <w:spacing w:line="400" w:lineRule="exact"/>
              <w:jc w:val="center"/>
              <w:rPr>
                <w:b/>
              </w:rPr>
            </w:pPr>
            <w:r>
              <w:rPr>
                <w:b/>
              </w:rPr>
              <w:t>夜间</w:t>
            </w:r>
          </w:p>
        </w:tc>
        <w:tc>
          <w:tcPr>
            <w:tcW w:w="2180" w:type="dxa"/>
            <w:noWrap/>
            <w:vAlign w:val="center"/>
          </w:tcPr>
          <w:p>
            <w:pPr>
              <w:topLinePunct/>
              <w:spacing w:line="400" w:lineRule="exact"/>
              <w:jc w:val="center"/>
              <w:rPr>
                <w:b/>
              </w:rPr>
            </w:pPr>
            <w:r>
              <w:rPr>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0" w:type="dxa"/>
            <w:noWrap/>
            <w:vAlign w:val="center"/>
          </w:tcPr>
          <w:p>
            <w:pPr>
              <w:jc w:val="center"/>
              <w:rPr>
                <w:szCs w:val="21"/>
              </w:rPr>
            </w:pPr>
            <w:r>
              <w:rPr>
                <w:szCs w:val="21"/>
              </w:rPr>
              <w:t>东厂界</w:t>
            </w:r>
          </w:p>
        </w:tc>
        <w:tc>
          <w:tcPr>
            <w:tcW w:w="2180" w:type="dxa"/>
            <w:noWrap/>
            <w:vAlign w:val="center"/>
          </w:tcPr>
          <w:p>
            <w:pPr>
              <w:topLinePunct/>
              <w:spacing w:line="400" w:lineRule="exact"/>
              <w:jc w:val="center"/>
            </w:pPr>
            <w:r>
              <w:rPr>
                <w:rFonts w:hint="eastAsia"/>
                <w:lang w:val="en-US" w:eastAsia="zh-CN"/>
              </w:rPr>
              <w:t>51.2~51.8</w:t>
            </w:r>
          </w:p>
        </w:tc>
        <w:tc>
          <w:tcPr>
            <w:tcW w:w="2180" w:type="dxa"/>
            <w:noWrap/>
            <w:vAlign w:val="center"/>
          </w:tcPr>
          <w:p>
            <w:pPr>
              <w:topLinePunct/>
              <w:spacing w:line="400" w:lineRule="exact"/>
              <w:jc w:val="center"/>
            </w:pPr>
            <w:r>
              <w:rPr>
                <w:rFonts w:hint="eastAsia"/>
                <w:lang w:val="en-US" w:eastAsia="zh-CN"/>
              </w:rPr>
              <w:t>41.9~42.4</w:t>
            </w:r>
          </w:p>
        </w:tc>
        <w:tc>
          <w:tcPr>
            <w:tcW w:w="2180" w:type="dxa"/>
            <w:noWrap/>
            <w:vAlign w:val="center"/>
          </w:tcPr>
          <w:p>
            <w:pPr>
              <w:topLinePunct/>
              <w:spacing w:line="400" w:lineRule="exact"/>
              <w:jc w:val="cente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0" w:type="dxa"/>
            <w:noWrap/>
            <w:vAlign w:val="center"/>
          </w:tcPr>
          <w:p>
            <w:pPr>
              <w:jc w:val="center"/>
              <w:rPr>
                <w:szCs w:val="21"/>
              </w:rPr>
            </w:pPr>
            <w:r>
              <w:rPr>
                <w:szCs w:val="21"/>
              </w:rPr>
              <w:t>西厂界</w:t>
            </w:r>
          </w:p>
        </w:tc>
        <w:tc>
          <w:tcPr>
            <w:tcW w:w="2180" w:type="dxa"/>
            <w:noWrap/>
            <w:vAlign w:val="center"/>
          </w:tcPr>
          <w:p>
            <w:pPr>
              <w:topLinePunct/>
              <w:spacing w:line="400" w:lineRule="exact"/>
              <w:jc w:val="center"/>
            </w:pPr>
            <w:r>
              <w:rPr>
                <w:rFonts w:hint="eastAsia"/>
                <w:lang w:val="en-US" w:eastAsia="zh-CN"/>
              </w:rPr>
              <w:t>50.7~53</w:t>
            </w:r>
          </w:p>
        </w:tc>
        <w:tc>
          <w:tcPr>
            <w:tcW w:w="2180" w:type="dxa"/>
            <w:noWrap/>
            <w:vAlign w:val="center"/>
          </w:tcPr>
          <w:p>
            <w:pPr>
              <w:topLinePunct/>
              <w:spacing w:line="400" w:lineRule="exact"/>
              <w:jc w:val="center"/>
            </w:pPr>
            <w:r>
              <w:rPr>
                <w:rFonts w:hint="eastAsia"/>
                <w:lang w:val="en-US" w:eastAsia="zh-CN"/>
              </w:rPr>
              <w:t>41.5~41.9</w:t>
            </w:r>
          </w:p>
        </w:tc>
        <w:tc>
          <w:tcPr>
            <w:tcW w:w="2180" w:type="dxa"/>
            <w:noWrap/>
            <w:vAlign w:val="center"/>
          </w:tcPr>
          <w:p>
            <w:pPr>
              <w:topLinePunct/>
              <w:spacing w:line="400" w:lineRule="exact"/>
              <w:jc w:val="cente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0" w:type="dxa"/>
            <w:noWrap/>
            <w:vAlign w:val="center"/>
          </w:tcPr>
          <w:p>
            <w:pPr>
              <w:jc w:val="center"/>
              <w:rPr>
                <w:szCs w:val="21"/>
              </w:rPr>
            </w:pPr>
            <w:r>
              <w:rPr>
                <w:szCs w:val="21"/>
              </w:rPr>
              <w:t>南厂界</w:t>
            </w:r>
          </w:p>
        </w:tc>
        <w:tc>
          <w:tcPr>
            <w:tcW w:w="2180" w:type="dxa"/>
            <w:noWrap/>
            <w:vAlign w:val="center"/>
          </w:tcPr>
          <w:p>
            <w:pPr>
              <w:topLinePunct/>
              <w:spacing w:line="400" w:lineRule="exact"/>
              <w:jc w:val="center"/>
            </w:pPr>
            <w:r>
              <w:rPr>
                <w:rFonts w:hint="eastAsia"/>
                <w:lang w:val="en-US" w:eastAsia="zh-CN"/>
              </w:rPr>
              <w:t>53.4</w:t>
            </w:r>
          </w:p>
        </w:tc>
        <w:tc>
          <w:tcPr>
            <w:tcW w:w="2180" w:type="dxa"/>
            <w:noWrap/>
            <w:vAlign w:val="center"/>
          </w:tcPr>
          <w:p>
            <w:pPr>
              <w:topLinePunct/>
              <w:spacing w:line="400" w:lineRule="exact"/>
              <w:jc w:val="center"/>
            </w:pPr>
            <w:r>
              <w:rPr>
                <w:rFonts w:hint="eastAsia"/>
                <w:lang w:val="en-US" w:eastAsia="zh-CN"/>
              </w:rPr>
              <w:t>41.8~42.9</w:t>
            </w:r>
          </w:p>
        </w:tc>
        <w:tc>
          <w:tcPr>
            <w:tcW w:w="2180" w:type="dxa"/>
            <w:noWrap/>
            <w:vAlign w:val="center"/>
          </w:tcPr>
          <w:p>
            <w:pPr>
              <w:topLinePunct/>
              <w:spacing w:line="400" w:lineRule="exact"/>
              <w:jc w:val="cente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0" w:type="dxa"/>
            <w:noWrap/>
            <w:vAlign w:val="center"/>
          </w:tcPr>
          <w:p>
            <w:pPr>
              <w:jc w:val="center"/>
              <w:rPr>
                <w:szCs w:val="21"/>
              </w:rPr>
            </w:pPr>
            <w:r>
              <w:rPr>
                <w:szCs w:val="21"/>
              </w:rPr>
              <w:t>北厂界</w:t>
            </w:r>
          </w:p>
        </w:tc>
        <w:tc>
          <w:tcPr>
            <w:tcW w:w="2180" w:type="dxa"/>
            <w:noWrap/>
            <w:vAlign w:val="center"/>
          </w:tcPr>
          <w:p>
            <w:pPr>
              <w:topLinePunct/>
              <w:spacing w:line="400" w:lineRule="exact"/>
              <w:jc w:val="center"/>
            </w:pPr>
            <w:r>
              <w:rPr>
                <w:rFonts w:hint="eastAsia"/>
                <w:lang w:val="en-US" w:eastAsia="zh-CN"/>
              </w:rPr>
              <w:t>51~51.6</w:t>
            </w:r>
          </w:p>
        </w:tc>
        <w:tc>
          <w:tcPr>
            <w:tcW w:w="2180" w:type="dxa"/>
            <w:noWrap/>
            <w:vAlign w:val="center"/>
          </w:tcPr>
          <w:p>
            <w:pPr>
              <w:topLinePunct/>
              <w:spacing w:line="400" w:lineRule="exact"/>
              <w:jc w:val="center"/>
            </w:pPr>
            <w:r>
              <w:rPr>
                <w:rFonts w:hint="eastAsia"/>
                <w:lang w:val="en-US" w:eastAsia="zh-CN"/>
              </w:rPr>
              <w:t>41.3~41.9</w:t>
            </w:r>
          </w:p>
        </w:tc>
        <w:tc>
          <w:tcPr>
            <w:tcW w:w="2180" w:type="dxa"/>
            <w:noWrap/>
            <w:vAlign w:val="center"/>
          </w:tcPr>
          <w:p>
            <w:pPr>
              <w:topLinePunct/>
              <w:spacing w:line="400" w:lineRule="exact"/>
              <w:jc w:val="center"/>
            </w:pPr>
            <w:r>
              <w:rPr>
                <w:szCs w:val="21"/>
              </w:rPr>
              <w:t>厂界</w:t>
            </w:r>
          </w:p>
        </w:tc>
      </w:tr>
    </w:tbl>
    <w:p>
      <w:pPr>
        <w:autoSpaceDE w:val="0"/>
        <w:autoSpaceDN w:val="0"/>
        <w:adjustRightInd w:val="0"/>
        <w:spacing w:line="520" w:lineRule="exact"/>
        <w:ind w:firstLine="352" w:firstLineChars="147"/>
        <w:jc w:val="left"/>
        <w:rPr>
          <w:color w:val="000000" w:themeColor="text1"/>
          <w:sz w:val="24"/>
        </w:rPr>
      </w:pPr>
      <w:r>
        <w:rPr>
          <w:color w:val="000000" w:themeColor="text1"/>
          <w:sz w:val="24"/>
        </w:rPr>
        <w:t>由表</w:t>
      </w:r>
      <w:r>
        <w:rPr>
          <w:rFonts w:hint="eastAsia"/>
          <w:color w:val="000000" w:themeColor="text1"/>
          <w:sz w:val="24"/>
          <w:lang w:val="en-US" w:eastAsia="zh-CN"/>
        </w:rPr>
        <w:t>3.3-15</w:t>
      </w:r>
      <w:r>
        <w:rPr>
          <w:color w:val="000000" w:themeColor="text1"/>
          <w:sz w:val="24"/>
        </w:rPr>
        <w:t>的监测结果可知，</w:t>
      </w:r>
      <w:r>
        <w:rPr>
          <w:sz w:val="24"/>
        </w:rPr>
        <w:t>场址四周场界昼、夜噪声监测值均可以满足《声环境质量标准》(GB3096-2008)2类标准要求。</w:t>
      </w:r>
    </w:p>
    <w:p>
      <w:pPr>
        <w:pStyle w:val="6"/>
        <w:spacing w:before="0" w:after="0" w:line="520" w:lineRule="exact"/>
        <w:rPr>
          <w:rFonts w:eastAsia="黑体"/>
          <w:bCs w:val="0"/>
          <w:color w:val="000000" w:themeColor="text1"/>
          <w:sz w:val="24"/>
          <w:szCs w:val="24"/>
        </w:rPr>
      </w:pPr>
      <w:bookmarkStart w:id="233" w:name="_Toc413829648"/>
      <w:bookmarkStart w:id="234" w:name="_Toc406663015"/>
      <w:bookmarkStart w:id="235" w:name="_Toc468366616"/>
      <w:r>
        <w:rPr>
          <w:rFonts w:hint="eastAsia" w:eastAsia="黑体"/>
          <w:bCs w:val="0"/>
          <w:color w:val="000000" w:themeColor="text1"/>
          <w:sz w:val="24"/>
          <w:szCs w:val="24"/>
          <w:lang w:val="en-US" w:eastAsia="zh-CN"/>
        </w:rPr>
        <w:t>3</w:t>
      </w:r>
      <w:r>
        <w:rPr>
          <w:rFonts w:eastAsia="黑体"/>
          <w:bCs w:val="0"/>
          <w:color w:val="000000" w:themeColor="text1"/>
          <w:sz w:val="24"/>
          <w:szCs w:val="24"/>
        </w:rPr>
        <w:t>.3.5土壤现状监测与评价</w:t>
      </w:r>
      <w:bookmarkEnd w:id="233"/>
      <w:bookmarkEnd w:id="234"/>
      <w:bookmarkEnd w:id="235"/>
    </w:p>
    <w:p>
      <w:pPr>
        <w:adjustRightInd w:val="0"/>
        <w:snapToGrid w:val="0"/>
        <w:spacing w:line="600" w:lineRule="exact"/>
        <w:jc w:val="left"/>
        <w:outlineLvl w:val="3"/>
        <w:rPr>
          <w:rFonts w:hint="eastAsia"/>
          <w:b w:val="0"/>
          <w:bCs w:val="0"/>
          <w:color w:val="000000" w:themeColor="text1"/>
          <w:sz w:val="24"/>
          <w:u w:val="none"/>
          <w:lang w:val="en-US" w:eastAsia="zh-CN"/>
        </w:rPr>
      </w:pPr>
      <w:bookmarkStart w:id="236" w:name="_Toc413829649"/>
      <w:bookmarkStart w:id="237" w:name="_Toc406663016"/>
      <w:r>
        <w:rPr>
          <w:rFonts w:hint="eastAsia"/>
          <w:b w:val="0"/>
          <w:bCs w:val="0"/>
          <w:color w:val="000000" w:themeColor="text1"/>
          <w:sz w:val="24"/>
          <w:u w:val="none"/>
          <w:lang w:val="en-US" w:eastAsia="zh-CN"/>
        </w:rPr>
        <w:t>3.3.5.1监测布点、因子及监测时间</w:t>
      </w:r>
      <w:bookmarkEnd w:id="236"/>
      <w:bookmarkEnd w:id="237"/>
    </w:p>
    <w:p>
      <w:pPr>
        <w:topLinePunct/>
        <w:autoSpaceDE w:val="0"/>
        <w:spacing w:line="480" w:lineRule="exact"/>
        <w:ind w:firstLine="484" w:firstLineChars="202"/>
        <w:jc w:val="left"/>
        <w:rPr>
          <w:sz w:val="24"/>
        </w:rPr>
      </w:pPr>
      <w:bookmarkStart w:id="238" w:name="_Toc406663017"/>
      <w:bookmarkStart w:id="239" w:name="_Toc413829650"/>
      <w:r>
        <w:rPr>
          <w:kern w:val="0"/>
          <w:sz w:val="24"/>
        </w:rPr>
        <w:t>监测布点：根据项目工程及排污特点，本次评价设2个土壤监测点，</w:t>
      </w:r>
      <w:r>
        <w:rPr>
          <w:sz w:val="24"/>
        </w:rPr>
        <w:t>为项目厂区、沼液消纳区。</w:t>
      </w:r>
    </w:p>
    <w:p>
      <w:pPr>
        <w:topLinePunct/>
        <w:autoSpaceDE w:val="0"/>
        <w:spacing w:line="480" w:lineRule="exact"/>
        <w:ind w:firstLine="484" w:firstLineChars="202"/>
        <w:jc w:val="left"/>
        <w:rPr>
          <w:kern w:val="0"/>
          <w:sz w:val="24"/>
        </w:rPr>
      </w:pPr>
      <w:r>
        <w:rPr>
          <w:kern w:val="0"/>
          <w:sz w:val="24"/>
        </w:rPr>
        <w:t>监测因子：</w:t>
      </w:r>
      <w:r>
        <w:rPr>
          <w:rFonts w:hint="eastAsia" w:ascii="宋体" w:hAnsi="宋体"/>
          <w:sz w:val="24"/>
          <w:lang w:val="en-US" w:eastAsia="zh-CN"/>
        </w:rPr>
        <w:t>PH、</w:t>
      </w:r>
      <w:r>
        <w:rPr>
          <w:rFonts w:hint="eastAsia" w:ascii="宋体" w:hAnsi="宋体"/>
          <w:sz w:val="24"/>
        </w:rPr>
        <w:t>镉、汞、砷、铅、铬、铜、镍</w:t>
      </w:r>
      <w:r>
        <w:rPr>
          <w:rFonts w:hint="eastAsia" w:ascii="宋体" w:hAnsi="宋体"/>
          <w:sz w:val="24"/>
          <w:lang w:eastAsia="zh-CN"/>
        </w:rPr>
        <w:t>、</w:t>
      </w:r>
      <w:r>
        <w:rPr>
          <w:rFonts w:hint="eastAsia" w:ascii="宋体" w:hAnsi="宋体"/>
          <w:sz w:val="24"/>
          <w:lang w:val="en-US" w:eastAsia="zh-CN"/>
        </w:rPr>
        <w:t>锌</w:t>
      </w:r>
      <w:r>
        <w:rPr>
          <w:sz w:val="24"/>
        </w:rPr>
        <w:t>。</w:t>
      </w:r>
    </w:p>
    <w:p>
      <w:pPr>
        <w:topLinePunct/>
        <w:autoSpaceDE w:val="0"/>
        <w:spacing w:line="480" w:lineRule="exact"/>
        <w:ind w:firstLine="484" w:firstLineChars="202"/>
        <w:jc w:val="left"/>
        <w:rPr>
          <w:kern w:val="0"/>
          <w:sz w:val="24"/>
        </w:rPr>
      </w:pPr>
      <w:r>
        <w:rPr>
          <w:kern w:val="0"/>
          <w:sz w:val="24"/>
        </w:rPr>
        <w:t>监测时间：</w:t>
      </w:r>
      <w:r>
        <w:rPr>
          <w:rFonts w:ascii="Times New Roman" w:hAnsi="Times New Roman"/>
          <w:color w:val="000000"/>
          <w:kern w:val="0"/>
          <w:sz w:val="24"/>
          <w:szCs w:val="24"/>
        </w:rPr>
        <w:t>2019年</w:t>
      </w:r>
      <w:r>
        <w:rPr>
          <w:rFonts w:hint="eastAsia" w:ascii="Times New Roman" w:hAnsi="Times New Roman"/>
          <w:color w:val="000000"/>
          <w:kern w:val="0"/>
          <w:sz w:val="24"/>
          <w:szCs w:val="24"/>
        </w:rPr>
        <w:t>12</w:t>
      </w:r>
      <w:r>
        <w:rPr>
          <w:rFonts w:ascii="Times New Roman" w:hAnsi="Times New Roman"/>
          <w:color w:val="000000"/>
          <w:kern w:val="0"/>
          <w:sz w:val="24"/>
          <w:szCs w:val="24"/>
        </w:rPr>
        <w:t>月</w:t>
      </w:r>
      <w:r>
        <w:rPr>
          <w:rFonts w:hint="eastAsia" w:ascii="Times New Roman" w:hAnsi="Times New Roman"/>
          <w:color w:val="000000"/>
          <w:kern w:val="0"/>
          <w:sz w:val="24"/>
          <w:szCs w:val="24"/>
        </w:rPr>
        <w:t>19</w:t>
      </w:r>
      <w:r>
        <w:rPr>
          <w:kern w:val="0"/>
          <w:sz w:val="24"/>
        </w:rPr>
        <w:t>日进行监测。</w:t>
      </w:r>
    </w:p>
    <w:p>
      <w:pPr>
        <w:adjustRightInd w:val="0"/>
        <w:snapToGrid w:val="0"/>
        <w:spacing w:line="600" w:lineRule="exact"/>
        <w:jc w:val="left"/>
        <w:outlineLvl w:val="3"/>
        <w:rPr>
          <w:rFonts w:hint="eastAsia"/>
          <w:b w:val="0"/>
          <w:bCs w:val="0"/>
          <w:color w:val="000000" w:themeColor="text1"/>
          <w:sz w:val="24"/>
          <w:u w:val="none"/>
          <w:lang w:val="en-US" w:eastAsia="zh-CN"/>
        </w:rPr>
      </w:pPr>
      <w:r>
        <w:rPr>
          <w:rFonts w:hint="eastAsia"/>
          <w:b w:val="0"/>
          <w:bCs w:val="0"/>
          <w:color w:val="000000" w:themeColor="text1"/>
          <w:sz w:val="24"/>
          <w:u w:val="none"/>
          <w:lang w:val="en-US" w:eastAsia="zh-CN"/>
        </w:rPr>
        <w:t>3.3.5.2评价标准及方法</w:t>
      </w:r>
      <w:bookmarkEnd w:id="238"/>
      <w:bookmarkEnd w:id="239"/>
    </w:p>
    <w:p>
      <w:pPr>
        <w:spacing w:line="500" w:lineRule="exact"/>
        <w:ind w:firstLine="600" w:firstLineChars="250"/>
        <w:rPr>
          <w:bCs/>
          <w:sz w:val="24"/>
        </w:rPr>
      </w:pPr>
      <w:r>
        <w:rPr>
          <w:bCs/>
          <w:sz w:val="24"/>
        </w:rPr>
        <w:t>土壤现状中各监测因子执行《土壤环境质量农用地土壤污染风险管控标准》（GB15618-2018）标准。见表</w:t>
      </w:r>
      <w:r>
        <w:rPr>
          <w:rFonts w:hint="eastAsia"/>
          <w:bCs/>
          <w:sz w:val="24"/>
          <w:lang w:val="en-US" w:eastAsia="zh-CN"/>
        </w:rPr>
        <w:t>3.3-16</w:t>
      </w:r>
      <w:r>
        <w:rPr>
          <w:bCs/>
          <w:sz w:val="24"/>
        </w:rPr>
        <w:t>。</w:t>
      </w:r>
    </w:p>
    <w:p>
      <w:pPr>
        <w:spacing w:afterLines="30" w:line="500" w:lineRule="exact"/>
        <w:jc w:val="center"/>
        <w:rPr>
          <w:b/>
          <w:sz w:val="24"/>
        </w:rPr>
      </w:pPr>
      <w:r>
        <w:rPr>
          <w:b/>
          <w:sz w:val="24"/>
        </w:rPr>
        <w:t>表</w:t>
      </w:r>
      <w:r>
        <w:rPr>
          <w:rFonts w:hint="eastAsia"/>
          <w:b/>
          <w:sz w:val="24"/>
          <w:lang w:val="en-US" w:eastAsia="zh-CN"/>
        </w:rPr>
        <w:t>3.3-16</w:t>
      </w:r>
      <w:r>
        <w:rPr>
          <w:b/>
          <w:sz w:val="24"/>
        </w:rPr>
        <w:t xml:space="preserve">  农用地土壤污染风险筛选值（基本项目） </w:t>
      </w:r>
      <w:r>
        <w:rPr>
          <w:b/>
          <w:szCs w:val="21"/>
        </w:rPr>
        <w:t>（单位：mg/kg）</w:t>
      </w:r>
    </w:p>
    <w:tbl>
      <w:tblPr>
        <w:tblStyle w:val="45"/>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53"/>
        <w:gridCol w:w="992"/>
        <w:gridCol w:w="993"/>
        <w:gridCol w:w="992"/>
        <w:gridCol w:w="1559"/>
        <w:gridCol w:w="1856"/>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vMerge w:val="restart"/>
            <w:tcMar>
              <w:top w:w="0" w:type="dxa"/>
              <w:left w:w="108" w:type="dxa"/>
              <w:bottom w:w="0" w:type="dxa"/>
              <w:right w:w="108" w:type="dxa"/>
            </w:tcMar>
            <w:vAlign w:val="center"/>
          </w:tcPr>
          <w:p>
            <w:pPr>
              <w:jc w:val="center"/>
              <w:rPr>
                <w:b/>
                <w:bCs/>
                <w:szCs w:val="21"/>
              </w:rPr>
            </w:pPr>
            <w:r>
              <w:rPr>
                <w:b/>
                <w:bCs/>
                <w:szCs w:val="21"/>
              </w:rPr>
              <w:t>序号</w:t>
            </w:r>
          </w:p>
        </w:tc>
        <w:tc>
          <w:tcPr>
            <w:tcW w:w="1985" w:type="dxa"/>
            <w:gridSpan w:val="2"/>
            <w:vMerge w:val="restart"/>
            <w:tcMar>
              <w:top w:w="0" w:type="dxa"/>
              <w:left w:w="108" w:type="dxa"/>
              <w:bottom w:w="0" w:type="dxa"/>
              <w:right w:w="108" w:type="dxa"/>
            </w:tcMar>
            <w:vAlign w:val="center"/>
          </w:tcPr>
          <w:p>
            <w:pPr>
              <w:jc w:val="center"/>
              <w:rPr>
                <w:b/>
                <w:bCs/>
                <w:szCs w:val="21"/>
              </w:rPr>
            </w:pPr>
            <w:r>
              <w:rPr>
                <w:b/>
                <w:bCs/>
                <w:szCs w:val="21"/>
              </w:rPr>
              <w:t>污染物项目</w:t>
            </w:r>
            <w:r>
              <w:rPr>
                <w:b/>
                <w:bCs/>
                <w:szCs w:val="21"/>
              </w:rPr>
              <w:fldChar w:fldCharType="begin"/>
            </w:r>
            <w:r>
              <w:rPr>
                <w:b/>
                <w:bCs/>
                <w:szCs w:val="21"/>
              </w:rPr>
              <w:instrText xml:space="preserve"> = 1 \* GB3 </w:instrText>
            </w:r>
            <w:r>
              <w:rPr>
                <w:b/>
                <w:bCs/>
                <w:szCs w:val="21"/>
              </w:rPr>
              <w:fldChar w:fldCharType="separate"/>
            </w:r>
            <w:r>
              <w:rPr>
                <w:rFonts w:hint="eastAsia" w:ascii="宋体" w:hAnsi="宋体" w:cs="宋体"/>
                <w:b/>
                <w:bCs/>
                <w:szCs w:val="21"/>
              </w:rPr>
              <w:t>①</w:t>
            </w:r>
            <w:r>
              <w:rPr>
                <w:b/>
                <w:bCs/>
                <w:szCs w:val="21"/>
              </w:rPr>
              <w:fldChar w:fldCharType="end"/>
            </w:r>
            <w:r>
              <w:rPr>
                <w:b/>
                <w:bCs/>
                <w:szCs w:val="21"/>
              </w:rPr>
              <w:fldChar w:fldCharType="begin"/>
            </w:r>
            <w:r>
              <w:rPr>
                <w:b/>
                <w:bCs/>
                <w:szCs w:val="21"/>
              </w:rPr>
              <w:instrText xml:space="preserve"> = 2 \* GB3 </w:instrText>
            </w:r>
            <w:r>
              <w:rPr>
                <w:b/>
                <w:bCs/>
                <w:szCs w:val="21"/>
              </w:rPr>
              <w:fldChar w:fldCharType="separate"/>
            </w:r>
            <w:r>
              <w:rPr>
                <w:rFonts w:hint="eastAsia" w:ascii="宋体" w:hAnsi="宋体" w:cs="宋体"/>
                <w:b/>
                <w:bCs/>
                <w:szCs w:val="21"/>
              </w:rPr>
              <w:t>②</w:t>
            </w:r>
            <w:r>
              <w:rPr>
                <w:b/>
                <w:bCs/>
                <w:szCs w:val="21"/>
              </w:rPr>
              <w:fldChar w:fldCharType="end"/>
            </w:r>
          </w:p>
        </w:tc>
        <w:tc>
          <w:tcPr>
            <w:tcW w:w="6263" w:type="dxa"/>
            <w:gridSpan w:val="4"/>
            <w:tcMar>
              <w:top w:w="0" w:type="dxa"/>
              <w:left w:w="108" w:type="dxa"/>
              <w:bottom w:w="0" w:type="dxa"/>
              <w:right w:w="108" w:type="dxa"/>
            </w:tcMar>
            <w:vAlign w:val="center"/>
          </w:tcPr>
          <w:p>
            <w:pPr>
              <w:jc w:val="center"/>
              <w:rPr>
                <w:b/>
                <w:bCs/>
                <w:szCs w:val="21"/>
              </w:rPr>
            </w:pPr>
            <w:r>
              <w:rPr>
                <w:b/>
                <w:bCs/>
                <w:szCs w:val="21"/>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vMerge w:val="continue"/>
            <w:tcMar>
              <w:top w:w="0" w:type="dxa"/>
              <w:left w:w="108" w:type="dxa"/>
              <w:bottom w:w="0" w:type="dxa"/>
              <w:right w:w="108" w:type="dxa"/>
            </w:tcMar>
            <w:vAlign w:val="center"/>
          </w:tcPr>
          <w:p>
            <w:pPr>
              <w:jc w:val="center"/>
              <w:rPr>
                <w:b/>
                <w:bCs/>
                <w:szCs w:val="21"/>
              </w:rPr>
            </w:pPr>
          </w:p>
        </w:tc>
        <w:tc>
          <w:tcPr>
            <w:tcW w:w="1985" w:type="dxa"/>
            <w:gridSpan w:val="2"/>
            <w:vMerge w:val="continue"/>
            <w:tcMar>
              <w:top w:w="0" w:type="dxa"/>
              <w:left w:w="108" w:type="dxa"/>
              <w:bottom w:w="0" w:type="dxa"/>
              <w:right w:w="108" w:type="dxa"/>
            </w:tcMar>
            <w:vAlign w:val="center"/>
          </w:tcPr>
          <w:p>
            <w:pPr>
              <w:jc w:val="center"/>
              <w:rPr>
                <w:b/>
                <w:bCs/>
                <w:szCs w:val="21"/>
              </w:rPr>
            </w:pPr>
          </w:p>
        </w:tc>
        <w:tc>
          <w:tcPr>
            <w:tcW w:w="992" w:type="dxa"/>
            <w:tcMar>
              <w:top w:w="0" w:type="dxa"/>
              <w:left w:w="108" w:type="dxa"/>
              <w:bottom w:w="0" w:type="dxa"/>
              <w:right w:w="108" w:type="dxa"/>
            </w:tcMar>
            <w:vAlign w:val="center"/>
          </w:tcPr>
          <w:p>
            <w:pPr>
              <w:jc w:val="center"/>
              <w:rPr>
                <w:b/>
                <w:bCs/>
                <w:szCs w:val="21"/>
              </w:rPr>
            </w:pPr>
            <w:r>
              <w:rPr>
                <w:b/>
                <w:bCs/>
                <w:szCs w:val="21"/>
              </w:rPr>
              <w:t>PH≤5.5</w:t>
            </w:r>
          </w:p>
        </w:tc>
        <w:tc>
          <w:tcPr>
            <w:tcW w:w="1559" w:type="dxa"/>
            <w:vAlign w:val="center"/>
          </w:tcPr>
          <w:p>
            <w:pPr>
              <w:jc w:val="center"/>
              <w:rPr>
                <w:b/>
                <w:bCs/>
                <w:szCs w:val="21"/>
              </w:rPr>
            </w:pPr>
            <w:r>
              <w:rPr>
                <w:b/>
                <w:bCs/>
                <w:szCs w:val="21"/>
              </w:rPr>
              <w:t>5.5＜PH≤6.5</w:t>
            </w:r>
          </w:p>
        </w:tc>
        <w:tc>
          <w:tcPr>
            <w:tcW w:w="1856" w:type="dxa"/>
            <w:vAlign w:val="center"/>
          </w:tcPr>
          <w:p>
            <w:pPr>
              <w:jc w:val="center"/>
              <w:rPr>
                <w:b/>
                <w:bCs/>
                <w:szCs w:val="21"/>
              </w:rPr>
            </w:pPr>
            <w:r>
              <w:rPr>
                <w:b/>
                <w:bCs/>
                <w:szCs w:val="21"/>
              </w:rPr>
              <w:t>6.5＜PH≤7.5</w:t>
            </w:r>
          </w:p>
        </w:tc>
        <w:tc>
          <w:tcPr>
            <w:tcW w:w="1856" w:type="dxa"/>
            <w:vAlign w:val="center"/>
          </w:tcPr>
          <w:p>
            <w:pPr>
              <w:jc w:val="center"/>
              <w:rPr>
                <w:b/>
                <w:bCs/>
                <w:szCs w:val="21"/>
              </w:rPr>
            </w:pPr>
            <w:r>
              <w:rPr>
                <w:b/>
                <w:bCs/>
                <w:szCs w:val="21"/>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1</w:t>
            </w:r>
          </w:p>
        </w:tc>
        <w:tc>
          <w:tcPr>
            <w:tcW w:w="992" w:type="dxa"/>
            <w:tcMar>
              <w:top w:w="0" w:type="dxa"/>
              <w:left w:w="108" w:type="dxa"/>
              <w:bottom w:w="0" w:type="dxa"/>
              <w:right w:w="108" w:type="dxa"/>
            </w:tcMar>
            <w:vAlign w:val="center"/>
          </w:tcPr>
          <w:p>
            <w:pPr>
              <w:jc w:val="center"/>
              <w:rPr>
                <w:szCs w:val="21"/>
              </w:rPr>
            </w:pPr>
            <w:r>
              <w:rPr>
                <w:szCs w:val="21"/>
              </w:rPr>
              <w:t>镉</w:t>
            </w:r>
          </w:p>
        </w:tc>
        <w:tc>
          <w:tcPr>
            <w:tcW w:w="993" w:type="dxa"/>
            <w:tcMar>
              <w:top w:w="0" w:type="dxa"/>
              <w:left w:w="108" w:type="dxa"/>
              <w:bottom w:w="0" w:type="dxa"/>
              <w:right w:w="108" w:type="dxa"/>
            </w:tcMar>
            <w:vAlign w:val="center"/>
          </w:tcPr>
          <w:p>
            <w:pPr>
              <w:jc w:val="center"/>
              <w:rPr>
                <w:szCs w:val="21"/>
              </w:rPr>
            </w:pPr>
            <w:r>
              <w:rPr>
                <w:szCs w:val="21"/>
              </w:rPr>
              <w:t>其他</w:t>
            </w:r>
          </w:p>
        </w:tc>
        <w:tc>
          <w:tcPr>
            <w:tcW w:w="992" w:type="dxa"/>
            <w:tcMar>
              <w:top w:w="0" w:type="dxa"/>
              <w:left w:w="108" w:type="dxa"/>
              <w:bottom w:w="0" w:type="dxa"/>
              <w:right w:w="108" w:type="dxa"/>
            </w:tcMar>
            <w:vAlign w:val="center"/>
          </w:tcPr>
          <w:p>
            <w:pPr>
              <w:jc w:val="center"/>
              <w:rPr>
                <w:szCs w:val="21"/>
              </w:rPr>
            </w:pPr>
            <w:r>
              <w:rPr>
                <w:szCs w:val="21"/>
              </w:rPr>
              <w:t>0.3</w:t>
            </w:r>
          </w:p>
        </w:tc>
        <w:tc>
          <w:tcPr>
            <w:tcW w:w="1559" w:type="dxa"/>
            <w:tcMar>
              <w:top w:w="0" w:type="dxa"/>
              <w:left w:w="108" w:type="dxa"/>
              <w:bottom w:w="0" w:type="dxa"/>
              <w:right w:w="108" w:type="dxa"/>
            </w:tcMar>
            <w:vAlign w:val="center"/>
          </w:tcPr>
          <w:p>
            <w:pPr>
              <w:jc w:val="center"/>
              <w:rPr>
                <w:szCs w:val="21"/>
              </w:rPr>
            </w:pPr>
            <w:r>
              <w:rPr>
                <w:szCs w:val="21"/>
              </w:rPr>
              <w:t>0.3</w:t>
            </w:r>
          </w:p>
        </w:tc>
        <w:tc>
          <w:tcPr>
            <w:tcW w:w="1856" w:type="dxa"/>
            <w:tcMar>
              <w:top w:w="0" w:type="dxa"/>
              <w:left w:w="108" w:type="dxa"/>
              <w:bottom w:w="0" w:type="dxa"/>
              <w:right w:w="108" w:type="dxa"/>
            </w:tcMar>
            <w:vAlign w:val="center"/>
          </w:tcPr>
          <w:p>
            <w:pPr>
              <w:jc w:val="center"/>
              <w:rPr>
                <w:szCs w:val="21"/>
              </w:rPr>
            </w:pPr>
            <w:r>
              <w:rPr>
                <w:szCs w:val="21"/>
              </w:rPr>
              <w:t>0.3</w:t>
            </w:r>
          </w:p>
        </w:tc>
        <w:tc>
          <w:tcPr>
            <w:tcW w:w="1856" w:type="dxa"/>
            <w:vAlign w:val="center"/>
          </w:tcPr>
          <w:p>
            <w:pPr>
              <w:jc w:val="center"/>
              <w:rPr>
                <w:szCs w:val="21"/>
              </w:rPr>
            </w:pPr>
            <w:r>
              <w:rPr>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2</w:t>
            </w:r>
          </w:p>
        </w:tc>
        <w:tc>
          <w:tcPr>
            <w:tcW w:w="992" w:type="dxa"/>
            <w:tcMar>
              <w:top w:w="0" w:type="dxa"/>
              <w:left w:w="108" w:type="dxa"/>
              <w:bottom w:w="0" w:type="dxa"/>
              <w:right w:w="108" w:type="dxa"/>
            </w:tcMar>
            <w:vAlign w:val="center"/>
          </w:tcPr>
          <w:p>
            <w:pPr>
              <w:jc w:val="center"/>
              <w:rPr>
                <w:szCs w:val="21"/>
              </w:rPr>
            </w:pPr>
            <w:r>
              <w:rPr>
                <w:szCs w:val="21"/>
              </w:rPr>
              <w:t>汞</w:t>
            </w:r>
          </w:p>
        </w:tc>
        <w:tc>
          <w:tcPr>
            <w:tcW w:w="993" w:type="dxa"/>
            <w:tcMar>
              <w:top w:w="0" w:type="dxa"/>
              <w:left w:w="108" w:type="dxa"/>
              <w:bottom w:w="0" w:type="dxa"/>
              <w:right w:w="108" w:type="dxa"/>
            </w:tcMar>
            <w:vAlign w:val="center"/>
          </w:tcPr>
          <w:p>
            <w:pPr>
              <w:jc w:val="center"/>
              <w:rPr>
                <w:szCs w:val="21"/>
              </w:rPr>
            </w:pPr>
            <w:r>
              <w:rPr>
                <w:szCs w:val="21"/>
              </w:rPr>
              <w:t>其他</w:t>
            </w:r>
          </w:p>
        </w:tc>
        <w:tc>
          <w:tcPr>
            <w:tcW w:w="992" w:type="dxa"/>
            <w:tcMar>
              <w:top w:w="0" w:type="dxa"/>
              <w:left w:w="108" w:type="dxa"/>
              <w:bottom w:w="0" w:type="dxa"/>
              <w:right w:w="108" w:type="dxa"/>
            </w:tcMar>
            <w:vAlign w:val="center"/>
          </w:tcPr>
          <w:p>
            <w:pPr>
              <w:jc w:val="center"/>
              <w:rPr>
                <w:szCs w:val="21"/>
              </w:rPr>
            </w:pPr>
            <w:r>
              <w:rPr>
                <w:szCs w:val="21"/>
              </w:rPr>
              <w:t>1.3</w:t>
            </w:r>
          </w:p>
        </w:tc>
        <w:tc>
          <w:tcPr>
            <w:tcW w:w="1559" w:type="dxa"/>
            <w:tcMar>
              <w:top w:w="0" w:type="dxa"/>
              <w:left w:w="108" w:type="dxa"/>
              <w:bottom w:w="0" w:type="dxa"/>
              <w:right w:w="108" w:type="dxa"/>
            </w:tcMar>
            <w:vAlign w:val="center"/>
          </w:tcPr>
          <w:p>
            <w:pPr>
              <w:jc w:val="center"/>
              <w:rPr>
                <w:szCs w:val="21"/>
              </w:rPr>
            </w:pPr>
            <w:r>
              <w:rPr>
                <w:szCs w:val="21"/>
              </w:rPr>
              <w:t>1.8</w:t>
            </w:r>
          </w:p>
        </w:tc>
        <w:tc>
          <w:tcPr>
            <w:tcW w:w="1856" w:type="dxa"/>
            <w:tcMar>
              <w:top w:w="0" w:type="dxa"/>
              <w:left w:w="108" w:type="dxa"/>
              <w:bottom w:w="0" w:type="dxa"/>
              <w:right w:w="108" w:type="dxa"/>
            </w:tcMar>
            <w:vAlign w:val="center"/>
          </w:tcPr>
          <w:p>
            <w:pPr>
              <w:jc w:val="center"/>
              <w:rPr>
                <w:szCs w:val="21"/>
              </w:rPr>
            </w:pPr>
            <w:r>
              <w:rPr>
                <w:szCs w:val="21"/>
              </w:rPr>
              <w:t>2.4</w:t>
            </w:r>
          </w:p>
        </w:tc>
        <w:tc>
          <w:tcPr>
            <w:tcW w:w="1856" w:type="dxa"/>
            <w:vAlign w:val="center"/>
          </w:tcPr>
          <w:p>
            <w:pPr>
              <w:jc w:val="center"/>
              <w:rPr>
                <w:szCs w:val="21"/>
              </w:rPr>
            </w:pPr>
            <w:r>
              <w:rPr>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3</w:t>
            </w:r>
          </w:p>
        </w:tc>
        <w:tc>
          <w:tcPr>
            <w:tcW w:w="992" w:type="dxa"/>
            <w:tcMar>
              <w:top w:w="0" w:type="dxa"/>
              <w:left w:w="108" w:type="dxa"/>
              <w:bottom w:w="0" w:type="dxa"/>
              <w:right w:w="108" w:type="dxa"/>
            </w:tcMar>
            <w:vAlign w:val="center"/>
          </w:tcPr>
          <w:p>
            <w:pPr>
              <w:jc w:val="center"/>
              <w:rPr>
                <w:szCs w:val="21"/>
              </w:rPr>
            </w:pPr>
            <w:r>
              <w:rPr>
                <w:szCs w:val="21"/>
              </w:rPr>
              <w:t>砷</w:t>
            </w:r>
          </w:p>
        </w:tc>
        <w:tc>
          <w:tcPr>
            <w:tcW w:w="993" w:type="dxa"/>
            <w:tcMar>
              <w:top w:w="0" w:type="dxa"/>
              <w:left w:w="108" w:type="dxa"/>
              <w:bottom w:w="0" w:type="dxa"/>
              <w:right w:w="108" w:type="dxa"/>
            </w:tcMar>
            <w:vAlign w:val="center"/>
          </w:tcPr>
          <w:p>
            <w:pPr>
              <w:jc w:val="center"/>
              <w:rPr>
                <w:szCs w:val="21"/>
              </w:rPr>
            </w:pPr>
            <w:r>
              <w:rPr>
                <w:szCs w:val="21"/>
              </w:rPr>
              <w:t>其他</w:t>
            </w:r>
          </w:p>
        </w:tc>
        <w:tc>
          <w:tcPr>
            <w:tcW w:w="992" w:type="dxa"/>
            <w:tcMar>
              <w:top w:w="0" w:type="dxa"/>
              <w:left w:w="108" w:type="dxa"/>
              <w:bottom w:w="0" w:type="dxa"/>
              <w:right w:w="108" w:type="dxa"/>
            </w:tcMar>
            <w:vAlign w:val="center"/>
          </w:tcPr>
          <w:p>
            <w:pPr>
              <w:jc w:val="center"/>
              <w:rPr>
                <w:szCs w:val="21"/>
              </w:rPr>
            </w:pPr>
            <w:r>
              <w:rPr>
                <w:szCs w:val="21"/>
              </w:rPr>
              <w:t>40</w:t>
            </w:r>
          </w:p>
        </w:tc>
        <w:tc>
          <w:tcPr>
            <w:tcW w:w="1559" w:type="dxa"/>
            <w:tcMar>
              <w:top w:w="0" w:type="dxa"/>
              <w:left w:w="108" w:type="dxa"/>
              <w:bottom w:w="0" w:type="dxa"/>
              <w:right w:w="108" w:type="dxa"/>
            </w:tcMar>
            <w:vAlign w:val="center"/>
          </w:tcPr>
          <w:p>
            <w:pPr>
              <w:jc w:val="center"/>
              <w:rPr>
                <w:szCs w:val="21"/>
              </w:rPr>
            </w:pPr>
            <w:r>
              <w:rPr>
                <w:szCs w:val="21"/>
              </w:rPr>
              <w:t>40</w:t>
            </w:r>
          </w:p>
        </w:tc>
        <w:tc>
          <w:tcPr>
            <w:tcW w:w="1856" w:type="dxa"/>
            <w:tcMar>
              <w:top w:w="0" w:type="dxa"/>
              <w:left w:w="108" w:type="dxa"/>
              <w:bottom w:w="0" w:type="dxa"/>
              <w:right w:w="108" w:type="dxa"/>
            </w:tcMar>
            <w:vAlign w:val="center"/>
          </w:tcPr>
          <w:p>
            <w:pPr>
              <w:jc w:val="center"/>
              <w:rPr>
                <w:szCs w:val="21"/>
              </w:rPr>
            </w:pPr>
            <w:r>
              <w:rPr>
                <w:szCs w:val="21"/>
              </w:rPr>
              <w:t>30</w:t>
            </w:r>
          </w:p>
        </w:tc>
        <w:tc>
          <w:tcPr>
            <w:tcW w:w="1856" w:type="dxa"/>
            <w:vAlign w:val="center"/>
          </w:tcPr>
          <w:p>
            <w:pPr>
              <w:jc w:val="center"/>
              <w:rPr>
                <w:szCs w:val="21"/>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4</w:t>
            </w:r>
          </w:p>
        </w:tc>
        <w:tc>
          <w:tcPr>
            <w:tcW w:w="992" w:type="dxa"/>
            <w:tcMar>
              <w:top w:w="0" w:type="dxa"/>
              <w:left w:w="108" w:type="dxa"/>
              <w:bottom w:w="0" w:type="dxa"/>
              <w:right w:w="108" w:type="dxa"/>
            </w:tcMar>
            <w:vAlign w:val="center"/>
          </w:tcPr>
          <w:p>
            <w:pPr>
              <w:jc w:val="center"/>
              <w:rPr>
                <w:szCs w:val="21"/>
              </w:rPr>
            </w:pPr>
            <w:r>
              <w:rPr>
                <w:szCs w:val="21"/>
              </w:rPr>
              <w:t>铅</w:t>
            </w:r>
          </w:p>
        </w:tc>
        <w:tc>
          <w:tcPr>
            <w:tcW w:w="993" w:type="dxa"/>
            <w:tcMar>
              <w:top w:w="0" w:type="dxa"/>
              <w:left w:w="108" w:type="dxa"/>
              <w:bottom w:w="0" w:type="dxa"/>
              <w:right w:w="108" w:type="dxa"/>
            </w:tcMar>
            <w:vAlign w:val="center"/>
          </w:tcPr>
          <w:p>
            <w:pPr>
              <w:jc w:val="center"/>
              <w:rPr>
                <w:szCs w:val="21"/>
              </w:rPr>
            </w:pPr>
            <w:r>
              <w:rPr>
                <w:szCs w:val="21"/>
              </w:rPr>
              <w:t>其他</w:t>
            </w:r>
          </w:p>
        </w:tc>
        <w:tc>
          <w:tcPr>
            <w:tcW w:w="992" w:type="dxa"/>
            <w:tcMar>
              <w:top w:w="0" w:type="dxa"/>
              <w:left w:w="108" w:type="dxa"/>
              <w:bottom w:w="0" w:type="dxa"/>
              <w:right w:w="108" w:type="dxa"/>
            </w:tcMar>
            <w:vAlign w:val="center"/>
          </w:tcPr>
          <w:p>
            <w:pPr>
              <w:jc w:val="center"/>
              <w:rPr>
                <w:szCs w:val="21"/>
              </w:rPr>
            </w:pPr>
            <w:r>
              <w:rPr>
                <w:szCs w:val="21"/>
              </w:rPr>
              <w:t>70</w:t>
            </w:r>
          </w:p>
        </w:tc>
        <w:tc>
          <w:tcPr>
            <w:tcW w:w="1559" w:type="dxa"/>
            <w:tcMar>
              <w:top w:w="0" w:type="dxa"/>
              <w:left w:w="108" w:type="dxa"/>
              <w:bottom w:w="0" w:type="dxa"/>
              <w:right w:w="108" w:type="dxa"/>
            </w:tcMar>
            <w:vAlign w:val="center"/>
          </w:tcPr>
          <w:p>
            <w:pPr>
              <w:jc w:val="center"/>
              <w:rPr>
                <w:szCs w:val="21"/>
              </w:rPr>
            </w:pPr>
            <w:r>
              <w:rPr>
                <w:szCs w:val="21"/>
              </w:rPr>
              <w:t>90</w:t>
            </w:r>
          </w:p>
        </w:tc>
        <w:tc>
          <w:tcPr>
            <w:tcW w:w="1856" w:type="dxa"/>
            <w:tcMar>
              <w:top w:w="0" w:type="dxa"/>
              <w:left w:w="108" w:type="dxa"/>
              <w:bottom w:w="0" w:type="dxa"/>
              <w:right w:w="108" w:type="dxa"/>
            </w:tcMar>
            <w:vAlign w:val="center"/>
          </w:tcPr>
          <w:p>
            <w:pPr>
              <w:jc w:val="center"/>
              <w:rPr>
                <w:szCs w:val="21"/>
              </w:rPr>
            </w:pPr>
            <w:r>
              <w:rPr>
                <w:szCs w:val="21"/>
              </w:rPr>
              <w:t>120</w:t>
            </w:r>
          </w:p>
        </w:tc>
        <w:tc>
          <w:tcPr>
            <w:tcW w:w="1856" w:type="dxa"/>
            <w:vAlign w:val="center"/>
          </w:tcPr>
          <w:p>
            <w:pPr>
              <w:jc w:val="center"/>
              <w:rPr>
                <w:szCs w:val="21"/>
              </w:rPr>
            </w:pPr>
            <w:r>
              <w:rPr>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5</w:t>
            </w:r>
          </w:p>
        </w:tc>
        <w:tc>
          <w:tcPr>
            <w:tcW w:w="992" w:type="dxa"/>
            <w:tcMar>
              <w:top w:w="0" w:type="dxa"/>
              <w:left w:w="108" w:type="dxa"/>
              <w:bottom w:w="0" w:type="dxa"/>
              <w:right w:w="108" w:type="dxa"/>
            </w:tcMar>
            <w:vAlign w:val="center"/>
          </w:tcPr>
          <w:p>
            <w:pPr>
              <w:jc w:val="center"/>
              <w:rPr>
                <w:szCs w:val="21"/>
              </w:rPr>
            </w:pPr>
            <w:r>
              <w:rPr>
                <w:szCs w:val="21"/>
              </w:rPr>
              <w:t>铬</w:t>
            </w:r>
          </w:p>
        </w:tc>
        <w:tc>
          <w:tcPr>
            <w:tcW w:w="993" w:type="dxa"/>
            <w:tcMar>
              <w:top w:w="0" w:type="dxa"/>
              <w:left w:w="108" w:type="dxa"/>
              <w:bottom w:w="0" w:type="dxa"/>
              <w:right w:w="108" w:type="dxa"/>
            </w:tcMar>
            <w:vAlign w:val="center"/>
          </w:tcPr>
          <w:p>
            <w:pPr>
              <w:jc w:val="center"/>
              <w:rPr>
                <w:szCs w:val="21"/>
              </w:rPr>
            </w:pPr>
            <w:r>
              <w:rPr>
                <w:szCs w:val="21"/>
              </w:rPr>
              <w:t>其他</w:t>
            </w:r>
          </w:p>
        </w:tc>
        <w:tc>
          <w:tcPr>
            <w:tcW w:w="992" w:type="dxa"/>
            <w:tcMar>
              <w:top w:w="0" w:type="dxa"/>
              <w:left w:w="108" w:type="dxa"/>
              <w:bottom w:w="0" w:type="dxa"/>
              <w:right w:w="108" w:type="dxa"/>
            </w:tcMar>
            <w:vAlign w:val="center"/>
          </w:tcPr>
          <w:p>
            <w:pPr>
              <w:jc w:val="center"/>
              <w:rPr>
                <w:szCs w:val="21"/>
              </w:rPr>
            </w:pPr>
            <w:r>
              <w:rPr>
                <w:szCs w:val="21"/>
              </w:rPr>
              <w:t>150</w:t>
            </w:r>
          </w:p>
        </w:tc>
        <w:tc>
          <w:tcPr>
            <w:tcW w:w="1559" w:type="dxa"/>
            <w:tcMar>
              <w:top w:w="0" w:type="dxa"/>
              <w:left w:w="108" w:type="dxa"/>
              <w:bottom w:w="0" w:type="dxa"/>
              <w:right w:w="108" w:type="dxa"/>
            </w:tcMar>
            <w:vAlign w:val="center"/>
          </w:tcPr>
          <w:p>
            <w:pPr>
              <w:jc w:val="center"/>
              <w:rPr>
                <w:szCs w:val="21"/>
              </w:rPr>
            </w:pPr>
            <w:r>
              <w:rPr>
                <w:szCs w:val="21"/>
              </w:rPr>
              <w:t>150</w:t>
            </w:r>
          </w:p>
        </w:tc>
        <w:tc>
          <w:tcPr>
            <w:tcW w:w="1856" w:type="dxa"/>
            <w:tcMar>
              <w:top w:w="0" w:type="dxa"/>
              <w:left w:w="108" w:type="dxa"/>
              <w:bottom w:w="0" w:type="dxa"/>
              <w:right w:w="108" w:type="dxa"/>
            </w:tcMar>
            <w:vAlign w:val="center"/>
          </w:tcPr>
          <w:p>
            <w:pPr>
              <w:jc w:val="center"/>
              <w:rPr>
                <w:szCs w:val="21"/>
              </w:rPr>
            </w:pPr>
            <w:r>
              <w:rPr>
                <w:szCs w:val="21"/>
              </w:rPr>
              <w:t>200</w:t>
            </w:r>
          </w:p>
        </w:tc>
        <w:tc>
          <w:tcPr>
            <w:tcW w:w="1856" w:type="dxa"/>
            <w:vAlign w:val="center"/>
          </w:tcPr>
          <w:p>
            <w:pPr>
              <w:jc w:val="center"/>
              <w:rPr>
                <w:szCs w:val="21"/>
              </w:rPr>
            </w:pP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6</w:t>
            </w:r>
          </w:p>
        </w:tc>
        <w:tc>
          <w:tcPr>
            <w:tcW w:w="992" w:type="dxa"/>
            <w:tcMar>
              <w:top w:w="0" w:type="dxa"/>
              <w:left w:w="108" w:type="dxa"/>
              <w:bottom w:w="0" w:type="dxa"/>
              <w:right w:w="108" w:type="dxa"/>
            </w:tcMar>
            <w:vAlign w:val="center"/>
          </w:tcPr>
          <w:p>
            <w:pPr>
              <w:jc w:val="center"/>
              <w:rPr>
                <w:szCs w:val="21"/>
              </w:rPr>
            </w:pPr>
            <w:r>
              <w:rPr>
                <w:szCs w:val="21"/>
              </w:rPr>
              <w:t>铜</w:t>
            </w:r>
          </w:p>
        </w:tc>
        <w:tc>
          <w:tcPr>
            <w:tcW w:w="993" w:type="dxa"/>
            <w:tcMar>
              <w:top w:w="0" w:type="dxa"/>
              <w:left w:w="108" w:type="dxa"/>
              <w:bottom w:w="0" w:type="dxa"/>
              <w:right w:w="108" w:type="dxa"/>
            </w:tcMar>
            <w:vAlign w:val="center"/>
          </w:tcPr>
          <w:p>
            <w:pPr>
              <w:jc w:val="center"/>
              <w:rPr>
                <w:szCs w:val="21"/>
              </w:rPr>
            </w:pPr>
            <w:r>
              <w:rPr>
                <w:szCs w:val="21"/>
              </w:rPr>
              <w:t>其他</w:t>
            </w:r>
          </w:p>
        </w:tc>
        <w:tc>
          <w:tcPr>
            <w:tcW w:w="992" w:type="dxa"/>
            <w:tcMar>
              <w:top w:w="0" w:type="dxa"/>
              <w:left w:w="108" w:type="dxa"/>
              <w:bottom w:w="0" w:type="dxa"/>
              <w:right w:w="108" w:type="dxa"/>
            </w:tcMar>
            <w:vAlign w:val="center"/>
          </w:tcPr>
          <w:p>
            <w:pPr>
              <w:jc w:val="center"/>
              <w:rPr>
                <w:szCs w:val="21"/>
              </w:rPr>
            </w:pPr>
            <w:r>
              <w:rPr>
                <w:szCs w:val="21"/>
              </w:rPr>
              <w:t>50</w:t>
            </w:r>
          </w:p>
        </w:tc>
        <w:tc>
          <w:tcPr>
            <w:tcW w:w="1559" w:type="dxa"/>
            <w:tcMar>
              <w:top w:w="0" w:type="dxa"/>
              <w:left w:w="108" w:type="dxa"/>
              <w:bottom w:w="0" w:type="dxa"/>
              <w:right w:w="108" w:type="dxa"/>
            </w:tcMar>
            <w:vAlign w:val="center"/>
          </w:tcPr>
          <w:p>
            <w:pPr>
              <w:jc w:val="center"/>
              <w:rPr>
                <w:szCs w:val="21"/>
              </w:rPr>
            </w:pPr>
            <w:r>
              <w:rPr>
                <w:szCs w:val="21"/>
              </w:rPr>
              <w:t>50</w:t>
            </w:r>
          </w:p>
        </w:tc>
        <w:tc>
          <w:tcPr>
            <w:tcW w:w="1856" w:type="dxa"/>
            <w:tcMar>
              <w:top w:w="0" w:type="dxa"/>
              <w:left w:w="108" w:type="dxa"/>
              <w:bottom w:w="0" w:type="dxa"/>
              <w:right w:w="108" w:type="dxa"/>
            </w:tcMar>
            <w:vAlign w:val="center"/>
          </w:tcPr>
          <w:p>
            <w:pPr>
              <w:jc w:val="center"/>
              <w:rPr>
                <w:szCs w:val="21"/>
              </w:rPr>
            </w:pPr>
            <w:r>
              <w:rPr>
                <w:szCs w:val="21"/>
              </w:rPr>
              <w:t>100</w:t>
            </w:r>
          </w:p>
        </w:tc>
        <w:tc>
          <w:tcPr>
            <w:tcW w:w="1856" w:type="dxa"/>
            <w:vAlign w:val="center"/>
          </w:tcPr>
          <w:p>
            <w:pPr>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7</w:t>
            </w:r>
          </w:p>
        </w:tc>
        <w:tc>
          <w:tcPr>
            <w:tcW w:w="1985" w:type="dxa"/>
            <w:gridSpan w:val="2"/>
            <w:tcMar>
              <w:top w:w="0" w:type="dxa"/>
              <w:left w:w="108" w:type="dxa"/>
              <w:bottom w:w="0" w:type="dxa"/>
              <w:right w:w="108" w:type="dxa"/>
            </w:tcMar>
            <w:vAlign w:val="center"/>
          </w:tcPr>
          <w:p>
            <w:pPr>
              <w:jc w:val="center"/>
              <w:rPr>
                <w:szCs w:val="21"/>
              </w:rPr>
            </w:pPr>
            <w:r>
              <w:rPr>
                <w:szCs w:val="21"/>
              </w:rPr>
              <w:t>镍</w:t>
            </w:r>
          </w:p>
        </w:tc>
        <w:tc>
          <w:tcPr>
            <w:tcW w:w="992" w:type="dxa"/>
            <w:tcMar>
              <w:top w:w="0" w:type="dxa"/>
              <w:left w:w="108" w:type="dxa"/>
              <w:bottom w:w="0" w:type="dxa"/>
              <w:right w:w="108" w:type="dxa"/>
            </w:tcMar>
            <w:vAlign w:val="center"/>
          </w:tcPr>
          <w:p>
            <w:pPr>
              <w:jc w:val="center"/>
              <w:rPr>
                <w:szCs w:val="21"/>
              </w:rPr>
            </w:pPr>
            <w:r>
              <w:rPr>
                <w:szCs w:val="21"/>
              </w:rPr>
              <w:t>60</w:t>
            </w:r>
          </w:p>
        </w:tc>
        <w:tc>
          <w:tcPr>
            <w:tcW w:w="1559" w:type="dxa"/>
            <w:tcMar>
              <w:top w:w="0" w:type="dxa"/>
              <w:left w:w="108" w:type="dxa"/>
              <w:bottom w:w="0" w:type="dxa"/>
              <w:right w:w="108" w:type="dxa"/>
            </w:tcMar>
            <w:vAlign w:val="center"/>
          </w:tcPr>
          <w:p>
            <w:pPr>
              <w:jc w:val="center"/>
              <w:rPr>
                <w:szCs w:val="21"/>
              </w:rPr>
            </w:pPr>
            <w:r>
              <w:rPr>
                <w:szCs w:val="21"/>
              </w:rPr>
              <w:t>70</w:t>
            </w:r>
          </w:p>
        </w:tc>
        <w:tc>
          <w:tcPr>
            <w:tcW w:w="1856" w:type="dxa"/>
            <w:tcMar>
              <w:top w:w="0" w:type="dxa"/>
              <w:left w:w="108" w:type="dxa"/>
              <w:bottom w:w="0" w:type="dxa"/>
              <w:right w:w="108" w:type="dxa"/>
            </w:tcMar>
            <w:vAlign w:val="center"/>
          </w:tcPr>
          <w:p>
            <w:pPr>
              <w:jc w:val="center"/>
              <w:rPr>
                <w:szCs w:val="21"/>
              </w:rPr>
            </w:pPr>
            <w:r>
              <w:rPr>
                <w:szCs w:val="21"/>
              </w:rPr>
              <w:t>100</w:t>
            </w:r>
          </w:p>
        </w:tc>
        <w:tc>
          <w:tcPr>
            <w:tcW w:w="1856" w:type="dxa"/>
            <w:vAlign w:val="center"/>
          </w:tcPr>
          <w:p>
            <w:pPr>
              <w:jc w:val="center"/>
              <w:rPr>
                <w:szCs w:val="21"/>
              </w:rPr>
            </w:pPr>
            <w:r>
              <w:rPr>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szCs w:val="21"/>
              </w:rPr>
            </w:pPr>
            <w:r>
              <w:rPr>
                <w:szCs w:val="21"/>
              </w:rPr>
              <w:t>8</w:t>
            </w:r>
          </w:p>
        </w:tc>
        <w:tc>
          <w:tcPr>
            <w:tcW w:w="1985" w:type="dxa"/>
            <w:gridSpan w:val="2"/>
            <w:tcMar>
              <w:top w:w="0" w:type="dxa"/>
              <w:left w:w="108" w:type="dxa"/>
              <w:bottom w:w="0" w:type="dxa"/>
              <w:right w:w="108" w:type="dxa"/>
            </w:tcMar>
            <w:vAlign w:val="center"/>
          </w:tcPr>
          <w:p>
            <w:pPr>
              <w:jc w:val="center"/>
              <w:rPr>
                <w:szCs w:val="21"/>
              </w:rPr>
            </w:pPr>
            <w:r>
              <w:rPr>
                <w:szCs w:val="21"/>
              </w:rPr>
              <w:t>锌</w:t>
            </w:r>
          </w:p>
        </w:tc>
        <w:tc>
          <w:tcPr>
            <w:tcW w:w="992" w:type="dxa"/>
            <w:tcMar>
              <w:top w:w="0" w:type="dxa"/>
              <w:left w:w="108" w:type="dxa"/>
              <w:bottom w:w="0" w:type="dxa"/>
              <w:right w:w="108" w:type="dxa"/>
            </w:tcMar>
            <w:vAlign w:val="center"/>
          </w:tcPr>
          <w:p>
            <w:pPr>
              <w:jc w:val="center"/>
              <w:rPr>
                <w:szCs w:val="21"/>
              </w:rPr>
            </w:pPr>
            <w:r>
              <w:rPr>
                <w:szCs w:val="21"/>
              </w:rPr>
              <w:t>200</w:t>
            </w:r>
          </w:p>
        </w:tc>
        <w:tc>
          <w:tcPr>
            <w:tcW w:w="1559" w:type="dxa"/>
            <w:tcMar>
              <w:top w:w="0" w:type="dxa"/>
              <w:left w:w="108" w:type="dxa"/>
              <w:bottom w:w="0" w:type="dxa"/>
              <w:right w:w="108" w:type="dxa"/>
            </w:tcMar>
            <w:vAlign w:val="center"/>
          </w:tcPr>
          <w:p>
            <w:pPr>
              <w:jc w:val="center"/>
              <w:rPr>
                <w:szCs w:val="21"/>
              </w:rPr>
            </w:pPr>
            <w:r>
              <w:rPr>
                <w:szCs w:val="21"/>
              </w:rPr>
              <w:t>200</w:t>
            </w:r>
          </w:p>
        </w:tc>
        <w:tc>
          <w:tcPr>
            <w:tcW w:w="1856" w:type="dxa"/>
            <w:tcMar>
              <w:top w:w="0" w:type="dxa"/>
              <w:left w:w="108" w:type="dxa"/>
              <w:bottom w:w="0" w:type="dxa"/>
              <w:right w:w="108" w:type="dxa"/>
            </w:tcMar>
            <w:vAlign w:val="center"/>
          </w:tcPr>
          <w:p>
            <w:pPr>
              <w:jc w:val="center"/>
              <w:rPr>
                <w:szCs w:val="21"/>
              </w:rPr>
            </w:pPr>
            <w:r>
              <w:rPr>
                <w:szCs w:val="21"/>
              </w:rPr>
              <w:t>250</w:t>
            </w:r>
          </w:p>
        </w:tc>
        <w:tc>
          <w:tcPr>
            <w:tcW w:w="1856" w:type="dxa"/>
            <w:vAlign w:val="center"/>
          </w:tcPr>
          <w:p>
            <w:pPr>
              <w:jc w:val="center"/>
              <w:rPr>
                <w:szCs w:val="21"/>
              </w:rPr>
            </w:pPr>
            <w:r>
              <w:rPr>
                <w:szCs w:val="21"/>
              </w:rPr>
              <w:t>300</w:t>
            </w:r>
          </w:p>
        </w:tc>
      </w:tr>
    </w:tbl>
    <w:p>
      <w:pPr>
        <w:adjustRightInd w:val="0"/>
        <w:snapToGrid w:val="0"/>
        <w:spacing w:line="600" w:lineRule="exact"/>
        <w:jc w:val="left"/>
        <w:outlineLvl w:val="3"/>
        <w:rPr>
          <w:rFonts w:hint="eastAsia"/>
          <w:b w:val="0"/>
          <w:bCs w:val="0"/>
          <w:color w:val="000000" w:themeColor="text1"/>
          <w:sz w:val="24"/>
          <w:u w:val="none"/>
          <w:lang w:val="en-US" w:eastAsia="zh-CN"/>
        </w:rPr>
      </w:pPr>
      <w:bookmarkStart w:id="240" w:name="_Toc406663018"/>
      <w:bookmarkStart w:id="241" w:name="_Toc413829651"/>
      <w:r>
        <w:rPr>
          <w:rFonts w:hint="eastAsia"/>
          <w:b w:val="0"/>
          <w:bCs w:val="0"/>
          <w:color w:val="000000" w:themeColor="text1"/>
          <w:sz w:val="24"/>
          <w:u w:val="none"/>
          <w:lang w:val="en-US" w:eastAsia="zh-CN"/>
        </w:rPr>
        <w:t>3.3.5.3监测统计及评价结果</w:t>
      </w:r>
      <w:bookmarkEnd w:id="240"/>
      <w:bookmarkEnd w:id="241"/>
    </w:p>
    <w:p>
      <w:pPr>
        <w:autoSpaceDE w:val="0"/>
        <w:autoSpaceDN w:val="0"/>
        <w:adjustRightInd w:val="0"/>
        <w:spacing w:line="500" w:lineRule="exact"/>
        <w:ind w:firstLine="424" w:firstLineChars="177"/>
        <w:jc w:val="left"/>
        <w:rPr>
          <w:bCs/>
          <w:color w:val="000000" w:themeColor="text1"/>
          <w:sz w:val="24"/>
        </w:rPr>
      </w:pPr>
      <w:r>
        <w:rPr>
          <w:bCs/>
          <w:color w:val="000000" w:themeColor="text1"/>
          <w:sz w:val="24"/>
        </w:rPr>
        <w:t>土壤环境现状监测统计及评价结果见表</w:t>
      </w:r>
      <w:r>
        <w:rPr>
          <w:rFonts w:hint="eastAsia"/>
          <w:bCs/>
          <w:color w:val="000000" w:themeColor="text1"/>
          <w:sz w:val="24"/>
          <w:lang w:val="en-US" w:eastAsia="zh-CN"/>
        </w:rPr>
        <w:t>3.3-17</w:t>
      </w:r>
      <w:r>
        <w:rPr>
          <w:bCs/>
          <w:color w:val="000000" w:themeColor="text1"/>
          <w:sz w:val="24"/>
        </w:rPr>
        <w:t>。</w:t>
      </w:r>
    </w:p>
    <w:p>
      <w:pPr>
        <w:spacing w:afterLines="30" w:line="500" w:lineRule="exact"/>
        <w:jc w:val="center"/>
        <w:rPr>
          <w:b/>
          <w:sz w:val="18"/>
          <w:szCs w:val="18"/>
        </w:rPr>
      </w:pPr>
      <w:r>
        <w:rPr>
          <w:b/>
          <w:color w:val="000000" w:themeColor="text1"/>
          <w:sz w:val="24"/>
        </w:rPr>
        <w:t>表</w:t>
      </w:r>
      <w:r>
        <w:rPr>
          <w:rFonts w:hint="eastAsia"/>
          <w:b/>
          <w:color w:val="000000" w:themeColor="text1"/>
          <w:sz w:val="24"/>
          <w:lang w:val="en-US" w:eastAsia="zh-CN"/>
        </w:rPr>
        <w:t xml:space="preserve">3.3-17 </w:t>
      </w:r>
      <w:r>
        <w:rPr>
          <w:b/>
          <w:sz w:val="24"/>
        </w:rPr>
        <w:t xml:space="preserve">土壤环境现状监测统计及评价结果表   </w:t>
      </w:r>
      <w:r>
        <w:rPr>
          <w:b/>
          <w:sz w:val="18"/>
          <w:szCs w:val="18"/>
        </w:rPr>
        <w:t>单位：mg/kg,pH除外</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221"/>
        <w:gridCol w:w="1068"/>
        <w:gridCol w:w="763"/>
        <w:gridCol w:w="763"/>
        <w:gridCol w:w="762"/>
        <w:gridCol w:w="798"/>
        <w:gridCol w:w="834"/>
        <w:gridCol w:w="834"/>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3" w:hRule="atLeast"/>
          <w:tblHeader/>
          <w:jc w:val="center"/>
        </w:trPr>
        <w:tc>
          <w:tcPr>
            <w:tcW w:w="880" w:type="dxa"/>
            <w:vMerge w:val="restart"/>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监测点</w:t>
            </w:r>
          </w:p>
        </w:tc>
        <w:tc>
          <w:tcPr>
            <w:tcW w:w="1221"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项  目</w:t>
            </w:r>
          </w:p>
        </w:tc>
        <w:tc>
          <w:tcPr>
            <w:tcW w:w="1068"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pH</w:t>
            </w:r>
          </w:p>
        </w:tc>
        <w:tc>
          <w:tcPr>
            <w:tcW w:w="763"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汞</w:t>
            </w:r>
          </w:p>
        </w:tc>
        <w:tc>
          <w:tcPr>
            <w:tcW w:w="763" w:type="dxa"/>
            <w:noWrap w:val="0"/>
            <w:vAlign w:val="center"/>
          </w:tcPr>
          <w:p>
            <w:pPr>
              <w:spacing w:line="320" w:lineRule="exact"/>
              <w:jc w:val="center"/>
              <w:rPr>
                <w:rFonts w:ascii="Times New Roman" w:hAnsi="Times New Roman"/>
                <w:bCs/>
                <w:color w:val="000000"/>
                <w:sz w:val="21"/>
                <w:szCs w:val="21"/>
              </w:rPr>
            </w:pPr>
            <w:r>
              <w:rPr>
                <w:rFonts w:hint="eastAsia"/>
                <w:bCs/>
                <w:color w:val="000000"/>
                <w:sz w:val="24"/>
              </w:rPr>
              <w:t>镉</w:t>
            </w:r>
          </w:p>
        </w:tc>
        <w:tc>
          <w:tcPr>
            <w:tcW w:w="762"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砷</w:t>
            </w:r>
          </w:p>
        </w:tc>
        <w:tc>
          <w:tcPr>
            <w:tcW w:w="798"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铜</w:t>
            </w:r>
          </w:p>
        </w:tc>
        <w:tc>
          <w:tcPr>
            <w:tcW w:w="83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铅</w:t>
            </w:r>
          </w:p>
        </w:tc>
        <w:tc>
          <w:tcPr>
            <w:tcW w:w="83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铬</w:t>
            </w:r>
          </w:p>
        </w:tc>
        <w:tc>
          <w:tcPr>
            <w:tcW w:w="94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3" w:hRule="atLeast"/>
          <w:tblHeader/>
          <w:jc w:val="center"/>
        </w:trPr>
        <w:tc>
          <w:tcPr>
            <w:tcW w:w="880" w:type="dxa"/>
            <w:vMerge w:val="continue"/>
            <w:noWrap w:val="0"/>
            <w:vAlign w:val="center"/>
          </w:tcPr>
          <w:p>
            <w:pPr>
              <w:spacing w:line="320" w:lineRule="exact"/>
              <w:jc w:val="center"/>
              <w:rPr>
                <w:rFonts w:ascii="Times New Roman" w:hAnsi="Times New Roman"/>
                <w:bCs/>
                <w:color w:val="000000"/>
                <w:sz w:val="21"/>
                <w:szCs w:val="21"/>
              </w:rPr>
            </w:pPr>
          </w:p>
        </w:tc>
        <w:tc>
          <w:tcPr>
            <w:tcW w:w="1221" w:type="dxa"/>
            <w:vMerge w:val="restart"/>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标准</w:t>
            </w:r>
          </w:p>
        </w:tc>
        <w:tc>
          <w:tcPr>
            <w:tcW w:w="1068"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6.5~7.5</w:t>
            </w:r>
          </w:p>
        </w:tc>
        <w:tc>
          <w:tcPr>
            <w:tcW w:w="763"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2.4</w:t>
            </w:r>
          </w:p>
        </w:tc>
        <w:tc>
          <w:tcPr>
            <w:tcW w:w="763" w:type="dxa"/>
            <w:noWrap w:val="0"/>
            <w:vAlign w:val="center"/>
          </w:tcPr>
          <w:p>
            <w:pPr>
              <w:spacing w:line="320" w:lineRule="exact"/>
              <w:jc w:val="center"/>
              <w:rPr>
                <w:rFonts w:ascii="Times New Roman" w:hAnsi="Times New Roman"/>
                <w:bCs/>
                <w:color w:val="000000"/>
                <w:sz w:val="21"/>
                <w:szCs w:val="21"/>
              </w:rPr>
            </w:pPr>
            <w:r>
              <w:rPr>
                <w:rFonts w:hint="eastAsia" w:ascii="Times New Roman" w:hAnsi="Times New Roman"/>
                <w:bCs/>
                <w:color w:val="000000"/>
                <w:sz w:val="21"/>
                <w:szCs w:val="21"/>
              </w:rPr>
              <w:t>0.3</w:t>
            </w:r>
          </w:p>
        </w:tc>
        <w:tc>
          <w:tcPr>
            <w:tcW w:w="762"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30</w:t>
            </w:r>
          </w:p>
        </w:tc>
        <w:tc>
          <w:tcPr>
            <w:tcW w:w="798"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100</w:t>
            </w:r>
          </w:p>
        </w:tc>
        <w:tc>
          <w:tcPr>
            <w:tcW w:w="83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120</w:t>
            </w:r>
          </w:p>
        </w:tc>
        <w:tc>
          <w:tcPr>
            <w:tcW w:w="83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200</w:t>
            </w:r>
          </w:p>
        </w:tc>
        <w:tc>
          <w:tcPr>
            <w:tcW w:w="94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tblHeader/>
          <w:jc w:val="center"/>
        </w:trPr>
        <w:tc>
          <w:tcPr>
            <w:tcW w:w="880" w:type="dxa"/>
            <w:vMerge w:val="continue"/>
            <w:noWrap w:val="0"/>
            <w:vAlign w:val="center"/>
          </w:tcPr>
          <w:p>
            <w:pPr>
              <w:spacing w:line="320" w:lineRule="exact"/>
              <w:jc w:val="center"/>
              <w:rPr>
                <w:rFonts w:ascii="Times New Roman" w:hAnsi="Times New Roman"/>
                <w:bCs/>
                <w:color w:val="000000"/>
                <w:sz w:val="21"/>
                <w:szCs w:val="21"/>
              </w:rPr>
            </w:pPr>
          </w:p>
        </w:tc>
        <w:tc>
          <w:tcPr>
            <w:tcW w:w="1221" w:type="dxa"/>
            <w:vMerge w:val="continue"/>
            <w:noWrap w:val="0"/>
            <w:vAlign w:val="center"/>
          </w:tcPr>
          <w:p>
            <w:pPr>
              <w:spacing w:line="320" w:lineRule="exact"/>
              <w:jc w:val="center"/>
              <w:rPr>
                <w:rFonts w:ascii="Times New Roman" w:hAnsi="Times New Roman"/>
                <w:bCs/>
                <w:color w:val="000000"/>
                <w:sz w:val="21"/>
                <w:szCs w:val="21"/>
              </w:rPr>
            </w:pPr>
          </w:p>
        </w:tc>
        <w:tc>
          <w:tcPr>
            <w:tcW w:w="1068"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＞7.5</w:t>
            </w:r>
          </w:p>
        </w:tc>
        <w:tc>
          <w:tcPr>
            <w:tcW w:w="763"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3.4</w:t>
            </w:r>
          </w:p>
        </w:tc>
        <w:tc>
          <w:tcPr>
            <w:tcW w:w="763" w:type="dxa"/>
            <w:noWrap w:val="0"/>
            <w:vAlign w:val="center"/>
          </w:tcPr>
          <w:p>
            <w:pPr>
              <w:spacing w:line="320" w:lineRule="exact"/>
              <w:jc w:val="center"/>
              <w:rPr>
                <w:rFonts w:ascii="Times New Roman" w:hAnsi="Times New Roman"/>
                <w:bCs/>
                <w:color w:val="000000"/>
                <w:sz w:val="21"/>
                <w:szCs w:val="21"/>
              </w:rPr>
            </w:pPr>
            <w:r>
              <w:rPr>
                <w:rFonts w:hint="eastAsia" w:ascii="Times New Roman" w:hAnsi="Times New Roman"/>
                <w:bCs/>
                <w:color w:val="000000"/>
                <w:sz w:val="21"/>
                <w:szCs w:val="21"/>
              </w:rPr>
              <w:t>0.6</w:t>
            </w:r>
          </w:p>
        </w:tc>
        <w:tc>
          <w:tcPr>
            <w:tcW w:w="762"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25</w:t>
            </w:r>
          </w:p>
        </w:tc>
        <w:tc>
          <w:tcPr>
            <w:tcW w:w="798"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100</w:t>
            </w:r>
          </w:p>
        </w:tc>
        <w:tc>
          <w:tcPr>
            <w:tcW w:w="83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170</w:t>
            </w:r>
          </w:p>
        </w:tc>
        <w:tc>
          <w:tcPr>
            <w:tcW w:w="83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250</w:t>
            </w:r>
          </w:p>
        </w:tc>
        <w:tc>
          <w:tcPr>
            <w:tcW w:w="944"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80" w:type="dxa"/>
            <w:vMerge w:val="restart"/>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场区</w:t>
            </w:r>
          </w:p>
        </w:tc>
        <w:tc>
          <w:tcPr>
            <w:tcW w:w="1221"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监测值</w:t>
            </w:r>
          </w:p>
        </w:tc>
        <w:tc>
          <w:tcPr>
            <w:tcW w:w="106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8.2</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0.048</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0.13</w:t>
            </w:r>
          </w:p>
        </w:tc>
        <w:tc>
          <w:tcPr>
            <w:tcW w:w="762"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6.40</w:t>
            </w:r>
          </w:p>
        </w:tc>
        <w:tc>
          <w:tcPr>
            <w:tcW w:w="79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11</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19</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0.15</w:t>
            </w:r>
          </w:p>
        </w:tc>
        <w:tc>
          <w:tcPr>
            <w:tcW w:w="94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80" w:type="dxa"/>
            <w:vMerge w:val="continue"/>
            <w:noWrap w:val="0"/>
            <w:vAlign w:val="center"/>
          </w:tcPr>
          <w:p>
            <w:pPr>
              <w:spacing w:line="320" w:lineRule="exact"/>
              <w:jc w:val="center"/>
              <w:rPr>
                <w:rFonts w:ascii="Times New Roman" w:hAnsi="Times New Roman"/>
                <w:bCs/>
                <w:color w:val="000000"/>
                <w:sz w:val="21"/>
                <w:szCs w:val="21"/>
              </w:rPr>
            </w:pPr>
          </w:p>
        </w:tc>
        <w:tc>
          <w:tcPr>
            <w:tcW w:w="1221" w:type="dxa"/>
            <w:noWrap w:val="0"/>
            <w:vAlign w:val="center"/>
          </w:tcPr>
          <w:p>
            <w:pPr>
              <w:spacing w:line="320" w:lineRule="exact"/>
              <w:jc w:val="center"/>
              <w:rPr>
                <w:rFonts w:ascii="Times New Roman" w:hAnsi="Times New Roman"/>
                <w:bCs/>
                <w:color w:val="000000"/>
                <w:sz w:val="21"/>
                <w:szCs w:val="21"/>
              </w:rPr>
            </w:pPr>
            <w:r>
              <w:rPr>
                <w:rFonts w:hint="eastAsia" w:ascii="Times New Roman" w:hAnsi="Times New Roman"/>
                <w:bCs/>
                <w:color w:val="000000"/>
                <w:sz w:val="21"/>
                <w:szCs w:val="21"/>
              </w:rPr>
              <w:t>是否达标</w:t>
            </w:r>
          </w:p>
        </w:tc>
        <w:tc>
          <w:tcPr>
            <w:tcW w:w="106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62"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9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94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80" w:type="dxa"/>
            <w:vMerge w:val="continue"/>
            <w:noWrap w:val="0"/>
            <w:vAlign w:val="center"/>
          </w:tcPr>
          <w:p>
            <w:pPr>
              <w:spacing w:line="320" w:lineRule="exact"/>
              <w:jc w:val="center"/>
              <w:rPr>
                <w:rFonts w:ascii="Times New Roman" w:hAnsi="Times New Roman"/>
                <w:bCs/>
                <w:color w:val="000000"/>
                <w:sz w:val="21"/>
                <w:szCs w:val="21"/>
              </w:rPr>
            </w:pPr>
          </w:p>
        </w:tc>
        <w:tc>
          <w:tcPr>
            <w:tcW w:w="1221"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超标倍数</w:t>
            </w:r>
          </w:p>
        </w:tc>
        <w:tc>
          <w:tcPr>
            <w:tcW w:w="106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763"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763" w:type="dxa"/>
            <w:noWrap w:val="0"/>
            <w:vAlign w:val="center"/>
          </w:tcPr>
          <w:p>
            <w:pPr>
              <w:jc w:val="center"/>
              <w:rPr>
                <w:rFonts w:ascii="Times New Roman" w:hAnsi="Times New Roman"/>
                <w:color w:val="000000"/>
                <w:sz w:val="21"/>
                <w:szCs w:val="21"/>
              </w:rPr>
            </w:pPr>
          </w:p>
        </w:tc>
        <w:tc>
          <w:tcPr>
            <w:tcW w:w="762"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79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3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3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94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80" w:type="dxa"/>
            <w:vMerge w:val="restart"/>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沼液消纳区</w:t>
            </w:r>
          </w:p>
        </w:tc>
        <w:tc>
          <w:tcPr>
            <w:tcW w:w="1221"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监测值</w:t>
            </w:r>
          </w:p>
        </w:tc>
        <w:tc>
          <w:tcPr>
            <w:tcW w:w="106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8.3</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0.057</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0.18</w:t>
            </w:r>
          </w:p>
        </w:tc>
        <w:tc>
          <w:tcPr>
            <w:tcW w:w="762"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6.13</w:t>
            </w:r>
          </w:p>
        </w:tc>
        <w:tc>
          <w:tcPr>
            <w:tcW w:w="79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11</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15</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0.06</w:t>
            </w:r>
          </w:p>
        </w:tc>
        <w:tc>
          <w:tcPr>
            <w:tcW w:w="94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80" w:type="dxa"/>
            <w:vMerge w:val="continue"/>
            <w:noWrap w:val="0"/>
            <w:vAlign w:val="center"/>
          </w:tcPr>
          <w:p>
            <w:pPr>
              <w:spacing w:line="320" w:lineRule="exact"/>
              <w:jc w:val="center"/>
              <w:rPr>
                <w:rFonts w:ascii="Times New Roman" w:hAnsi="Times New Roman"/>
                <w:bCs/>
                <w:color w:val="000000"/>
                <w:sz w:val="21"/>
                <w:szCs w:val="21"/>
              </w:rPr>
            </w:pPr>
          </w:p>
        </w:tc>
        <w:tc>
          <w:tcPr>
            <w:tcW w:w="1221" w:type="dxa"/>
            <w:noWrap w:val="0"/>
            <w:vAlign w:val="center"/>
          </w:tcPr>
          <w:p>
            <w:pPr>
              <w:spacing w:line="320" w:lineRule="exact"/>
              <w:jc w:val="center"/>
              <w:rPr>
                <w:rFonts w:ascii="Times New Roman" w:hAnsi="Times New Roman"/>
                <w:bCs/>
                <w:color w:val="000000"/>
                <w:sz w:val="21"/>
                <w:szCs w:val="21"/>
              </w:rPr>
            </w:pPr>
            <w:r>
              <w:rPr>
                <w:rFonts w:hint="eastAsia" w:ascii="Times New Roman" w:hAnsi="Times New Roman"/>
                <w:bCs/>
                <w:color w:val="000000"/>
                <w:sz w:val="21"/>
                <w:szCs w:val="21"/>
              </w:rPr>
              <w:t>是否达标</w:t>
            </w:r>
          </w:p>
        </w:tc>
        <w:tc>
          <w:tcPr>
            <w:tcW w:w="106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63"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62"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798"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83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c>
          <w:tcPr>
            <w:tcW w:w="944" w:type="dxa"/>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80" w:type="dxa"/>
            <w:vMerge w:val="continue"/>
            <w:noWrap w:val="0"/>
            <w:vAlign w:val="center"/>
          </w:tcPr>
          <w:p>
            <w:pPr>
              <w:spacing w:line="320" w:lineRule="exact"/>
              <w:jc w:val="center"/>
              <w:rPr>
                <w:rFonts w:ascii="Times New Roman" w:hAnsi="Times New Roman"/>
                <w:bCs/>
                <w:color w:val="000000"/>
                <w:sz w:val="21"/>
                <w:szCs w:val="21"/>
              </w:rPr>
            </w:pPr>
          </w:p>
        </w:tc>
        <w:tc>
          <w:tcPr>
            <w:tcW w:w="1221" w:type="dxa"/>
            <w:noWrap w:val="0"/>
            <w:vAlign w:val="center"/>
          </w:tcPr>
          <w:p>
            <w:pPr>
              <w:spacing w:line="320" w:lineRule="exact"/>
              <w:jc w:val="center"/>
              <w:rPr>
                <w:rFonts w:ascii="Times New Roman" w:hAnsi="Times New Roman"/>
                <w:bCs/>
                <w:color w:val="000000"/>
                <w:sz w:val="21"/>
                <w:szCs w:val="21"/>
              </w:rPr>
            </w:pPr>
            <w:r>
              <w:rPr>
                <w:rFonts w:ascii="Times New Roman" w:hAnsi="Times New Roman"/>
                <w:bCs/>
                <w:color w:val="000000"/>
                <w:sz w:val="21"/>
                <w:szCs w:val="21"/>
              </w:rPr>
              <w:t>超标倍数</w:t>
            </w:r>
          </w:p>
        </w:tc>
        <w:tc>
          <w:tcPr>
            <w:tcW w:w="106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763"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763" w:type="dxa"/>
            <w:noWrap w:val="0"/>
            <w:vAlign w:val="center"/>
          </w:tcPr>
          <w:p>
            <w:pPr>
              <w:jc w:val="center"/>
              <w:rPr>
                <w:rFonts w:ascii="Times New Roman" w:hAnsi="Times New Roman"/>
                <w:color w:val="000000"/>
                <w:sz w:val="21"/>
                <w:szCs w:val="21"/>
              </w:rPr>
            </w:pPr>
          </w:p>
        </w:tc>
        <w:tc>
          <w:tcPr>
            <w:tcW w:w="762"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798"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3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83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c>
          <w:tcPr>
            <w:tcW w:w="944" w:type="dxa"/>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w:t>
            </w:r>
          </w:p>
        </w:tc>
      </w:tr>
    </w:tbl>
    <w:p>
      <w:pPr>
        <w:topLinePunct/>
        <w:autoSpaceDE w:val="0"/>
        <w:adjustRightInd w:val="0"/>
        <w:spacing w:line="500" w:lineRule="exact"/>
        <w:ind w:firstLine="484" w:firstLineChars="202"/>
        <w:jc w:val="left"/>
        <w:rPr>
          <w:sz w:val="24"/>
        </w:rPr>
      </w:pPr>
      <w:r>
        <w:rPr>
          <w:sz w:val="24"/>
        </w:rPr>
        <w:t>由上表可知，各监测点位土壤检测因子均能满足《土壤环境质量农用地土壤污染风险管控标准》（GB15618-2018）中标准要求。</w:t>
      </w:r>
    </w:p>
    <w:p>
      <w:pPr>
        <w:snapToGrid w:val="0"/>
        <w:spacing w:line="520" w:lineRule="exact"/>
        <w:outlineLvl w:val="1"/>
        <w:rPr>
          <w:rFonts w:eastAsia="黑体"/>
          <w:b w:val="0"/>
          <w:bCs w:val="0"/>
          <w:color w:val="000000" w:themeColor="text1"/>
          <w:sz w:val="28"/>
          <w:szCs w:val="28"/>
          <w:u w:val="none"/>
        </w:rPr>
      </w:pPr>
      <w:bookmarkStart w:id="242" w:name="_Toc488657652"/>
      <w:bookmarkStart w:id="243" w:name="_Toc3040"/>
      <w:r>
        <w:rPr>
          <w:rFonts w:hint="eastAsia" w:eastAsia="黑体"/>
          <w:b w:val="0"/>
          <w:bCs w:val="0"/>
          <w:color w:val="000000" w:themeColor="text1"/>
          <w:sz w:val="28"/>
          <w:szCs w:val="28"/>
          <w:u w:val="none"/>
          <w:lang w:val="en-US" w:eastAsia="zh-CN"/>
        </w:rPr>
        <w:t>3</w:t>
      </w:r>
      <w:r>
        <w:rPr>
          <w:rFonts w:eastAsia="黑体"/>
          <w:b w:val="0"/>
          <w:bCs w:val="0"/>
          <w:color w:val="000000" w:themeColor="text1"/>
          <w:sz w:val="28"/>
          <w:szCs w:val="28"/>
          <w:u w:val="none"/>
        </w:rPr>
        <w:t>.4养殖区环境评价</w:t>
      </w:r>
      <w:bookmarkEnd w:id="242"/>
      <w:bookmarkEnd w:id="243"/>
    </w:p>
    <w:p>
      <w:pPr>
        <w:topLinePunct/>
        <w:autoSpaceDE w:val="0"/>
        <w:adjustRightInd w:val="0"/>
        <w:spacing w:line="500" w:lineRule="exact"/>
        <w:ind w:firstLine="484" w:firstLineChars="202"/>
        <w:jc w:val="left"/>
        <w:rPr>
          <w:b w:val="0"/>
          <w:bCs w:val="0"/>
          <w:sz w:val="24"/>
          <w:u w:val="none"/>
        </w:rPr>
      </w:pPr>
      <w:r>
        <w:rPr>
          <w:b w:val="0"/>
          <w:bCs w:val="0"/>
          <w:sz w:val="24"/>
          <w:u w:val="none"/>
        </w:rPr>
        <w:t>根据监测数据，经与《畜禽养殖产地环境评价规范》（HJ568-2010）比对，养殖区环境质量现状良好。现状监测结果与《畜禽养殖产地环境评价规范》（HJ568-2010）比对表见表</w:t>
      </w:r>
      <w:r>
        <w:rPr>
          <w:rFonts w:hint="eastAsia"/>
          <w:b w:val="0"/>
          <w:bCs w:val="0"/>
          <w:sz w:val="24"/>
          <w:u w:val="none"/>
          <w:lang w:val="en-US" w:eastAsia="zh-CN"/>
        </w:rPr>
        <w:t>3.3-18</w:t>
      </w:r>
      <w:r>
        <w:rPr>
          <w:b w:val="0"/>
          <w:bCs w:val="0"/>
          <w:sz w:val="24"/>
          <w:u w:val="none"/>
        </w:rPr>
        <w:t>。</w:t>
      </w:r>
    </w:p>
    <w:p>
      <w:pPr>
        <w:spacing w:afterLines="30" w:line="500" w:lineRule="exact"/>
        <w:jc w:val="center"/>
        <w:rPr>
          <w:b/>
          <w:color w:val="000000" w:themeColor="text1"/>
          <w:sz w:val="24"/>
        </w:rPr>
      </w:pPr>
      <w:r>
        <w:rPr>
          <w:b/>
          <w:color w:val="000000" w:themeColor="text1"/>
          <w:sz w:val="24"/>
        </w:rPr>
        <w:t>表</w:t>
      </w:r>
      <w:r>
        <w:rPr>
          <w:rFonts w:hint="eastAsia"/>
          <w:b/>
          <w:color w:val="000000" w:themeColor="text1"/>
          <w:sz w:val="24"/>
          <w:lang w:val="en-US" w:eastAsia="zh-CN"/>
        </w:rPr>
        <w:t xml:space="preserve">3.3-18  </w:t>
      </w:r>
      <w:r>
        <w:rPr>
          <w:b/>
          <w:color w:val="000000" w:themeColor="text1"/>
          <w:sz w:val="24"/>
        </w:rPr>
        <w:t>与《畜禽养殖产地环境评价规范》（HJ568-2010）比对表</w:t>
      </w:r>
    </w:p>
    <w:tbl>
      <w:tblPr>
        <w:tblStyle w:val="45"/>
        <w:tblW w:w="894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1"/>
        <w:gridCol w:w="891"/>
        <w:gridCol w:w="1682"/>
        <w:gridCol w:w="1392"/>
        <w:gridCol w:w="1563"/>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exact"/>
        </w:trPr>
        <w:tc>
          <w:tcPr>
            <w:tcW w:w="2141" w:type="dxa"/>
            <w:vAlign w:val="center"/>
          </w:tcPr>
          <w:p>
            <w:pPr>
              <w:pStyle w:val="277"/>
              <w:spacing w:line="240" w:lineRule="atLeast"/>
              <w:jc w:val="center"/>
              <w:rPr>
                <w:rFonts w:ascii="Times New Roman" w:hAnsi="Times New Roman" w:cs="Times New Roman"/>
                <w:b w:val="0"/>
                <w:bCs w:val="0"/>
                <w:sz w:val="21"/>
                <w:szCs w:val="21"/>
                <w:u w:val="none"/>
              </w:rPr>
            </w:pPr>
            <w:bookmarkStart w:id="244" w:name="_Toc472009599"/>
            <w:bookmarkStart w:id="245" w:name="_Toc485996383"/>
            <w:r>
              <w:rPr>
                <w:rFonts w:ascii="Times New Roman" w:hAnsi="Times New Roman" w:cs="Times New Roman"/>
                <w:b w:val="0"/>
                <w:bCs w:val="0"/>
                <w:sz w:val="21"/>
                <w:szCs w:val="21"/>
                <w:u w:val="none"/>
              </w:rPr>
              <w:t>标准</w:t>
            </w:r>
          </w:p>
        </w:tc>
        <w:tc>
          <w:tcPr>
            <w:tcW w:w="891"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监测点</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监测项目</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单位</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监测值</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trPr>
        <w:tc>
          <w:tcPr>
            <w:tcW w:w="214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《畜禽养殖产地环境评价规范》</w:t>
            </w:r>
            <w:r>
              <w:rPr>
                <w:rFonts w:ascii="Times New Roman" w:hAnsi="Times New Roman" w:cs="Times New Roman"/>
                <w:b w:val="0"/>
                <w:bCs w:val="0"/>
                <w:spacing w:val="-9"/>
                <w:sz w:val="21"/>
                <w:szCs w:val="21"/>
                <w:u w:val="none"/>
              </w:rPr>
              <w:t>（HJ568-2011）中表</w:t>
            </w:r>
            <w:r>
              <w:rPr>
                <w:rFonts w:ascii="Times New Roman" w:hAnsi="Times New Roman" w:cs="Times New Roman"/>
                <w:b w:val="0"/>
                <w:bCs w:val="0"/>
                <w:sz w:val="21"/>
                <w:szCs w:val="21"/>
                <w:u w:val="none"/>
              </w:rPr>
              <w:t>2</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畜禽饮用水水质评价指标限值</w:t>
            </w:r>
          </w:p>
        </w:tc>
        <w:tc>
          <w:tcPr>
            <w:tcW w:w="891" w:type="dxa"/>
            <w:vMerge w:val="restart"/>
            <w:vAlign w:val="center"/>
          </w:tcPr>
          <w:p>
            <w:pPr>
              <w:pStyle w:val="277"/>
              <w:spacing w:line="240" w:lineRule="atLeast"/>
              <w:jc w:val="center"/>
              <w:rPr>
                <w:rFonts w:hint="eastAsia" w:ascii="Times New Roman" w:hAnsi="Times New Roman" w:eastAsia="宋体" w:cs="Times New Roman"/>
                <w:b w:val="0"/>
                <w:bCs w:val="0"/>
                <w:sz w:val="21"/>
                <w:szCs w:val="21"/>
                <w:u w:val="none"/>
                <w:lang w:val="en-US" w:eastAsia="zh-CN"/>
              </w:rPr>
            </w:pPr>
            <w:r>
              <w:rPr>
                <w:rFonts w:hint="eastAsia"/>
                <w:color w:val="000000"/>
                <w:kern w:val="0"/>
                <w:szCs w:val="21"/>
              </w:rPr>
              <w:t>上邹庄</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pH</w:t>
            </w:r>
          </w:p>
        </w:tc>
        <w:tc>
          <w:tcPr>
            <w:tcW w:w="1392" w:type="dxa"/>
            <w:vAlign w:val="center"/>
          </w:tcPr>
          <w:p>
            <w:pPr>
              <w:spacing w:line="240" w:lineRule="atLeast"/>
              <w:jc w:val="center"/>
              <w:rPr>
                <w:rFonts w:hint="eastAsia" w:eastAsia="宋体"/>
                <w:b w:val="0"/>
                <w:bCs w:val="0"/>
                <w:szCs w:val="21"/>
                <w:u w:val="none"/>
                <w:lang w:val="en-US" w:eastAsia="zh-CN"/>
              </w:rPr>
            </w:pPr>
            <w:r>
              <w:rPr>
                <w:rFonts w:hint="eastAsia"/>
                <w:b w:val="0"/>
                <w:bCs w:val="0"/>
                <w:szCs w:val="21"/>
                <w:u w:val="none"/>
                <w:lang w:val="en-US" w:eastAsia="zh-CN"/>
              </w:rPr>
              <w:t>/</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7.35</w:t>
            </w:r>
            <w:r>
              <w:rPr>
                <w:rFonts w:ascii="Times New Roman" w:hAnsi="Times New Roman"/>
                <w:color w:val="000000"/>
                <w:sz w:val="21"/>
                <w:szCs w:val="21"/>
              </w:rPr>
              <w:t>-7.</w:t>
            </w:r>
            <w:r>
              <w:rPr>
                <w:rFonts w:hint="eastAsia" w:ascii="Times New Roman" w:hAnsi="Times New Roman"/>
                <w:color w:val="000000"/>
                <w:sz w:val="21"/>
                <w:szCs w:val="21"/>
              </w:rPr>
              <w:t>43</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总硬度（以</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CaCO</w:t>
            </w:r>
            <w:r>
              <w:rPr>
                <w:rFonts w:ascii="Times New Roman" w:hAnsi="Times New Roman" w:cs="Times New Roman"/>
                <w:b w:val="0"/>
                <w:bCs w:val="0"/>
                <w:position w:val="-2"/>
                <w:sz w:val="21"/>
                <w:szCs w:val="21"/>
                <w:u w:val="none"/>
              </w:rPr>
              <w:t>3</w:t>
            </w:r>
            <w:r>
              <w:rPr>
                <w:rFonts w:ascii="Times New Roman" w:hAnsi="Times New Roman" w:cs="Times New Roman"/>
                <w:b w:val="0"/>
                <w:bCs w:val="0"/>
                <w:sz w:val="21"/>
                <w:szCs w:val="21"/>
                <w:u w:val="none"/>
              </w:rPr>
              <w:t>）</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423</w:t>
            </w:r>
            <w:r>
              <w:rPr>
                <w:rFonts w:ascii="Times New Roman" w:hAnsi="Times New Roman"/>
                <w:color w:val="000000"/>
                <w:sz w:val="21"/>
                <w:szCs w:val="21"/>
              </w:rPr>
              <w:t>-</w:t>
            </w:r>
            <w:r>
              <w:rPr>
                <w:rFonts w:hint="eastAsia" w:ascii="Times New Roman" w:hAnsi="Times New Roman"/>
                <w:color w:val="000000"/>
                <w:sz w:val="21"/>
                <w:szCs w:val="21"/>
              </w:rPr>
              <w:t>441</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总大肠菌群</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未检出</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100（成年）</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/3（幼年）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溶解性总固体</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859</w:t>
            </w:r>
            <w:r>
              <w:rPr>
                <w:rFonts w:ascii="Times New Roman" w:hAnsi="Times New Roman"/>
                <w:color w:val="000000"/>
                <w:sz w:val="21"/>
                <w:szCs w:val="21"/>
              </w:rPr>
              <w:t>-</w:t>
            </w:r>
            <w:r>
              <w:rPr>
                <w:rFonts w:hint="eastAsia" w:ascii="Times New Roman" w:hAnsi="Times New Roman"/>
                <w:color w:val="000000"/>
                <w:sz w:val="21"/>
                <w:szCs w:val="21"/>
              </w:rPr>
              <w:t>895</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硝酸盐(以N计)</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5.22-5.37</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exact"/>
        </w:trPr>
        <w:tc>
          <w:tcPr>
            <w:tcW w:w="2141" w:type="dxa"/>
            <w:vMerge w:val="continue"/>
            <w:vAlign w:val="center"/>
          </w:tcPr>
          <w:p>
            <w:pPr>
              <w:spacing w:line="240" w:lineRule="atLeast"/>
              <w:jc w:val="center"/>
              <w:rPr>
                <w:b w:val="0"/>
                <w:bCs w:val="0"/>
                <w:szCs w:val="21"/>
                <w:u w:val="none"/>
              </w:rPr>
            </w:pPr>
          </w:p>
        </w:tc>
        <w:tc>
          <w:tcPr>
            <w:tcW w:w="891" w:type="dxa"/>
            <w:vMerge w:val="restart"/>
            <w:vAlign w:val="center"/>
          </w:tcPr>
          <w:p>
            <w:pPr>
              <w:pStyle w:val="277"/>
              <w:spacing w:line="240" w:lineRule="atLeast"/>
              <w:jc w:val="center"/>
              <w:rPr>
                <w:rFonts w:hint="eastAsia" w:ascii="Times New Roman" w:hAnsi="Times New Roman" w:eastAsia="宋体" w:cs="Times New Roman"/>
                <w:b w:val="0"/>
                <w:bCs w:val="0"/>
                <w:sz w:val="21"/>
                <w:szCs w:val="21"/>
                <w:u w:val="none"/>
                <w:lang w:val="en-US" w:eastAsia="zh-CN"/>
              </w:rPr>
            </w:pPr>
            <w:r>
              <w:rPr>
                <w:rFonts w:hint="eastAsia" w:cs="Times New Roman"/>
                <w:color w:val="000000"/>
                <w:kern w:val="0"/>
                <w:szCs w:val="21"/>
              </w:rPr>
              <w:t>南龚庄</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pH</w:t>
            </w:r>
          </w:p>
        </w:tc>
        <w:tc>
          <w:tcPr>
            <w:tcW w:w="1392" w:type="dxa"/>
            <w:vAlign w:val="center"/>
          </w:tcPr>
          <w:p>
            <w:pPr>
              <w:spacing w:line="240" w:lineRule="atLeast"/>
              <w:jc w:val="center"/>
              <w:rPr>
                <w:rFonts w:hint="eastAsia" w:eastAsia="宋体"/>
                <w:b w:val="0"/>
                <w:bCs w:val="0"/>
                <w:szCs w:val="21"/>
                <w:u w:val="none"/>
                <w:lang w:val="en-US" w:eastAsia="zh-CN"/>
              </w:rPr>
            </w:pPr>
            <w:r>
              <w:rPr>
                <w:rFonts w:hint="eastAsia"/>
                <w:b w:val="0"/>
                <w:bCs w:val="0"/>
                <w:szCs w:val="21"/>
                <w:u w:val="none"/>
                <w:lang w:val="en-US" w:eastAsia="zh-CN"/>
              </w:rPr>
              <w:t>/</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7.26</w:t>
            </w:r>
            <w:r>
              <w:rPr>
                <w:rFonts w:ascii="Times New Roman" w:hAnsi="Times New Roman"/>
                <w:color w:val="000000"/>
                <w:sz w:val="21"/>
                <w:szCs w:val="21"/>
              </w:rPr>
              <w:t>-7</w:t>
            </w:r>
            <w:r>
              <w:rPr>
                <w:rFonts w:hint="eastAsia" w:ascii="Times New Roman" w:hAnsi="Times New Roman"/>
                <w:color w:val="000000"/>
                <w:sz w:val="21"/>
                <w:szCs w:val="21"/>
              </w:rPr>
              <w:t>.28</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总硬度（以</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CaCO</w:t>
            </w:r>
            <w:r>
              <w:rPr>
                <w:rFonts w:ascii="Times New Roman" w:hAnsi="Times New Roman" w:cs="Times New Roman"/>
                <w:b w:val="0"/>
                <w:bCs w:val="0"/>
                <w:position w:val="-2"/>
                <w:sz w:val="21"/>
                <w:szCs w:val="21"/>
                <w:u w:val="none"/>
              </w:rPr>
              <w:t>3</w:t>
            </w:r>
            <w:r>
              <w:rPr>
                <w:rFonts w:ascii="Times New Roman" w:hAnsi="Times New Roman" w:cs="Times New Roman"/>
                <w:b w:val="0"/>
                <w:bCs w:val="0"/>
                <w:sz w:val="21"/>
                <w:szCs w:val="21"/>
                <w:u w:val="none"/>
              </w:rPr>
              <w:t>）</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425</w:t>
            </w:r>
            <w:r>
              <w:rPr>
                <w:rFonts w:ascii="Times New Roman" w:hAnsi="Times New Roman"/>
                <w:color w:val="000000"/>
                <w:sz w:val="21"/>
                <w:szCs w:val="21"/>
              </w:rPr>
              <w:t>-</w:t>
            </w:r>
            <w:r>
              <w:rPr>
                <w:rFonts w:hint="eastAsia" w:ascii="Times New Roman" w:hAnsi="Times New Roman"/>
                <w:color w:val="000000"/>
                <w:sz w:val="21"/>
                <w:szCs w:val="21"/>
              </w:rPr>
              <w:t>434</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总大肠菌群</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未检出</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100（成年）</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/3（幼年）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溶解性总固体</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857</w:t>
            </w:r>
            <w:r>
              <w:rPr>
                <w:rFonts w:ascii="Times New Roman" w:hAnsi="Times New Roman"/>
                <w:color w:val="000000"/>
                <w:sz w:val="21"/>
                <w:szCs w:val="21"/>
              </w:rPr>
              <w:t>-</w:t>
            </w:r>
            <w:r>
              <w:rPr>
                <w:rFonts w:hint="eastAsia" w:ascii="Times New Roman" w:hAnsi="Times New Roman"/>
                <w:color w:val="000000"/>
                <w:sz w:val="21"/>
                <w:szCs w:val="21"/>
              </w:rPr>
              <w:t>862</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硝酸盐(以N计)</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mg/L</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olor w:val="000000"/>
                <w:sz w:val="21"/>
                <w:szCs w:val="21"/>
              </w:rPr>
              <w:t>5.16-5.38</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trPr>
        <w:tc>
          <w:tcPr>
            <w:tcW w:w="214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《畜禽养殖产地环境评价规范》（HJ568-2010）中表</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4土壤环境质量评价指标限值</w:t>
            </w:r>
          </w:p>
        </w:tc>
        <w:tc>
          <w:tcPr>
            <w:tcW w:w="891" w:type="dxa"/>
            <w:vMerge w:val="restart"/>
            <w:vAlign w:val="center"/>
          </w:tcPr>
          <w:p>
            <w:pPr>
              <w:spacing w:line="320" w:lineRule="exact"/>
              <w:jc w:val="center"/>
              <w:rPr>
                <w:b w:val="0"/>
                <w:bCs w:val="0"/>
                <w:szCs w:val="21"/>
                <w:u w:val="none"/>
              </w:rPr>
            </w:pPr>
            <w:r>
              <w:rPr>
                <w:b w:val="0"/>
                <w:bCs w:val="0"/>
                <w:szCs w:val="21"/>
                <w:u w:val="none"/>
              </w:rPr>
              <w:t>场区</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pH</w:t>
            </w:r>
          </w:p>
        </w:tc>
        <w:tc>
          <w:tcPr>
            <w:tcW w:w="1392" w:type="dxa"/>
            <w:vAlign w:val="center"/>
          </w:tcPr>
          <w:p>
            <w:pPr>
              <w:pStyle w:val="277"/>
              <w:spacing w:line="240" w:lineRule="atLeast"/>
              <w:jc w:val="center"/>
              <w:rPr>
                <w:rFonts w:hint="eastAsia"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hint="eastAsia" w:ascii="Times New Roman" w:hAnsi="Times New Roman"/>
                <w:color w:val="000000"/>
                <w:sz w:val="21"/>
                <w:szCs w:val="21"/>
              </w:rPr>
              <w:t>8.2</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汞</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0.048</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铜</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11</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砷</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6.4</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铅</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19</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铬</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0.15</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锌</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83</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restart"/>
            <w:vAlign w:val="center"/>
          </w:tcPr>
          <w:p>
            <w:pPr>
              <w:spacing w:line="320" w:lineRule="exact"/>
              <w:jc w:val="center"/>
              <w:rPr>
                <w:b w:val="0"/>
                <w:bCs w:val="0"/>
                <w:szCs w:val="21"/>
                <w:u w:val="none"/>
              </w:rPr>
            </w:pPr>
            <w:r>
              <w:rPr>
                <w:b w:val="0"/>
                <w:bCs w:val="0"/>
                <w:szCs w:val="21"/>
                <w:u w:val="none"/>
              </w:rPr>
              <w:t>沼液消纳区</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pH</w:t>
            </w:r>
          </w:p>
        </w:tc>
        <w:tc>
          <w:tcPr>
            <w:tcW w:w="1392" w:type="dxa"/>
            <w:vAlign w:val="center"/>
          </w:tcPr>
          <w:p>
            <w:pPr>
              <w:pStyle w:val="277"/>
              <w:spacing w:line="240" w:lineRule="atLeast"/>
              <w:jc w:val="center"/>
              <w:rPr>
                <w:rFonts w:hint="eastAsia" w:ascii="Times New Roman" w:hAnsi="Times New Roman" w:eastAsia="宋体" w:cs="Times New Roman"/>
                <w:b w:val="0"/>
                <w:bCs w:val="0"/>
                <w:sz w:val="21"/>
                <w:szCs w:val="21"/>
                <w:u w:val="none"/>
                <w:lang w:eastAsia="zh-CN"/>
              </w:rPr>
            </w:pPr>
            <w:r>
              <w:rPr>
                <w:rFonts w:hint="eastAsia" w:ascii="Times New Roman" w:hAnsi="Times New Roman" w:cs="Times New Roman"/>
                <w:b w:val="0"/>
                <w:bCs w:val="0"/>
                <w:sz w:val="21"/>
                <w:szCs w:val="21"/>
                <w:u w:val="none"/>
                <w:lang w:val="en-US" w:eastAsia="zh-CN"/>
              </w:rPr>
              <w:t>/</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hint="eastAsia" w:ascii="Times New Roman" w:hAnsi="Times New Roman"/>
                <w:color w:val="000000"/>
                <w:sz w:val="21"/>
                <w:szCs w:val="21"/>
              </w:rPr>
              <w:t>8.3</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汞</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ascii="Times New Roman" w:hAnsi="Times New Roman" w:cs="Times New Roman"/>
                <w:b w:val="0"/>
                <w:bCs w:val="0"/>
                <w:sz w:val="21"/>
                <w:szCs w:val="21"/>
                <w:u w:val="none"/>
              </w:rPr>
              <w:t>0.0</w:t>
            </w:r>
            <w:r>
              <w:rPr>
                <w:rFonts w:hint="eastAsia" w:ascii="Times New Roman" w:hAnsi="Times New Roman" w:cs="Times New Roman"/>
                <w:b w:val="0"/>
                <w:bCs w:val="0"/>
                <w:sz w:val="21"/>
                <w:szCs w:val="21"/>
                <w:u w:val="none"/>
                <w:lang w:val="en-US" w:eastAsia="zh-CN"/>
              </w:rPr>
              <w:t>57</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铜</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11</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砷</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6.13</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铅</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15</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铬</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0.06</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锌</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mg/kg</w:t>
            </w:r>
          </w:p>
        </w:tc>
        <w:tc>
          <w:tcPr>
            <w:tcW w:w="1563" w:type="dxa"/>
            <w:vAlign w:val="center"/>
          </w:tcPr>
          <w:p>
            <w:pPr>
              <w:pStyle w:val="277"/>
              <w:spacing w:line="240" w:lineRule="atLeast"/>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77</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exact"/>
        </w:trPr>
        <w:tc>
          <w:tcPr>
            <w:tcW w:w="214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pacing w:val="-1"/>
                <w:sz w:val="21"/>
                <w:szCs w:val="21"/>
                <w:u w:val="none"/>
              </w:rPr>
              <w:t>《畜禽养殖产地环境</w:t>
            </w:r>
            <w:r>
              <w:rPr>
                <w:rFonts w:ascii="Times New Roman" w:hAnsi="Times New Roman" w:cs="Times New Roman"/>
                <w:b w:val="0"/>
                <w:bCs w:val="0"/>
                <w:sz w:val="21"/>
                <w:szCs w:val="21"/>
                <w:u w:val="none"/>
              </w:rPr>
              <w:t>评价规范》（HJ568-2010）中表</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5环境空气质量评价</w:t>
            </w:r>
            <w:r>
              <w:rPr>
                <w:rFonts w:ascii="Times New Roman" w:hAnsi="Times New Roman" w:cs="Times New Roman"/>
                <w:b w:val="0"/>
                <w:bCs w:val="0"/>
                <w:spacing w:val="-4"/>
                <w:sz w:val="21"/>
                <w:szCs w:val="21"/>
                <w:u w:val="none"/>
              </w:rPr>
              <w:t>指标限值（1</w:t>
            </w:r>
            <w:r>
              <w:rPr>
                <w:rFonts w:ascii="Times New Roman" w:hAnsi="Times New Roman" w:cs="Times New Roman"/>
                <w:b w:val="0"/>
                <w:bCs w:val="0"/>
                <w:sz w:val="21"/>
                <w:szCs w:val="21"/>
                <w:u w:val="none"/>
              </w:rPr>
              <w:t>日平均）</w:t>
            </w:r>
          </w:p>
        </w:tc>
        <w:tc>
          <w:tcPr>
            <w:tcW w:w="891" w:type="dxa"/>
            <w:vMerge w:val="restart"/>
            <w:vAlign w:val="center"/>
          </w:tcPr>
          <w:p>
            <w:pPr>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olor w:val="000000"/>
                <w:sz w:val="21"/>
                <w:szCs w:val="21"/>
              </w:rPr>
              <w:t>上邹庄</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NH</w:t>
            </w:r>
            <w:r>
              <w:rPr>
                <w:rFonts w:ascii="Times New Roman" w:hAnsi="Times New Roman" w:cs="Times New Roman"/>
                <w:b w:val="0"/>
                <w:bCs w:val="0"/>
                <w:position w:val="-2"/>
                <w:sz w:val="21"/>
                <w:szCs w:val="21"/>
                <w:u w:val="none"/>
                <w:vertAlign w:val="subscript"/>
              </w:rPr>
              <w:t>3</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mg/m</w:t>
            </w:r>
            <w:r>
              <w:rPr>
                <w:rFonts w:ascii="Times New Roman" w:hAnsi="Times New Roman" w:cs="Times New Roman"/>
                <w:b w:val="0"/>
                <w:bCs w:val="0"/>
                <w:sz w:val="21"/>
                <w:szCs w:val="21"/>
                <w:u w:val="none"/>
                <w:vertAlign w:val="superscript"/>
              </w:rPr>
              <w:t>3</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bCs/>
                <w:color w:val="000000"/>
                <w:sz w:val="21"/>
                <w:szCs w:val="21"/>
              </w:rPr>
              <w:t>0.0</w:t>
            </w:r>
            <w:r>
              <w:rPr>
                <w:rFonts w:hint="eastAsia" w:ascii="Times New Roman" w:hAnsi="Times New Roman"/>
                <w:bCs/>
                <w:color w:val="000000"/>
                <w:sz w:val="21"/>
                <w:szCs w:val="21"/>
              </w:rPr>
              <w:t>1</w:t>
            </w:r>
            <w:r>
              <w:rPr>
                <w:rFonts w:ascii="Times New Roman" w:hAnsi="Times New Roman"/>
                <w:bCs/>
                <w:color w:val="000000"/>
                <w:sz w:val="21"/>
                <w:szCs w:val="21"/>
              </w:rPr>
              <w:t>~0.</w:t>
            </w:r>
            <w:r>
              <w:rPr>
                <w:rFonts w:hint="eastAsia" w:ascii="Times New Roman" w:hAnsi="Times New Roman"/>
                <w:bCs/>
                <w:color w:val="000000"/>
                <w:sz w:val="21"/>
                <w:szCs w:val="21"/>
              </w:rPr>
              <w:t>1</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color w:val="00000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H</w:t>
            </w:r>
            <w:r>
              <w:rPr>
                <w:rFonts w:ascii="Times New Roman" w:hAnsi="Times New Roman" w:cs="Times New Roman"/>
                <w:b w:val="0"/>
                <w:bCs w:val="0"/>
                <w:position w:val="-2"/>
                <w:sz w:val="21"/>
                <w:szCs w:val="21"/>
                <w:u w:val="none"/>
                <w:vertAlign w:val="subscript"/>
              </w:rPr>
              <w:t>2</w:t>
            </w:r>
            <w:r>
              <w:rPr>
                <w:rFonts w:ascii="Times New Roman" w:hAnsi="Times New Roman" w:cs="Times New Roman"/>
                <w:b w:val="0"/>
                <w:bCs w:val="0"/>
                <w:sz w:val="21"/>
                <w:szCs w:val="21"/>
                <w:u w:val="none"/>
              </w:rPr>
              <w:t>S</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mg/m</w:t>
            </w:r>
            <w:r>
              <w:rPr>
                <w:rFonts w:ascii="Times New Roman" w:hAnsi="Times New Roman" w:cs="Times New Roman"/>
                <w:b w:val="0"/>
                <w:bCs w:val="0"/>
                <w:sz w:val="21"/>
                <w:szCs w:val="21"/>
                <w:u w:val="none"/>
                <w:vertAlign w:val="superscript"/>
              </w:rPr>
              <w:t>3</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hint="eastAsia" w:ascii="Times New Roman" w:hAnsi="Times New Roman"/>
                <w:color w:val="000000"/>
                <w:sz w:val="21"/>
                <w:szCs w:val="21"/>
              </w:rPr>
              <w:t>0.003~0.005</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exact"/>
        </w:trPr>
        <w:tc>
          <w:tcPr>
            <w:tcW w:w="2141" w:type="dxa"/>
            <w:vMerge w:val="continue"/>
            <w:vAlign w:val="center"/>
          </w:tcPr>
          <w:p>
            <w:pPr>
              <w:spacing w:line="240" w:lineRule="atLeast"/>
              <w:jc w:val="center"/>
              <w:rPr>
                <w:b w:val="0"/>
                <w:bCs w:val="0"/>
                <w:szCs w:val="21"/>
                <w:u w:val="none"/>
              </w:rPr>
            </w:pPr>
          </w:p>
        </w:tc>
        <w:tc>
          <w:tcPr>
            <w:tcW w:w="891" w:type="dxa"/>
            <w:vMerge w:val="restart"/>
            <w:vAlign w:val="center"/>
          </w:tcPr>
          <w:p>
            <w:pPr>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olor w:val="000000"/>
                <w:sz w:val="21"/>
                <w:szCs w:val="21"/>
              </w:rPr>
              <w:t>南龚庄</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NH</w:t>
            </w:r>
            <w:r>
              <w:rPr>
                <w:rFonts w:ascii="Times New Roman" w:hAnsi="Times New Roman" w:cs="Times New Roman"/>
                <w:b w:val="0"/>
                <w:bCs w:val="0"/>
                <w:position w:val="-2"/>
                <w:sz w:val="21"/>
                <w:szCs w:val="21"/>
                <w:u w:val="none"/>
                <w:vertAlign w:val="subscript"/>
              </w:rPr>
              <w:t>3</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mg/m</w:t>
            </w:r>
            <w:r>
              <w:rPr>
                <w:rFonts w:ascii="Times New Roman" w:hAnsi="Times New Roman" w:cs="Times New Roman"/>
                <w:b w:val="0"/>
                <w:bCs w:val="0"/>
                <w:sz w:val="21"/>
                <w:szCs w:val="21"/>
                <w:u w:val="none"/>
                <w:vertAlign w:val="superscript"/>
              </w:rPr>
              <w:t>3</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bCs/>
                <w:color w:val="000000"/>
                <w:sz w:val="21"/>
                <w:szCs w:val="21"/>
              </w:rPr>
              <w:t>0.0</w:t>
            </w:r>
            <w:r>
              <w:rPr>
                <w:rFonts w:hint="eastAsia" w:ascii="Times New Roman" w:hAnsi="Times New Roman"/>
                <w:bCs/>
                <w:color w:val="000000"/>
                <w:sz w:val="21"/>
                <w:szCs w:val="21"/>
              </w:rPr>
              <w:t>1</w:t>
            </w:r>
            <w:r>
              <w:rPr>
                <w:rFonts w:ascii="Times New Roman" w:hAnsi="Times New Roman"/>
                <w:bCs/>
                <w:color w:val="000000"/>
                <w:sz w:val="21"/>
                <w:szCs w:val="21"/>
              </w:rPr>
              <w:t>~0.</w:t>
            </w:r>
            <w:r>
              <w:rPr>
                <w:rFonts w:hint="eastAsia" w:ascii="Times New Roman" w:hAnsi="Times New Roman"/>
                <w:bCs/>
                <w:color w:val="000000"/>
                <w:sz w:val="21"/>
                <w:szCs w:val="21"/>
              </w:rPr>
              <w:t>1</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color w:val="00000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H</w:t>
            </w:r>
            <w:r>
              <w:rPr>
                <w:rFonts w:ascii="Times New Roman" w:hAnsi="Times New Roman" w:cs="Times New Roman"/>
                <w:b w:val="0"/>
                <w:bCs w:val="0"/>
                <w:position w:val="-2"/>
                <w:sz w:val="21"/>
                <w:szCs w:val="21"/>
                <w:u w:val="none"/>
                <w:vertAlign w:val="subscript"/>
              </w:rPr>
              <w:t>2</w:t>
            </w:r>
            <w:r>
              <w:rPr>
                <w:rFonts w:ascii="Times New Roman" w:hAnsi="Times New Roman" w:cs="Times New Roman"/>
                <w:b w:val="0"/>
                <w:bCs w:val="0"/>
                <w:sz w:val="21"/>
                <w:szCs w:val="21"/>
                <w:u w:val="none"/>
              </w:rPr>
              <w:t>S</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mg/m</w:t>
            </w:r>
            <w:r>
              <w:rPr>
                <w:rFonts w:ascii="Times New Roman" w:hAnsi="Times New Roman" w:cs="Times New Roman"/>
                <w:b w:val="0"/>
                <w:bCs w:val="0"/>
                <w:sz w:val="21"/>
                <w:szCs w:val="21"/>
                <w:u w:val="none"/>
                <w:vertAlign w:val="superscript"/>
              </w:rPr>
              <w:t>3</w:t>
            </w:r>
          </w:p>
        </w:tc>
        <w:tc>
          <w:tcPr>
            <w:tcW w:w="1563" w:type="dxa"/>
            <w:vAlign w:val="center"/>
          </w:tcPr>
          <w:p>
            <w:pPr>
              <w:pStyle w:val="277"/>
              <w:spacing w:line="240" w:lineRule="atLeast"/>
              <w:jc w:val="center"/>
              <w:rPr>
                <w:rFonts w:ascii="Times New Roman" w:hAnsi="Times New Roman" w:cs="Times New Roman"/>
                <w:b w:val="0"/>
                <w:bCs w:val="0"/>
                <w:sz w:val="21"/>
                <w:szCs w:val="21"/>
                <w:u w:val="none"/>
              </w:rPr>
            </w:pPr>
            <w:r>
              <w:rPr>
                <w:rFonts w:hint="eastAsia" w:ascii="Times New Roman" w:hAnsi="Times New Roman"/>
                <w:color w:val="000000"/>
                <w:sz w:val="21"/>
                <w:szCs w:val="21"/>
              </w:rPr>
              <w:t>0.003~0.005</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exact"/>
        </w:trPr>
        <w:tc>
          <w:tcPr>
            <w:tcW w:w="214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《畜禽养殖产地环境评价规范》表6声环境质量评价指标限值</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（HJ568-2010）中表</w:t>
            </w:r>
          </w:p>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6声环境质量评价指标限值</w:t>
            </w:r>
          </w:p>
        </w:tc>
        <w:tc>
          <w:tcPr>
            <w:tcW w:w="89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东场界</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昼间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bottom"/>
          </w:tcPr>
          <w:p>
            <w:pPr>
              <w:jc w:val="center"/>
              <w:rPr>
                <w:b w:val="0"/>
                <w:bCs w:val="0"/>
                <w:color w:val="000000"/>
                <w:szCs w:val="21"/>
                <w:u w:val="none"/>
              </w:rPr>
            </w:pPr>
            <w:r>
              <w:rPr>
                <w:rFonts w:hint="eastAsia"/>
                <w:lang w:val="en-US" w:eastAsia="zh-CN"/>
              </w:rPr>
              <w:t>51.2~51.8</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夜间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bottom"/>
          </w:tcPr>
          <w:p>
            <w:pPr>
              <w:jc w:val="center"/>
              <w:rPr>
                <w:b w:val="0"/>
                <w:bCs w:val="0"/>
                <w:color w:val="000000"/>
                <w:szCs w:val="21"/>
                <w:u w:val="none"/>
              </w:rPr>
            </w:pPr>
            <w:r>
              <w:rPr>
                <w:rFonts w:hint="eastAsia"/>
                <w:lang w:val="en-US" w:eastAsia="zh-CN"/>
              </w:rPr>
              <w:t>41.9~42.4</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2141" w:type="dxa"/>
            <w:vMerge w:val="continue"/>
            <w:vAlign w:val="center"/>
          </w:tcPr>
          <w:p>
            <w:pPr>
              <w:spacing w:line="240" w:lineRule="atLeast"/>
              <w:jc w:val="center"/>
              <w:rPr>
                <w:b w:val="0"/>
                <w:bCs w:val="0"/>
                <w:szCs w:val="21"/>
                <w:u w:val="none"/>
              </w:rPr>
            </w:pPr>
          </w:p>
        </w:tc>
        <w:tc>
          <w:tcPr>
            <w:tcW w:w="89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南场界</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昼间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center"/>
          </w:tcPr>
          <w:p>
            <w:pPr>
              <w:topLinePunct/>
              <w:spacing w:line="400" w:lineRule="exact"/>
              <w:jc w:val="center"/>
              <w:rPr>
                <w:b w:val="0"/>
                <w:bCs w:val="0"/>
                <w:color w:val="000000"/>
                <w:szCs w:val="21"/>
                <w:u w:val="none"/>
              </w:rPr>
            </w:pPr>
            <w:r>
              <w:rPr>
                <w:rFonts w:hint="eastAsia"/>
                <w:lang w:val="en-US" w:eastAsia="zh-CN"/>
              </w:rPr>
              <w:t>53.4</w:t>
            </w:r>
          </w:p>
        </w:tc>
        <w:tc>
          <w:tcPr>
            <w:tcW w:w="1279" w:type="dxa"/>
            <w:vAlign w:val="center"/>
          </w:tcPr>
          <w:p>
            <w:pPr>
              <w:topLinePunct/>
              <w:spacing w:line="400" w:lineRule="exact"/>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夜间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bottom"/>
          </w:tcPr>
          <w:p>
            <w:pPr>
              <w:jc w:val="center"/>
              <w:rPr>
                <w:b w:val="0"/>
                <w:bCs w:val="0"/>
                <w:color w:val="000000"/>
                <w:szCs w:val="21"/>
                <w:u w:val="none"/>
              </w:rPr>
            </w:pPr>
            <w:r>
              <w:rPr>
                <w:rFonts w:hint="eastAsia"/>
                <w:lang w:val="en-US" w:eastAsia="zh-CN"/>
              </w:rPr>
              <w:t>41.8~42.9</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exact"/>
        </w:trPr>
        <w:tc>
          <w:tcPr>
            <w:tcW w:w="2141" w:type="dxa"/>
            <w:vMerge w:val="continue"/>
            <w:vAlign w:val="center"/>
          </w:tcPr>
          <w:p>
            <w:pPr>
              <w:spacing w:line="240" w:lineRule="atLeast"/>
              <w:jc w:val="center"/>
              <w:rPr>
                <w:b w:val="0"/>
                <w:bCs w:val="0"/>
                <w:szCs w:val="21"/>
                <w:u w:val="none"/>
              </w:rPr>
            </w:pPr>
          </w:p>
        </w:tc>
        <w:tc>
          <w:tcPr>
            <w:tcW w:w="89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西场界</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昼间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center"/>
          </w:tcPr>
          <w:p>
            <w:pPr>
              <w:topLinePunct/>
              <w:spacing w:line="400" w:lineRule="exact"/>
              <w:jc w:val="center"/>
              <w:rPr>
                <w:b w:val="0"/>
                <w:bCs w:val="0"/>
                <w:color w:val="000000"/>
                <w:szCs w:val="21"/>
                <w:u w:val="none"/>
              </w:rPr>
            </w:pPr>
            <w:r>
              <w:rPr>
                <w:rFonts w:hint="eastAsia"/>
                <w:lang w:val="en-US" w:eastAsia="zh-CN"/>
              </w:rPr>
              <w:t>50.7~53</w:t>
            </w:r>
          </w:p>
        </w:tc>
        <w:tc>
          <w:tcPr>
            <w:tcW w:w="1279" w:type="dxa"/>
            <w:vAlign w:val="center"/>
          </w:tcPr>
          <w:p>
            <w:pPr>
              <w:topLinePunct/>
              <w:spacing w:line="400" w:lineRule="exact"/>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夜间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bottom"/>
          </w:tcPr>
          <w:p>
            <w:pPr>
              <w:jc w:val="center"/>
              <w:rPr>
                <w:b w:val="0"/>
                <w:bCs w:val="0"/>
                <w:color w:val="000000"/>
                <w:szCs w:val="21"/>
                <w:u w:val="none"/>
              </w:rPr>
            </w:pPr>
            <w:r>
              <w:rPr>
                <w:rFonts w:hint="eastAsia"/>
                <w:lang w:val="en-US" w:eastAsia="zh-CN"/>
              </w:rPr>
              <w:t>41.5~41.9</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exact"/>
        </w:trPr>
        <w:tc>
          <w:tcPr>
            <w:tcW w:w="2141" w:type="dxa"/>
            <w:vMerge w:val="continue"/>
            <w:vAlign w:val="center"/>
          </w:tcPr>
          <w:p>
            <w:pPr>
              <w:spacing w:line="240" w:lineRule="atLeast"/>
              <w:jc w:val="center"/>
              <w:rPr>
                <w:b w:val="0"/>
                <w:bCs w:val="0"/>
                <w:szCs w:val="21"/>
                <w:u w:val="none"/>
              </w:rPr>
            </w:pPr>
          </w:p>
        </w:tc>
        <w:tc>
          <w:tcPr>
            <w:tcW w:w="891" w:type="dxa"/>
            <w:vMerge w:val="restart"/>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北场界</w:t>
            </w: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昼间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center"/>
          </w:tcPr>
          <w:p>
            <w:pPr>
              <w:topLinePunct/>
              <w:spacing w:line="400" w:lineRule="exact"/>
              <w:jc w:val="center"/>
              <w:rPr>
                <w:b w:val="0"/>
                <w:bCs w:val="0"/>
                <w:color w:val="000000"/>
                <w:szCs w:val="21"/>
                <w:u w:val="none"/>
              </w:rPr>
            </w:pPr>
            <w:r>
              <w:rPr>
                <w:rFonts w:hint="eastAsia"/>
                <w:lang w:val="en-US" w:eastAsia="zh-CN"/>
              </w:rPr>
              <w:t>51~51.6</w:t>
            </w:r>
          </w:p>
        </w:tc>
        <w:tc>
          <w:tcPr>
            <w:tcW w:w="1279" w:type="dxa"/>
            <w:vAlign w:val="center"/>
          </w:tcPr>
          <w:p>
            <w:pPr>
              <w:topLinePunct/>
              <w:spacing w:line="400" w:lineRule="exact"/>
              <w:jc w:val="center"/>
              <w:rPr>
                <w:rFonts w:hint="default" w:ascii="Times New Roman" w:hAnsi="Times New Roman" w:eastAsia="宋体" w:cs="Times New Roman"/>
                <w:b w:val="0"/>
                <w:bCs w:val="0"/>
                <w:sz w:val="21"/>
                <w:szCs w:val="21"/>
                <w:u w:val="none"/>
                <w:lang w:val="en-US" w:eastAsia="zh-CN"/>
              </w:rPr>
            </w:pPr>
            <w:r>
              <w:rPr>
                <w:rFonts w:hint="eastAsia" w:cs="Times New Roman"/>
                <w:b w:val="0"/>
                <w:bCs w:val="0"/>
                <w:sz w:val="21"/>
                <w:szCs w:val="21"/>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exact"/>
        </w:trPr>
        <w:tc>
          <w:tcPr>
            <w:tcW w:w="2141" w:type="dxa"/>
            <w:vMerge w:val="continue"/>
            <w:vAlign w:val="center"/>
          </w:tcPr>
          <w:p>
            <w:pPr>
              <w:spacing w:line="240" w:lineRule="atLeast"/>
              <w:jc w:val="center"/>
              <w:rPr>
                <w:b w:val="0"/>
                <w:bCs w:val="0"/>
                <w:szCs w:val="21"/>
                <w:u w:val="none"/>
              </w:rPr>
            </w:pPr>
          </w:p>
        </w:tc>
        <w:tc>
          <w:tcPr>
            <w:tcW w:w="891" w:type="dxa"/>
            <w:vMerge w:val="continue"/>
            <w:vAlign w:val="center"/>
          </w:tcPr>
          <w:p>
            <w:pPr>
              <w:spacing w:line="240" w:lineRule="atLeast"/>
              <w:jc w:val="center"/>
              <w:rPr>
                <w:b w:val="0"/>
                <w:bCs w:val="0"/>
                <w:szCs w:val="21"/>
                <w:u w:val="none"/>
              </w:rPr>
            </w:pPr>
          </w:p>
        </w:tc>
        <w:tc>
          <w:tcPr>
            <w:tcW w:w="168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夜间</w:t>
            </w:r>
          </w:p>
        </w:tc>
        <w:tc>
          <w:tcPr>
            <w:tcW w:w="1392"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dB（A）</w:t>
            </w:r>
          </w:p>
        </w:tc>
        <w:tc>
          <w:tcPr>
            <w:tcW w:w="1563" w:type="dxa"/>
            <w:vAlign w:val="bottom"/>
          </w:tcPr>
          <w:p>
            <w:pPr>
              <w:jc w:val="center"/>
              <w:rPr>
                <w:b w:val="0"/>
                <w:bCs w:val="0"/>
                <w:color w:val="000000"/>
                <w:szCs w:val="21"/>
                <w:u w:val="none"/>
              </w:rPr>
            </w:pPr>
            <w:r>
              <w:rPr>
                <w:rFonts w:hint="eastAsia"/>
                <w:lang w:val="en-US" w:eastAsia="zh-CN"/>
              </w:rPr>
              <w:t>41.3~41.9</w:t>
            </w:r>
          </w:p>
        </w:tc>
        <w:tc>
          <w:tcPr>
            <w:tcW w:w="1279" w:type="dxa"/>
            <w:vAlign w:val="center"/>
          </w:tcPr>
          <w:p>
            <w:pPr>
              <w:pStyle w:val="277"/>
              <w:spacing w:line="240" w:lineRule="atLeast"/>
              <w:jc w:val="center"/>
              <w:rPr>
                <w:rFonts w:ascii="Times New Roman" w:hAnsi="Times New Roman" w:cs="Times New Roman"/>
                <w:b w:val="0"/>
                <w:bCs w:val="0"/>
                <w:sz w:val="21"/>
                <w:szCs w:val="21"/>
                <w:u w:val="none"/>
              </w:rPr>
            </w:pPr>
            <w:r>
              <w:rPr>
                <w:rFonts w:ascii="Times New Roman" w:hAnsi="Times New Roman" w:cs="Times New Roman"/>
                <w:b w:val="0"/>
                <w:bCs w:val="0"/>
                <w:sz w:val="21"/>
                <w:szCs w:val="21"/>
                <w:u w:val="none"/>
              </w:rPr>
              <w:t>50</w:t>
            </w:r>
          </w:p>
        </w:tc>
      </w:tr>
    </w:tbl>
    <w:p>
      <w:pPr>
        <w:snapToGrid w:val="0"/>
        <w:spacing w:line="520" w:lineRule="exact"/>
        <w:outlineLvl w:val="1"/>
        <w:rPr>
          <w:rFonts w:eastAsia="黑体"/>
          <w:bCs/>
          <w:color w:val="000000" w:themeColor="text1"/>
          <w:sz w:val="28"/>
          <w:szCs w:val="28"/>
        </w:rPr>
      </w:pPr>
      <w:bookmarkStart w:id="246" w:name="_Toc17120"/>
      <w:r>
        <w:rPr>
          <w:rFonts w:hint="eastAsia" w:eastAsia="黑体"/>
          <w:bCs/>
          <w:color w:val="000000" w:themeColor="text1"/>
          <w:sz w:val="28"/>
          <w:szCs w:val="28"/>
          <w:lang w:val="en-US" w:eastAsia="zh-CN"/>
        </w:rPr>
        <w:t>3</w:t>
      </w:r>
      <w:r>
        <w:rPr>
          <w:rFonts w:eastAsia="黑体"/>
          <w:bCs/>
          <w:color w:val="000000" w:themeColor="text1"/>
          <w:sz w:val="28"/>
          <w:szCs w:val="28"/>
        </w:rPr>
        <w:t>.5区域污染源调查</w:t>
      </w:r>
      <w:bookmarkEnd w:id="244"/>
      <w:bookmarkEnd w:id="245"/>
      <w:bookmarkEnd w:id="246"/>
    </w:p>
    <w:p>
      <w:pPr>
        <w:spacing w:line="520" w:lineRule="exact"/>
        <w:ind w:firstLine="480" w:firstLineChars="200"/>
        <w:rPr>
          <w:color w:val="000000" w:themeColor="text1"/>
          <w:sz w:val="24"/>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r>
        <w:rPr>
          <w:color w:val="000000" w:themeColor="text1"/>
          <w:sz w:val="24"/>
        </w:rPr>
        <w:t>经调查，项目区周围无工业、养殖污染源存在。</w:t>
      </w:r>
    </w:p>
    <w:p>
      <w:pPr>
        <w:keepNext/>
        <w:keepLines/>
        <w:spacing w:before="100" w:beforeAutospacing="1" w:after="100" w:afterAutospacing="1"/>
        <w:jc w:val="center"/>
        <w:outlineLvl w:val="0"/>
        <w:rPr>
          <w:b/>
          <w:sz w:val="44"/>
          <w:szCs w:val="44"/>
        </w:rPr>
      </w:pPr>
      <w:bookmarkStart w:id="247" w:name="_Toc375206181"/>
      <w:bookmarkStart w:id="248" w:name="_Toc20215"/>
      <w:bookmarkStart w:id="249" w:name="_Toc488572568"/>
      <w:r>
        <w:rPr>
          <w:b/>
          <w:sz w:val="44"/>
          <w:szCs w:val="44"/>
        </w:rPr>
        <w:t>第</w:t>
      </w:r>
      <w:r>
        <w:rPr>
          <w:rFonts w:hint="eastAsia"/>
          <w:b/>
          <w:sz w:val="44"/>
          <w:szCs w:val="44"/>
          <w:lang w:val="en-US" w:eastAsia="zh-CN"/>
        </w:rPr>
        <w:t>四</w:t>
      </w:r>
      <w:r>
        <w:rPr>
          <w:b/>
          <w:sz w:val="44"/>
          <w:szCs w:val="44"/>
        </w:rPr>
        <w:t>章   环境影响预测与</w:t>
      </w:r>
      <w:bookmarkEnd w:id="247"/>
      <w:r>
        <w:rPr>
          <w:b/>
          <w:sz w:val="44"/>
          <w:szCs w:val="44"/>
        </w:rPr>
        <w:t>评价</w:t>
      </w:r>
      <w:bookmarkEnd w:id="248"/>
      <w:bookmarkEnd w:id="249"/>
    </w:p>
    <w:p>
      <w:pPr>
        <w:pStyle w:val="5"/>
        <w:spacing w:before="156" w:after="156"/>
        <w:rPr>
          <w:rFonts w:hAnsi="Times New Roman"/>
          <w:color w:val="000000"/>
        </w:rPr>
      </w:pPr>
      <w:bookmarkStart w:id="250" w:name="_Toc4448"/>
      <w:bookmarkStart w:id="251" w:name="_Toc375206182"/>
      <w:bookmarkStart w:id="252" w:name="_Toc488572569"/>
      <w:r>
        <w:rPr>
          <w:rFonts w:hint="eastAsia" w:hAnsi="Times New Roman"/>
          <w:color w:val="000000"/>
          <w:lang w:val="en-US" w:eastAsia="zh-CN"/>
        </w:rPr>
        <w:t>4</w:t>
      </w:r>
      <w:r>
        <w:rPr>
          <w:rFonts w:hAnsi="Times New Roman"/>
          <w:color w:val="000000"/>
        </w:rPr>
        <w:t>.1 施工期环境影响分析</w:t>
      </w:r>
      <w:bookmarkEnd w:id="250"/>
      <w:bookmarkEnd w:id="251"/>
      <w:bookmarkEnd w:id="252"/>
    </w:p>
    <w:p>
      <w:pPr>
        <w:topLinePunct/>
        <w:spacing w:line="500" w:lineRule="exact"/>
        <w:ind w:firstLine="480" w:firstLineChars="200"/>
        <w:rPr>
          <w:bCs/>
          <w:color w:val="000000"/>
          <w:sz w:val="24"/>
        </w:rPr>
      </w:pPr>
      <w:r>
        <w:rPr>
          <w:bCs/>
          <w:color w:val="000000"/>
          <w:sz w:val="24"/>
        </w:rPr>
        <w:t>本项目</w:t>
      </w:r>
      <w:r>
        <w:rPr>
          <w:rFonts w:hint="eastAsia"/>
          <w:bCs/>
          <w:color w:val="000000"/>
          <w:sz w:val="24"/>
          <w:lang w:val="en-US" w:eastAsia="zh-CN"/>
        </w:rPr>
        <w:t>新建猪舍30栋、办公用房，并建设配套粪污处理设施</w:t>
      </w:r>
      <w:r>
        <w:rPr>
          <w:bCs/>
          <w:color w:val="000000"/>
          <w:sz w:val="24"/>
        </w:rPr>
        <w:t>，建设工期计划为6个月。</w:t>
      </w:r>
    </w:p>
    <w:p>
      <w:pPr>
        <w:topLinePunct/>
        <w:spacing w:line="500" w:lineRule="exact"/>
        <w:ind w:firstLine="480" w:firstLineChars="200"/>
        <w:rPr>
          <w:b/>
          <w:color w:val="000000"/>
          <w:sz w:val="24"/>
        </w:rPr>
      </w:pPr>
      <w:r>
        <w:rPr>
          <w:bCs/>
          <w:color w:val="000000"/>
          <w:sz w:val="24"/>
        </w:rPr>
        <w:t>本项目施工内容主要包括场地平整，土建、附属设施的新建、设备安装等。施工期间对环境的影响主要是扬尘、废水、施工噪声、建筑垃圾及生态影响等。</w:t>
      </w:r>
    </w:p>
    <w:p>
      <w:pPr>
        <w:topLinePunct/>
        <w:spacing w:line="600" w:lineRule="exact"/>
        <w:outlineLvl w:val="2"/>
        <w:rPr>
          <w:b/>
          <w:color w:val="000000"/>
          <w:sz w:val="24"/>
        </w:rPr>
      </w:pPr>
      <w:r>
        <w:rPr>
          <w:rFonts w:hint="eastAsia"/>
          <w:b/>
          <w:color w:val="000000"/>
          <w:sz w:val="24"/>
          <w:lang w:val="en-US" w:eastAsia="zh-CN"/>
        </w:rPr>
        <w:t>4</w:t>
      </w:r>
      <w:r>
        <w:rPr>
          <w:b/>
          <w:color w:val="000000"/>
          <w:sz w:val="24"/>
        </w:rPr>
        <w:t>.1.1</w:t>
      </w:r>
      <w:bookmarkStart w:id="253" w:name="_Toc303632177"/>
      <w:bookmarkEnd w:id="253"/>
      <w:bookmarkStart w:id="254" w:name="_Toc298705392"/>
      <w:bookmarkEnd w:id="254"/>
      <w:r>
        <w:rPr>
          <w:b/>
          <w:color w:val="000000"/>
          <w:sz w:val="24"/>
        </w:rPr>
        <w:t>施工期扬尘影响分析</w:t>
      </w:r>
    </w:p>
    <w:p>
      <w:pPr>
        <w:topLinePunct/>
        <w:spacing w:line="500" w:lineRule="exact"/>
        <w:ind w:firstLine="480" w:firstLineChars="200"/>
        <w:rPr>
          <w:bCs/>
          <w:color w:val="000000"/>
          <w:sz w:val="24"/>
        </w:rPr>
      </w:pPr>
      <w:r>
        <w:rPr>
          <w:bCs/>
          <w:color w:val="000000"/>
          <w:sz w:val="24"/>
        </w:rPr>
        <w:t>本项目施工期废气主要为施工扬尘，施工扬尘主要来自以下几个方面：</w:t>
      </w:r>
      <w:r>
        <w:rPr>
          <w:bCs/>
          <w:color w:val="000000"/>
          <w:sz w:val="24"/>
        </w:rPr>
        <w:fldChar w:fldCharType="begin"/>
      </w:r>
      <w:r>
        <w:rPr>
          <w:bCs/>
          <w:color w:val="000000"/>
          <w:sz w:val="24"/>
        </w:rPr>
        <w:instrText xml:space="preserve"> = 1 \* GB3 </w:instrText>
      </w:r>
      <w:r>
        <w:rPr>
          <w:bCs/>
          <w:color w:val="000000"/>
          <w:sz w:val="24"/>
        </w:rPr>
        <w:fldChar w:fldCharType="separate"/>
      </w:r>
      <w:r>
        <w:rPr>
          <w:rFonts w:hint="eastAsia" w:ascii="宋体" w:hAnsi="宋体" w:cs="宋体"/>
          <w:bCs/>
          <w:color w:val="000000"/>
          <w:sz w:val="24"/>
        </w:rPr>
        <w:t>①</w:t>
      </w:r>
      <w:r>
        <w:rPr>
          <w:bCs/>
          <w:color w:val="000000"/>
          <w:sz w:val="24"/>
        </w:rPr>
        <w:fldChar w:fldCharType="end"/>
      </w:r>
      <w:r>
        <w:rPr>
          <w:bCs/>
          <w:color w:val="000000"/>
          <w:sz w:val="24"/>
        </w:rPr>
        <w:t>运输车辆运行时产生的道路扬尘；</w:t>
      </w:r>
      <w:r>
        <w:rPr>
          <w:bCs/>
          <w:color w:val="000000"/>
          <w:sz w:val="24"/>
        </w:rPr>
        <w:fldChar w:fldCharType="begin"/>
      </w:r>
      <w:r>
        <w:rPr>
          <w:bCs/>
          <w:color w:val="000000"/>
          <w:sz w:val="24"/>
        </w:rPr>
        <w:instrText xml:space="preserve"> = 2 \* GB3 </w:instrText>
      </w:r>
      <w:r>
        <w:rPr>
          <w:bCs/>
          <w:color w:val="000000"/>
          <w:sz w:val="24"/>
        </w:rPr>
        <w:fldChar w:fldCharType="separate"/>
      </w:r>
      <w:r>
        <w:rPr>
          <w:rFonts w:hint="eastAsia" w:ascii="宋体" w:hAnsi="宋体" w:cs="宋体"/>
          <w:bCs/>
          <w:color w:val="000000"/>
          <w:sz w:val="24"/>
        </w:rPr>
        <w:t>②</w:t>
      </w:r>
      <w:r>
        <w:rPr>
          <w:bCs/>
          <w:color w:val="000000"/>
          <w:sz w:val="24"/>
        </w:rPr>
        <w:fldChar w:fldCharType="end"/>
      </w:r>
      <w:r>
        <w:rPr>
          <w:bCs/>
          <w:color w:val="000000"/>
          <w:sz w:val="24"/>
        </w:rPr>
        <w:t>车辆运输过程中散落的砂石、土等材料产生的二次扬尘；</w:t>
      </w:r>
      <w:r>
        <w:rPr>
          <w:bCs/>
          <w:color w:val="000000"/>
          <w:sz w:val="24"/>
        </w:rPr>
        <w:fldChar w:fldCharType="begin"/>
      </w:r>
      <w:r>
        <w:rPr>
          <w:bCs/>
          <w:color w:val="000000"/>
          <w:sz w:val="24"/>
        </w:rPr>
        <w:instrText xml:space="preserve"> = 3 \* GB3 </w:instrText>
      </w:r>
      <w:r>
        <w:rPr>
          <w:bCs/>
          <w:color w:val="000000"/>
          <w:sz w:val="24"/>
        </w:rPr>
        <w:fldChar w:fldCharType="separate"/>
      </w:r>
      <w:r>
        <w:rPr>
          <w:rFonts w:hint="eastAsia" w:ascii="宋体" w:hAnsi="宋体" w:cs="宋体"/>
          <w:bCs/>
          <w:color w:val="000000"/>
          <w:sz w:val="24"/>
        </w:rPr>
        <w:t>③</w:t>
      </w:r>
      <w:r>
        <w:rPr>
          <w:bCs/>
          <w:color w:val="000000"/>
          <w:sz w:val="24"/>
        </w:rPr>
        <w:fldChar w:fldCharType="end"/>
      </w:r>
      <w:r>
        <w:rPr>
          <w:bCs/>
          <w:color w:val="000000"/>
          <w:sz w:val="24"/>
        </w:rPr>
        <w:t>露天堆放的建材及裸露的施工区表层产生的扬尘；</w:t>
      </w:r>
      <w:r>
        <w:rPr>
          <w:bCs/>
          <w:color w:val="000000"/>
          <w:sz w:val="24"/>
        </w:rPr>
        <w:fldChar w:fldCharType="begin"/>
      </w:r>
      <w:r>
        <w:rPr>
          <w:bCs/>
          <w:color w:val="000000"/>
          <w:sz w:val="24"/>
        </w:rPr>
        <w:instrText xml:space="preserve"> = 4 \* GB3 </w:instrText>
      </w:r>
      <w:r>
        <w:rPr>
          <w:bCs/>
          <w:color w:val="000000"/>
          <w:sz w:val="24"/>
        </w:rPr>
        <w:fldChar w:fldCharType="separate"/>
      </w:r>
      <w:r>
        <w:rPr>
          <w:rFonts w:hint="eastAsia" w:ascii="宋体" w:hAnsi="宋体" w:cs="宋体"/>
          <w:bCs/>
          <w:color w:val="000000"/>
          <w:sz w:val="24"/>
        </w:rPr>
        <w:t>④</w:t>
      </w:r>
      <w:r>
        <w:rPr>
          <w:bCs/>
          <w:color w:val="000000"/>
          <w:sz w:val="24"/>
        </w:rPr>
        <w:fldChar w:fldCharType="end"/>
      </w:r>
      <w:r>
        <w:rPr>
          <w:bCs/>
          <w:color w:val="000000"/>
          <w:sz w:val="24"/>
        </w:rPr>
        <w:t>建材的装卸、搅拌过程中产生的扬尘。</w:t>
      </w:r>
    </w:p>
    <w:p>
      <w:pPr>
        <w:topLinePunct/>
        <w:spacing w:line="500" w:lineRule="exact"/>
        <w:ind w:firstLine="480" w:firstLineChars="200"/>
        <w:rPr>
          <w:bCs/>
          <w:color w:val="000000"/>
          <w:sz w:val="24"/>
        </w:rPr>
      </w:pPr>
      <w:r>
        <w:rPr>
          <w:bCs/>
          <w:color w:val="000000"/>
          <w:sz w:val="24"/>
        </w:rPr>
        <w:t>扬尘对附近的大气环境和居民带来不利的影响，因此必须采取合理可行的控制措施，尽量减轻污染程度，缩小影响范围。其主要对策有：</w:t>
      </w:r>
    </w:p>
    <w:p>
      <w:pPr>
        <w:topLinePunct/>
        <w:spacing w:line="500" w:lineRule="exact"/>
        <w:ind w:firstLine="480" w:firstLineChars="200"/>
        <w:rPr>
          <w:bCs/>
          <w:color w:val="000000"/>
          <w:sz w:val="24"/>
        </w:rPr>
      </w:pPr>
      <w:r>
        <w:rPr>
          <w:bCs/>
          <w:color w:val="000000"/>
          <w:sz w:val="24"/>
        </w:rPr>
        <w:t>（1）对施工现场进行科学管理，砂石料应统一堆放，水泥应设专门库房堆放，减少搬运环节，搬运时轻举轻放，防止包装袋破裂。</w:t>
      </w:r>
    </w:p>
    <w:p>
      <w:pPr>
        <w:topLinePunct/>
        <w:spacing w:line="500" w:lineRule="exact"/>
        <w:ind w:firstLine="480" w:firstLineChars="200"/>
        <w:rPr>
          <w:bCs/>
          <w:color w:val="000000"/>
          <w:sz w:val="24"/>
        </w:rPr>
      </w:pPr>
      <w:r>
        <w:rPr>
          <w:bCs/>
          <w:color w:val="000000"/>
          <w:sz w:val="24"/>
        </w:rPr>
        <w:t>（2）开挖时，对作业面适当喷水，使其保持一定的湿度，以减少扬尘量。而且建筑材料和建筑垃圾应及时运走。</w:t>
      </w:r>
    </w:p>
    <w:p>
      <w:pPr>
        <w:topLinePunct/>
        <w:spacing w:line="500" w:lineRule="exact"/>
        <w:ind w:firstLine="480" w:firstLineChars="200"/>
        <w:rPr>
          <w:bCs/>
          <w:color w:val="000000"/>
          <w:sz w:val="24"/>
        </w:rPr>
      </w:pPr>
      <w:r>
        <w:rPr>
          <w:bCs/>
          <w:color w:val="000000"/>
          <w:sz w:val="24"/>
        </w:rPr>
        <w:t>根据河南省环境保护厅关于发布《河南省建筑扬尘排污量抽样测算办法》 （暂行）的公告（第二批）中相关规定，扬尘基本排放量测算如下：施工场地、施工道路的扬尘可用洒水和清扫措施予以抑止。如果只洒水清扫，可使扬尘量减少70%~80%，如洒水清扫后再洒水，抑尘效率达90%以上。有关试验表明，在施工场地每天洒水抑尘作业4~5次，其扬尘造成的TSP污染距离可缩小到20~50m范围内。</w:t>
      </w:r>
    </w:p>
    <w:p>
      <w:pPr>
        <w:topLinePunct/>
        <w:spacing w:line="500" w:lineRule="exact"/>
        <w:ind w:firstLine="480" w:firstLineChars="200"/>
        <w:rPr>
          <w:bCs/>
          <w:color w:val="000000"/>
          <w:sz w:val="24"/>
        </w:rPr>
      </w:pPr>
      <w:r>
        <w:rPr>
          <w:bCs/>
          <w:color w:val="000000"/>
          <w:sz w:val="24"/>
        </w:rPr>
        <w:t>（3）谨防运输车辆装载过满，并采取遮盖、密闭措施，减少其沿途抛洒，并及时清扫散落在路面的泥土和灰尘，冲洗轮胎，定时洒水压尘，减少运输过程中的扬尘。</w:t>
      </w:r>
    </w:p>
    <w:p>
      <w:pPr>
        <w:topLinePunct/>
        <w:spacing w:line="500" w:lineRule="exact"/>
        <w:ind w:firstLine="480" w:firstLineChars="200"/>
        <w:rPr>
          <w:bCs/>
          <w:color w:val="000000"/>
          <w:sz w:val="24"/>
        </w:rPr>
      </w:pPr>
      <w:r>
        <w:rPr>
          <w:bCs/>
          <w:color w:val="000000"/>
          <w:sz w:val="24"/>
        </w:rPr>
        <w:t>（4）施工现场要围栏或部分围栏，减少施工扬尘扩散范围。</w:t>
      </w:r>
    </w:p>
    <w:p>
      <w:pPr>
        <w:topLinePunct/>
        <w:spacing w:line="500" w:lineRule="exact"/>
        <w:ind w:firstLine="480" w:firstLineChars="200"/>
        <w:rPr>
          <w:bCs/>
          <w:color w:val="000000"/>
          <w:sz w:val="24"/>
        </w:rPr>
      </w:pPr>
      <w:r>
        <w:rPr>
          <w:bCs/>
          <w:color w:val="000000"/>
          <w:sz w:val="24"/>
        </w:rPr>
        <w:t>（5）风速过大时停止施工，对堆放的砂石等建筑材料进行遮盖处理。</w:t>
      </w:r>
    </w:p>
    <w:p>
      <w:pPr>
        <w:topLinePunct/>
        <w:spacing w:line="500" w:lineRule="exact"/>
        <w:ind w:firstLine="480" w:firstLineChars="200"/>
        <w:rPr>
          <w:bCs/>
          <w:color w:val="000000" w:themeColor="text1"/>
          <w:sz w:val="24"/>
        </w:rPr>
      </w:pPr>
      <w:r>
        <w:rPr>
          <w:bCs/>
          <w:color w:val="000000"/>
          <w:sz w:val="24"/>
        </w:rPr>
        <w:t>通过采取以上防治措施，施工弃土及时回填，砂料、石灰、水泥等堆放时应采用篷布遮盖，运输道路采取洒水等措施后，厂界周围环境空气质量可以满足二级标准要求。项目周围</w:t>
      </w:r>
      <w:r>
        <w:rPr>
          <w:bCs/>
          <w:color w:val="000000" w:themeColor="text1"/>
          <w:sz w:val="24"/>
        </w:rPr>
        <w:t>500m范围内无敏感点，距项目最近敏感点为</w:t>
      </w:r>
      <w:r>
        <w:rPr>
          <w:rFonts w:hint="eastAsia"/>
          <w:color w:val="000000" w:themeColor="text1"/>
          <w:sz w:val="24"/>
          <w:lang w:val="en-US" w:eastAsia="zh-CN"/>
        </w:rPr>
        <w:t>东</w:t>
      </w:r>
      <w:r>
        <w:rPr>
          <w:color w:val="000000" w:themeColor="text1"/>
          <w:sz w:val="24"/>
          <w:lang w:val="zh-CN"/>
        </w:rPr>
        <w:t>侧5</w:t>
      </w:r>
      <w:r>
        <w:rPr>
          <w:rFonts w:hint="eastAsia"/>
          <w:color w:val="000000" w:themeColor="text1"/>
          <w:sz w:val="24"/>
          <w:lang w:val="en-US" w:eastAsia="zh-CN"/>
        </w:rPr>
        <w:t>01</w:t>
      </w:r>
      <w:r>
        <w:rPr>
          <w:color w:val="000000" w:themeColor="text1"/>
          <w:sz w:val="24"/>
          <w:lang w:val="zh-CN"/>
        </w:rPr>
        <w:t>m处的</w:t>
      </w:r>
      <w:r>
        <w:rPr>
          <w:rFonts w:hint="eastAsia"/>
          <w:color w:val="000000" w:themeColor="text1"/>
          <w:sz w:val="24"/>
          <w:lang w:val="en-US" w:eastAsia="zh-CN"/>
        </w:rPr>
        <w:t>前周庄</w:t>
      </w:r>
      <w:r>
        <w:rPr>
          <w:bCs/>
          <w:color w:val="000000" w:themeColor="text1"/>
          <w:sz w:val="24"/>
        </w:rPr>
        <w:t>，项目施工扬尘不会对周边敏感点造成太大影响。</w:t>
      </w:r>
    </w:p>
    <w:p>
      <w:pPr>
        <w:topLinePunct/>
        <w:spacing w:line="600" w:lineRule="exact"/>
        <w:outlineLvl w:val="2"/>
        <w:rPr>
          <w:b/>
          <w:color w:val="000000"/>
          <w:sz w:val="24"/>
        </w:rPr>
      </w:pPr>
      <w:r>
        <w:rPr>
          <w:rFonts w:hint="eastAsia"/>
          <w:b/>
          <w:color w:val="000000"/>
          <w:sz w:val="24"/>
          <w:lang w:val="en-US" w:eastAsia="zh-CN"/>
        </w:rPr>
        <w:t>4</w:t>
      </w:r>
      <w:r>
        <w:rPr>
          <w:b/>
          <w:color w:val="000000"/>
          <w:sz w:val="24"/>
        </w:rPr>
        <w:t>.1.2</w:t>
      </w:r>
      <w:bookmarkStart w:id="255" w:name="_Toc298705393"/>
      <w:bookmarkStart w:id="256" w:name="_Toc264985248"/>
      <w:bookmarkStart w:id="257" w:name="_Toc303632178"/>
      <w:r>
        <w:rPr>
          <w:b/>
          <w:color w:val="000000"/>
          <w:sz w:val="24"/>
        </w:rPr>
        <w:t xml:space="preserve"> 施工噪声影响分析</w:t>
      </w:r>
      <w:bookmarkEnd w:id="255"/>
      <w:bookmarkEnd w:id="256"/>
      <w:bookmarkEnd w:id="257"/>
    </w:p>
    <w:p>
      <w:pPr>
        <w:topLinePunct/>
        <w:spacing w:line="600" w:lineRule="exact"/>
        <w:rPr>
          <w:color w:val="000000"/>
          <w:sz w:val="24"/>
        </w:rPr>
      </w:pPr>
      <w:bookmarkStart w:id="258" w:name="_Toc375206183"/>
      <w:r>
        <w:rPr>
          <w:rFonts w:hint="eastAsia"/>
          <w:color w:val="000000"/>
          <w:sz w:val="24"/>
          <w:lang w:val="en-US" w:eastAsia="zh-CN"/>
        </w:rPr>
        <w:t>4</w:t>
      </w:r>
      <w:r>
        <w:rPr>
          <w:color w:val="000000"/>
          <w:sz w:val="24"/>
        </w:rPr>
        <w:t>.1.2.1施工期噪声种类及源强</w:t>
      </w:r>
    </w:p>
    <w:p>
      <w:pPr>
        <w:topLinePunct/>
        <w:spacing w:line="520" w:lineRule="exact"/>
        <w:ind w:firstLine="480" w:firstLineChars="200"/>
        <w:rPr>
          <w:color w:val="000000"/>
          <w:sz w:val="24"/>
        </w:rPr>
      </w:pPr>
      <w:r>
        <w:rPr>
          <w:color w:val="000000"/>
          <w:sz w:val="24"/>
        </w:rPr>
        <w:t>施工期的噪声主要可分为机械噪声、施工作业噪声和施工车辆噪声。机械噪声主要由施工机械所造成，如挖土机、推土机、振捣棒等，多为点声源；施工作业噪声主要指一些零星的敲打声、装卸车辆的撞击声、吆喝声、拆装模板的撞击声等，多为瞬间噪声；施工车辆的噪声属于交通噪声。在这些施工噪声中对周围声环境影响最大的是机械噪声。主要施工机械的噪声源强见表</w:t>
      </w:r>
      <w:r>
        <w:rPr>
          <w:rFonts w:hint="eastAsia"/>
          <w:color w:val="000000"/>
          <w:sz w:val="24"/>
          <w:lang w:val="en-US" w:eastAsia="zh-CN"/>
        </w:rPr>
        <w:t>4.1</w:t>
      </w:r>
      <w:r>
        <w:rPr>
          <w:color w:val="000000"/>
          <w:sz w:val="24"/>
        </w:rPr>
        <w:t>-1。</w:t>
      </w:r>
    </w:p>
    <w:p>
      <w:pPr>
        <w:topLinePunct/>
        <w:spacing w:beforeLines="30" w:afterLines="30"/>
        <w:ind w:firstLine="420" w:firstLineChars="200"/>
        <w:jc w:val="center"/>
        <w:rPr>
          <w:b/>
          <w:color w:val="000000"/>
          <w:szCs w:val="21"/>
        </w:rPr>
      </w:pPr>
      <w:r>
        <w:rPr>
          <w:b/>
          <w:color w:val="000000"/>
          <w:szCs w:val="21"/>
        </w:rPr>
        <w:t>表</w:t>
      </w:r>
      <w:r>
        <w:rPr>
          <w:rFonts w:hint="eastAsia"/>
          <w:b/>
          <w:color w:val="000000"/>
          <w:szCs w:val="21"/>
          <w:lang w:val="en-US" w:eastAsia="zh-CN"/>
        </w:rPr>
        <w:t>4.1</w:t>
      </w:r>
      <w:r>
        <w:rPr>
          <w:b/>
          <w:color w:val="000000"/>
          <w:szCs w:val="21"/>
        </w:rPr>
        <w:t>-1   主要施工机械设备的噪声声级</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2757"/>
        <w:gridCol w:w="2274"/>
        <w:gridCol w:w="22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shd w:val="clear" w:color="auto" w:fill="FFFFFF"/>
            <w:vAlign w:val="center"/>
          </w:tcPr>
          <w:p>
            <w:pPr>
              <w:topLinePunct/>
              <w:spacing w:line="288" w:lineRule="auto"/>
              <w:jc w:val="center"/>
              <w:rPr>
                <w:b/>
                <w:color w:val="000000"/>
                <w:szCs w:val="21"/>
              </w:rPr>
            </w:pPr>
            <w:r>
              <w:rPr>
                <w:b/>
                <w:color w:val="000000"/>
                <w:szCs w:val="21"/>
              </w:rPr>
              <w:t>序号</w:t>
            </w:r>
          </w:p>
        </w:tc>
        <w:tc>
          <w:tcPr>
            <w:tcW w:w="2757" w:type="dxa"/>
            <w:shd w:val="clear" w:color="auto" w:fill="FFFFFF"/>
            <w:vAlign w:val="center"/>
          </w:tcPr>
          <w:p>
            <w:pPr>
              <w:topLinePunct/>
              <w:spacing w:line="288" w:lineRule="auto"/>
              <w:jc w:val="center"/>
              <w:rPr>
                <w:b/>
                <w:color w:val="000000"/>
                <w:szCs w:val="21"/>
              </w:rPr>
            </w:pPr>
            <w:r>
              <w:rPr>
                <w:b/>
                <w:color w:val="000000"/>
                <w:szCs w:val="21"/>
              </w:rPr>
              <w:t>声源名称</w:t>
            </w:r>
          </w:p>
        </w:tc>
        <w:tc>
          <w:tcPr>
            <w:tcW w:w="2274" w:type="dxa"/>
            <w:shd w:val="clear" w:color="auto" w:fill="FFFFFF"/>
            <w:vAlign w:val="center"/>
          </w:tcPr>
          <w:p>
            <w:pPr>
              <w:topLinePunct/>
              <w:spacing w:line="288" w:lineRule="auto"/>
              <w:jc w:val="center"/>
              <w:rPr>
                <w:b/>
                <w:color w:val="000000"/>
                <w:szCs w:val="21"/>
              </w:rPr>
            </w:pPr>
            <w:r>
              <w:rPr>
                <w:b/>
                <w:color w:val="000000"/>
                <w:szCs w:val="21"/>
              </w:rPr>
              <w:t>噪声级dB(A)</w:t>
            </w:r>
          </w:p>
        </w:tc>
        <w:tc>
          <w:tcPr>
            <w:tcW w:w="2245" w:type="dxa"/>
            <w:shd w:val="clear" w:color="auto" w:fill="FFFFFF"/>
            <w:vAlign w:val="center"/>
          </w:tcPr>
          <w:p>
            <w:pPr>
              <w:topLinePunct/>
              <w:spacing w:line="288" w:lineRule="auto"/>
              <w:jc w:val="center"/>
              <w:rPr>
                <w:b/>
                <w:color w:val="000000"/>
                <w:szCs w:val="21"/>
              </w:rPr>
            </w:pPr>
            <w:r>
              <w:rPr>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1</w:t>
            </w:r>
          </w:p>
        </w:tc>
        <w:tc>
          <w:tcPr>
            <w:tcW w:w="2757" w:type="dxa"/>
            <w:vAlign w:val="center"/>
          </w:tcPr>
          <w:p>
            <w:pPr>
              <w:topLinePunct/>
              <w:spacing w:line="288" w:lineRule="auto"/>
              <w:jc w:val="center"/>
              <w:rPr>
                <w:color w:val="000000"/>
                <w:szCs w:val="21"/>
              </w:rPr>
            </w:pPr>
            <w:r>
              <w:rPr>
                <w:color w:val="000000"/>
                <w:szCs w:val="21"/>
              </w:rPr>
              <w:t>挖掘机</w:t>
            </w:r>
          </w:p>
        </w:tc>
        <w:tc>
          <w:tcPr>
            <w:tcW w:w="2274" w:type="dxa"/>
            <w:vAlign w:val="center"/>
          </w:tcPr>
          <w:p>
            <w:pPr>
              <w:topLinePunct/>
              <w:spacing w:line="288" w:lineRule="auto"/>
              <w:jc w:val="center"/>
              <w:rPr>
                <w:color w:val="000000"/>
                <w:szCs w:val="21"/>
              </w:rPr>
            </w:pPr>
            <w:r>
              <w:rPr>
                <w:color w:val="000000"/>
                <w:szCs w:val="21"/>
              </w:rPr>
              <w:t>91</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2</w:t>
            </w:r>
          </w:p>
        </w:tc>
        <w:tc>
          <w:tcPr>
            <w:tcW w:w="2757" w:type="dxa"/>
            <w:vAlign w:val="center"/>
          </w:tcPr>
          <w:p>
            <w:pPr>
              <w:topLinePunct/>
              <w:spacing w:line="288" w:lineRule="auto"/>
              <w:jc w:val="center"/>
              <w:rPr>
                <w:color w:val="000000"/>
                <w:szCs w:val="21"/>
              </w:rPr>
            </w:pPr>
            <w:r>
              <w:rPr>
                <w:color w:val="000000"/>
                <w:szCs w:val="21"/>
              </w:rPr>
              <w:t>推土机</w:t>
            </w:r>
          </w:p>
        </w:tc>
        <w:tc>
          <w:tcPr>
            <w:tcW w:w="2274" w:type="dxa"/>
            <w:vAlign w:val="center"/>
          </w:tcPr>
          <w:p>
            <w:pPr>
              <w:topLinePunct/>
              <w:spacing w:line="288" w:lineRule="auto"/>
              <w:jc w:val="center"/>
              <w:rPr>
                <w:color w:val="000000"/>
                <w:szCs w:val="21"/>
              </w:rPr>
            </w:pPr>
            <w:r>
              <w:rPr>
                <w:color w:val="000000"/>
                <w:szCs w:val="21"/>
              </w:rPr>
              <w:t>90</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3</w:t>
            </w:r>
          </w:p>
        </w:tc>
        <w:tc>
          <w:tcPr>
            <w:tcW w:w="2757" w:type="dxa"/>
            <w:vAlign w:val="center"/>
          </w:tcPr>
          <w:p>
            <w:pPr>
              <w:topLinePunct/>
              <w:spacing w:line="288" w:lineRule="auto"/>
              <w:jc w:val="center"/>
              <w:rPr>
                <w:color w:val="000000"/>
                <w:szCs w:val="21"/>
              </w:rPr>
            </w:pPr>
            <w:r>
              <w:rPr>
                <w:color w:val="000000"/>
                <w:szCs w:val="21"/>
              </w:rPr>
              <w:t>振捣棒</w:t>
            </w:r>
          </w:p>
        </w:tc>
        <w:tc>
          <w:tcPr>
            <w:tcW w:w="2274" w:type="dxa"/>
            <w:vAlign w:val="center"/>
          </w:tcPr>
          <w:p>
            <w:pPr>
              <w:topLinePunct/>
              <w:spacing w:line="288" w:lineRule="auto"/>
              <w:jc w:val="center"/>
              <w:rPr>
                <w:color w:val="000000"/>
                <w:szCs w:val="21"/>
              </w:rPr>
            </w:pPr>
            <w:r>
              <w:rPr>
                <w:color w:val="000000"/>
                <w:szCs w:val="21"/>
              </w:rPr>
              <w:t>100</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4</w:t>
            </w:r>
          </w:p>
        </w:tc>
        <w:tc>
          <w:tcPr>
            <w:tcW w:w="2757" w:type="dxa"/>
            <w:vAlign w:val="center"/>
          </w:tcPr>
          <w:p>
            <w:pPr>
              <w:topLinePunct/>
              <w:spacing w:line="288" w:lineRule="auto"/>
              <w:jc w:val="center"/>
              <w:rPr>
                <w:color w:val="000000"/>
                <w:szCs w:val="21"/>
              </w:rPr>
            </w:pPr>
            <w:r>
              <w:rPr>
                <w:color w:val="000000"/>
                <w:szCs w:val="21"/>
              </w:rPr>
              <w:t>切割机</w:t>
            </w:r>
          </w:p>
        </w:tc>
        <w:tc>
          <w:tcPr>
            <w:tcW w:w="2274" w:type="dxa"/>
            <w:vAlign w:val="center"/>
          </w:tcPr>
          <w:p>
            <w:pPr>
              <w:topLinePunct/>
              <w:spacing w:line="288" w:lineRule="auto"/>
              <w:jc w:val="center"/>
              <w:rPr>
                <w:color w:val="000000"/>
                <w:szCs w:val="21"/>
              </w:rPr>
            </w:pPr>
            <w:r>
              <w:rPr>
                <w:color w:val="000000"/>
                <w:szCs w:val="21"/>
              </w:rPr>
              <w:t>95</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5</w:t>
            </w:r>
          </w:p>
        </w:tc>
        <w:tc>
          <w:tcPr>
            <w:tcW w:w="2757" w:type="dxa"/>
            <w:vAlign w:val="center"/>
          </w:tcPr>
          <w:p>
            <w:pPr>
              <w:topLinePunct/>
              <w:spacing w:line="288" w:lineRule="auto"/>
              <w:jc w:val="center"/>
              <w:rPr>
                <w:color w:val="000000"/>
                <w:szCs w:val="21"/>
              </w:rPr>
            </w:pPr>
            <w:r>
              <w:rPr>
                <w:color w:val="000000"/>
                <w:szCs w:val="21"/>
              </w:rPr>
              <w:t>电钻</w:t>
            </w:r>
          </w:p>
        </w:tc>
        <w:tc>
          <w:tcPr>
            <w:tcW w:w="2274" w:type="dxa"/>
            <w:vAlign w:val="center"/>
          </w:tcPr>
          <w:p>
            <w:pPr>
              <w:topLinePunct/>
              <w:spacing w:line="288" w:lineRule="auto"/>
              <w:jc w:val="center"/>
              <w:rPr>
                <w:color w:val="000000"/>
                <w:szCs w:val="21"/>
              </w:rPr>
            </w:pPr>
            <w:r>
              <w:rPr>
                <w:color w:val="000000"/>
                <w:szCs w:val="21"/>
              </w:rPr>
              <w:t>92</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670" w:type="dxa"/>
            <w:vAlign w:val="center"/>
          </w:tcPr>
          <w:p>
            <w:pPr>
              <w:topLinePunct/>
              <w:spacing w:line="288" w:lineRule="auto"/>
              <w:jc w:val="center"/>
              <w:rPr>
                <w:color w:val="000000"/>
                <w:szCs w:val="21"/>
              </w:rPr>
            </w:pPr>
            <w:r>
              <w:rPr>
                <w:color w:val="000000"/>
                <w:szCs w:val="21"/>
              </w:rPr>
              <w:t>6</w:t>
            </w:r>
          </w:p>
        </w:tc>
        <w:tc>
          <w:tcPr>
            <w:tcW w:w="2757" w:type="dxa"/>
            <w:vAlign w:val="center"/>
          </w:tcPr>
          <w:p>
            <w:pPr>
              <w:topLinePunct/>
              <w:spacing w:line="288" w:lineRule="auto"/>
              <w:jc w:val="center"/>
              <w:rPr>
                <w:color w:val="000000"/>
                <w:szCs w:val="21"/>
              </w:rPr>
            </w:pPr>
            <w:r>
              <w:rPr>
                <w:color w:val="000000"/>
                <w:szCs w:val="21"/>
              </w:rPr>
              <w:t>吊车</w:t>
            </w:r>
          </w:p>
        </w:tc>
        <w:tc>
          <w:tcPr>
            <w:tcW w:w="2274" w:type="dxa"/>
            <w:vAlign w:val="center"/>
          </w:tcPr>
          <w:p>
            <w:pPr>
              <w:topLinePunct/>
              <w:spacing w:line="288" w:lineRule="auto"/>
              <w:jc w:val="center"/>
              <w:rPr>
                <w:color w:val="000000"/>
                <w:szCs w:val="21"/>
              </w:rPr>
            </w:pPr>
            <w:r>
              <w:rPr>
                <w:color w:val="000000"/>
                <w:szCs w:val="21"/>
              </w:rPr>
              <w:t>85</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7</w:t>
            </w:r>
          </w:p>
        </w:tc>
        <w:tc>
          <w:tcPr>
            <w:tcW w:w="2757" w:type="dxa"/>
            <w:vAlign w:val="center"/>
          </w:tcPr>
          <w:p>
            <w:pPr>
              <w:topLinePunct/>
              <w:spacing w:line="288" w:lineRule="auto"/>
              <w:jc w:val="center"/>
              <w:rPr>
                <w:color w:val="000000"/>
                <w:szCs w:val="21"/>
              </w:rPr>
            </w:pPr>
            <w:r>
              <w:rPr>
                <w:color w:val="000000"/>
                <w:szCs w:val="21"/>
              </w:rPr>
              <w:t>载重汽车</w:t>
            </w:r>
          </w:p>
        </w:tc>
        <w:tc>
          <w:tcPr>
            <w:tcW w:w="2274" w:type="dxa"/>
            <w:vAlign w:val="center"/>
          </w:tcPr>
          <w:p>
            <w:pPr>
              <w:topLinePunct/>
              <w:spacing w:line="288" w:lineRule="auto"/>
              <w:jc w:val="center"/>
              <w:rPr>
                <w:color w:val="000000"/>
                <w:szCs w:val="21"/>
              </w:rPr>
            </w:pPr>
            <w:r>
              <w:rPr>
                <w:color w:val="000000"/>
                <w:szCs w:val="21"/>
              </w:rPr>
              <w:t>85</w:t>
            </w:r>
          </w:p>
        </w:tc>
        <w:tc>
          <w:tcPr>
            <w:tcW w:w="2245" w:type="dxa"/>
            <w:vAlign w:val="center"/>
          </w:tcPr>
          <w:p>
            <w:pPr>
              <w:topLinePunct/>
              <w:spacing w:line="288" w:lineRule="auto"/>
              <w:jc w:val="center"/>
              <w:rPr>
                <w:color w:val="000000"/>
                <w:szCs w:val="21"/>
              </w:rPr>
            </w:pPr>
            <w:r>
              <w:rPr>
                <w:color w:val="000000"/>
                <w:szCs w:val="21"/>
              </w:rPr>
              <w:t>距声源1m</w:t>
            </w:r>
          </w:p>
        </w:tc>
      </w:tr>
    </w:tbl>
    <w:p>
      <w:pPr>
        <w:topLinePunct/>
        <w:spacing w:line="500" w:lineRule="exact"/>
        <w:ind w:firstLine="480" w:firstLineChars="200"/>
        <w:rPr>
          <w:color w:val="000000"/>
          <w:sz w:val="24"/>
        </w:rPr>
      </w:pPr>
      <w:r>
        <w:rPr>
          <w:color w:val="000000"/>
          <w:sz w:val="24"/>
        </w:rPr>
        <w:t>施工期间施工机械产生的噪声对环境的影响可采用点源预测模式计算，</w:t>
      </w:r>
      <w:r>
        <w:rPr>
          <w:color w:val="000000"/>
          <w:sz w:val="24"/>
          <w:lang w:val="zh-CN"/>
        </w:rPr>
        <w:t>预测公式噪声传播衰减模式为：</w:t>
      </w:r>
    </w:p>
    <w:p>
      <w:pPr>
        <w:topLinePunct/>
        <w:autoSpaceDE w:val="0"/>
        <w:adjustRightInd w:val="0"/>
        <w:spacing w:line="500" w:lineRule="exact"/>
        <w:ind w:firstLine="840"/>
        <w:rPr>
          <w:color w:val="000000"/>
          <w:sz w:val="24"/>
          <w:lang w:val="pt-PT"/>
        </w:rPr>
      </w:pPr>
      <w:r>
        <w:rPr>
          <w:color w:val="000000"/>
          <w:sz w:val="24"/>
          <w:lang w:val="pt-PT"/>
        </w:rPr>
        <w:t>L</w:t>
      </w:r>
      <w:r>
        <w:rPr>
          <w:color w:val="000000"/>
          <w:sz w:val="24"/>
          <w:vertAlign w:val="subscript"/>
          <w:lang w:val="pt-PT"/>
        </w:rPr>
        <w:t>A</w:t>
      </w:r>
      <w:r>
        <w:rPr>
          <w:color w:val="000000"/>
          <w:sz w:val="24"/>
          <w:lang w:val="pt-PT"/>
        </w:rPr>
        <w:t>(r)=L</w:t>
      </w:r>
      <w:r>
        <w:rPr>
          <w:color w:val="000000"/>
          <w:sz w:val="24"/>
          <w:vertAlign w:val="subscript"/>
          <w:lang w:val="pt-PT"/>
        </w:rPr>
        <w:t>A</w:t>
      </w:r>
      <w:r>
        <w:rPr>
          <w:color w:val="000000"/>
          <w:sz w:val="24"/>
          <w:lang w:val="pt-PT"/>
        </w:rPr>
        <w:t>(r</w:t>
      </w:r>
      <w:r>
        <w:rPr>
          <w:color w:val="000000"/>
          <w:sz w:val="24"/>
          <w:vertAlign w:val="subscript"/>
          <w:lang w:val="pt-PT"/>
        </w:rPr>
        <w:t>0</w:t>
      </w:r>
      <w:r>
        <w:rPr>
          <w:color w:val="000000"/>
          <w:sz w:val="24"/>
          <w:lang w:val="pt-PT"/>
        </w:rPr>
        <w:t>)-20lg(r/r</w:t>
      </w:r>
      <w:r>
        <w:rPr>
          <w:color w:val="000000"/>
          <w:sz w:val="24"/>
          <w:vertAlign w:val="subscript"/>
          <w:lang w:val="pt-PT"/>
        </w:rPr>
        <w:t>0</w:t>
      </w:r>
      <w:r>
        <w:rPr>
          <w:color w:val="000000"/>
          <w:sz w:val="24"/>
          <w:lang w:val="pt-PT"/>
        </w:rPr>
        <w:t>)</w:t>
      </w:r>
    </w:p>
    <w:p>
      <w:pPr>
        <w:topLinePunct/>
        <w:autoSpaceDE w:val="0"/>
        <w:adjustRightInd w:val="0"/>
        <w:spacing w:line="500" w:lineRule="exact"/>
        <w:ind w:firstLine="480" w:firstLineChars="200"/>
        <w:rPr>
          <w:color w:val="000000"/>
          <w:sz w:val="24"/>
          <w:lang w:val="pt-PT"/>
        </w:rPr>
      </w:pPr>
      <w:r>
        <w:rPr>
          <w:color w:val="000000"/>
          <w:sz w:val="24"/>
          <w:lang w:val="zh-CN"/>
        </w:rPr>
        <w:t>式中</w:t>
      </w:r>
      <w:r>
        <w:rPr>
          <w:color w:val="000000"/>
          <w:sz w:val="24"/>
          <w:lang w:val="pt-PT"/>
        </w:rPr>
        <w:t>：L</w:t>
      </w:r>
      <w:r>
        <w:rPr>
          <w:color w:val="000000"/>
          <w:sz w:val="24"/>
          <w:vertAlign w:val="subscript"/>
          <w:lang w:val="pt-PT"/>
        </w:rPr>
        <w:t>A</w:t>
      </w:r>
      <w:r>
        <w:rPr>
          <w:color w:val="000000"/>
          <w:sz w:val="24"/>
          <w:lang w:val="pt-PT"/>
        </w:rPr>
        <w:t>(r)-</w:t>
      </w:r>
      <w:r>
        <w:rPr>
          <w:color w:val="000000"/>
          <w:sz w:val="24"/>
          <w:lang w:val="zh-CN"/>
        </w:rPr>
        <w:t>距声源</w:t>
      </w:r>
      <w:r>
        <w:rPr>
          <w:color w:val="000000"/>
          <w:sz w:val="24"/>
          <w:lang w:val="pt-PT"/>
        </w:rPr>
        <w:t>r</w:t>
      </w:r>
      <w:r>
        <w:rPr>
          <w:color w:val="000000"/>
          <w:sz w:val="24"/>
          <w:lang w:val="zh-CN"/>
        </w:rPr>
        <w:t>处的</w:t>
      </w:r>
      <w:r>
        <w:rPr>
          <w:color w:val="000000"/>
          <w:sz w:val="24"/>
          <w:lang w:val="pt-PT"/>
        </w:rPr>
        <w:t>A</w:t>
      </w:r>
      <w:r>
        <w:rPr>
          <w:color w:val="000000"/>
          <w:sz w:val="24"/>
          <w:lang w:val="zh-CN"/>
        </w:rPr>
        <w:t>声级</w:t>
      </w:r>
      <w:r>
        <w:rPr>
          <w:color w:val="000000"/>
          <w:sz w:val="24"/>
          <w:lang w:val="pt-PT"/>
        </w:rPr>
        <w:t>，dB(A)</w:t>
      </w:r>
    </w:p>
    <w:p>
      <w:pPr>
        <w:topLinePunct/>
        <w:autoSpaceDE w:val="0"/>
        <w:adjustRightInd w:val="0"/>
        <w:spacing w:line="500" w:lineRule="exact"/>
        <w:ind w:firstLine="480"/>
        <w:rPr>
          <w:color w:val="000000"/>
          <w:sz w:val="24"/>
          <w:lang w:val="pt-PT"/>
        </w:rPr>
      </w:pPr>
      <w:r>
        <w:rPr>
          <w:color w:val="000000"/>
          <w:sz w:val="24"/>
          <w:lang w:val="pt-PT"/>
        </w:rPr>
        <w:t xml:space="preserve">      L</w:t>
      </w:r>
      <w:r>
        <w:rPr>
          <w:color w:val="000000"/>
          <w:sz w:val="24"/>
          <w:vertAlign w:val="subscript"/>
          <w:lang w:val="pt-PT"/>
        </w:rPr>
        <w:t>A</w:t>
      </w:r>
      <w:r>
        <w:rPr>
          <w:color w:val="000000"/>
          <w:sz w:val="24"/>
          <w:lang w:val="pt-PT"/>
        </w:rPr>
        <w:t>(r</w:t>
      </w:r>
      <w:r>
        <w:rPr>
          <w:color w:val="000000"/>
          <w:sz w:val="24"/>
          <w:vertAlign w:val="subscript"/>
          <w:lang w:val="pt-PT"/>
        </w:rPr>
        <w:t>0</w:t>
      </w:r>
      <w:r>
        <w:rPr>
          <w:color w:val="000000"/>
          <w:sz w:val="24"/>
          <w:lang w:val="pt-PT"/>
        </w:rPr>
        <w:t>)-</w:t>
      </w:r>
      <w:r>
        <w:rPr>
          <w:color w:val="000000"/>
          <w:sz w:val="24"/>
          <w:lang w:val="zh-CN"/>
        </w:rPr>
        <w:t>距声源</w:t>
      </w:r>
      <w:r>
        <w:rPr>
          <w:color w:val="000000"/>
          <w:sz w:val="24"/>
          <w:lang w:val="pt-PT"/>
        </w:rPr>
        <w:t>r</w:t>
      </w:r>
      <w:r>
        <w:rPr>
          <w:color w:val="000000"/>
          <w:sz w:val="24"/>
          <w:vertAlign w:val="subscript"/>
          <w:lang w:val="pt-PT"/>
        </w:rPr>
        <w:t>0</w:t>
      </w:r>
      <w:r>
        <w:rPr>
          <w:color w:val="000000"/>
          <w:sz w:val="24"/>
          <w:lang w:val="zh-CN"/>
        </w:rPr>
        <w:t>处的</w:t>
      </w:r>
      <w:r>
        <w:rPr>
          <w:color w:val="000000"/>
          <w:sz w:val="24"/>
          <w:lang w:val="pt-PT"/>
        </w:rPr>
        <w:t>A</w:t>
      </w:r>
      <w:r>
        <w:rPr>
          <w:color w:val="000000"/>
          <w:sz w:val="24"/>
          <w:lang w:val="zh-CN"/>
        </w:rPr>
        <w:t>声级</w:t>
      </w:r>
      <w:r>
        <w:rPr>
          <w:color w:val="000000"/>
          <w:sz w:val="24"/>
          <w:lang w:val="pt-PT"/>
        </w:rPr>
        <w:t>，dB(A)</w:t>
      </w:r>
    </w:p>
    <w:p>
      <w:pPr>
        <w:topLinePunct/>
        <w:autoSpaceDE w:val="0"/>
        <w:adjustRightInd w:val="0"/>
        <w:spacing w:line="500" w:lineRule="exact"/>
        <w:ind w:firstLine="480"/>
        <w:rPr>
          <w:color w:val="000000"/>
          <w:sz w:val="24"/>
        </w:rPr>
      </w:pPr>
      <w:r>
        <w:rPr>
          <w:color w:val="000000"/>
          <w:sz w:val="24"/>
        </w:rPr>
        <w:t>r-</w:t>
      </w:r>
      <w:r>
        <w:rPr>
          <w:color w:val="000000"/>
          <w:sz w:val="24"/>
          <w:lang w:val="zh-CN"/>
        </w:rPr>
        <w:t>预测点距噪声源距离，</w:t>
      </w:r>
      <w:r>
        <w:rPr>
          <w:color w:val="000000"/>
          <w:sz w:val="24"/>
        </w:rPr>
        <w:t>m</w:t>
      </w:r>
    </w:p>
    <w:p>
      <w:pPr>
        <w:topLinePunct/>
        <w:autoSpaceDE w:val="0"/>
        <w:adjustRightInd w:val="0"/>
        <w:spacing w:line="500" w:lineRule="exact"/>
        <w:ind w:firstLine="480"/>
        <w:rPr>
          <w:color w:val="000000"/>
          <w:sz w:val="24"/>
        </w:rPr>
      </w:pPr>
      <w:r>
        <w:rPr>
          <w:color w:val="000000"/>
          <w:sz w:val="24"/>
        </w:rPr>
        <w:t xml:space="preserve">      r</w:t>
      </w:r>
      <w:r>
        <w:rPr>
          <w:color w:val="000000"/>
          <w:sz w:val="24"/>
          <w:vertAlign w:val="subscript"/>
        </w:rPr>
        <w:t>0</w:t>
      </w:r>
      <w:r>
        <w:rPr>
          <w:color w:val="000000"/>
          <w:sz w:val="24"/>
        </w:rPr>
        <w:t>-</w:t>
      </w:r>
      <w:r>
        <w:rPr>
          <w:color w:val="000000"/>
          <w:sz w:val="24"/>
          <w:lang w:val="zh-CN"/>
        </w:rPr>
        <w:t>距噪声源的参照距离，</w:t>
      </w:r>
      <w:r>
        <w:rPr>
          <w:color w:val="000000"/>
          <w:sz w:val="24"/>
        </w:rPr>
        <w:t>m</w:t>
      </w:r>
    </w:p>
    <w:p>
      <w:pPr>
        <w:topLinePunct/>
        <w:autoSpaceDE w:val="0"/>
        <w:adjustRightInd w:val="0"/>
        <w:spacing w:line="500" w:lineRule="exact"/>
        <w:ind w:firstLine="480" w:firstLineChars="200"/>
        <w:rPr>
          <w:color w:val="000000"/>
          <w:sz w:val="24"/>
        </w:rPr>
      </w:pPr>
      <w:r>
        <w:rPr>
          <w:color w:val="000000"/>
          <w:sz w:val="24"/>
        </w:rPr>
        <w:t>主要施工机械噪声随距离的衰减情况见表</w:t>
      </w:r>
      <w:r>
        <w:rPr>
          <w:rFonts w:hint="eastAsia"/>
          <w:color w:val="000000"/>
          <w:sz w:val="24"/>
          <w:lang w:val="en-US" w:eastAsia="zh-CN"/>
        </w:rPr>
        <w:t>4.1</w:t>
      </w:r>
      <w:r>
        <w:rPr>
          <w:color w:val="000000"/>
          <w:sz w:val="24"/>
        </w:rPr>
        <w:t>-2。</w:t>
      </w:r>
    </w:p>
    <w:p>
      <w:pPr>
        <w:topLinePunct/>
        <w:spacing w:line="600" w:lineRule="exact"/>
        <w:jc w:val="center"/>
        <w:rPr>
          <w:b/>
          <w:color w:val="000000"/>
          <w:szCs w:val="21"/>
        </w:rPr>
      </w:pPr>
      <w:r>
        <w:rPr>
          <w:b/>
          <w:color w:val="000000"/>
          <w:szCs w:val="21"/>
        </w:rPr>
        <w:t>表</w:t>
      </w:r>
      <w:r>
        <w:rPr>
          <w:rFonts w:hint="eastAsia"/>
          <w:b/>
          <w:color w:val="000000"/>
          <w:szCs w:val="21"/>
          <w:lang w:val="en-US" w:eastAsia="zh-CN"/>
        </w:rPr>
        <w:t>4.1</w:t>
      </w:r>
      <w:r>
        <w:rPr>
          <w:b/>
          <w:color w:val="000000"/>
          <w:szCs w:val="21"/>
        </w:rPr>
        <w:t>-2    本项目施工期噪声源强及达标情况一览表单位：dB（A）</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743"/>
        <w:gridCol w:w="1750"/>
        <w:gridCol w:w="1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766" w:type="dxa"/>
            <w:vMerge w:val="restart"/>
            <w:vAlign w:val="center"/>
          </w:tcPr>
          <w:p>
            <w:pPr>
              <w:topLinePunct/>
              <w:jc w:val="center"/>
              <w:rPr>
                <w:b/>
                <w:color w:val="000000"/>
                <w:szCs w:val="21"/>
              </w:rPr>
            </w:pPr>
            <w:r>
              <w:rPr>
                <w:b/>
                <w:color w:val="000000"/>
                <w:szCs w:val="21"/>
              </w:rPr>
              <w:t>噪声设备</w:t>
            </w:r>
          </w:p>
        </w:tc>
        <w:tc>
          <w:tcPr>
            <w:tcW w:w="2743" w:type="dxa"/>
            <w:vMerge w:val="restart"/>
            <w:vAlign w:val="center"/>
          </w:tcPr>
          <w:p>
            <w:pPr>
              <w:topLinePunct/>
              <w:jc w:val="center"/>
              <w:rPr>
                <w:b/>
                <w:color w:val="000000"/>
                <w:szCs w:val="21"/>
              </w:rPr>
            </w:pPr>
            <w:r>
              <w:rPr>
                <w:b/>
                <w:color w:val="000000"/>
                <w:szCs w:val="21"/>
              </w:rPr>
              <w:t>设备噪声源强dB（A）</w:t>
            </w:r>
          </w:p>
        </w:tc>
        <w:tc>
          <w:tcPr>
            <w:tcW w:w="3437" w:type="dxa"/>
            <w:gridSpan w:val="2"/>
            <w:tcBorders>
              <w:bottom w:val="single" w:color="auto" w:sz="4" w:space="0"/>
            </w:tcBorders>
            <w:vAlign w:val="center"/>
          </w:tcPr>
          <w:p>
            <w:pPr>
              <w:topLinePunct/>
              <w:jc w:val="center"/>
              <w:rPr>
                <w:b/>
                <w:color w:val="000000"/>
                <w:szCs w:val="21"/>
              </w:rPr>
            </w:pPr>
            <w:r>
              <w:rPr>
                <w:b/>
                <w:color w:val="000000"/>
                <w:szCs w:val="21"/>
              </w:rPr>
              <w:t>达标距离m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66" w:type="dxa"/>
            <w:vMerge w:val="continue"/>
            <w:vAlign w:val="center"/>
          </w:tcPr>
          <w:p>
            <w:pPr>
              <w:topLinePunct/>
              <w:jc w:val="center"/>
              <w:rPr>
                <w:b/>
                <w:color w:val="000000"/>
                <w:szCs w:val="21"/>
              </w:rPr>
            </w:pPr>
          </w:p>
        </w:tc>
        <w:tc>
          <w:tcPr>
            <w:tcW w:w="2743" w:type="dxa"/>
            <w:vMerge w:val="continue"/>
            <w:tcBorders>
              <w:bottom w:val="single" w:color="auto" w:sz="4" w:space="0"/>
            </w:tcBorders>
            <w:vAlign w:val="center"/>
          </w:tcPr>
          <w:p>
            <w:pPr>
              <w:topLinePunct/>
              <w:jc w:val="center"/>
              <w:rPr>
                <w:b/>
                <w:color w:val="000000"/>
                <w:szCs w:val="21"/>
              </w:rPr>
            </w:pPr>
          </w:p>
        </w:tc>
        <w:tc>
          <w:tcPr>
            <w:tcW w:w="1750" w:type="dxa"/>
            <w:tcBorders>
              <w:bottom w:val="single" w:color="auto" w:sz="4" w:space="0"/>
            </w:tcBorders>
            <w:vAlign w:val="center"/>
          </w:tcPr>
          <w:p>
            <w:pPr>
              <w:topLinePunct/>
              <w:jc w:val="center"/>
              <w:rPr>
                <w:b/>
                <w:color w:val="000000"/>
                <w:szCs w:val="21"/>
              </w:rPr>
            </w:pPr>
            <w:r>
              <w:rPr>
                <w:b/>
                <w:color w:val="000000"/>
                <w:szCs w:val="21"/>
              </w:rPr>
              <w:t>昼间</w:t>
            </w:r>
          </w:p>
        </w:tc>
        <w:tc>
          <w:tcPr>
            <w:tcW w:w="1687" w:type="dxa"/>
            <w:tcBorders>
              <w:bottom w:val="single" w:color="auto" w:sz="4" w:space="0"/>
            </w:tcBorders>
            <w:vAlign w:val="center"/>
          </w:tcPr>
          <w:p>
            <w:pPr>
              <w:topLinePunct/>
              <w:jc w:val="center"/>
              <w:rPr>
                <w:b/>
                <w:color w:val="000000"/>
                <w:szCs w:val="21"/>
              </w:rPr>
            </w:pPr>
            <w:r>
              <w:rPr>
                <w:b/>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挖掘机</w:t>
            </w:r>
          </w:p>
        </w:tc>
        <w:tc>
          <w:tcPr>
            <w:tcW w:w="2743" w:type="dxa"/>
            <w:vAlign w:val="center"/>
          </w:tcPr>
          <w:p>
            <w:pPr>
              <w:topLinePunct/>
              <w:jc w:val="center"/>
              <w:rPr>
                <w:color w:val="000000"/>
                <w:szCs w:val="21"/>
              </w:rPr>
            </w:pPr>
            <w:r>
              <w:rPr>
                <w:color w:val="000000"/>
                <w:szCs w:val="21"/>
              </w:rPr>
              <w:t>91</w:t>
            </w:r>
          </w:p>
        </w:tc>
        <w:tc>
          <w:tcPr>
            <w:tcW w:w="1750" w:type="dxa"/>
            <w:vAlign w:val="center"/>
          </w:tcPr>
          <w:p>
            <w:pPr>
              <w:topLinePunct/>
              <w:jc w:val="center"/>
              <w:rPr>
                <w:color w:val="000000"/>
                <w:szCs w:val="21"/>
              </w:rPr>
            </w:pPr>
            <w:r>
              <w:rPr>
                <w:color w:val="000000"/>
                <w:szCs w:val="21"/>
              </w:rPr>
              <w:t>11</w:t>
            </w:r>
          </w:p>
        </w:tc>
        <w:tc>
          <w:tcPr>
            <w:tcW w:w="1687" w:type="dxa"/>
            <w:vAlign w:val="center"/>
          </w:tcPr>
          <w:p>
            <w:pPr>
              <w:topLinePunct/>
              <w:jc w:val="center"/>
              <w:rPr>
                <w:color w:val="000000"/>
                <w:szCs w:val="21"/>
              </w:rPr>
            </w:pPr>
            <w:r>
              <w:rPr>
                <w:color w:val="000000"/>
                <w:szCs w:val="21"/>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推土机</w:t>
            </w:r>
          </w:p>
        </w:tc>
        <w:tc>
          <w:tcPr>
            <w:tcW w:w="2743" w:type="dxa"/>
            <w:vAlign w:val="center"/>
          </w:tcPr>
          <w:p>
            <w:pPr>
              <w:topLinePunct/>
              <w:jc w:val="center"/>
              <w:rPr>
                <w:color w:val="000000"/>
                <w:szCs w:val="21"/>
              </w:rPr>
            </w:pPr>
            <w:r>
              <w:rPr>
                <w:color w:val="000000"/>
                <w:szCs w:val="21"/>
              </w:rPr>
              <w:t>90</w:t>
            </w:r>
          </w:p>
        </w:tc>
        <w:tc>
          <w:tcPr>
            <w:tcW w:w="1750" w:type="dxa"/>
            <w:vAlign w:val="center"/>
          </w:tcPr>
          <w:p>
            <w:pPr>
              <w:topLinePunct/>
              <w:jc w:val="center"/>
              <w:rPr>
                <w:color w:val="000000"/>
                <w:szCs w:val="21"/>
              </w:rPr>
            </w:pPr>
            <w:r>
              <w:rPr>
                <w:color w:val="000000"/>
                <w:szCs w:val="21"/>
              </w:rPr>
              <w:t>10</w:t>
            </w:r>
          </w:p>
        </w:tc>
        <w:tc>
          <w:tcPr>
            <w:tcW w:w="1687" w:type="dxa"/>
            <w:vAlign w:val="center"/>
          </w:tcPr>
          <w:p>
            <w:pPr>
              <w:topLinePunct/>
              <w:jc w:val="center"/>
              <w:rPr>
                <w:color w:val="000000"/>
                <w:szCs w:val="21"/>
              </w:rPr>
            </w:pPr>
            <w:r>
              <w:rPr>
                <w:color w:val="000000"/>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振捣棒</w:t>
            </w:r>
          </w:p>
        </w:tc>
        <w:tc>
          <w:tcPr>
            <w:tcW w:w="2743" w:type="dxa"/>
            <w:vAlign w:val="center"/>
          </w:tcPr>
          <w:p>
            <w:pPr>
              <w:topLinePunct/>
              <w:jc w:val="center"/>
              <w:rPr>
                <w:color w:val="000000"/>
                <w:szCs w:val="21"/>
              </w:rPr>
            </w:pPr>
            <w:r>
              <w:rPr>
                <w:color w:val="000000"/>
                <w:szCs w:val="21"/>
              </w:rPr>
              <w:t>100</w:t>
            </w:r>
          </w:p>
        </w:tc>
        <w:tc>
          <w:tcPr>
            <w:tcW w:w="1750" w:type="dxa"/>
            <w:vAlign w:val="center"/>
          </w:tcPr>
          <w:p>
            <w:pPr>
              <w:topLinePunct/>
              <w:jc w:val="center"/>
              <w:rPr>
                <w:color w:val="000000"/>
                <w:szCs w:val="21"/>
              </w:rPr>
            </w:pPr>
            <w:r>
              <w:rPr>
                <w:color w:val="000000"/>
                <w:szCs w:val="21"/>
              </w:rPr>
              <w:t>31.6</w:t>
            </w:r>
          </w:p>
        </w:tc>
        <w:tc>
          <w:tcPr>
            <w:tcW w:w="1687" w:type="dxa"/>
            <w:vAlign w:val="center"/>
          </w:tcPr>
          <w:p>
            <w:pPr>
              <w:topLinePunct/>
              <w:jc w:val="center"/>
              <w:rPr>
                <w:color w:val="000000"/>
                <w:szCs w:val="21"/>
              </w:rPr>
            </w:pPr>
            <w:r>
              <w:rPr>
                <w:color w:val="000000"/>
                <w:szCs w:val="21"/>
              </w:rPr>
              <w:t>177.8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切割机</w:t>
            </w:r>
          </w:p>
        </w:tc>
        <w:tc>
          <w:tcPr>
            <w:tcW w:w="2743" w:type="dxa"/>
            <w:vAlign w:val="center"/>
          </w:tcPr>
          <w:p>
            <w:pPr>
              <w:topLinePunct/>
              <w:jc w:val="center"/>
              <w:rPr>
                <w:color w:val="000000"/>
                <w:szCs w:val="21"/>
              </w:rPr>
            </w:pPr>
            <w:r>
              <w:rPr>
                <w:color w:val="000000"/>
                <w:szCs w:val="21"/>
              </w:rPr>
              <w:t>95</w:t>
            </w:r>
          </w:p>
        </w:tc>
        <w:tc>
          <w:tcPr>
            <w:tcW w:w="1750" w:type="dxa"/>
            <w:vAlign w:val="center"/>
          </w:tcPr>
          <w:p>
            <w:pPr>
              <w:topLinePunct/>
              <w:jc w:val="center"/>
              <w:rPr>
                <w:color w:val="000000"/>
                <w:szCs w:val="21"/>
              </w:rPr>
            </w:pPr>
            <w:r>
              <w:rPr>
                <w:color w:val="000000"/>
                <w:szCs w:val="21"/>
              </w:rPr>
              <w:t>17.8</w:t>
            </w:r>
          </w:p>
        </w:tc>
        <w:tc>
          <w:tcPr>
            <w:tcW w:w="1687" w:type="dxa"/>
            <w:vAlign w:val="center"/>
          </w:tcPr>
          <w:p>
            <w:pPr>
              <w:topLinePunct/>
              <w:jc w:val="center"/>
              <w:rPr>
                <w:color w:val="000000"/>
                <w:szCs w:val="21"/>
              </w:rPr>
            </w:pPr>
            <w:r>
              <w:rPr>
                <w:color w:val="00000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电钻</w:t>
            </w:r>
          </w:p>
        </w:tc>
        <w:tc>
          <w:tcPr>
            <w:tcW w:w="2743" w:type="dxa"/>
            <w:vAlign w:val="center"/>
          </w:tcPr>
          <w:p>
            <w:pPr>
              <w:topLinePunct/>
              <w:jc w:val="center"/>
              <w:rPr>
                <w:color w:val="000000"/>
                <w:szCs w:val="21"/>
              </w:rPr>
            </w:pPr>
            <w:r>
              <w:rPr>
                <w:color w:val="000000"/>
                <w:szCs w:val="21"/>
              </w:rPr>
              <w:t>92</w:t>
            </w:r>
          </w:p>
        </w:tc>
        <w:tc>
          <w:tcPr>
            <w:tcW w:w="1750" w:type="dxa"/>
            <w:vAlign w:val="center"/>
          </w:tcPr>
          <w:p>
            <w:pPr>
              <w:topLinePunct/>
              <w:jc w:val="center"/>
              <w:rPr>
                <w:color w:val="000000"/>
                <w:szCs w:val="21"/>
              </w:rPr>
            </w:pPr>
            <w:r>
              <w:rPr>
                <w:color w:val="000000"/>
                <w:szCs w:val="21"/>
              </w:rPr>
              <w:t>12.6</w:t>
            </w:r>
          </w:p>
        </w:tc>
        <w:tc>
          <w:tcPr>
            <w:tcW w:w="1687" w:type="dxa"/>
            <w:vAlign w:val="center"/>
          </w:tcPr>
          <w:p>
            <w:pPr>
              <w:topLinePunct/>
              <w:jc w:val="center"/>
              <w:rPr>
                <w:color w:val="000000"/>
                <w:szCs w:val="21"/>
              </w:rPr>
            </w:pPr>
            <w:r>
              <w:rPr>
                <w:color w:val="000000"/>
                <w:szCs w:val="21"/>
              </w:rPr>
              <w:t>70.8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吊车</w:t>
            </w:r>
          </w:p>
        </w:tc>
        <w:tc>
          <w:tcPr>
            <w:tcW w:w="2743" w:type="dxa"/>
            <w:vAlign w:val="center"/>
          </w:tcPr>
          <w:p>
            <w:pPr>
              <w:topLinePunct/>
              <w:jc w:val="center"/>
              <w:rPr>
                <w:color w:val="000000"/>
                <w:szCs w:val="21"/>
              </w:rPr>
            </w:pPr>
            <w:r>
              <w:rPr>
                <w:color w:val="000000"/>
                <w:szCs w:val="21"/>
              </w:rPr>
              <w:t>85</w:t>
            </w:r>
          </w:p>
        </w:tc>
        <w:tc>
          <w:tcPr>
            <w:tcW w:w="1750" w:type="dxa"/>
            <w:vAlign w:val="center"/>
          </w:tcPr>
          <w:p>
            <w:pPr>
              <w:topLinePunct/>
              <w:jc w:val="center"/>
              <w:rPr>
                <w:color w:val="000000"/>
                <w:szCs w:val="21"/>
              </w:rPr>
            </w:pPr>
            <w:r>
              <w:rPr>
                <w:color w:val="000000"/>
                <w:szCs w:val="21"/>
              </w:rPr>
              <w:t>5.6</w:t>
            </w:r>
          </w:p>
        </w:tc>
        <w:tc>
          <w:tcPr>
            <w:tcW w:w="1687" w:type="dxa"/>
            <w:vAlign w:val="center"/>
          </w:tcPr>
          <w:p>
            <w:pPr>
              <w:topLinePunct/>
              <w:jc w:val="center"/>
              <w:rPr>
                <w:color w:val="000000"/>
                <w:szCs w:val="21"/>
              </w:rPr>
            </w:pPr>
            <w:r>
              <w:rPr>
                <w:color w:val="000000"/>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载重卡车</w:t>
            </w:r>
          </w:p>
        </w:tc>
        <w:tc>
          <w:tcPr>
            <w:tcW w:w="2743" w:type="dxa"/>
            <w:vAlign w:val="center"/>
          </w:tcPr>
          <w:p>
            <w:pPr>
              <w:topLinePunct/>
              <w:jc w:val="center"/>
              <w:rPr>
                <w:color w:val="000000"/>
                <w:szCs w:val="21"/>
              </w:rPr>
            </w:pPr>
            <w:r>
              <w:rPr>
                <w:color w:val="000000"/>
                <w:szCs w:val="21"/>
              </w:rPr>
              <w:t>85</w:t>
            </w:r>
          </w:p>
        </w:tc>
        <w:tc>
          <w:tcPr>
            <w:tcW w:w="1750" w:type="dxa"/>
            <w:vAlign w:val="center"/>
          </w:tcPr>
          <w:p>
            <w:pPr>
              <w:topLinePunct/>
              <w:jc w:val="center"/>
              <w:rPr>
                <w:color w:val="000000"/>
                <w:szCs w:val="21"/>
              </w:rPr>
            </w:pPr>
            <w:r>
              <w:rPr>
                <w:color w:val="000000"/>
                <w:szCs w:val="21"/>
              </w:rPr>
              <w:t>5.6</w:t>
            </w:r>
          </w:p>
        </w:tc>
        <w:tc>
          <w:tcPr>
            <w:tcW w:w="1687" w:type="dxa"/>
            <w:vAlign w:val="center"/>
          </w:tcPr>
          <w:p>
            <w:pPr>
              <w:topLinePunct/>
              <w:jc w:val="center"/>
              <w:rPr>
                <w:color w:val="000000"/>
                <w:szCs w:val="21"/>
              </w:rPr>
            </w:pPr>
            <w:r>
              <w:rPr>
                <w:color w:val="000000"/>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b/>
                <w:color w:val="000000"/>
                <w:szCs w:val="21"/>
              </w:rPr>
            </w:pPr>
            <w:r>
              <w:rPr>
                <w:b/>
                <w:color w:val="000000"/>
                <w:szCs w:val="21"/>
              </w:rPr>
              <w:t>设备叠加噪声值</w:t>
            </w:r>
          </w:p>
        </w:tc>
        <w:tc>
          <w:tcPr>
            <w:tcW w:w="2743" w:type="dxa"/>
            <w:vAlign w:val="center"/>
          </w:tcPr>
          <w:p>
            <w:pPr>
              <w:topLinePunct/>
              <w:jc w:val="center"/>
              <w:rPr>
                <w:color w:val="000000"/>
                <w:szCs w:val="21"/>
              </w:rPr>
            </w:pPr>
            <w:r>
              <w:rPr>
                <w:color w:val="000000"/>
                <w:szCs w:val="21"/>
              </w:rPr>
              <w:t>102.46</w:t>
            </w:r>
          </w:p>
        </w:tc>
        <w:tc>
          <w:tcPr>
            <w:tcW w:w="1750" w:type="dxa"/>
            <w:vAlign w:val="center"/>
          </w:tcPr>
          <w:p>
            <w:pPr>
              <w:topLinePunct/>
              <w:jc w:val="center"/>
              <w:rPr>
                <w:color w:val="000000"/>
                <w:szCs w:val="21"/>
              </w:rPr>
            </w:pPr>
            <w:r>
              <w:rPr>
                <w:color w:val="000000"/>
                <w:szCs w:val="21"/>
              </w:rPr>
              <w:t>42</w:t>
            </w:r>
          </w:p>
        </w:tc>
        <w:tc>
          <w:tcPr>
            <w:tcW w:w="1687" w:type="dxa"/>
            <w:vAlign w:val="center"/>
          </w:tcPr>
          <w:p>
            <w:pPr>
              <w:topLinePunct/>
              <w:jc w:val="center"/>
              <w:rPr>
                <w:color w:val="000000"/>
                <w:szCs w:val="21"/>
              </w:rPr>
            </w:pPr>
            <w:r>
              <w:rPr>
                <w:color w:val="000000"/>
                <w:szCs w:val="21"/>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946" w:type="dxa"/>
            <w:gridSpan w:val="4"/>
            <w:vAlign w:val="center"/>
          </w:tcPr>
          <w:p>
            <w:pPr>
              <w:topLinePunct/>
              <w:jc w:val="center"/>
              <w:rPr>
                <w:color w:val="000000"/>
                <w:szCs w:val="21"/>
              </w:rPr>
            </w:pPr>
            <w:r>
              <w:rPr>
                <w:color w:val="000000"/>
                <w:szCs w:val="21"/>
              </w:rPr>
              <w:t>《建筑施工场界环境噪声排放标准》（GB12523-2011）（昼间</w:t>
            </w:r>
            <w:r>
              <w:rPr>
                <w:color w:val="000000"/>
                <w:kern w:val="0"/>
                <w:szCs w:val="21"/>
              </w:rPr>
              <w:t>70dB(A)、夜间55dB(A)）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946" w:type="dxa"/>
            <w:gridSpan w:val="4"/>
            <w:vAlign w:val="center"/>
          </w:tcPr>
          <w:p>
            <w:pPr>
              <w:topLinePunct/>
              <w:ind w:firstLine="420" w:firstLineChars="200"/>
              <w:jc w:val="center"/>
              <w:rPr>
                <w:color w:val="000000"/>
                <w:szCs w:val="21"/>
              </w:rPr>
            </w:pPr>
            <w:r>
              <w:rPr>
                <w:color w:val="000000"/>
                <w:szCs w:val="21"/>
              </w:rPr>
              <w:t>备注：本项目只在昼间施工，夜间不施工。</w:t>
            </w:r>
          </w:p>
        </w:tc>
      </w:tr>
    </w:tbl>
    <w:p>
      <w:pPr>
        <w:topLinePunct/>
        <w:spacing w:line="600" w:lineRule="exact"/>
        <w:rPr>
          <w:color w:val="000000"/>
          <w:sz w:val="24"/>
        </w:rPr>
      </w:pPr>
      <w:r>
        <w:rPr>
          <w:rFonts w:hint="eastAsia"/>
          <w:color w:val="000000"/>
          <w:sz w:val="24"/>
          <w:lang w:val="en-US" w:eastAsia="zh-CN"/>
        </w:rPr>
        <w:t>4</w:t>
      </w:r>
      <w:r>
        <w:rPr>
          <w:color w:val="000000"/>
          <w:sz w:val="24"/>
        </w:rPr>
        <w:t>.1.2.2施工期声环境影响分析</w:t>
      </w:r>
    </w:p>
    <w:p>
      <w:pPr>
        <w:topLinePunct/>
        <w:spacing w:line="520" w:lineRule="exact"/>
        <w:ind w:firstLine="480" w:firstLineChars="200"/>
        <w:rPr>
          <w:color w:val="000000"/>
          <w:sz w:val="24"/>
        </w:rPr>
      </w:pPr>
      <w:r>
        <w:rPr>
          <w:color w:val="000000"/>
          <w:sz w:val="24"/>
        </w:rPr>
        <w:t>项目施工期噪声执行《建筑施工场界环境噪声排放标准》（GB12523-2011），见表</w:t>
      </w:r>
      <w:r>
        <w:rPr>
          <w:rFonts w:hint="eastAsia"/>
          <w:color w:val="000000"/>
          <w:sz w:val="24"/>
          <w:lang w:val="en-US" w:eastAsia="zh-CN"/>
        </w:rPr>
        <w:t>4.1</w:t>
      </w:r>
      <w:r>
        <w:rPr>
          <w:color w:val="000000"/>
          <w:sz w:val="24"/>
        </w:rPr>
        <w:t>-3。从表</w:t>
      </w:r>
      <w:r>
        <w:rPr>
          <w:rFonts w:hint="eastAsia"/>
          <w:color w:val="000000"/>
          <w:sz w:val="24"/>
          <w:lang w:val="en-US" w:eastAsia="zh-CN"/>
        </w:rPr>
        <w:t>4.1</w:t>
      </w:r>
      <w:r>
        <w:rPr>
          <w:color w:val="000000"/>
          <w:sz w:val="24"/>
        </w:rPr>
        <w:t>-2中可看出，土石方施工阶段推土机、装载机、挖掘机昼间噪声超标的情况出现在距声源40m范围内，夜间施工噪声超标情况出现在100m范围内；混凝土振捣棒、切割机昼间噪声超标的情况出现在距声源40m范围内，夜间施工噪声超标情况出现在150m范围内。</w:t>
      </w:r>
    </w:p>
    <w:p>
      <w:pPr>
        <w:topLinePunct/>
        <w:spacing w:beforeLines="50" w:afterLines="50"/>
        <w:ind w:firstLine="411" w:firstLineChars="196"/>
        <w:jc w:val="center"/>
        <w:rPr>
          <w:b/>
          <w:color w:val="000000"/>
          <w:szCs w:val="21"/>
        </w:rPr>
      </w:pPr>
      <w:r>
        <w:rPr>
          <w:b/>
          <w:bCs/>
          <w:color w:val="000000"/>
          <w:szCs w:val="21"/>
        </w:rPr>
        <w:t>表</w:t>
      </w:r>
      <w:r>
        <w:rPr>
          <w:rFonts w:hint="eastAsia"/>
          <w:b/>
          <w:bCs/>
          <w:color w:val="000000"/>
          <w:szCs w:val="21"/>
          <w:lang w:val="en-US" w:eastAsia="zh-CN"/>
        </w:rPr>
        <w:t>4.1</w:t>
      </w:r>
      <w:r>
        <w:rPr>
          <w:b/>
          <w:bCs/>
          <w:color w:val="000000"/>
          <w:szCs w:val="21"/>
        </w:rPr>
        <w:t>-3   建筑施工场界环境噪声排放限值    单位dB(A)</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28"/>
        <w:gridCol w:w="4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28" w:type="dxa"/>
            <w:vAlign w:val="center"/>
          </w:tcPr>
          <w:p>
            <w:pPr>
              <w:tabs>
                <w:tab w:val="left" w:pos="360"/>
                <w:tab w:val="left" w:pos="540"/>
              </w:tabs>
              <w:topLinePunct/>
              <w:jc w:val="center"/>
              <w:rPr>
                <w:b/>
                <w:color w:val="000000"/>
                <w:szCs w:val="21"/>
              </w:rPr>
            </w:pPr>
            <w:r>
              <w:rPr>
                <w:b/>
                <w:color w:val="000000"/>
                <w:szCs w:val="21"/>
              </w:rPr>
              <w:t>昼间</w:t>
            </w:r>
          </w:p>
        </w:tc>
        <w:tc>
          <w:tcPr>
            <w:tcW w:w="4518" w:type="dxa"/>
            <w:vAlign w:val="center"/>
          </w:tcPr>
          <w:p>
            <w:pPr>
              <w:tabs>
                <w:tab w:val="left" w:pos="360"/>
                <w:tab w:val="left" w:pos="540"/>
              </w:tabs>
              <w:topLinePunct/>
              <w:jc w:val="center"/>
              <w:rPr>
                <w:b/>
                <w:color w:val="000000"/>
                <w:szCs w:val="21"/>
              </w:rPr>
            </w:pPr>
            <w:r>
              <w:rPr>
                <w:b/>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28" w:type="dxa"/>
            <w:vAlign w:val="center"/>
          </w:tcPr>
          <w:p>
            <w:pPr>
              <w:tabs>
                <w:tab w:val="left" w:pos="360"/>
                <w:tab w:val="left" w:pos="540"/>
              </w:tabs>
              <w:topLinePunct/>
              <w:jc w:val="center"/>
              <w:rPr>
                <w:color w:val="000000"/>
                <w:szCs w:val="21"/>
              </w:rPr>
            </w:pPr>
            <w:r>
              <w:rPr>
                <w:color w:val="000000"/>
                <w:szCs w:val="21"/>
              </w:rPr>
              <w:t>70</w:t>
            </w:r>
          </w:p>
        </w:tc>
        <w:tc>
          <w:tcPr>
            <w:tcW w:w="4518" w:type="dxa"/>
            <w:vAlign w:val="center"/>
          </w:tcPr>
          <w:p>
            <w:pPr>
              <w:tabs>
                <w:tab w:val="left" w:pos="360"/>
                <w:tab w:val="left" w:pos="540"/>
              </w:tabs>
              <w:topLinePunct/>
              <w:jc w:val="center"/>
              <w:rPr>
                <w:color w:val="000000"/>
                <w:szCs w:val="21"/>
              </w:rPr>
            </w:pPr>
            <w:r>
              <w:rPr>
                <w:color w:val="000000"/>
                <w:szCs w:val="21"/>
              </w:rPr>
              <w:t>55</w:t>
            </w:r>
          </w:p>
        </w:tc>
      </w:tr>
    </w:tbl>
    <w:p>
      <w:pPr>
        <w:topLinePunct/>
        <w:spacing w:line="520" w:lineRule="exact"/>
        <w:ind w:firstLine="480" w:firstLineChars="200"/>
        <w:rPr>
          <w:color w:val="000000"/>
          <w:sz w:val="24"/>
        </w:rPr>
      </w:pPr>
      <w:r>
        <w:rPr>
          <w:color w:val="000000"/>
          <w:sz w:val="24"/>
        </w:rPr>
        <w:t>距场界最近的居民点为</w:t>
      </w:r>
      <w:r>
        <w:rPr>
          <w:rFonts w:hint="eastAsia"/>
          <w:color w:val="000000" w:themeColor="text1"/>
          <w:sz w:val="24"/>
          <w:lang w:val="en-US" w:eastAsia="zh-CN"/>
        </w:rPr>
        <w:t>东</w:t>
      </w:r>
      <w:r>
        <w:rPr>
          <w:color w:val="000000" w:themeColor="text1"/>
          <w:sz w:val="24"/>
          <w:lang w:val="zh-CN"/>
        </w:rPr>
        <w:t>侧5</w:t>
      </w:r>
      <w:r>
        <w:rPr>
          <w:rFonts w:hint="eastAsia"/>
          <w:color w:val="000000" w:themeColor="text1"/>
          <w:sz w:val="24"/>
          <w:lang w:val="en-US" w:eastAsia="zh-CN"/>
        </w:rPr>
        <w:t>01</w:t>
      </w:r>
      <w:r>
        <w:rPr>
          <w:color w:val="000000" w:themeColor="text1"/>
          <w:sz w:val="24"/>
          <w:lang w:val="zh-CN"/>
        </w:rPr>
        <w:t>m处</w:t>
      </w:r>
      <w:r>
        <w:rPr>
          <w:rFonts w:hint="eastAsia"/>
          <w:color w:val="000000" w:themeColor="text1"/>
          <w:sz w:val="24"/>
          <w:lang w:val="en-US" w:eastAsia="zh-CN"/>
        </w:rPr>
        <w:t>前周庄</w:t>
      </w:r>
      <w:r>
        <w:rPr>
          <w:color w:val="000000"/>
          <w:sz w:val="24"/>
        </w:rPr>
        <w:t>。施工噪声在经过距离衰减后达到《声环境质量标准》（GB3096－2008）中的2类标准昼间标准要求的最大距离范围为100m，达到夜间标准要求的最大达标范围为300m。因此项目施工期噪声对周围敏感点影响较小。</w:t>
      </w:r>
    </w:p>
    <w:p>
      <w:pPr>
        <w:topLinePunct/>
        <w:spacing w:line="520" w:lineRule="exact"/>
        <w:ind w:firstLine="480" w:firstLineChars="200"/>
        <w:rPr>
          <w:color w:val="000000"/>
          <w:sz w:val="24"/>
        </w:rPr>
      </w:pPr>
      <w:r>
        <w:rPr>
          <w:color w:val="000000"/>
          <w:sz w:val="24"/>
        </w:rPr>
        <w:t>评价建议施工单位应合理安排施工时间，施工时应尽量避免在中午（12时至14时）和晚上（22时至次日6时）休息时间进行高噪声施工作业；采取合理的施工方式，优先选用低噪声的施工设备，减少高噪声设备机械的同时运行。</w:t>
      </w:r>
    </w:p>
    <w:p>
      <w:pPr>
        <w:topLinePunct/>
        <w:spacing w:line="500" w:lineRule="exact"/>
        <w:ind w:firstLine="480" w:firstLineChars="200"/>
        <w:rPr>
          <w:color w:val="000000"/>
          <w:sz w:val="24"/>
        </w:rPr>
      </w:pPr>
      <w:r>
        <w:rPr>
          <w:color w:val="000000"/>
          <w:sz w:val="24"/>
        </w:rPr>
        <w:t>在采取合理措施后，可尽量减轻项目施工噪声对居民正常生活的影响。加之施工是短时期的，因此施工过程中对区域声环境的影响是暂时的，将随着施工的结束而消失。</w:t>
      </w:r>
    </w:p>
    <w:p>
      <w:pPr>
        <w:topLinePunct/>
        <w:spacing w:line="600" w:lineRule="exact"/>
        <w:outlineLvl w:val="2"/>
        <w:rPr>
          <w:b/>
          <w:color w:val="000000"/>
          <w:sz w:val="24"/>
        </w:rPr>
      </w:pPr>
      <w:r>
        <w:rPr>
          <w:rFonts w:hint="eastAsia"/>
          <w:b/>
          <w:color w:val="000000"/>
          <w:sz w:val="24"/>
          <w:lang w:val="en-US" w:eastAsia="zh-CN"/>
        </w:rPr>
        <w:t>4</w:t>
      </w:r>
      <w:r>
        <w:rPr>
          <w:b/>
          <w:color w:val="000000"/>
          <w:sz w:val="24"/>
        </w:rPr>
        <w:t>.1.3 施工期废水环境影响分析</w:t>
      </w:r>
    </w:p>
    <w:p>
      <w:pPr>
        <w:topLinePunct/>
        <w:spacing w:line="500" w:lineRule="exact"/>
        <w:ind w:firstLine="480" w:firstLineChars="200"/>
        <w:rPr>
          <w:color w:val="000000"/>
          <w:sz w:val="24"/>
        </w:rPr>
      </w:pPr>
      <w:r>
        <w:rPr>
          <w:color w:val="000000"/>
          <w:sz w:val="24"/>
        </w:rPr>
        <w:t>施工期废水主要为施工人员的生活污水、施工废水等。</w:t>
      </w:r>
      <w:r>
        <w:rPr>
          <w:bCs/>
          <w:color w:val="000000"/>
          <w:sz w:val="24"/>
        </w:rPr>
        <w:t>其中工程施工废水包括施工机械冷却水及洗涤用水、施工现场清洗、建材清洗、混凝土浇筑、养护、冲洗等，这部分废水有一定量的油污和泥沙。施工人员的生活污水含有一定量的有机物。另外，雨季作业场地的地面径流水，含有大量的泥土和高浓度的悬浮物。</w:t>
      </w:r>
    </w:p>
    <w:p>
      <w:pPr>
        <w:topLinePunct/>
        <w:spacing w:line="500" w:lineRule="exact"/>
        <w:ind w:firstLine="480" w:firstLineChars="200"/>
        <w:rPr>
          <w:color w:val="000000"/>
          <w:sz w:val="24"/>
        </w:rPr>
      </w:pPr>
      <w:r>
        <w:rPr>
          <w:bCs/>
          <w:color w:val="000000"/>
          <w:sz w:val="24"/>
        </w:rPr>
        <w:t>环评要求施工单位在易出现漏油的机械设备下方设集油槽（池），收集后外售处理，并在施工现场设置临时集水池、沉砂池等临时性污水简易处理设施，将施工废水进行处理后</w:t>
      </w:r>
      <w:r>
        <w:rPr>
          <w:color w:val="000000"/>
          <w:sz w:val="24"/>
        </w:rPr>
        <w:t>用于拌和土和水泥。施工场地建旱厕，生活污水用于浇灌附近农田。</w:t>
      </w:r>
    </w:p>
    <w:p>
      <w:pPr>
        <w:topLinePunct/>
        <w:spacing w:line="600" w:lineRule="exact"/>
        <w:outlineLvl w:val="2"/>
        <w:rPr>
          <w:b/>
          <w:color w:val="000000"/>
          <w:sz w:val="24"/>
        </w:rPr>
      </w:pPr>
      <w:r>
        <w:rPr>
          <w:rFonts w:hint="eastAsia"/>
          <w:b/>
          <w:color w:val="000000"/>
          <w:sz w:val="24"/>
          <w:lang w:val="en-US" w:eastAsia="zh-CN"/>
        </w:rPr>
        <w:t>4</w:t>
      </w:r>
      <w:r>
        <w:rPr>
          <w:b/>
          <w:color w:val="000000"/>
          <w:sz w:val="24"/>
        </w:rPr>
        <w:t>.1.</w:t>
      </w:r>
      <w:bookmarkStart w:id="259" w:name="_Toc298705398"/>
      <w:r>
        <w:rPr>
          <w:b/>
          <w:color w:val="000000"/>
          <w:sz w:val="24"/>
        </w:rPr>
        <w:t>4 施工期固体废物环境影响分析</w:t>
      </w:r>
      <w:bookmarkEnd w:id="259"/>
    </w:p>
    <w:p>
      <w:pPr>
        <w:topLinePunct/>
        <w:spacing w:line="500" w:lineRule="exact"/>
        <w:ind w:firstLine="480" w:firstLineChars="200"/>
        <w:rPr>
          <w:color w:val="000000"/>
          <w:sz w:val="24"/>
        </w:rPr>
      </w:pPr>
      <w:r>
        <w:rPr>
          <w:color w:val="000000"/>
          <w:sz w:val="24"/>
        </w:rPr>
        <w:t>施工期固体废物主要来源于施工过程中产生的建筑垃圾、弃土，以及施工人员产生的生活垃圾。施工期的弃土、建筑垃圾应及时外运，按当地环保要求运至垃圾填埋场；施工期的生活垃圾量很少，定期送至城市垃圾处理场统一处理，预计施工期固体废弃物对周围环境影响不大。</w:t>
      </w:r>
    </w:p>
    <w:p>
      <w:pPr>
        <w:topLinePunct/>
        <w:spacing w:line="600" w:lineRule="exact"/>
        <w:outlineLvl w:val="2"/>
        <w:rPr>
          <w:b/>
          <w:color w:val="000000"/>
          <w:sz w:val="24"/>
        </w:rPr>
      </w:pPr>
      <w:r>
        <w:rPr>
          <w:rFonts w:hint="eastAsia"/>
          <w:b/>
          <w:color w:val="000000"/>
          <w:sz w:val="24"/>
          <w:lang w:val="en-US" w:eastAsia="zh-CN"/>
        </w:rPr>
        <w:t>4</w:t>
      </w:r>
      <w:r>
        <w:rPr>
          <w:b/>
          <w:color w:val="000000"/>
          <w:sz w:val="24"/>
        </w:rPr>
        <w:t>.1.5 施工期生态环境影响分析</w:t>
      </w:r>
    </w:p>
    <w:p>
      <w:pPr>
        <w:topLinePunct/>
        <w:spacing w:line="520" w:lineRule="exact"/>
        <w:ind w:firstLine="480" w:firstLineChars="200"/>
        <w:rPr>
          <w:color w:val="000000"/>
          <w:sz w:val="24"/>
        </w:rPr>
      </w:pPr>
      <w:r>
        <w:rPr>
          <w:color w:val="000000"/>
          <w:sz w:val="24"/>
        </w:rPr>
        <w:t>项目区地势平坦，在施工过程中因降雨、地表开挖和弃土弃渣处置不当，可能会引起不同程度的水土流失及生态破坏。</w:t>
      </w:r>
    </w:p>
    <w:p>
      <w:pPr>
        <w:topLinePunct/>
        <w:spacing w:line="520" w:lineRule="exact"/>
        <w:rPr>
          <w:color w:val="000000"/>
          <w:kern w:val="0"/>
          <w:sz w:val="24"/>
        </w:rPr>
      </w:pPr>
      <w:r>
        <w:rPr>
          <w:rFonts w:hint="eastAsia"/>
          <w:color w:val="000000"/>
          <w:kern w:val="0"/>
          <w:sz w:val="24"/>
          <w:lang w:val="en-US" w:eastAsia="zh-CN"/>
        </w:rPr>
        <w:t>4</w:t>
      </w:r>
      <w:r>
        <w:rPr>
          <w:color w:val="000000"/>
          <w:kern w:val="0"/>
          <w:sz w:val="24"/>
        </w:rPr>
        <w:t>.1.5.1 生态破坏</w:t>
      </w:r>
    </w:p>
    <w:p>
      <w:pPr>
        <w:topLinePunct/>
        <w:spacing w:line="500" w:lineRule="exact"/>
        <w:ind w:firstLine="480" w:firstLineChars="200"/>
        <w:rPr>
          <w:color w:val="000000"/>
          <w:sz w:val="24"/>
        </w:rPr>
      </w:pPr>
      <w:r>
        <w:rPr>
          <w:color w:val="000000"/>
          <w:sz w:val="24"/>
        </w:rPr>
        <w:t>在项目建设过程中，评价区的植被将受到不同程度的占压或毁坏。在施工过程中，开挖处或者清理的植被均遭到永久性毁坏，对生物生境造成破坏，影响动物的正常生长。同时，项目建成后，由于永久占地的影响，使得项目占地范围内的土地用途发生改变，场区内原有植被破坏，原有野生动物生境发生改变。经分析，项目生态破坏主要表现在以下几个方面：</w:t>
      </w:r>
    </w:p>
    <w:p>
      <w:pPr>
        <w:topLinePunct/>
        <w:spacing w:line="500" w:lineRule="exact"/>
        <w:ind w:firstLine="480" w:firstLineChars="200"/>
        <w:rPr>
          <w:color w:val="000000"/>
          <w:sz w:val="24"/>
        </w:rPr>
      </w:pPr>
      <w:r>
        <w:rPr>
          <w:color w:val="000000"/>
          <w:kern w:val="0"/>
          <w:sz w:val="24"/>
        </w:rPr>
        <w:t>（</w:t>
      </w:r>
      <w:r>
        <w:rPr>
          <w:rFonts w:hint="eastAsia"/>
          <w:color w:val="000000"/>
          <w:kern w:val="0"/>
          <w:sz w:val="24"/>
          <w:lang w:val="en-US" w:eastAsia="zh-CN"/>
        </w:rPr>
        <w:t>1</w:t>
      </w:r>
      <w:r>
        <w:rPr>
          <w:color w:val="000000"/>
          <w:kern w:val="0"/>
          <w:sz w:val="24"/>
        </w:rPr>
        <w:t>）</w:t>
      </w:r>
      <w:r>
        <w:rPr>
          <w:color w:val="000000"/>
          <w:sz w:val="24"/>
        </w:rPr>
        <w:t>对植被的影响</w:t>
      </w:r>
    </w:p>
    <w:p>
      <w:pPr>
        <w:topLinePunct/>
        <w:spacing w:line="500" w:lineRule="exact"/>
        <w:ind w:firstLine="480" w:firstLineChars="200"/>
        <w:rPr>
          <w:color w:val="000000"/>
          <w:sz w:val="24"/>
        </w:rPr>
      </w:pPr>
      <w:r>
        <w:rPr>
          <w:color w:val="000000"/>
          <w:kern w:val="0"/>
          <w:sz w:val="24"/>
        </w:rPr>
        <w:t>项目建设过程中场地开挖和清理及建成后各建筑物的占用，对项目区内及附近的植被将造成不同程度的占压和毁坏，致使区内原有的植被生态系统不复存在，造成永久性的毁坏。</w:t>
      </w:r>
      <w:r>
        <w:rPr>
          <w:color w:val="000000"/>
          <w:sz w:val="24"/>
        </w:rPr>
        <w:t>项目建成后，将对场区内进行绿化，能在一定程度上补偿对原有生态的影响，并能使项目与周围环境更加协调，起到美化环境的效果。</w:t>
      </w:r>
    </w:p>
    <w:p>
      <w:pPr>
        <w:topLinePunct/>
        <w:spacing w:line="500" w:lineRule="exact"/>
        <w:ind w:firstLine="480" w:firstLineChars="200"/>
        <w:rPr>
          <w:color w:val="000000"/>
          <w:sz w:val="24"/>
        </w:rPr>
      </w:pPr>
      <w:r>
        <w:rPr>
          <w:color w:val="000000"/>
          <w:sz w:val="24"/>
        </w:rPr>
        <w:t>（</w:t>
      </w:r>
      <w:r>
        <w:rPr>
          <w:rFonts w:hint="eastAsia"/>
          <w:color w:val="000000"/>
          <w:sz w:val="24"/>
          <w:lang w:val="en-US" w:eastAsia="zh-CN"/>
        </w:rPr>
        <w:t>2</w:t>
      </w:r>
      <w:r>
        <w:rPr>
          <w:color w:val="000000"/>
          <w:sz w:val="24"/>
        </w:rPr>
        <w:t>）对动物的影响</w:t>
      </w:r>
    </w:p>
    <w:p>
      <w:pPr>
        <w:topLinePunct/>
        <w:spacing w:line="500" w:lineRule="exact"/>
        <w:ind w:firstLine="480" w:firstLineChars="200"/>
        <w:rPr>
          <w:color w:val="000000"/>
          <w:kern w:val="0"/>
          <w:sz w:val="24"/>
        </w:rPr>
      </w:pPr>
      <w:r>
        <w:rPr>
          <w:color w:val="000000"/>
          <w:sz w:val="24"/>
        </w:rPr>
        <w:t>项目的建设，引起项目区及周边人员活动增加，交通噪声、废气、废水等污染物的排放增加，必然使原有野生动物生境发生改变，对区域原有的动物产生严重的影响，同时，项目永久占地促使当地原有对环境比较敏感的野生动物将进行迁移，远离该区域，但一些适应能力较强的野生动物则会增加，对当地的野生生态系统产生一定程度的影响，并改变区域生态系统结构，但由于项目场区所占面积相对区域面积而言，比例很小，因此对动物生态系统影响有限。</w:t>
      </w:r>
    </w:p>
    <w:p>
      <w:pPr>
        <w:topLinePunct/>
        <w:spacing w:line="500" w:lineRule="exact"/>
        <w:ind w:firstLine="480" w:firstLineChars="200"/>
        <w:rPr>
          <w:color w:val="000000"/>
          <w:sz w:val="24"/>
        </w:rPr>
      </w:pPr>
      <w:r>
        <w:rPr>
          <w:color w:val="000000"/>
          <w:sz w:val="24"/>
        </w:rPr>
        <w:t>（</w:t>
      </w:r>
      <w:r>
        <w:rPr>
          <w:rFonts w:hint="eastAsia"/>
          <w:color w:val="000000"/>
          <w:sz w:val="24"/>
          <w:lang w:val="en-US" w:eastAsia="zh-CN"/>
        </w:rPr>
        <w:t>3</w:t>
      </w:r>
      <w:r>
        <w:rPr>
          <w:color w:val="000000"/>
          <w:sz w:val="24"/>
        </w:rPr>
        <w:t>）</w:t>
      </w:r>
      <w:r>
        <w:rPr>
          <w:color w:val="000000"/>
          <w:kern w:val="0"/>
          <w:sz w:val="24"/>
        </w:rPr>
        <w:t>生态结构与功能变化</w:t>
      </w:r>
    </w:p>
    <w:p>
      <w:pPr>
        <w:topLinePunct/>
        <w:spacing w:line="520" w:lineRule="exact"/>
        <w:ind w:firstLine="480" w:firstLineChars="200"/>
        <w:rPr>
          <w:color w:val="000000"/>
          <w:sz w:val="24"/>
        </w:rPr>
      </w:pPr>
      <w:r>
        <w:rPr>
          <w:snapToGrid w:val="0"/>
          <w:color w:val="000000"/>
          <w:sz w:val="24"/>
        </w:rPr>
        <w:t>项目建成后，局部地块农业生态系统消失，系统中原有的以种植农作物产生的能流、物流、信息流将消失，取而代之的是新的系统，并将超过原有农业生态系统，更超过自然生态系统。根据对当地种植情况的调查，目前</w:t>
      </w:r>
      <w:r>
        <w:rPr>
          <w:rFonts w:hint="eastAsia"/>
          <w:snapToGrid w:val="0"/>
          <w:color w:val="000000"/>
          <w:sz w:val="24"/>
          <w:lang w:eastAsia="zh-CN"/>
        </w:rPr>
        <w:t>正阳县</w:t>
      </w:r>
      <w:r>
        <w:rPr>
          <w:snapToGrid w:val="0"/>
          <w:color w:val="000000"/>
          <w:sz w:val="24"/>
        </w:rPr>
        <w:t>地区种植为一年两</w:t>
      </w:r>
      <w:r>
        <w:rPr>
          <w:color w:val="000000"/>
          <w:sz w:val="24"/>
        </w:rPr>
        <w:t>熟，夏季收获以小麦为主、秋季收获以玉米为主，每亩土地年产值约为2700元。根据公司预测，本项目建成后，每亩地年产值约为4万元，大大提高了单位面积土地的生产能力。</w:t>
      </w:r>
    </w:p>
    <w:p>
      <w:pPr>
        <w:topLinePunct/>
        <w:spacing w:line="520" w:lineRule="exact"/>
        <w:ind w:firstLine="480" w:firstLineChars="200"/>
        <w:rPr>
          <w:snapToGrid w:val="0"/>
          <w:color w:val="000000"/>
          <w:sz w:val="24"/>
        </w:rPr>
      </w:pPr>
      <w:r>
        <w:rPr>
          <w:snapToGrid w:val="0"/>
          <w:color w:val="000000"/>
          <w:sz w:val="24"/>
        </w:rPr>
        <w:t>原来农业生态系统</w:t>
      </w:r>
      <w:r>
        <w:rPr>
          <w:color w:val="000000"/>
          <w:sz w:val="24"/>
        </w:rPr>
        <w:t>施肥可能破坏水体功能，施肥过量将会污染土壤，改变土地结构，传播疫病，随着项目生态</w:t>
      </w:r>
      <w:r>
        <w:rPr>
          <w:snapToGrid w:val="0"/>
          <w:color w:val="000000"/>
          <w:sz w:val="24"/>
        </w:rPr>
        <w:t>系统开放度扩大，能量、物质信息的输入、输出与城市生态系统各组分之间都存在很大的联系性和依赖性，系统的功能和生产力将大大增强，同时能源、物质的消耗，向环境排放的污染物也会增多。</w:t>
      </w:r>
    </w:p>
    <w:p>
      <w:pPr>
        <w:topLinePunct/>
        <w:spacing w:line="520" w:lineRule="exact"/>
        <w:ind w:firstLine="480" w:firstLineChars="200"/>
        <w:rPr>
          <w:snapToGrid w:val="0"/>
          <w:color w:val="000000"/>
          <w:sz w:val="24"/>
        </w:rPr>
      </w:pPr>
      <w:r>
        <w:rPr>
          <w:snapToGrid w:val="0"/>
          <w:color w:val="000000"/>
          <w:sz w:val="24"/>
        </w:rPr>
        <w:t>农业生态系统是一个开放的系统，依靠灌溉、施肥等物质和能量的输入；农产品的输出维持其系统，它将经济再生产、自然再生产交织在一起，构成与社会经济区互相反馈的生态经济系统。养殖场按照科学管理进行施肥，合理安排施肥时间和频次，能够避免对区域造成污染危害。</w:t>
      </w:r>
    </w:p>
    <w:p>
      <w:pPr>
        <w:topLinePunct/>
        <w:spacing w:line="520" w:lineRule="exact"/>
        <w:rPr>
          <w:color w:val="000000"/>
          <w:kern w:val="0"/>
          <w:sz w:val="24"/>
        </w:rPr>
      </w:pPr>
      <w:r>
        <w:rPr>
          <w:rFonts w:hint="eastAsia"/>
          <w:color w:val="000000"/>
          <w:kern w:val="0"/>
          <w:sz w:val="24"/>
          <w:lang w:val="en-US" w:eastAsia="zh-CN"/>
        </w:rPr>
        <w:t>4</w:t>
      </w:r>
      <w:r>
        <w:rPr>
          <w:color w:val="000000"/>
          <w:kern w:val="0"/>
          <w:sz w:val="24"/>
        </w:rPr>
        <w:t>.1.5.2 水土流失</w:t>
      </w:r>
    </w:p>
    <w:p>
      <w:pPr>
        <w:topLinePunct/>
        <w:spacing w:line="520" w:lineRule="exact"/>
        <w:ind w:firstLine="480" w:firstLineChars="200"/>
        <w:rPr>
          <w:color w:val="000000"/>
          <w:sz w:val="24"/>
        </w:rPr>
      </w:pPr>
      <w:r>
        <w:rPr>
          <w:color w:val="000000"/>
          <w:sz w:val="24"/>
        </w:rPr>
        <w:t>（1）工程建设区水土流失概况</w:t>
      </w:r>
    </w:p>
    <w:p>
      <w:pPr>
        <w:topLinePunct/>
        <w:spacing w:line="520" w:lineRule="exact"/>
        <w:ind w:firstLine="480" w:firstLineChars="200"/>
        <w:rPr>
          <w:color w:val="000000"/>
          <w:sz w:val="24"/>
        </w:rPr>
      </w:pPr>
      <w:r>
        <w:rPr>
          <w:color w:val="000000"/>
          <w:sz w:val="24"/>
        </w:rPr>
        <w:t>项目区内地形平坦，水土流失形式主要为水力侵蚀，主要类型包括面蚀、雨滴溅蚀等。根据该区水土流失强度分级图、《土壤侵蚀分类分级标准》（SLl90-2007）和通过现场查勘、调查，依据地质报告及以往同类工程进行类比，确定工程建设区内土壤多年平均侵蚀模数为1500t/（km</w:t>
      </w:r>
      <w:r>
        <w:rPr>
          <w:color w:val="000000"/>
          <w:sz w:val="24"/>
          <w:vertAlign w:val="superscript"/>
        </w:rPr>
        <w:t>2</w:t>
      </w:r>
      <w:r>
        <w:rPr>
          <w:color w:val="000000"/>
          <w:sz w:val="24"/>
        </w:rPr>
        <w:t>·a）。</w:t>
      </w:r>
    </w:p>
    <w:p>
      <w:pPr>
        <w:topLinePunct/>
        <w:spacing w:line="520" w:lineRule="exact"/>
        <w:ind w:firstLine="480" w:firstLineChars="200"/>
        <w:rPr>
          <w:color w:val="000000"/>
          <w:sz w:val="24"/>
        </w:rPr>
      </w:pPr>
      <w:r>
        <w:rPr>
          <w:color w:val="000000"/>
          <w:sz w:val="24"/>
        </w:rPr>
        <w:t>（2）引起水土流失的原因</w:t>
      </w:r>
    </w:p>
    <w:p>
      <w:pPr>
        <w:topLinePunct/>
        <w:spacing w:line="520" w:lineRule="exact"/>
        <w:ind w:firstLine="480" w:firstLineChars="200"/>
        <w:rPr>
          <w:color w:val="000000"/>
          <w:sz w:val="24"/>
        </w:rPr>
      </w:pPr>
      <w:r>
        <w:rPr>
          <w:color w:val="000000"/>
          <w:sz w:val="24"/>
        </w:rPr>
        <w:t>自然因素和人为因素是造成该区水土流失的主要原因。</w:t>
      </w:r>
    </w:p>
    <w:p>
      <w:pPr>
        <w:spacing w:line="500" w:lineRule="exact"/>
        <w:ind w:firstLine="480" w:firstLineChars="200"/>
        <w:rPr>
          <w:color w:val="000000"/>
          <w:sz w:val="24"/>
        </w:rPr>
      </w:pPr>
      <w:r>
        <w:rPr>
          <w:color w:val="000000"/>
          <w:sz w:val="24"/>
        </w:rPr>
        <w:t>自然因素有地形地貌、地面组成物质、植被及降雨等。项目区地势较为平坦，林草植被覆盖多，年均降雨量约594.4mm，年内分布很不均匀，多集中在数次暴雨。形成水土流失的主要自然因素是暴雨。</w:t>
      </w:r>
    </w:p>
    <w:p>
      <w:pPr>
        <w:topLinePunct/>
        <w:spacing w:line="520" w:lineRule="exact"/>
        <w:ind w:firstLine="480" w:firstLineChars="200"/>
        <w:rPr>
          <w:color w:val="000000"/>
          <w:sz w:val="24"/>
        </w:rPr>
      </w:pPr>
      <w:r>
        <w:rPr>
          <w:color w:val="000000"/>
          <w:sz w:val="24"/>
        </w:rPr>
        <w:t>人为因素：由于项目工程建设，土方开挖和料物堆砌损坏了原有的地形地貌和植被，施工活动扰动了原有的土体结构，致使土体抗侵蚀能力降低，造成区域加速侵蚀。</w:t>
      </w:r>
    </w:p>
    <w:p>
      <w:pPr>
        <w:topLinePunct/>
        <w:spacing w:line="520" w:lineRule="exact"/>
        <w:ind w:firstLine="480" w:firstLineChars="200"/>
        <w:rPr>
          <w:color w:val="000000"/>
          <w:sz w:val="24"/>
        </w:rPr>
      </w:pPr>
      <w:r>
        <w:rPr>
          <w:color w:val="000000"/>
          <w:sz w:val="24"/>
        </w:rPr>
        <w:t>（3）可能产生的水土流失情况</w:t>
      </w:r>
    </w:p>
    <w:p>
      <w:pPr>
        <w:topLinePunct/>
        <w:spacing w:line="520" w:lineRule="exact"/>
        <w:ind w:firstLine="480" w:firstLineChars="200"/>
        <w:rPr>
          <w:color w:val="000000"/>
          <w:sz w:val="24"/>
        </w:rPr>
      </w:pPr>
      <w:r>
        <w:rPr>
          <w:color w:val="000000"/>
          <w:sz w:val="24"/>
        </w:rPr>
        <w:t>由于工程建设过程中破坏地貌植被，对该区生态环境造成破坏，同时使自然状况下的土体稳定平衡和土壤结构遭到破坏，土体疏散，土壤可蚀性增加，必然导致水土流失增加。</w:t>
      </w:r>
    </w:p>
    <w:p>
      <w:pPr>
        <w:topLinePunct/>
        <w:spacing w:line="520" w:lineRule="exact"/>
        <w:ind w:firstLine="480" w:firstLineChars="200"/>
        <w:rPr>
          <w:color w:val="000000"/>
          <w:sz w:val="24"/>
        </w:rPr>
      </w:pPr>
      <w:r>
        <w:rPr>
          <w:color w:val="000000"/>
          <w:sz w:val="24"/>
        </w:rPr>
        <w:t>（4）水土保持措施</w:t>
      </w:r>
    </w:p>
    <w:p>
      <w:pPr>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主体工程防治区</w:t>
      </w:r>
    </w:p>
    <w:p>
      <w:pPr>
        <w:topLinePunct/>
        <w:spacing w:line="500" w:lineRule="exact"/>
        <w:ind w:firstLine="480" w:firstLineChars="200"/>
        <w:rPr>
          <w:color w:val="000000"/>
          <w:sz w:val="24"/>
        </w:rPr>
      </w:pPr>
      <w:r>
        <w:rPr>
          <w:color w:val="000000"/>
          <w:sz w:val="24"/>
        </w:rPr>
        <w:t>主体及辅助工程开挖完工后及时对边坡进行固化护坡，在坡脚撒播草籽对裸露地表进行绿化，对进厂道路进行固化，完善排水设施，使水土流失降到最低水平。</w:t>
      </w:r>
    </w:p>
    <w:p>
      <w:pPr>
        <w:topLinePunct/>
        <w:spacing w:line="500" w:lineRule="exact"/>
        <w:ind w:firstLine="480" w:firstLineChars="200"/>
        <w:rPr>
          <w:color w:val="000000"/>
          <w:sz w:val="24"/>
        </w:rPr>
      </w:pPr>
      <w:r>
        <w:rPr>
          <w:rFonts w:hint="eastAsia" w:ascii="宋体" w:hAnsi="宋体" w:cs="宋体"/>
          <w:color w:val="000000"/>
          <w:sz w:val="24"/>
        </w:rPr>
        <w:t>②</w:t>
      </w:r>
      <w:r>
        <w:rPr>
          <w:color w:val="000000"/>
          <w:sz w:val="24"/>
        </w:rPr>
        <w:t>施工临时工程防治区</w:t>
      </w:r>
    </w:p>
    <w:p>
      <w:pPr>
        <w:topLinePunct/>
        <w:spacing w:line="500" w:lineRule="exact"/>
        <w:ind w:firstLine="480" w:firstLineChars="200"/>
        <w:rPr>
          <w:color w:val="000000"/>
          <w:sz w:val="24"/>
        </w:rPr>
      </w:pPr>
      <w:r>
        <w:rPr>
          <w:color w:val="000000"/>
          <w:sz w:val="24"/>
        </w:rPr>
        <w:t>施工临时工程主要包括施工道路和施工生产区。施工完工后，应对临时地面建筑进行清理，对土地进行平整并硬化，同时设置必要的绿化带来缓解水土流失的影响。</w:t>
      </w:r>
    </w:p>
    <w:p>
      <w:pPr>
        <w:topLinePunct/>
        <w:spacing w:line="500" w:lineRule="exact"/>
        <w:ind w:firstLine="480" w:firstLineChars="200"/>
        <w:rPr>
          <w:color w:val="000000"/>
          <w:sz w:val="24"/>
        </w:rPr>
      </w:pPr>
      <w:r>
        <w:rPr>
          <w:rFonts w:hint="eastAsia" w:ascii="宋体" w:hAnsi="宋体" w:cs="宋体"/>
          <w:color w:val="000000"/>
          <w:sz w:val="24"/>
        </w:rPr>
        <w:t>③</w:t>
      </w:r>
      <w:r>
        <w:rPr>
          <w:color w:val="000000"/>
          <w:sz w:val="24"/>
        </w:rPr>
        <w:t>进场道路区</w:t>
      </w:r>
    </w:p>
    <w:p>
      <w:pPr>
        <w:topLinePunct/>
        <w:spacing w:line="500" w:lineRule="exact"/>
        <w:ind w:firstLine="480" w:firstLineChars="200"/>
        <w:rPr>
          <w:color w:val="000000"/>
          <w:sz w:val="24"/>
        </w:rPr>
      </w:pPr>
      <w:r>
        <w:rPr>
          <w:color w:val="000000"/>
          <w:sz w:val="24"/>
        </w:rPr>
        <w:t>本工程设永久进场道路，进场道路进行硬化，两侧设混凝土路边排水沟，并种植高大植物予以绿化。</w:t>
      </w:r>
    </w:p>
    <w:p>
      <w:pPr>
        <w:topLinePunct/>
        <w:spacing w:line="500" w:lineRule="exact"/>
        <w:ind w:firstLine="480" w:firstLineChars="200"/>
        <w:rPr>
          <w:color w:val="000000"/>
          <w:sz w:val="24"/>
        </w:rPr>
      </w:pPr>
      <w:r>
        <w:rPr>
          <w:color w:val="000000"/>
          <w:sz w:val="24"/>
        </w:rPr>
        <w:t>通过水土流失治理措施的实施，可基本控制项目建设责任范围内因工程活动引起的水土流失，项目区域的绿化可为项目责任范围内经济的可持续发展创造良好的生态环境基础。</w:t>
      </w:r>
    </w:p>
    <w:p>
      <w:pPr>
        <w:topLinePunct/>
        <w:spacing w:line="500" w:lineRule="exact"/>
        <w:ind w:firstLine="480" w:firstLineChars="200"/>
        <w:rPr>
          <w:color w:val="000000"/>
          <w:sz w:val="24"/>
        </w:rPr>
      </w:pPr>
      <w:r>
        <w:rPr>
          <w:color w:val="000000"/>
          <w:sz w:val="24"/>
        </w:rPr>
        <w:t>综上分析，本项目在施工期间对生态环境产生一定的影响，通过采取相应的生态保护和恢复措施，尤其是通过施工管理和强化施工期的保护和恢复，则本项目建设对生态环境影响是可接受的。</w:t>
      </w:r>
    </w:p>
    <w:p>
      <w:pPr>
        <w:pStyle w:val="5"/>
        <w:spacing w:before="156" w:after="156"/>
        <w:rPr>
          <w:rFonts w:hAnsi="Times New Roman"/>
          <w:color w:val="000000"/>
        </w:rPr>
      </w:pPr>
      <w:bookmarkStart w:id="260" w:name="_Toc488572570"/>
      <w:bookmarkStart w:id="261" w:name="_Toc26697"/>
      <w:r>
        <w:rPr>
          <w:rFonts w:hint="eastAsia" w:hAnsi="Times New Roman"/>
          <w:color w:val="000000"/>
          <w:lang w:val="en-US" w:eastAsia="zh-CN"/>
        </w:rPr>
        <w:t>4</w:t>
      </w:r>
      <w:r>
        <w:rPr>
          <w:rFonts w:hAnsi="Times New Roman"/>
          <w:color w:val="000000"/>
        </w:rPr>
        <w:t>.2</w:t>
      </w:r>
      <w:bookmarkStart w:id="262" w:name="_Toc303632174"/>
      <w:r>
        <w:rPr>
          <w:rFonts w:hAnsi="Times New Roman"/>
          <w:color w:val="000000"/>
        </w:rPr>
        <w:t>营运期环境影响预测与评价</w:t>
      </w:r>
      <w:bookmarkEnd w:id="258"/>
      <w:bookmarkEnd w:id="260"/>
      <w:bookmarkEnd w:id="261"/>
      <w:bookmarkEnd w:id="262"/>
    </w:p>
    <w:p>
      <w:pPr>
        <w:adjustRightInd w:val="0"/>
        <w:snapToGrid w:val="0"/>
        <w:spacing w:after="120" w:line="600" w:lineRule="exact"/>
        <w:outlineLvl w:val="2"/>
        <w:rPr>
          <w:b/>
          <w:color w:val="000000"/>
          <w:sz w:val="24"/>
        </w:rPr>
      </w:pPr>
      <w:r>
        <w:rPr>
          <w:rFonts w:hint="eastAsia"/>
          <w:b/>
          <w:color w:val="000000"/>
          <w:sz w:val="24"/>
          <w:lang w:val="en-US" w:eastAsia="zh-CN"/>
        </w:rPr>
        <w:t>4</w:t>
      </w:r>
      <w:r>
        <w:rPr>
          <w:b/>
          <w:color w:val="000000"/>
          <w:sz w:val="24"/>
        </w:rPr>
        <w:t>.2.</w:t>
      </w:r>
      <w:bookmarkStart w:id="263" w:name="_Toc298705421"/>
      <w:r>
        <w:rPr>
          <w:b/>
          <w:color w:val="000000"/>
          <w:sz w:val="24"/>
        </w:rPr>
        <w:t xml:space="preserve">1 </w:t>
      </w:r>
      <w:bookmarkEnd w:id="263"/>
      <w:r>
        <w:rPr>
          <w:b/>
          <w:color w:val="000000"/>
          <w:sz w:val="24"/>
        </w:rPr>
        <w:t>大气环境影响预测与评价</w:t>
      </w:r>
    </w:p>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.2.1.</w:t>
      </w:r>
      <w:r>
        <w:rPr>
          <w:rFonts w:hint="eastAsia"/>
          <w:b w:val="0"/>
          <w:bCs/>
          <w:color w:val="000000"/>
          <w:sz w:val="24"/>
          <w:u w:val="none"/>
          <w:lang w:val="en-US" w:eastAsia="zh-CN"/>
        </w:rPr>
        <w:t>1</w:t>
      </w:r>
      <w:r>
        <w:rPr>
          <w:b w:val="0"/>
          <w:bCs/>
          <w:color w:val="000000"/>
          <w:sz w:val="24"/>
          <w:u w:val="none"/>
        </w:rPr>
        <w:t xml:space="preserve"> 大气污染物地面浓度预测与评价</w:t>
      </w:r>
    </w:p>
    <w:p>
      <w:pPr>
        <w:spacing w:line="520" w:lineRule="exact"/>
        <w:ind w:firstLine="480"/>
        <w:rPr>
          <w:b w:val="0"/>
          <w:bCs/>
          <w:sz w:val="24"/>
          <w:szCs w:val="28"/>
          <w:u w:val="none"/>
        </w:rPr>
      </w:pPr>
      <w:r>
        <w:rPr>
          <w:rFonts w:hint="eastAsia"/>
          <w:b w:val="0"/>
          <w:bCs/>
          <w:sz w:val="24"/>
          <w:szCs w:val="28"/>
          <w:u w:val="none"/>
          <w:lang w:val="en-US" w:eastAsia="zh-CN"/>
        </w:rPr>
        <w:t>1、</w:t>
      </w:r>
      <w:r>
        <w:rPr>
          <w:b w:val="0"/>
          <w:bCs/>
          <w:sz w:val="24"/>
          <w:szCs w:val="28"/>
          <w:u w:val="none"/>
        </w:rPr>
        <w:t>预测方法</w:t>
      </w:r>
    </w:p>
    <w:p>
      <w:pPr>
        <w:spacing w:line="520" w:lineRule="exact"/>
        <w:ind w:firstLine="480"/>
        <w:rPr>
          <w:b w:val="0"/>
          <w:bCs/>
          <w:sz w:val="24"/>
          <w:szCs w:val="28"/>
          <w:u w:val="none"/>
        </w:rPr>
      </w:pPr>
      <w:r>
        <w:rPr>
          <w:b w:val="0"/>
          <w:bCs/>
          <w:sz w:val="24"/>
          <w:szCs w:val="28"/>
          <w:u w:val="none"/>
        </w:rPr>
        <w:t>根据《环境影响评价技术导则》HJT2.2-2018对二级评价要求，采用《环境影响评价技术导则-大气环境》（HJ2.2-2018）推荐的AERSCREEN模式算出的最大地面浓度。</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2</w:t>
      </w:r>
      <w:r>
        <w:rPr>
          <w:b w:val="0"/>
          <w:bCs/>
          <w:color w:val="000000"/>
          <w:sz w:val="24"/>
          <w:u w:val="none"/>
        </w:rPr>
        <w:t>、预测因子</w:t>
      </w:r>
    </w:p>
    <w:p>
      <w:pPr>
        <w:adjustRightInd w:val="0"/>
        <w:snapToGrid w:val="0"/>
        <w:spacing w:line="500" w:lineRule="exact"/>
        <w:ind w:firstLine="480" w:firstLineChars="200"/>
        <w:rPr>
          <w:b w:val="0"/>
          <w:bCs/>
          <w:color w:val="000000"/>
          <w:sz w:val="24"/>
          <w:u w:val="none"/>
        </w:rPr>
      </w:pPr>
      <w:r>
        <w:rPr>
          <w:b w:val="0"/>
          <w:bCs/>
          <w:color w:val="000000"/>
          <w:sz w:val="24"/>
          <w:u w:val="none"/>
        </w:rPr>
        <w:t>根据拟建项目污染物排放特征，选取SO</w:t>
      </w:r>
      <w:r>
        <w:rPr>
          <w:b w:val="0"/>
          <w:bCs/>
          <w:color w:val="000000"/>
          <w:sz w:val="24"/>
          <w:u w:val="none"/>
          <w:vertAlign w:val="subscript"/>
        </w:rPr>
        <w:t>2</w:t>
      </w:r>
      <w:r>
        <w:rPr>
          <w:b w:val="0"/>
          <w:bCs/>
          <w:color w:val="000000"/>
          <w:sz w:val="24"/>
          <w:u w:val="none"/>
        </w:rPr>
        <w:t>、NO</w:t>
      </w:r>
      <w:r>
        <w:rPr>
          <w:b w:val="0"/>
          <w:bCs/>
          <w:color w:val="000000"/>
          <w:sz w:val="24"/>
          <w:u w:val="none"/>
          <w:vertAlign w:val="subscript"/>
        </w:rPr>
        <w:t>2</w:t>
      </w:r>
      <w:r>
        <w:rPr>
          <w:b w:val="0"/>
          <w:bCs/>
          <w:color w:val="000000"/>
          <w:sz w:val="24"/>
          <w:u w:val="none"/>
        </w:rPr>
        <w:t>、H</w:t>
      </w:r>
      <w:r>
        <w:rPr>
          <w:b w:val="0"/>
          <w:bCs/>
          <w:color w:val="000000"/>
          <w:sz w:val="24"/>
          <w:u w:val="none"/>
          <w:vertAlign w:val="subscript"/>
        </w:rPr>
        <w:t>2</w:t>
      </w:r>
      <w:r>
        <w:rPr>
          <w:b w:val="0"/>
          <w:bCs/>
          <w:color w:val="000000"/>
          <w:sz w:val="24"/>
          <w:u w:val="none"/>
        </w:rPr>
        <w:t>S和NH</w:t>
      </w:r>
      <w:r>
        <w:rPr>
          <w:b w:val="0"/>
          <w:bCs/>
          <w:color w:val="000000"/>
          <w:sz w:val="24"/>
          <w:u w:val="none"/>
          <w:vertAlign w:val="subscript"/>
        </w:rPr>
        <w:t>3</w:t>
      </w:r>
      <w:r>
        <w:rPr>
          <w:b w:val="0"/>
          <w:bCs/>
          <w:color w:val="000000"/>
          <w:sz w:val="24"/>
          <w:u w:val="none"/>
        </w:rPr>
        <w:t>作为本次评价的预测评价因子。</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3</w:t>
      </w:r>
      <w:r>
        <w:rPr>
          <w:b w:val="0"/>
          <w:bCs/>
          <w:color w:val="000000"/>
          <w:sz w:val="24"/>
          <w:u w:val="none"/>
        </w:rPr>
        <w:t>、评价标准</w:t>
      </w:r>
    </w:p>
    <w:p>
      <w:pPr>
        <w:spacing w:line="500" w:lineRule="exact"/>
        <w:ind w:firstLine="480" w:firstLineChars="200"/>
        <w:rPr>
          <w:b w:val="0"/>
          <w:bCs/>
          <w:color w:val="000000"/>
          <w:sz w:val="24"/>
          <w:szCs w:val="22"/>
          <w:u w:val="none"/>
        </w:rPr>
      </w:pPr>
      <w:r>
        <w:rPr>
          <w:b w:val="0"/>
          <w:bCs/>
          <w:color w:val="000000"/>
          <w:sz w:val="24"/>
          <w:szCs w:val="22"/>
          <w:u w:val="none"/>
        </w:rPr>
        <w:t>本次评价因子执行SO</w:t>
      </w:r>
      <w:r>
        <w:rPr>
          <w:b w:val="0"/>
          <w:bCs/>
          <w:color w:val="000000"/>
          <w:sz w:val="24"/>
          <w:szCs w:val="22"/>
          <w:u w:val="none"/>
          <w:vertAlign w:val="subscript"/>
        </w:rPr>
        <w:t>2</w:t>
      </w:r>
      <w:r>
        <w:rPr>
          <w:b w:val="0"/>
          <w:bCs/>
          <w:color w:val="000000"/>
          <w:sz w:val="24"/>
          <w:szCs w:val="22"/>
          <w:u w:val="none"/>
        </w:rPr>
        <w:t>、NO</w:t>
      </w:r>
      <w:r>
        <w:rPr>
          <w:b w:val="0"/>
          <w:bCs/>
          <w:color w:val="000000"/>
          <w:sz w:val="24"/>
          <w:szCs w:val="22"/>
          <w:u w:val="none"/>
          <w:vertAlign w:val="subscript"/>
        </w:rPr>
        <w:t>2</w:t>
      </w:r>
      <w:r>
        <w:rPr>
          <w:b w:val="0"/>
          <w:bCs/>
          <w:color w:val="000000"/>
          <w:sz w:val="24"/>
          <w:szCs w:val="22"/>
          <w:u w:val="none"/>
        </w:rPr>
        <w:t>执行《环境空气质量标准》（GB3095-2012）二级标准浓度限值，</w:t>
      </w:r>
      <w:r>
        <w:rPr>
          <w:b w:val="0"/>
          <w:bCs/>
          <w:color w:val="000000"/>
          <w:sz w:val="24"/>
          <w:u w:val="none"/>
        </w:rPr>
        <w:t>H</w:t>
      </w:r>
      <w:r>
        <w:rPr>
          <w:b w:val="0"/>
          <w:bCs/>
          <w:color w:val="000000"/>
          <w:sz w:val="24"/>
          <w:u w:val="none"/>
          <w:vertAlign w:val="subscript"/>
        </w:rPr>
        <w:t>2</w:t>
      </w:r>
      <w:r>
        <w:rPr>
          <w:b w:val="0"/>
          <w:bCs/>
          <w:color w:val="000000"/>
          <w:sz w:val="24"/>
          <w:u w:val="none"/>
        </w:rPr>
        <w:t>S、NH</w:t>
      </w:r>
      <w:r>
        <w:rPr>
          <w:b w:val="0"/>
          <w:bCs/>
          <w:color w:val="000000"/>
          <w:sz w:val="24"/>
          <w:u w:val="none"/>
          <w:vertAlign w:val="subscript"/>
        </w:rPr>
        <w:t>3</w:t>
      </w:r>
      <w:r>
        <w:rPr>
          <w:b w:val="0"/>
          <w:bCs/>
          <w:color w:val="000000"/>
          <w:sz w:val="24"/>
          <w:szCs w:val="22"/>
          <w:u w:val="none"/>
        </w:rPr>
        <w:t>执行</w:t>
      </w:r>
      <w:r>
        <w:rPr>
          <w:rFonts w:hint="eastAsia"/>
          <w:b w:val="0"/>
          <w:bCs/>
          <w:color w:val="000000"/>
          <w:sz w:val="24"/>
          <w:szCs w:val="22"/>
          <w:u w:val="none"/>
          <w:lang w:eastAsia="zh-CN"/>
        </w:rPr>
        <w:t>《环境影响评价技术导则 大气环境（HJ2.2-2018）》中附录D</w:t>
      </w:r>
      <w:r>
        <w:rPr>
          <w:b w:val="0"/>
          <w:bCs/>
          <w:color w:val="000000"/>
          <w:sz w:val="24"/>
          <w:szCs w:val="22"/>
          <w:u w:val="none"/>
        </w:rPr>
        <w:t>中“居住区大气中有害物质的最高容许浓度”，具体评价标准见表</w:t>
      </w:r>
      <w:r>
        <w:rPr>
          <w:rFonts w:hint="eastAsia"/>
          <w:b w:val="0"/>
          <w:bCs/>
          <w:color w:val="000000"/>
          <w:sz w:val="24"/>
          <w:szCs w:val="22"/>
          <w:u w:val="none"/>
          <w:lang w:val="en-US" w:eastAsia="zh-CN"/>
        </w:rPr>
        <w:t>4.2-1</w:t>
      </w:r>
      <w:r>
        <w:rPr>
          <w:b w:val="0"/>
          <w:bCs/>
          <w:color w:val="000000"/>
          <w:sz w:val="24"/>
          <w:szCs w:val="22"/>
          <w:u w:val="none"/>
        </w:rPr>
        <w:t>。</w:t>
      </w:r>
    </w:p>
    <w:p>
      <w:pPr>
        <w:spacing w:after="120" w:line="500" w:lineRule="exact"/>
        <w:ind w:firstLine="422"/>
        <w:jc w:val="center"/>
        <w:rPr>
          <w:b w:val="0"/>
          <w:bCs/>
          <w:color w:val="000000"/>
          <w:szCs w:val="21"/>
          <w:u w:val="none"/>
        </w:rPr>
      </w:pPr>
      <w:r>
        <w:rPr>
          <w:b/>
          <w:bCs w:val="0"/>
          <w:color w:val="000000"/>
          <w:szCs w:val="21"/>
          <w:u w:val="none"/>
        </w:rPr>
        <w:t>表</w:t>
      </w:r>
      <w:r>
        <w:rPr>
          <w:rFonts w:hint="eastAsia"/>
          <w:b/>
          <w:bCs w:val="0"/>
          <w:color w:val="000000"/>
          <w:szCs w:val="21"/>
          <w:u w:val="none"/>
          <w:lang w:val="en-US" w:eastAsia="zh-CN"/>
        </w:rPr>
        <w:t>4.2-1</w:t>
      </w:r>
      <w:r>
        <w:rPr>
          <w:b/>
          <w:bCs w:val="0"/>
          <w:color w:val="000000"/>
          <w:szCs w:val="21"/>
          <w:u w:val="none"/>
        </w:rPr>
        <w:t xml:space="preserve">   评价标准</w:t>
      </w:r>
      <w:r>
        <w:rPr>
          <w:b w:val="0"/>
          <w:bCs/>
          <w:color w:val="000000"/>
          <w:szCs w:val="21"/>
          <w:u w:val="none"/>
        </w:rPr>
        <w:t xml:space="preserve">     单位：mg/m</w:t>
      </w:r>
      <w:r>
        <w:rPr>
          <w:b w:val="0"/>
          <w:bCs/>
          <w:color w:val="000000"/>
          <w:szCs w:val="21"/>
          <w:u w:val="none"/>
          <w:vertAlign w:val="superscript"/>
        </w:rPr>
        <w:t>3</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1"/>
        <w:gridCol w:w="1648"/>
        <w:gridCol w:w="2181"/>
        <w:gridCol w:w="2179"/>
        <w:gridCol w:w="2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val="0"/>
                <w:bCs/>
                <w:color w:val="000000"/>
                <w:szCs w:val="21"/>
                <w:u w:val="none"/>
              </w:rPr>
            </w:pPr>
            <w:r>
              <w:rPr>
                <w:b w:val="0"/>
                <w:bCs/>
                <w:color w:val="000000"/>
                <w:szCs w:val="21"/>
                <w:u w:val="none"/>
              </w:rPr>
              <w:t>序号</w:t>
            </w:r>
          </w:p>
        </w:tc>
        <w:tc>
          <w:tcPr>
            <w:tcW w:w="1648" w:type="dxa"/>
            <w:vAlign w:val="center"/>
          </w:tcPr>
          <w:p>
            <w:pPr>
              <w:jc w:val="center"/>
              <w:rPr>
                <w:b w:val="0"/>
                <w:bCs/>
                <w:color w:val="000000"/>
                <w:szCs w:val="21"/>
                <w:u w:val="none"/>
              </w:rPr>
            </w:pPr>
            <w:r>
              <w:rPr>
                <w:b w:val="0"/>
                <w:bCs/>
                <w:color w:val="000000"/>
                <w:szCs w:val="21"/>
                <w:u w:val="none"/>
              </w:rPr>
              <w:t>评价因子</w:t>
            </w:r>
          </w:p>
        </w:tc>
        <w:tc>
          <w:tcPr>
            <w:tcW w:w="2181" w:type="dxa"/>
            <w:vAlign w:val="center"/>
          </w:tcPr>
          <w:p>
            <w:pPr>
              <w:jc w:val="center"/>
              <w:rPr>
                <w:b w:val="0"/>
                <w:bCs/>
                <w:color w:val="000000"/>
                <w:szCs w:val="21"/>
                <w:u w:val="none"/>
              </w:rPr>
            </w:pPr>
            <w:r>
              <w:rPr>
                <w:b w:val="0"/>
                <w:bCs/>
                <w:color w:val="000000"/>
                <w:szCs w:val="21"/>
                <w:u w:val="none"/>
              </w:rPr>
              <w:t>小时值/一次值</w:t>
            </w:r>
          </w:p>
        </w:tc>
        <w:tc>
          <w:tcPr>
            <w:tcW w:w="2179" w:type="dxa"/>
            <w:vAlign w:val="center"/>
          </w:tcPr>
          <w:p>
            <w:pPr>
              <w:jc w:val="center"/>
              <w:rPr>
                <w:b w:val="0"/>
                <w:bCs/>
                <w:color w:val="000000"/>
                <w:szCs w:val="21"/>
                <w:u w:val="none"/>
              </w:rPr>
            </w:pPr>
            <w:r>
              <w:rPr>
                <w:b w:val="0"/>
                <w:bCs/>
                <w:color w:val="000000"/>
                <w:szCs w:val="21"/>
                <w:u w:val="none"/>
              </w:rPr>
              <w:t>日均值</w:t>
            </w:r>
          </w:p>
        </w:tc>
        <w:tc>
          <w:tcPr>
            <w:tcW w:w="2177" w:type="dxa"/>
            <w:vAlign w:val="center"/>
          </w:tcPr>
          <w:p>
            <w:pPr>
              <w:jc w:val="center"/>
              <w:rPr>
                <w:b w:val="0"/>
                <w:bCs/>
                <w:color w:val="000000"/>
                <w:szCs w:val="21"/>
                <w:u w:val="none"/>
              </w:rPr>
            </w:pPr>
            <w:r>
              <w:rPr>
                <w:b w:val="0"/>
                <w:bCs/>
                <w:color w:val="000000"/>
                <w:szCs w:val="21"/>
                <w:u w:val="none"/>
              </w:rPr>
              <w:t>年均值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val="0"/>
                <w:bCs/>
                <w:color w:val="000000"/>
                <w:szCs w:val="21"/>
                <w:u w:val="none"/>
              </w:rPr>
            </w:pPr>
            <w:r>
              <w:rPr>
                <w:b w:val="0"/>
                <w:bCs/>
                <w:color w:val="000000"/>
                <w:szCs w:val="21"/>
                <w:u w:val="none"/>
              </w:rPr>
              <w:t>1</w:t>
            </w:r>
          </w:p>
        </w:tc>
        <w:tc>
          <w:tcPr>
            <w:tcW w:w="1648" w:type="dxa"/>
            <w:vAlign w:val="center"/>
          </w:tcPr>
          <w:p>
            <w:pPr>
              <w:jc w:val="center"/>
              <w:rPr>
                <w:b w:val="0"/>
                <w:bCs/>
                <w:color w:val="000000"/>
                <w:szCs w:val="21"/>
                <w:u w:val="none"/>
              </w:rPr>
            </w:pPr>
            <w:r>
              <w:rPr>
                <w:b w:val="0"/>
                <w:bCs/>
                <w:color w:val="000000"/>
                <w:szCs w:val="21"/>
                <w:u w:val="none"/>
              </w:rPr>
              <w:t>SO</w:t>
            </w:r>
            <w:r>
              <w:rPr>
                <w:b w:val="0"/>
                <w:bCs/>
                <w:color w:val="000000"/>
                <w:szCs w:val="21"/>
                <w:u w:val="none"/>
                <w:vertAlign w:val="subscript"/>
              </w:rPr>
              <w:t>2</w:t>
            </w:r>
          </w:p>
        </w:tc>
        <w:tc>
          <w:tcPr>
            <w:tcW w:w="2181" w:type="dxa"/>
            <w:vAlign w:val="center"/>
          </w:tcPr>
          <w:p>
            <w:pPr>
              <w:jc w:val="center"/>
              <w:rPr>
                <w:b w:val="0"/>
                <w:bCs/>
                <w:color w:val="000000"/>
                <w:szCs w:val="21"/>
                <w:u w:val="none"/>
              </w:rPr>
            </w:pPr>
            <w:r>
              <w:rPr>
                <w:b w:val="0"/>
                <w:bCs/>
                <w:color w:val="000000"/>
                <w:szCs w:val="21"/>
                <w:u w:val="none"/>
              </w:rPr>
              <w:t>0.50</w:t>
            </w:r>
          </w:p>
        </w:tc>
        <w:tc>
          <w:tcPr>
            <w:tcW w:w="2179" w:type="dxa"/>
            <w:vAlign w:val="center"/>
          </w:tcPr>
          <w:p>
            <w:pPr>
              <w:jc w:val="center"/>
              <w:rPr>
                <w:b w:val="0"/>
                <w:bCs/>
                <w:color w:val="000000"/>
                <w:szCs w:val="21"/>
                <w:u w:val="none"/>
              </w:rPr>
            </w:pPr>
            <w:r>
              <w:rPr>
                <w:b w:val="0"/>
                <w:bCs/>
                <w:color w:val="000000"/>
                <w:szCs w:val="21"/>
                <w:u w:val="none"/>
              </w:rPr>
              <w:t>0.15</w:t>
            </w:r>
          </w:p>
        </w:tc>
        <w:tc>
          <w:tcPr>
            <w:tcW w:w="2177" w:type="dxa"/>
            <w:vAlign w:val="center"/>
          </w:tcPr>
          <w:p>
            <w:pPr>
              <w:jc w:val="center"/>
              <w:rPr>
                <w:b w:val="0"/>
                <w:bCs/>
                <w:color w:val="000000"/>
                <w:szCs w:val="21"/>
                <w:u w:val="none"/>
              </w:rPr>
            </w:pPr>
            <w:r>
              <w:rPr>
                <w:b w:val="0"/>
                <w:bCs/>
                <w:color w:val="000000"/>
                <w:szCs w:val="21"/>
                <w:u w:val="none"/>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val="0"/>
                <w:bCs/>
                <w:color w:val="000000"/>
                <w:szCs w:val="21"/>
                <w:u w:val="none"/>
              </w:rPr>
            </w:pPr>
            <w:r>
              <w:rPr>
                <w:b w:val="0"/>
                <w:bCs/>
                <w:color w:val="000000"/>
                <w:szCs w:val="21"/>
                <w:u w:val="none"/>
              </w:rPr>
              <w:t>2</w:t>
            </w:r>
          </w:p>
        </w:tc>
        <w:tc>
          <w:tcPr>
            <w:tcW w:w="1648" w:type="dxa"/>
            <w:vAlign w:val="center"/>
          </w:tcPr>
          <w:p>
            <w:pPr>
              <w:spacing w:line="300" w:lineRule="exact"/>
              <w:jc w:val="center"/>
              <w:rPr>
                <w:b w:val="0"/>
                <w:bCs/>
                <w:color w:val="000000"/>
                <w:szCs w:val="21"/>
                <w:u w:val="none"/>
                <w:vertAlign w:val="subscript"/>
              </w:rPr>
            </w:pPr>
            <w:r>
              <w:rPr>
                <w:b w:val="0"/>
                <w:bCs/>
                <w:color w:val="000000"/>
                <w:szCs w:val="21"/>
                <w:u w:val="none"/>
              </w:rPr>
              <w:t>NO</w:t>
            </w:r>
            <w:r>
              <w:rPr>
                <w:b w:val="0"/>
                <w:bCs/>
                <w:color w:val="000000"/>
                <w:szCs w:val="21"/>
                <w:u w:val="none"/>
                <w:vertAlign w:val="subscript"/>
              </w:rPr>
              <w:t>2</w:t>
            </w:r>
          </w:p>
        </w:tc>
        <w:tc>
          <w:tcPr>
            <w:tcW w:w="2181" w:type="dxa"/>
            <w:vAlign w:val="center"/>
          </w:tcPr>
          <w:p>
            <w:pPr>
              <w:spacing w:line="300" w:lineRule="exact"/>
              <w:jc w:val="center"/>
              <w:rPr>
                <w:b w:val="0"/>
                <w:bCs/>
                <w:color w:val="000000"/>
                <w:szCs w:val="21"/>
                <w:u w:val="none"/>
              </w:rPr>
            </w:pPr>
            <w:r>
              <w:rPr>
                <w:b w:val="0"/>
                <w:bCs/>
                <w:color w:val="000000"/>
                <w:szCs w:val="21"/>
                <w:u w:val="none"/>
              </w:rPr>
              <w:t>0.20</w:t>
            </w:r>
          </w:p>
        </w:tc>
        <w:tc>
          <w:tcPr>
            <w:tcW w:w="2179" w:type="dxa"/>
            <w:vAlign w:val="center"/>
          </w:tcPr>
          <w:p>
            <w:pPr>
              <w:spacing w:line="300" w:lineRule="exact"/>
              <w:jc w:val="center"/>
              <w:rPr>
                <w:b w:val="0"/>
                <w:bCs/>
                <w:color w:val="000000"/>
                <w:szCs w:val="21"/>
                <w:u w:val="none"/>
              </w:rPr>
            </w:pPr>
            <w:r>
              <w:rPr>
                <w:b w:val="0"/>
                <w:bCs/>
                <w:color w:val="000000"/>
                <w:szCs w:val="21"/>
                <w:u w:val="none"/>
              </w:rPr>
              <w:t>0.08</w:t>
            </w:r>
          </w:p>
        </w:tc>
        <w:tc>
          <w:tcPr>
            <w:tcW w:w="2177" w:type="dxa"/>
            <w:vAlign w:val="center"/>
          </w:tcPr>
          <w:p>
            <w:pPr>
              <w:spacing w:line="300" w:lineRule="exact"/>
              <w:jc w:val="center"/>
              <w:rPr>
                <w:b w:val="0"/>
                <w:bCs/>
                <w:color w:val="000000"/>
                <w:szCs w:val="21"/>
                <w:u w:val="none"/>
              </w:rPr>
            </w:pPr>
            <w:r>
              <w:rPr>
                <w:b w:val="0"/>
                <w:bCs/>
                <w:color w:val="000000"/>
                <w:szCs w:val="21"/>
                <w:u w:val="non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val="0"/>
                <w:bCs/>
                <w:color w:val="000000"/>
                <w:szCs w:val="21"/>
                <w:u w:val="none"/>
              </w:rPr>
            </w:pPr>
            <w:r>
              <w:rPr>
                <w:b w:val="0"/>
                <w:bCs/>
                <w:color w:val="000000"/>
                <w:szCs w:val="21"/>
                <w:u w:val="none"/>
              </w:rPr>
              <w:t>3</w:t>
            </w:r>
          </w:p>
        </w:tc>
        <w:tc>
          <w:tcPr>
            <w:tcW w:w="1648" w:type="dxa"/>
            <w:vAlign w:val="center"/>
          </w:tcPr>
          <w:p>
            <w:pPr>
              <w:jc w:val="center"/>
              <w:rPr>
                <w:b w:val="0"/>
                <w:bCs/>
                <w:color w:val="000000"/>
                <w:szCs w:val="21"/>
                <w:u w:val="none"/>
              </w:rPr>
            </w:pPr>
            <w:r>
              <w:rPr>
                <w:b w:val="0"/>
                <w:bCs/>
                <w:color w:val="000000"/>
                <w:szCs w:val="21"/>
                <w:u w:val="none"/>
              </w:rPr>
              <w:t>H</w:t>
            </w:r>
            <w:r>
              <w:rPr>
                <w:b w:val="0"/>
                <w:bCs/>
                <w:color w:val="000000"/>
                <w:szCs w:val="21"/>
                <w:u w:val="none"/>
                <w:vertAlign w:val="subscript"/>
              </w:rPr>
              <w:t>2</w:t>
            </w:r>
            <w:r>
              <w:rPr>
                <w:b w:val="0"/>
                <w:bCs/>
                <w:color w:val="000000"/>
                <w:szCs w:val="21"/>
                <w:u w:val="none"/>
              </w:rPr>
              <w:t>S</w:t>
            </w:r>
          </w:p>
        </w:tc>
        <w:tc>
          <w:tcPr>
            <w:tcW w:w="2181" w:type="dxa"/>
            <w:vAlign w:val="center"/>
          </w:tcPr>
          <w:p>
            <w:pPr>
              <w:jc w:val="center"/>
              <w:rPr>
                <w:b w:val="0"/>
                <w:bCs/>
                <w:color w:val="000000"/>
                <w:szCs w:val="21"/>
                <w:u w:val="none"/>
              </w:rPr>
            </w:pPr>
            <w:r>
              <w:rPr>
                <w:b w:val="0"/>
                <w:bCs/>
                <w:color w:val="000000"/>
                <w:szCs w:val="21"/>
                <w:u w:val="none"/>
              </w:rPr>
              <w:t>0.01</w:t>
            </w:r>
          </w:p>
        </w:tc>
        <w:tc>
          <w:tcPr>
            <w:tcW w:w="2179" w:type="dxa"/>
            <w:vAlign w:val="center"/>
          </w:tcPr>
          <w:p>
            <w:pPr>
              <w:jc w:val="center"/>
              <w:rPr>
                <w:b w:val="0"/>
                <w:bCs/>
                <w:color w:val="000000"/>
                <w:szCs w:val="21"/>
                <w:u w:val="none"/>
              </w:rPr>
            </w:pPr>
            <w:r>
              <w:rPr>
                <w:b w:val="0"/>
                <w:bCs/>
                <w:color w:val="000000"/>
                <w:szCs w:val="21"/>
                <w:u w:val="none"/>
              </w:rPr>
              <w:t>/</w:t>
            </w:r>
          </w:p>
        </w:tc>
        <w:tc>
          <w:tcPr>
            <w:tcW w:w="2177" w:type="dxa"/>
            <w:vAlign w:val="center"/>
          </w:tcPr>
          <w:p>
            <w:pPr>
              <w:jc w:val="center"/>
              <w:rPr>
                <w:b w:val="0"/>
                <w:bCs/>
                <w:color w:val="000000"/>
                <w:szCs w:val="21"/>
                <w:u w:val="none"/>
              </w:rPr>
            </w:pPr>
            <w:r>
              <w:rPr>
                <w:b w:val="0"/>
                <w:bCs/>
                <w:color w:val="00000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val="0"/>
                <w:bCs/>
                <w:color w:val="000000"/>
                <w:szCs w:val="21"/>
                <w:u w:val="none"/>
              </w:rPr>
            </w:pPr>
            <w:r>
              <w:rPr>
                <w:b w:val="0"/>
                <w:bCs/>
                <w:color w:val="000000"/>
                <w:szCs w:val="21"/>
                <w:u w:val="none"/>
              </w:rPr>
              <w:t>4</w:t>
            </w:r>
          </w:p>
        </w:tc>
        <w:tc>
          <w:tcPr>
            <w:tcW w:w="1648" w:type="dxa"/>
            <w:vAlign w:val="center"/>
          </w:tcPr>
          <w:p>
            <w:pPr>
              <w:jc w:val="center"/>
              <w:rPr>
                <w:b w:val="0"/>
                <w:bCs/>
                <w:color w:val="000000"/>
                <w:szCs w:val="21"/>
                <w:u w:val="none"/>
              </w:rPr>
            </w:pPr>
            <w:r>
              <w:rPr>
                <w:b w:val="0"/>
                <w:bCs/>
                <w:color w:val="000000"/>
                <w:szCs w:val="21"/>
                <w:u w:val="none"/>
              </w:rPr>
              <w:t>NH</w:t>
            </w:r>
            <w:r>
              <w:rPr>
                <w:b w:val="0"/>
                <w:bCs/>
                <w:color w:val="000000"/>
                <w:szCs w:val="21"/>
                <w:u w:val="none"/>
                <w:vertAlign w:val="subscript"/>
              </w:rPr>
              <w:t>3</w:t>
            </w:r>
          </w:p>
        </w:tc>
        <w:tc>
          <w:tcPr>
            <w:tcW w:w="2181" w:type="dxa"/>
            <w:vAlign w:val="center"/>
          </w:tcPr>
          <w:p>
            <w:pPr>
              <w:jc w:val="center"/>
              <w:rPr>
                <w:b w:val="0"/>
                <w:bCs/>
                <w:color w:val="000000"/>
                <w:szCs w:val="21"/>
                <w:u w:val="none"/>
              </w:rPr>
            </w:pPr>
            <w:r>
              <w:rPr>
                <w:b w:val="0"/>
                <w:bCs/>
                <w:color w:val="000000"/>
                <w:szCs w:val="21"/>
                <w:u w:val="none"/>
              </w:rPr>
              <w:t>0.20</w:t>
            </w:r>
          </w:p>
        </w:tc>
        <w:tc>
          <w:tcPr>
            <w:tcW w:w="2179" w:type="dxa"/>
            <w:vAlign w:val="center"/>
          </w:tcPr>
          <w:p>
            <w:pPr>
              <w:jc w:val="center"/>
              <w:rPr>
                <w:b w:val="0"/>
                <w:bCs/>
                <w:color w:val="000000"/>
                <w:szCs w:val="21"/>
                <w:u w:val="none"/>
              </w:rPr>
            </w:pPr>
            <w:r>
              <w:rPr>
                <w:b w:val="0"/>
                <w:bCs/>
                <w:color w:val="000000"/>
                <w:szCs w:val="21"/>
                <w:u w:val="none"/>
              </w:rPr>
              <w:t>/</w:t>
            </w:r>
          </w:p>
        </w:tc>
        <w:tc>
          <w:tcPr>
            <w:tcW w:w="2177" w:type="dxa"/>
            <w:vAlign w:val="center"/>
          </w:tcPr>
          <w:p>
            <w:pPr>
              <w:jc w:val="center"/>
              <w:rPr>
                <w:b w:val="0"/>
                <w:bCs/>
                <w:color w:val="000000"/>
                <w:szCs w:val="21"/>
                <w:u w:val="none"/>
              </w:rPr>
            </w:pPr>
            <w:r>
              <w:rPr>
                <w:b w:val="0"/>
                <w:bCs/>
                <w:color w:val="000000"/>
                <w:szCs w:val="21"/>
                <w:u w:val="none"/>
              </w:rPr>
              <w:t>/</w:t>
            </w:r>
          </w:p>
        </w:tc>
      </w:tr>
    </w:tbl>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4</w:t>
      </w:r>
      <w:r>
        <w:rPr>
          <w:b w:val="0"/>
          <w:bCs/>
          <w:color w:val="000000"/>
          <w:sz w:val="24"/>
          <w:u w:val="none"/>
        </w:rPr>
        <w:t>、本项目污染排放源强</w:t>
      </w:r>
    </w:p>
    <w:p>
      <w:pPr>
        <w:adjustRightInd w:val="0"/>
        <w:snapToGrid w:val="0"/>
        <w:spacing w:line="500" w:lineRule="exact"/>
        <w:ind w:firstLine="480" w:firstLineChars="200"/>
        <w:rPr>
          <w:b w:val="0"/>
          <w:bCs/>
          <w:color w:val="000000"/>
          <w:sz w:val="24"/>
          <w:u w:val="none"/>
        </w:rPr>
      </w:pPr>
      <w:r>
        <w:rPr>
          <w:b w:val="0"/>
          <w:bCs/>
          <w:color w:val="000000"/>
          <w:sz w:val="24"/>
          <w:u w:val="none"/>
        </w:rPr>
        <w:t>本次预测污染源情况见表</w:t>
      </w:r>
      <w:r>
        <w:rPr>
          <w:rFonts w:hint="eastAsia"/>
          <w:b w:val="0"/>
          <w:bCs/>
          <w:color w:val="000000"/>
          <w:sz w:val="24"/>
          <w:u w:val="none"/>
          <w:lang w:val="en-US" w:eastAsia="zh-CN"/>
        </w:rPr>
        <w:t>4.2-2</w:t>
      </w:r>
      <w:r>
        <w:rPr>
          <w:b w:val="0"/>
          <w:bCs/>
          <w:color w:val="000000"/>
          <w:sz w:val="24"/>
          <w:u w:val="none"/>
        </w:rPr>
        <w:t>。</w:t>
      </w:r>
    </w:p>
    <w:p>
      <w:pPr>
        <w:spacing w:after="120" w:line="500" w:lineRule="exact"/>
        <w:ind w:firstLine="422"/>
        <w:jc w:val="center"/>
        <w:rPr>
          <w:b/>
          <w:bCs w:val="0"/>
          <w:color w:val="000000"/>
          <w:szCs w:val="21"/>
          <w:u w:val="none"/>
        </w:rPr>
      </w:pPr>
      <w:r>
        <w:rPr>
          <w:b/>
          <w:bCs w:val="0"/>
          <w:color w:val="000000"/>
          <w:szCs w:val="21"/>
          <w:u w:val="none"/>
        </w:rPr>
        <w:t>表</w:t>
      </w:r>
      <w:r>
        <w:rPr>
          <w:rFonts w:hint="eastAsia"/>
          <w:b/>
          <w:bCs w:val="0"/>
          <w:color w:val="000000"/>
          <w:szCs w:val="21"/>
          <w:u w:val="none"/>
          <w:lang w:val="en-US" w:eastAsia="zh-CN"/>
        </w:rPr>
        <w:t xml:space="preserve">4.2-2  </w:t>
      </w:r>
      <w:r>
        <w:rPr>
          <w:b/>
          <w:bCs w:val="0"/>
          <w:color w:val="000000"/>
          <w:szCs w:val="21"/>
          <w:u w:val="none"/>
        </w:rPr>
        <w:t>项目污染物排放源强</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56"/>
        <w:gridCol w:w="975"/>
        <w:gridCol w:w="900"/>
        <w:gridCol w:w="1116"/>
        <w:gridCol w:w="977"/>
        <w:gridCol w:w="695"/>
        <w:gridCol w:w="277"/>
        <w:gridCol w:w="832"/>
        <w:gridCol w:w="9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39" w:type="dxa"/>
            <w:vMerge w:val="restart"/>
            <w:vAlign w:val="center"/>
          </w:tcPr>
          <w:p>
            <w:pPr>
              <w:adjustRightInd w:val="0"/>
              <w:snapToGrid w:val="0"/>
              <w:spacing w:line="240" w:lineRule="exact"/>
              <w:jc w:val="center"/>
              <w:rPr>
                <w:b w:val="0"/>
                <w:bCs/>
                <w:color w:val="000000"/>
                <w:szCs w:val="21"/>
                <w:u w:val="none"/>
              </w:rPr>
            </w:pPr>
            <w:r>
              <w:rPr>
                <w:b w:val="0"/>
                <w:bCs/>
                <w:color w:val="000000"/>
                <w:szCs w:val="21"/>
                <w:u w:val="none"/>
              </w:rPr>
              <w:t>点源</w:t>
            </w:r>
          </w:p>
        </w:tc>
        <w:tc>
          <w:tcPr>
            <w:tcW w:w="1256" w:type="dxa"/>
            <w:vMerge w:val="restart"/>
            <w:vAlign w:val="center"/>
          </w:tcPr>
          <w:p>
            <w:pPr>
              <w:spacing w:line="240" w:lineRule="exact"/>
              <w:jc w:val="center"/>
              <w:rPr>
                <w:b w:val="0"/>
                <w:bCs/>
                <w:color w:val="000000"/>
                <w:spacing w:val="-20"/>
                <w:szCs w:val="21"/>
                <w:u w:val="none"/>
              </w:rPr>
            </w:pPr>
            <w:r>
              <w:rPr>
                <w:b w:val="0"/>
                <w:bCs/>
                <w:color w:val="000000"/>
                <w:spacing w:val="-20"/>
                <w:szCs w:val="21"/>
                <w:u w:val="none"/>
              </w:rPr>
              <w:t>排气筒高度（m）</w:t>
            </w:r>
          </w:p>
        </w:tc>
        <w:tc>
          <w:tcPr>
            <w:tcW w:w="975" w:type="dxa"/>
            <w:vMerge w:val="restart"/>
            <w:vAlign w:val="center"/>
          </w:tcPr>
          <w:p>
            <w:pPr>
              <w:spacing w:line="240" w:lineRule="exact"/>
              <w:jc w:val="center"/>
              <w:rPr>
                <w:b w:val="0"/>
                <w:bCs/>
                <w:color w:val="000000"/>
                <w:spacing w:val="-20"/>
                <w:szCs w:val="21"/>
                <w:u w:val="none"/>
              </w:rPr>
            </w:pPr>
            <w:r>
              <w:rPr>
                <w:b w:val="0"/>
                <w:bCs/>
                <w:color w:val="000000"/>
                <w:spacing w:val="-20"/>
                <w:szCs w:val="21"/>
                <w:u w:val="none"/>
              </w:rPr>
              <w:t>排气筒内径（m）</w:t>
            </w:r>
          </w:p>
        </w:tc>
        <w:tc>
          <w:tcPr>
            <w:tcW w:w="900" w:type="dxa"/>
            <w:vMerge w:val="restart"/>
            <w:vAlign w:val="center"/>
          </w:tcPr>
          <w:p>
            <w:pPr>
              <w:spacing w:line="240" w:lineRule="exact"/>
              <w:jc w:val="center"/>
              <w:rPr>
                <w:b w:val="0"/>
                <w:bCs/>
                <w:color w:val="000000"/>
                <w:spacing w:val="-20"/>
                <w:szCs w:val="21"/>
                <w:u w:val="none"/>
              </w:rPr>
            </w:pPr>
            <w:r>
              <w:rPr>
                <w:b w:val="0"/>
                <w:bCs/>
                <w:color w:val="000000"/>
                <w:spacing w:val="-20"/>
                <w:szCs w:val="21"/>
                <w:u w:val="none"/>
              </w:rPr>
              <w:t>烟气量（m</w:t>
            </w:r>
            <w:r>
              <w:rPr>
                <w:b w:val="0"/>
                <w:bCs/>
                <w:color w:val="000000"/>
                <w:spacing w:val="-20"/>
                <w:szCs w:val="21"/>
                <w:u w:val="none"/>
                <w:vertAlign w:val="superscript"/>
              </w:rPr>
              <w:t>3</w:t>
            </w:r>
            <w:r>
              <w:rPr>
                <w:b w:val="0"/>
                <w:bCs/>
                <w:color w:val="000000"/>
                <w:spacing w:val="-20"/>
                <w:szCs w:val="21"/>
                <w:u w:val="none"/>
              </w:rPr>
              <w:t>/a）</w:t>
            </w:r>
          </w:p>
        </w:tc>
        <w:tc>
          <w:tcPr>
            <w:tcW w:w="1116" w:type="dxa"/>
            <w:vMerge w:val="restart"/>
            <w:vAlign w:val="center"/>
          </w:tcPr>
          <w:p>
            <w:pPr>
              <w:spacing w:line="240" w:lineRule="exact"/>
              <w:jc w:val="center"/>
              <w:rPr>
                <w:b w:val="0"/>
                <w:bCs/>
                <w:color w:val="000000"/>
                <w:szCs w:val="21"/>
                <w:u w:val="none"/>
              </w:rPr>
            </w:pPr>
            <w:r>
              <w:rPr>
                <w:b w:val="0"/>
                <w:bCs/>
                <w:color w:val="000000"/>
                <w:szCs w:val="21"/>
                <w:u w:val="none"/>
              </w:rPr>
              <w:t>烟气出口温度（</w:t>
            </w:r>
            <w:r>
              <w:rPr>
                <w:rFonts w:hint="eastAsia" w:ascii="宋体" w:hAnsi="宋体" w:cs="宋体"/>
                <w:b w:val="0"/>
                <w:bCs/>
                <w:color w:val="000000"/>
                <w:szCs w:val="21"/>
                <w:u w:val="none"/>
              </w:rPr>
              <w:t>℃</w:t>
            </w:r>
            <w:r>
              <w:rPr>
                <w:b w:val="0"/>
                <w:bCs/>
                <w:color w:val="000000"/>
                <w:szCs w:val="21"/>
                <w:u w:val="none"/>
              </w:rPr>
              <w:t>）</w:t>
            </w:r>
          </w:p>
        </w:tc>
        <w:tc>
          <w:tcPr>
            <w:tcW w:w="977" w:type="dxa"/>
            <w:vMerge w:val="restart"/>
            <w:vAlign w:val="center"/>
          </w:tcPr>
          <w:p>
            <w:pPr>
              <w:spacing w:line="240" w:lineRule="exact"/>
              <w:jc w:val="center"/>
              <w:rPr>
                <w:b w:val="0"/>
                <w:bCs/>
                <w:color w:val="000000"/>
                <w:szCs w:val="21"/>
                <w:u w:val="none"/>
              </w:rPr>
            </w:pPr>
            <w:r>
              <w:rPr>
                <w:b w:val="0"/>
                <w:bCs/>
                <w:color w:val="000000"/>
                <w:szCs w:val="21"/>
                <w:u w:val="none"/>
              </w:rPr>
              <w:t>年排放天数（d）</w:t>
            </w:r>
          </w:p>
        </w:tc>
        <w:tc>
          <w:tcPr>
            <w:tcW w:w="695" w:type="dxa"/>
            <w:vMerge w:val="restart"/>
            <w:vAlign w:val="center"/>
          </w:tcPr>
          <w:p>
            <w:pPr>
              <w:spacing w:line="240" w:lineRule="exact"/>
              <w:jc w:val="center"/>
              <w:rPr>
                <w:b w:val="0"/>
                <w:bCs/>
                <w:color w:val="000000"/>
                <w:szCs w:val="21"/>
                <w:u w:val="none"/>
              </w:rPr>
            </w:pPr>
            <w:r>
              <w:rPr>
                <w:b w:val="0"/>
                <w:bCs/>
                <w:color w:val="000000"/>
                <w:szCs w:val="21"/>
                <w:u w:val="none"/>
              </w:rPr>
              <w:t>排放工况</w:t>
            </w:r>
          </w:p>
        </w:tc>
        <w:tc>
          <w:tcPr>
            <w:tcW w:w="2088" w:type="dxa"/>
            <w:gridSpan w:val="3"/>
            <w:vAlign w:val="center"/>
          </w:tcPr>
          <w:p>
            <w:pPr>
              <w:adjustRightInd w:val="0"/>
              <w:snapToGrid w:val="0"/>
              <w:spacing w:line="240" w:lineRule="exact"/>
              <w:jc w:val="center"/>
              <w:rPr>
                <w:b w:val="0"/>
                <w:bCs/>
                <w:color w:val="000000"/>
                <w:szCs w:val="21"/>
                <w:u w:val="none"/>
              </w:rPr>
            </w:pPr>
            <w:r>
              <w:rPr>
                <w:b w:val="0"/>
                <w:bCs/>
                <w:color w:val="000000"/>
                <w:szCs w:val="21"/>
                <w:u w:val="none"/>
              </w:rPr>
              <w:t>污染物排放量(t/a)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1256"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975"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900"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1116"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977"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695" w:type="dxa"/>
            <w:vMerge w:val="continue"/>
            <w:vAlign w:val="center"/>
          </w:tcPr>
          <w:p>
            <w:pPr>
              <w:tabs>
                <w:tab w:val="center" w:pos="618"/>
              </w:tabs>
              <w:adjustRightInd w:val="0"/>
              <w:snapToGrid w:val="0"/>
              <w:spacing w:line="240" w:lineRule="exact"/>
              <w:jc w:val="center"/>
              <w:rPr>
                <w:b w:val="0"/>
                <w:bCs/>
                <w:color w:val="000000"/>
                <w:szCs w:val="21"/>
                <w:u w:val="none"/>
              </w:rPr>
            </w:pPr>
          </w:p>
        </w:tc>
        <w:tc>
          <w:tcPr>
            <w:tcW w:w="1109" w:type="dxa"/>
            <w:gridSpan w:val="2"/>
            <w:vAlign w:val="center"/>
          </w:tcPr>
          <w:p>
            <w:pPr>
              <w:adjustRightInd w:val="0"/>
              <w:snapToGrid w:val="0"/>
              <w:spacing w:line="240" w:lineRule="exact"/>
              <w:jc w:val="center"/>
              <w:rPr>
                <w:b w:val="0"/>
                <w:bCs/>
                <w:color w:val="000000"/>
                <w:szCs w:val="21"/>
                <w:u w:val="none"/>
              </w:rPr>
            </w:pPr>
            <w:r>
              <w:rPr>
                <w:b w:val="0"/>
                <w:bCs/>
                <w:color w:val="000000"/>
                <w:szCs w:val="21"/>
                <w:u w:val="none"/>
              </w:rPr>
              <w:t>SO</w:t>
            </w:r>
            <w:r>
              <w:rPr>
                <w:b w:val="0"/>
                <w:bCs/>
                <w:color w:val="000000"/>
                <w:szCs w:val="21"/>
                <w:u w:val="none"/>
                <w:vertAlign w:val="subscript"/>
              </w:rPr>
              <w:t>2</w:t>
            </w:r>
          </w:p>
        </w:tc>
        <w:tc>
          <w:tcPr>
            <w:tcW w:w="979" w:type="dxa"/>
            <w:vAlign w:val="center"/>
          </w:tcPr>
          <w:p>
            <w:pPr>
              <w:adjustRightInd w:val="0"/>
              <w:snapToGrid w:val="0"/>
              <w:spacing w:line="240" w:lineRule="exact"/>
              <w:jc w:val="center"/>
              <w:rPr>
                <w:b w:val="0"/>
                <w:bCs/>
                <w:color w:val="000000"/>
                <w:szCs w:val="21"/>
                <w:u w:val="none"/>
              </w:rPr>
            </w:pPr>
            <w:r>
              <w:rPr>
                <w:b w:val="0"/>
                <w:bCs/>
                <w:color w:val="000000"/>
                <w:szCs w:val="21"/>
                <w:u w:val="none"/>
              </w:rPr>
              <w:t>NO</w:t>
            </w:r>
            <w:r>
              <w:rPr>
                <w:b w:val="0"/>
                <w:bCs/>
                <w:color w:val="000000"/>
                <w:szCs w:val="21"/>
                <w:u w:val="none"/>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pPr>
              <w:adjustRightInd w:val="0"/>
              <w:snapToGrid w:val="0"/>
              <w:spacing w:line="240" w:lineRule="exact"/>
              <w:rPr>
                <w:rFonts w:hint="default" w:eastAsia="宋体"/>
                <w:b w:val="0"/>
                <w:bCs/>
                <w:color w:val="000000"/>
                <w:szCs w:val="21"/>
                <w:u w:val="none"/>
                <w:lang w:val="en-US" w:eastAsia="zh-CN"/>
              </w:rPr>
            </w:pPr>
            <w:r>
              <w:rPr>
                <w:b w:val="0"/>
                <w:bCs/>
                <w:color w:val="000000"/>
                <w:szCs w:val="21"/>
                <w:u w:val="none"/>
              </w:rPr>
              <w:t>沼气</w:t>
            </w:r>
            <w:r>
              <w:rPr>
                <w:rFonts w:hint="eastAsia"/>
                <w:b w:val="0"/>
                <w:bCs/>
                <w:color w:val="000000"/>
                <w:szCs w:val="21"/>
                <w:u w:val="none"/>
                <w:lang w:val="en-US" w:eastAsia="zh-CN"/>
              </w:rPr>
              <w:t>燃烧</w:t>
            </w:r>
          </w:p>
        </w:tc>
        <w:tc>
          <w:tcPr>
            <w:tcW w:w="1256" w:type="dxa"/>
            <w:vAlign w:val="center"/>
          </w:tcPr>
          <w:p>
            <w:pPr>
              <w:adjustRightInd w:val="0"/>
              <w:snapToGrid w:val="0"/>
              <w:spacing w:line="240" w:lineRule="exact"/>
              <w:jc w:val="center"/>
              <w:rPr>
                <w:b w:val="0"/>
                <w:bCs/>
                <w:color w:val="000000"/>
                <w:szCs w:val="21"/>
                <w:u w:val="none"/>
              </w:rPr>
            </w:pPr>
            <w:r>
              <w:rPr>
                <w:b w:val="0"/>
                <w:bCs/>
                <w:color w:val="000000"/>
                <w:szCs w:val="21"/>
                <w:u w:val="none"/>
              </w:rPr>
              <w:t>8</w:t>
            </w:r>
          </w:p>
        </w:tc>
        <w:tc>
          <w:tcPr>
            <w:tcW w:w="975" w:type="dxa"/>
            <w:vAlign w:val="center"/>
          </w:tcPr>
          <w:p>
            <w:pPr>
              <w:adjustRightInd w:val="0"/>
              <w:snapToGrid w:val="0"/>
              <w:spacing w:line="240" w:lineRule="exact"/>
              <w:jc w:val="center"/>
              <w:rPr>
                <w:b w:val="0"/>
                <w:bCs/>
                <w:color w:val="000000"/>
                <w:szCs w:val="21"/>
                <w:u w:val="none"/>
              </w:rPr>
            </w:pPr>
            <w:r>
              <w:rPr>
                <w:b w:val="0"/>
                <w:bCs/>
                <w:color w:val="000000"/>
                <w:szCs w:val="21"/>
                <w:u w:val="none"/>
              </w:rPr>
              <w:t>0.06</w:t>
            </w:r>
          </w:p>
        </w:tc>
        <w:tc>
          <w:tcPr>
            <w:tcW w:w="900" w:type="dxa"/>
            <w:vAlign w:val="center"/>
          </w:tcPr>
          <w:p>
            <w:pPr>
              <w:adjustRightInd w:val="0"/>
              <w:snapToGrid w:val="0"/>
              <w:spacing w:line="240" w:lineRule="exact"/>
              <w:jc w:val="center"/>
              <w:rPr>
                <w:rFonts w:hint="default" w:eastAsia="宋体"/>
                <w:b w:val="0"/>
                <w:bCs/>
                <w:color w:val="000000"/>
                <w:szCs w:val="21"/>
                <w:u w:val="none"/>
                <w:lang w:val="en-US" w:eastAsia="zh-CN"/>
              </w:rPr>
            </w:pPr>
            <w:r>
              <w:rPr>
                <w:rFonts w:hint="eastAsia"/>
                <w:b w:val="0"/>
                <w:bCs/>
                <w:color w:val="000000"/>
                <w:szCs w:val="21"/>
                <w:u w:val="none"/>
                <w:lang w:val="en-US" w:eastAsia="zh-CN"/>
              </w:rPr>
              <w:t>333835</w:t>
            </w:r>
          </w:p>
        </w:tc>
        <w:tc>
          <w:tcPr>
            <w:tcW w:w="1116" w:type="dxa"/>
            <w:vAlign w:val="center"/>
          </w:tcPr>
          <w:p>
            <w:pPr>
              <w:adjustRightInd w:val="0"/>
              <w:snapToGrid w:val="0"/>
              <w:spacing w:line="240" w:lineRule="exact"/>
              <w:jc w:val="center"/>
              <w:rPr>
                <w:b w:val="0"/>
                <w:bCs/>
                <w:color w:val="000000"/>
                <w:szCs w:val="21"/>
                <w:u w:val="none"/>
              </w:rPr>
            </w:pPr>
            <w:r>
              <w:rPr>
                <w:b w:val="0"/>
                <w:bCs/>
                <w:color w:val="000000"/>
                <w:szCs w:val="21"/>
                <w:u w:val="none"/>
              </w:rPr>
              <w:t>100</w:t>
            </w:r>
          </w:p>
        </w:tc>
        <w:tc>
          <w:tcPr>
            <w:tcW w:w="977" w:type="dxa"/>
            <w:vAlign w:val="center"/>
          </w:tcPr>
          <w:p>
            <w:pPr>
              <w:adjustRightInd w:val="0"/>
              <w:snapToGrid w:val="0"/>
              <w:spacing w:line="240" w:lineRule="exact"/>
              <w:jc w:val="center"/>
              <w:rPr>
                <w:b w:val="0"/>
                <w:bCs/>
                <w:color w:val="000000"/>
                <w:szCs w:val="21"/>
                <w:u w:val="none"/>
              </w:rPr>
            </w:pPr>
            <w:r>
              <w:rPr>
                <w:b w:val="0"/>
                <w:bCs/>
                <w:color w:val="000000"/>
                <w:szCs w:val="21"/>
                <w:u w:val="none"/>
              </w:rPr>
              <w:t>365</w:t>
            </w:r>
          </w:p>
        </w:tc>
        <w:tc>
          <w:tcPr>
            <w:tcW w:w="695" w:type="dxa"/>
            <w:vAlign w:val="center"/>
          </w:tcPr>
          <w:p>
            <w:pPr>
              <w:tabs>
                <w:tab w:val="center" w:pos="618"/>
              </w:tabs>
              <w:adjustRightInd w:val="0"/>
              <w:snapToGrid w:val="0"/>
              <w:spacing w:line="240" w:lineRule="exact"/>
              <w:jc w:val="center"/>
              <w:rPr>
                <w:b w:val="0"/>
                <w:bCs/>
                <w:color w:val="000000"/>
                <w:szCs w:val="21"/>
                <w:u w:val="none"/>
              </w:rPr>
            </w:pPr>
            <w:r>
              <w:rPr>
                <w:b w:val="0"/>
                <w:bCs/>
                <w:color w:val="000000"/>
                <w:szCs w:val="21"/>
                <w:u w:val="none"/>
              </w:rPr>
              <w:t>4h/d</w:t>
            </w:r>
          </w:p>
        </w:tc>
        <w:tc>
          <w:tcPr>
            <w:tcW w:w="1109" w:type="dxa"/>
            <w:gridSpan w:val="2"/>
            <w:vAlign w:val="center"/>
          </w:tcPr>
          <w:p>
            <w:pPr>
              <w:adjustRightInd w:val="0"/>
              <w:snapToGrid w:val="0"/>
              <w:spacing w:line="240" w:lineRule="exact"/>
              <w:jc w:val="center"/>
              <w:rPr>
                <w:rFonts w:hint="default" w:eastAsia="宋体"/>
                <w:b w:val="0"/>
                <w:bCs/>
                <w:color w:val="000000"/>
                <w:szCs w:val="21"/>
                <w:u w:val="none"/>
                <w:lang w:val="en-US" w:eastAsia="zh-CN"/>
              </w:rPr>
            </w:pPr>
            <w:r>
              <w:rPr>
                <w:b w:val="0"/>
                <w:bCs/>
                <w:color w:val="000000"/>
                <w:szCs w:val="21"/>
                <w:u w:val="none"/>
              </w:rPr>
              <w:t>0.00</w:t>
            </w:r>
            <w:r>
              <w:rPr>
                <w:rFonts w:hint="eastAsia"/>
                <w:b w:val="0"/>
                <w:bCs/>
                <w:color w:val="000000"/>
                <w:szCs w:val="21"/>
                <w:u w:val="none"/>
                <w:lang w:val="en-US" w:eastAsia="zh-CN"/>
              </w:rPr>
              <w:t>07</w:t>
            </w:r>
          </w:p>
        </w:tc>
        <w:tc>
          <w:tcPr>
            <w:tcW w:w="979" w:type="dxa"/>
            <w:vAlign w:val="center"/>
          </w:tcPr>
          <w:p>
            <w:pPr>
              <w:adjustRightInd w:val="0"/>
              <w:snapToGrid w:val="0"/>
              <w:spacing w:line="240" w:lineRule="exact"/>
              <w:jc w:val="center"/>
              <w:rPr>
                <w:rFonts w:hint="default" w:eastAsia="宋体"/>
                <w:b w:val="0"/>
                <w:bCs/>
                <w:color w:val="000000"/>
                <w:szCs w:val="21"/>
                <w:u w:val="none"/>
                <w:lang w:val="en-US" w:eastAsia="zh-CN"/>
              </w:rPr>
            </w:pPr>
            <w:r>
              <w:rPr>
                <w:b w:val="0"/>
                <w:bCs/>
                <w:color w:val="000000"/>
                <w:szCs w:val="21"/>
                <w:u w:val="none"/>
              </w:rPr>
              <w:t>0.0</w:t>
            </w:r>
            <w:r>
              <w:rPr>
                <w:rFonts w:hint="eastAsia"/>
                <w:b w:val="0"/>
                <w:bCs/>
                <w:color w:val="000000"/>
                <w:szCs w:val="21"/>
                <w:u w:val="none"/>
                <w:lang w:val="en-US" w:eastAsia="zh-CN"/>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95" w:type="dxa"/>
            <w:gridSpan w:val="2"/>
            <w:vMerge w:val="restart"/>
            <w:vAlign w:val="center"/>
          </w:tcPr>
          <w:p>
            <w:pPr>
              <w:adjustRightInd w:val="0"/>
              <w:snapToGrid w:val="0"/>
              <w:spacing w:line="240" w:lineRule="exact"/>
              <w:jc w:val="center"/>
              <w:rPr>
                <w:b w:val="0"/>
                <w:bCs/>
                <w:color w:val="000000"/>
                <w:szCs w:val="21"/>
                <w:u w:val="none"/>
              </w:rPr>
            </w:pPr>
            <w:r>
              <w:rPr>
                <w:b w:val="0"/>
                <w:bCs/>
                <w:color w:val="000000"/>
                <w:szCs w:val="21"/>
                <w:u w:val="none"/>
              </w:rPr>
              <w:t>面源</w:t>
            </w:r>
          </w:p>
        </w:tc>
        <w:tc>
          <w:tcPr>
            <w:tcW w:w="1875" w:type="dxa"/>
            <w:gridSpan w:val="2"/>
            <w:vMerge w:val="restart"/>
            <w:vAlign w:val="center"/>
          </w:tcPr>
          <w:p>
            <w:pPr>
              <w:jc w:val="center"/>
              <w:rPr>
                <w:b w:val="0"/>
                <w:bCs/>
                <w:color w:val="000000"/>
                <w:szCs w:val="21"/>
                <w:u w:val="none"/>
              </w:rPr>
            </w:pPr>
            <w:r>
              <w:rPr>
                <w:b w:val="0"/>
                <w:bCs/>
                <w:color w:val="000000"/>
                <w:szCs w:val="21"/>
                <w:u w:val="none"/>
              </w:rPr>
              <w:t>占地面积（m</w:t>
            </w:r>
            <w:r>
              <w:rPr>
                <w:b w:val="0"/>
                <w:bCs/>
                <w:color w:val="000000"/>
                <w:szCs w:val="21"/>
                <w:u w:val="none"/>
                <w:vertAlign w:val="superscript"/>
              </w:rPr>
              <w:t>2</w:t>
            </w:r>
            <w:r>
              <w:rPr>
                <w:b w:val="0"/>
                <w:bCs/>
                <w:color w:val="000000"/>
                <w:szCs w:val="21"/>
                <w:u w:val="none"/>
              </w:rPr>
              <w:t>）</w:t>
            </w:r>
          </w:p>
        </w:tc>
        <w:tc>
          <w:tcPr>
            <w:tcW w:w="2093" w:type="dxa"/>
            <w:gridSpan w:val="2"/>
            <w:vMerge w:val="restart"/>
            <w:vAlign w:val="center"/>
          </w:tcPr>
          <w:p>
            <w:pPr>
              <w:jc w:val="center"/>
              <w:rPr>
                <w:b w:val="0"/>
                <w:bCs/>
                <w:color w:val="000000"/>
                <w:szCs w:val="21"/>
                <w:u w:val="none"/>
              </w:rPr>
            </w:pPr>
            <w:r>
              <w:rPr>
                <w:b w:val="0"/>
                <w:bCs/>
                <w:color w:val="000000"/>
                <w:szCs w:val="21"/>
                <w:u w:val="none"/>
              </w:rPr>
              <w:t>面源特征（m）</w:t>
            </w:r>
          </w:p>
        </w:tc>
        <w:tc>
          <w:tcPr>
            <w:tcW w:w="2783" w:type="dxa"/>
            <w:gridSpan w:val="4"/>
            <w:vAlign w:val="center"/>
          </w:tcPr>
          <w:p>
            <w:pPr>
              <w:adjustRightInd w:val="0"/>
              <w:snapToGrid w:val="0"/>
              <w:spacing w:line="240" w:lineRule="exact"/>
              <w:jc w:val="center"/>
              <w:rPr>
                <w:b w:val="0"/>
                <w:bCs/>
                <w:color w:val="000000"/>
                <w:szCs w:val="21"/>
                <w:u w:val="none"/>
              </w:rPr>
            </w:pPr>
            <w:r>
              <w:rPr>
                <w:b w:val="0"/>
                <w:bCs/>
                <w:color w:val="000000"/>
                <w:szCs w:val="21"/>
                <w:u w:val="none"/>
              </w:rPr>
              <w:t>污染物排放量(t/a)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95" w:type="dxa"/>
            <w:gridSpan w:val="2"/>
            <w:vMerge w:val="continue"/>
            <w:vAlign w:val="center"/>
          </w:tcPr>
          <w:p>
            <w:pPr>
              <w:adjustRightInd w:val="0"/>
              <w:snapToGrid w:val="0"/>
              <w:spacing w:line="240" w:lineRule="exact"/>
              <w:jc w:val="center"/>
              <w:rPr>
                <w:b w:val="0"/>
                <w:bCs/>
                <w:color w:val="000000"/>
                <w:szCs w:val="21"/>
                <w:u w:val="none"/>
              </w:rPr>
            </w:pPr>
          </w:p>
        </w:tc>
        <w:tc>
          <w:tcPr>
            <w:tcW w:w="1875" w:type="dxa"/>
            <w:gridSpan w:val="2"/>
            <w:vMerge w:val="continue"/>
            <w:vAlign w:val="center"/>
          </w:tcPr>
          <w:p>
            <w:pPr>
              <w:tabs>
                <w:tab w:val="center" w:pos="618"/>
              </w:tabs>
              <w:adjustRightInd w:val="0"/>
              <w:snapToGrid w:val="0"/>
              <w:spacing w:line="240" w:lineRule="exact"/>
              <w:jc w:val="center"/>
              <w:rPr>
                <w:b w:val="0"/>
                <w:bCs/>
                <w:color w:val="000000"/>
                <w:szCs w:val="21"/>
                <w:u w:val="none"/>
              </w:rPr>
            </w:pPr>
          </w:p>
        </w:tc>
        <w:tc>
          <w:tcPr>
            <w:tcW w:w="2093" w:type="dxa"/>
            <w:gridSpan w:val="2"/>
            <w:vMerge w:val="continue"/>
            <w:vAlign w:val="center"/>
          </w:tcPr>
          <w:p>
            <w:pPr>
              <w:tabs>
                <w:tab w:val="center" w:pos="618"/>
              </w:tabs>
              <w:adjustRightInd w:val="0"/>
              <w:snapToGrid w:val="0"/>
              <w:spacing w:line="240" w:lineRule="exact"/>
              <w:jc w:val="center"/>
              <w:rPr>
                <w:b w:val="0"/>
                <w:bCs/>
                <w:color w:val="000000"/>
                <w:szCs w:val="21"/>
                <w:u w:val="none"/>
              </w:rPr>
            </w:pPr>
          </w:p>
        </w:tc>
        <w:tc>
          <w:tcPr>
            <w:tcW w:w="972" w:type="dxa"/>
            <w:gridSpan w:val="2"/>
            <w:vAlign w:val="center"/>
          </w:tcPr>
          <w:p>
            <w:pPr>
              <w:adjustRightInd w:val="0"/>
              <w:snapToGrid w:val="0"/>
              <w:spacing w:line="240" w:lineRule="exact"/>
              <w:jc w:val="center"/>
              <w:rPr>
                <w:b w:val="0"/>
                <w:bCs/>
                <w:color w:val="000000"/>
                <w:szCs w:val="21"/>
                <w:u w:val="none"/>
              </w:rPr>
            </w:pPr>
            <w:r>
              <w:rPr>
                <w:b w:val="0"/>
                <w:bCs/>
                <w:color w:val="000000"/>
                <w:szCs w:val="21"/>
                <w:u w:val="none"/>
              </w:rPr>
              <w:t>H</w:t>
            </w:r>
            <w:r>
              <w:rPr>
                <w:b w:val="0"/>
                <w:bCs/>
                <w:color w:val="000000"/>
                <w:szCs w:val="21"/>
                <w:u w:val="none"/>
                <w:vertAlign w:val="subscript"/>
              </w:rPr>
              <w:t>2</w:t>
            </w:r>
            <w:r>
              <w:rPr>
                <w:b w:val="0"/>
                <w:bCs/>
                <w:color w:val="000000"/>
                <w:szCs w:val="21"/>
                <w:u w:val="none"/>
              </w:rPr>
              <w:t>S</w:t>
            </w:r>
          </w:p>
        </w:tc>
        <w:tc>
          <w:tcPr>
            <w:tcW w:w="1811" w:type="dxa"/>
            <w:gridSpan w:val="2"/>
            <w:vAlign w:val="center"/>
          </w:tcPr>
          <w:p>
            <w:pPr>
              <w:adjustRightInd w:val="0"/>
              <w:snapToGrid w:val="0"/>
              <w:spacing w:line="240" w:lineRule="exact"/>
              <w:jc w:val="center"/>
              <w:rPr>
                <w:b w:val="0"/>
                <w:bCs/>
                <w:color w:val="000000"/>
                <w:szCs w:val="21"/>
                <w:u w:val="none"/>
              </w:rPr>
            </w:pPr>
            <w:r>
              <w:rPr>
                <w:b w:val="0"/>
                <w:bCs/>
                <w:color w:val="000000"/>
                <w:szCs w:val="21"/>
                <w:u w:val="none"/>
              </w:rPr>
              <w:t>NH</w:t>
            </w:r>
            <w:r>
              <w:rPr>
                <w:b w:val="0"/>
                <w:bCs/>
                <w:color w:val="000000"/>
                <w:szCs w:val="21"/>
                <w:u w:val="none"/>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95" w:type="dxa"/>
            <w:gridSpan w:val="2"/>
            <w:vAlign w:val="center"/>
          </w:tcPr>
          <w:p>
            <w:pPr>
              <w:spacing w:line="240" w:lineRule="atLeast"/>
              <w:jc w:val="center"/>
              <w:rPr>
                <w:b w:val="0"/>
                <w:bCs/>
                <w:color w:val="000000"/>
                <w:szCs w:val="21"/>
                <w:u w:val="none"/>
              </w:rPr>
            </w:pPr>
            <w:r>
              <w:rPr>
                <w:b w:val="0"/>
                <w:bCs/>
                <w:color w:val="000000"/>
                <w:szCs w:val="21"/>
                <w:u w:val="none"/>
              </w:rPr>
              <w:t>厂区</w:t>
            </w:r>
          </w:p>
        </w:tc>
        <w:tc>
          <w:tcPr>
            <w:tcW w:w="1875" w:type="dxa"/>
            <w:gridSpan w:val="2"/>
            <w:vAlign w:val="center"/>
          </w:tcPr>
          <w:p>
            <w:pPr>
              <w:adjustRightInd w:val="0"/>
              <w:snapToGrid w:val="0"/>
              <w:jc w:val="center"/>
              <w:rPr>
                <w:rFonts w:hint="default" w:eastAsia="宋体"/>
                <w:b w:val="0"/>
                <w:bCs/>
                <w:color w:val="000000"/>
                <w:szCs w:val="21"/>
                <w:u w:val="none"/>
                <w:lang w:val="en-US" w:eastAsia="zh-CN"/>
              </w:rPr>
            </w:pPr>
            <w:r>
              <w:rPr>
                <w:rFonts w:hint="eastAsia"/>
                <w:b w:val="0"/>
                <w:bCs/>
                <w:color w:val="000000"/>
                <w:szCs w:val="21"/>
                <w:u w:val="none"/>
                <w:lang w:val="en-US" w:eastAsia="zh-CN"/>
              </w:rPr>
              <w:t>26400</w:t>
            </w:r>
          </w:p>
        </w:tc>
        <w:tc>
          <w:tcPr>
            <w:tcW w:w="2093" w:type="dxa"/>
            <w:gridSpan w:val="2"/>
            <w:vAlign w:val="center"/>
          </w:tcPr>
          <w:p>
            <w:pPr>
              <w:adjustRightInd w:val="0"/>
              <w:snapToGrid w:val="0"/>
              <w:jc w:val="center"/>
              <w:rPr>
                <w:b w:val="0"/>
                <w:bCs/>
                <w:color w:val="000000"/>
                <w:szCs w:val="21"/>
                <w:u w:val="none"/>
              </w:rPr>
            </w:pPr>
            <w:r>
              <w:rPr>
                <w:rFonts w:hint="eastAsia"/>
                <w:b w:val="0"/>
                <w:bCs/>
                <w:color w:val="000000"/>
                <w:sz w:val="18"/>
                <w:szCs w:val="18"/>
                <w:u w:val="none"/>
                <w:lang w:val="en-US" w:eastAsia="zh-CN"/>
              </w:rPr>
              <w:t>155</w:t>
            </w:r>
            <w:r>
              <w:rPr>
                <w:b w:val="0"/>
                <w:bCs/>
                <w:color w:val="000000"/>
                <w:sz w:val="18"/>
                <w:szCs w:val="18"/>
                <w:u w:val="none"/>
              </w:rPr>
              <w:t>×</w:t>
            </w:r>
            <w:r>
              <w:rPr>
                <w:rFonts w:hint="eastAsia"/>
                <w:b w:val="0"/>
                <w:bCs/>
                <w:color w:val="000000"/>
                <w:sz w:val="18"/>
                <w:szCs w:val="18"/>
                <w:u w:val="none"/>
                <w:lang w:val="en-US" w:eastAsia="zh-CN"/>
              </w:rPr>
              <w:t>300</w:t>
            </w:r>
            <w:r>
              <w:rPr>
                <w:b w:val="0"/>
                <w:bCs/>
                <w:color w:val="000000"/>
                <w:sz w:val="18"/>
                <w:szCs w:val="18"/>
                <w:u w:val="none"/>
              </w:rPr>
              <w:t>×5.6</w:t>
            </w:r>
          </w:p>
        </w:tc>
        <w:tc>
          <w:tcPr>
            <w:tcW w:w="972" w:type="dxa"/>
            <w:gridSpan w:val="2"/>
            <w:vAlign w:val="center"/>
          </w:tcPr>
          <w:p>
            <w:pPr>
              <w:adjustRightInd w:val="0"/>
              <w:snapToGrid w:val="0"/>
              <w:spacing w:line="280" w:lineRule="exact"/>
              <w:jc w:val="center"/>
              <w:rPr>
                <w:rFonts w:hint="default" w:eastAsia="宋体"/>
                <w:b w:val="0"/>
                <w:bCs/>
                <w:color w:val="000000"/>
                <w:szCs w:val="21"/>
                <w:u w:val="none"/>
                <w:lang w:val="en-US" w:eastAsia="zh-CN"/>
              </w:rPr>
            </w:pPr>
            <w:r>
              <w:rPr>
                <w:b w:val="0"/>
                <w:bCs/>
                <w:color w:val="000000"/>
                <w:szCs w:val="21"/>
                <w:u w:val="none"/>
              </w:rPr>
              <w:t>0.</w:t>
            </w:r>
            <w:r>
              <w:rPr>
                <w:rFonts w:hint="eastAsia"/>
                <w:b w:val="0"/>
                <w:bCs/>
                <w:color w:val="000000"/>
                <w:szCs w:val="21"/>
                <w:u w:val="none"/>
                <w:lang w:val="en-US" w:eastAsia="zh-CN"/>
              </w:rPr>
              <w:t>0202</w:t>
            </w:r>
          </w:p>
        </w:tc>
        <w:tc>
          <w:tcPr>
            <w:tcW w:w="1811" w:type="dxa"/>
            <w:gridSpan w:val="2"/>
            <w:vAlign w:val="center"/>
          </w:tcPr>
          <w:p>
            <w:pPr>
              <w:adjustRightInd w:val="0"/>
              <w:snapToGrid w:val="0"/>
              <w:spacing w:line="280" w:lineRule="exact"/>
              <w:jc w:val="center"/>
              <w:rPr>
                <w:rFonts w:hint="default" w:eastAsia="宋体"/>
                <w:b w:val="0"/>
                <w:bCs/>
                <w:color w:val="000000"/>
                <w:szCs w:val="21"/>
                <w:u w:val="none"/>
                <w:lang w:val="en-US" w:eastAsia="zh-CN"/>
              </w:rPr>
            </w:pPr>
            <w:r>
              <w:rPr>
                <w:rFonts w:hint="eastAsia"/>
                <w:b w:val="0"/>
                <w:bCs/>
                <w:color w:val="000000"/>
                <w:szCs w:val="21"/>
                <w:u w:val="none"/>
                <w:lang w:val="en-US" w:eastAsia="zh-CN"/>
              </w:rPr>
              <w:t>0.3156</w:t>
            </w:r>
          </w:p>
        </w:tc>
      </w:tr>
    </w:tbl>
    <w:p>
      <w:pPr>
        <w:spacing w:after="120" w:line="500" w:lineRule="exact"/>
        <w:ind w:firstLine="422"/>
        <w:jc w:val="center"/>
        <w:rPr>
          <w:b/>
          <w:bCs w:val="0"/>
          <w:color w:val="000000"/>
          <w:szCs w:val="21"/>
          <w:u w:val="none"/>
        </w:rPr>
      </w:pPr>
      <w:r>
        <w:rPr>
          <w:b/>
          <w:bCs w:val="0"/>
          <w:color w:val="000000"/>
          <w:szCs w:val="21"/>
          <w:u w:val="none"/>
        </w:rPr>
        <w:t>表</w:t>
      </w:r>
      <w:r>
        <w:rPr>
          <w:rFonts w:hint="eastAsia"/>
          <w:b/>
          <w:bCs w:val="0"/>
          <w:color w:val="000000"/>
          <w:szCs w:val="21"/>
          <w:u w:val="none"/>
          <w:lang w:val="en-US" w:eastAsia="zh-CN"/>
        </w:rPr>
        <w:t xml:space="preserve">4.2-3 </w:t>
      </w:r>
      <w:r>
        <w:rPr>
          <w:b/>
          <w:bCs w:val="0"/>
          <w:color w:val="000000"/>
          <w:szCs w:val="21"/>
          <w:u w:val="none"/>
        </w:rPr>
        <w:t xml:space="preserve">  模型参数表</w:t>
      </w:r>
    </w:p>
    <w:tbl>
      <w:tblPr>
        <w:tblStyle w:val="4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2983"/>
        <w:gridCol w:w="2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tcBorders>
              <w:tl2br w:val="nil"/>
              <w:tr2bl w:val="nil"/>
            </w:tcBorders>
            <w:noWrap/>
            <w:vAlign w:val="center"/>
          </w:tcPr>
          <w:p>
            <w:pPr>
              <w:ind w:firstLine="422"/>
              <w:jc w:val="center"/>
              <w:rPr>
                <w:b w:val="0"/>
                <w:bCs/>
                <w:szCs w:val="21"/>
                <w:u w:val="none"/>
              </w:rPr>
            </w:pPr>
            <w:r>
              <w:rPr>
                <w:b w:val="0"/>
                <w:bCs/>
                <w:szCs w:val="21"/>
                <w:u w:val="none"/>
              </w:rPr>
              <w:t>参数</w:t>
            </w:r>
          </w:p>
        </w:tc>
        <w:tc>
          <w:tcPr>
            <w:tcW w:w="1666" w:type="pct"/>
            <w:tcBorders>
              <w:tl2br w:val="nil"/>
              <w:tr2bl w:val="nil"/>
            </w:tcBorders>
            <w:noWrap/>
            <w:vAlign w:val="center"/>
          </w:tcPr>
          <w:p>
            <w:pPr>
              <w:ind w:firstLine="422"/>
              <w:jc w:val="center"/>
              <w:rPr>
                <w:b w:val="0"/>
                <w:bCs/>
                <w:szCs w:val="21"/>
                <w:u w:val="none"/>
              </w:rPr>
            </w:pPr>
            <w:r>
              <w:rPr>
                <w:b w:val="0"/>
                <w:bCs/>
                <w:szCs w:val="21"/>
                <w:u w:val="non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tcBorders>
              <w:tl2br w:val="nil"/>
              <w:tr2bl w:val="nil"/>
            </w:tcBorders>
            <w:noWrap/>
            <w:vAlign w:val="center"/>
          </w:tcPr>
          <w:p>
            <w:pPr>
              <w:ind w:firstLine="420"/>
              <w:jc w:val="center"/>
              <w:rPr>
                <w:b w:val="0"/>
                <w:bCs/>
                <w:szCs w:val="21"/>
                <w:u w:val="none"/>
              </w:rPr>
            </w:pPr>
            <w:r>
              <w:rPr>
                <w:b w:val="0"/>
                <w:bCs/>
                <w:szCs w:val="21"/>
                <w:u w:val="none"/>
              </w:rPr>
              <w:t>城市/农村选项</w:t>
            </w:r>
          </w:p>
        </w:tc>
        <w:tc>
          <w:tcPr>
            <w:tcW w:w="1666" w:type="pct"/>
            <w:tcBorders>
              <w:tl2br w:val="nil"/>
              <w:tr2bl w:val="nil"/>
            </w:tcBorders>
            <w:noWrap/>
            <w:vAlign w:val="center"/>
          </w:tcPr>
          <w:p>
            <w:pPr>
              <w:ind w:firstLine="420"/>
              <w:jc w:val="center"/>
              <w:rPr>
                <w:b w:val="0"/>
                <w:bCs/>
                <w:szCs w:val="21"/>
                <w:u w:val="none"/>
              </w:rPr>
            </w:pPr>
            <w:r>
              <w:rPr>
                <w:b w:val="0"/>
                <w:bCs/>
                <w:szCs w:val="21"/>
                <w:u w:val="none"/>
              </w:rPr>
              <w:t>城市/农村</w:t>
            </w:r>
          </w:p>
        </w:tc>
        <w:tc>
          <w:tcPr>
            <w:tcW w:w="1666" w:type="pct"/>
            <w:tcBorders>
              <w:tl2br w:val="nil"/>
              <w:tr2bl w:val="nil"/>
            </w:tcBorders>
            <w:noWrap/>
            <w:vAlign w:val="center"/>
          </w:tcPr>
          <w:p>
            <w:pPr>
              <w:ind w:firstLine="420"/>
              <w:jc w:val="center"/>
              <w:rPr>
                <w:b w:val="0"/>
                <w:bCs/>
                <w:szCs w:val="21"/>
                <w:u w:val="none"/>
              </w:rPr>
            </w:pPr>
            <w:r>
              <w:rPr>
                <w:b w:val="0"/>
                <w:bCs/>
                <w:szCs w:val="21"/>
                <w:u w:val="non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tcBorders>
              <w:tl2br w:val="nil"/>
              <w:tr2bl w:val="nil"/>
            </w:tcBorders>
            <w:noWrap/>
            <w:vAlign w:val="center"/>
          </w:tcPr>
          <w:p>
            <w:pPr>
              <w:ind w:firstLine="420"/>
              <w:jc w:val="center"/>
              <w:rPr>
                <w:b w:val="0"/>
                <w:bCs/>
                <w:szCs w:val="21"/>
                <w:u w:val="none"/>
              </w:rPr>
            </w:pPr>
          </w:p>
        </w:tc>
        <w:tc>
          <w:tcPr>
            <w:tcW w:w="1666" w:type="pct"/>
            <w:tcBorders>
              <w:tl2br w:val="nil"/>
              <w:tr2bl w:val="nil"/>
            </w:tcBorders>
            <w:noWrap/>
            <w:vAlign w:val="center"/>
          </w:tcPr>
          <w:p>
            <w:pPr>
              <w:ind w:firstLine="420"/>
              <w:jc w:val="center"/>
              <w:rPr>
                <w:b w:val="0"/>
                <w:bCs/>
                <w:szCs w:val="21"/>
                <w:u w:val="none"/>
              </w:rPr>
            </w:pPr>
            <w:r>
              <w:rPr>
                <w:b w:val="0"/>
                <w:bCs/>
                <w:szCs w:val="21"/>
                <w:u w:val="none"/>
              </w:rPr>
              <w:t>人口数（城市选项时）</w:t>
            </w:r>
          </w:p>
        </w:tc>
        <w:tc>
          <w:tcPr>
            <w:tcW w:w="1666" w:type="pct"/>
            <w:tcBorders>
              <w:tl2br w:val="nil"/>
              <w:tr2bl w:val="nil"/>
            </w:tcBorders>
            <w:noWrap/>
            <w:vAlign w:val="center"/>
          </w:tcPr>
          <w:p>
            <w:pPr>
              <w:ind w:firstLine="420"/>
              <w:jc w:val="center"/>
              <w:rPr>
                <w:b w:val="0"/>
                <w:bCs/>
                <w:szCs w:val="21"/>
                <w:u w:val="none"/>
              </w:rPr>
            </w:pPr>
            <w:r>
              <w:rPr>
                <w:b w:val="0"/>
                <w:bCs/>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tcBorders>
              <w:tl2br w:val="nil"/>
              <w:tr2bl w:val="nil"/>
            </w:tcBorders>
            <w:noWrap/>
            <w:vAlign w:val="center"/>
          </w:tcPr>
          <w:p>
            <w:pPr>
              <w:ind w:firstLine="420"/>
              <w:jc w:val="center"/>
              <w:rPr>
                <w:b w:val="0"/>
                <w:bCs/>
                <w:szCs w:val="21"/>
                <w:u w:val="none"/>
              </w:rPr>
            </w:pPr>
            <w:r>
              <w:rPr>
                <w:b w:val="0"/>
                <w:bCs/>
                <w:szCs w:val="21"/>
                <w:u w:val="none"/>
              </w:rPr>
              <w:t>最高环境温度/</w:t>
            </w:r>
            <w:r>
              <w:rPr>
                <w:rFonts w:hint="eastAsia" w:ascii="宋体" w:hAnsi="宋体" w:cs="宋体"/>
                <w:b w:val="0"/>
                <w:bCs/>
                <w:szCs w:val="21"/>
                <w:u w:val="none"/>
              </w:rPr>
              <w:t>℃</w:t>
            </w:r>
          </w:p>
        </w:tc>
        <w:tc>
          <w:tcPr>
            <w:tcW w:w="1666" w:type="pct"/>
            <w:tcBorders>
              <w:tl2br w:val="nil"/>
              <w:tr2bl w:val="nil"/>
            </w:tcBorders>
            <w:noWrap/>
            <w:vAlign w:val="center"/>
          </w:tcPr>
          <w:p>
            <w:pPr>
              <w:ind w:firstLine="420"/>
              <w:jc w:val="center"/>
              <w:rPr>
                <w:b w:val="0"/>
                <w:bCs/>
                <w:szCs w:val="21"/>
                <w:u w:val="none"/>
              </w:rPr>
            </w:pPr>
            <w:r>
              <w:rPr>
                <w:b w:val="0"/>
                <w:bCs/>
                <w:szCs w:val="21"/>
                <w:u w:val="none"/>
              </w:rPr>
              <w:t>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3" w:type="pct"/>
            <w:gridSpan w:val="2"/>
            <w:tcBorders>
              <w:tl2br w:val="nil"/>
              <w:tr2bl w:val="nil"/>
            </w:tcBorders>
            <w:noWrap/>
            <w:vAlign w:val="center"/>
          </w:tcPr>
          <w:p>
            <w:pPr>
              <w:ind w:firstLine="420"/>
              <w:jc w:val="center"/>
              <w:rPr>
                <w:b w:val="0"/>
                <w:bCs/>
                <w:szCs w:val="21"/>
                <w:u w:val="none"/>
              </w:rPr>
            </w:pPr>
            <w:r>
              <w:rPr>
                <w:b w:val="0"/>
                <w:bCs/>
                <w:szCs w:val="21"/>
                <w:u w:val="none"/>
              </w:rPr>
              <w:t>最低环境温度/</w:t>
            </w:r>
            <w:r>
              <w:rPr>
                <w:rFonts w:hint="eastAsia" w:ascii="宋体" w:hAnsi="宋体" w:cs="宋体"/>
                <w:b w:val="0"/>
                <w:bCs/>
                <w:szCs w:val="21"/>
                <w:u w:val="none"/>
              </w:rPr>
              <w:t>℃</w:t>
            </w:r>
          </w:p>
        </w:tc>
        <w:tc>
          <w:tcPr>
            <w:tcW w:w="1666" w:type="pct"/>
            <w:tcBorders>
              <w:tl2br w:val="nil"/>
              <w:tr2bl w:val="nil"/>
            </w:tcBorders>
            <w:noWrap/>
            <w:vAlign w:val="center"/>
          </w:tcPr>
          <w:p>
            <w:pPr>
              <w:ind w:firstLine="420"/>
              <w:jc w:val="center"/>
              <w:rPr>
                <w:b w:val="0"/>
                <w:bCs/>
                <w:szCs w:val="21"/>
                <w:u w:val="none"/>
              </w:rPr>
            </w:pPr>
            <w:r>
              <w:rPr>
                <w:b w:val="0"/>
                <w:bCs/>
                <w:szCs w:val="21"/>
                <w:u w:val="none"/>
              </w:rPr>
              <w:t>-19.6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tcBorders>
              <w:tl2br w:val="nil"/>
              <w:tr2bl w:val="nil"/>
            </w:tcBorders>
            <w:noWrap/>
            <w:vAlign w:val="center"/>
          </w:tcPr>
          <w:p>
            <w:pPr>
              <w:ind w:firstLine="420"/>
              <w:jc w:val="center"/>
              <w:rPr>
                <w:b w:val="0"/>
                <w:bCs/>
                <w:szCs w:val="21"/>
                <w:u w:val="none"/>
              </w:rPr>
            </w:pPr>
            <w:r>
              <w:rPr>
                <w:b w:val="0"/>
                <w:bCs/>
                <w:szCs w:val="21"/>
                <w:u w:val="none"/>
              </w:rPr>
              <w:t>土地利用类型</w:t>
            </w:r>
          </w:p>
        </w:tc>
        <w:tc>
          <w:tcPr>
            <w:tcW w:w="1666" w:type="pct"/>
            <w:tcBorders>
              <w:tl2br w:val="nil"/>
              <w:tr2bl w:val="nil"/>
            </w:tcBorders>
            <w:noWrap/>
            <w:vAlign w:val="center"/>
          </w:tcPr>
          <w:p>
            <w:pPr>
              <w:ind w:firstLine="420"/>
              <w:jc w:val="center"/>
              <w:rPr>
                <w:b w:val="0"/>
                <w:bCs/>
                <w:szCs w:val="21"/>
                <w:u w:val="none"/>
              </w:rPr>
            </w:pPr>
            <w:r>
              <w:rPr>
                <w:b w:val="0"/>
                <w:bCs/>
                <w:szCs w:val="21"/>
                <w:u w:val="none"/>
              </w:rPr>
              <w:t>农用地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tcBorders>
              <w:tl2br w:val="nil"/>
              <w:tr2bl w:val="nil"/>
            </w:tcBorders>
            <w:noWrap/>
            <w:vAlign w:val="center"/>
          </w:tcPr>
          <w:p>
            <w:pPr>
              <w:ind w:firstLine="420"/>
              <w:jc w:val="center"/>
              <w:rPr>
                <w:b w:val="0"/>
                <w:bCs/>
                <w:szCs w:val="21"/>
                <w:u w:val="none"/>
              </w:rPr>
            </w:pPr>
            <w:r>
              <w:rPr>
                <w:b w:val="0"/>
                <w:bCs/>
                <w:szCs w:val="21"/>
                <w:u w:val="none"/>
              </w:rPr>
              <w:t>区域湿度条件</w:t>
            </w:r>
          </w:p>
        </w:tc>
        <w:tc>
          <w:tcPr>
            <w:tcW w:w="1666" w:type="pct"/>
            <w:tcBorders>
              <w:tl2br w:val="nil"/>
              <w:tr2bl w:val="nil"/>
            </w:tcBorders>
            <w:noWrap/>
            <w:vAlign w:val="center"/>
          </w:tcPr>
          <w:p>
            <w:pPr>
              <w:ind w:firstLine="420"/>
              <w:jc w:val="center"/>
              <w:rPr>
                <w:b w:val="0"/>
                <w:bCs/>
                <w:szCs w:val="21"/>
                <w:u w:val="none"/>
              </w:rPr>
            </w:pPr>
            <w:r>
              <w:rPr>
                <w:b w:val="0"/>
                <w:bCs/>
                <w:szCs w:val="21"/>
                <w:u w:val="none"/>
              </w:rPr>
              <w:t>中等湿度气候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tcBorders>
              <w:tl2br w:val="nil"/>
              <w:tr2bl w:val="nil"/>
            </w:tcBorders>
            <w:noWrap/>
            <w:vAlign w:val="center"/>
          </w:tcPr>
          <w:p>
            <w:pPr>
              <w:ind w:firstLine="420"/>
              <w:jc w:val="center"/>
              <w:rPr>
                <w:b w:val="0"/>
                <w:bCs/>
                <w:szCs w:val="21"/>
                <w:u w:val="none"/>
              </w:rPr>
            </w:pPr>
            <w:r>
              <w:rPr>
                <w:b w:val="0"/>
                <w:bCs/>
                <w:szCs w:val="21"/>
                <w:u w:val="none"/>
              </w:rPr>
              <w:t>是否考虑地形</w:t>
            </w:r>
          </w:p>
        </w:tc>
        <w:tc>
          <w:tcPr>
            <w:tcW w:w="1666" w:type="pct"/>
            <w:tcBorders>
              <w:tl2br w:val="nil"/>
              <w:tr2bl w:val="nil"/>
            </w:tcBorders>
            <w:noWrap/>
            <w:vAlign w:val="center"/>
          </w:tcPr>
          <w:p>
            <w:pPr>
              <w:ind w:firstLine="420"/>
              <w:jc w:val="center"/>
              <w:rPr>
                <w:b w:val="0"/>
                <w:bCs/>
                <w:szCs w:val="21"/>
                <w:u w:val="none"/>
              </w:rPr>
            </w:pPr>
            <w:r>
              <w:rPr>
                <w:b w:val="0"/>
                <w:bCs/>
                <w:szCs w:val="21"/>
                <w:u w:val="none"/>
              </w:rPr>
              <w:t>考虑地形</w:t>
            </w:r>
          </w:p>
        </w:tc>
        <w:tc>
          <w:tcPr>
            <w:tcW w:w="1666" w:type="pct"/>
            <w:tcBorders>
              <w:tl2br w:val="nil"/>
              <w:tr2bl w:val="nil"/>
            </w:tcBorders>
            <w:noWrap/>
            <w:vAlign w:val="center"/>
          </w:tcPr>
          <w:p>
            <w:pPr>
              <w:ind w:firstLine="420"/>
              <w:jc w:val="center"/>
              <w:rPr>
                <w:b w:val="0"/>
                <w:bCs/>
                <w:szCs w:val="21"/>
                <w:u w:val="none"/>
              </w:rPr>
            </w:pPr>
            <w:r>
              <w:rPr>
                <w:b w:val="0"/>
                <w:bCs/>
                <w:szCs w:val="21"/>
                <w:u w:val="none"/>
              </w:rPr>
              <w:sym w:font="Wingdings" w:char="00A8"/>
            </w:r>
            <w:r>
              <w:rPr>
                <w:b w:val="0"/>
                <w:bCs/>
                <w:szCs w:val="21"/>
                <w:u w:val="none"/>
              </w:rPr>
              <w:t xml:space="preserve">是  </w:t>
            </w:r>
            <w:r>
              <w:rPr>
                <w:b w:val="0"/>
                <w:bCs/>
                <w:szCs w:val="21"/>
                <w:u w:val="none"/>
              </w:rPr>
              <w:sym w:font="Wingdings" w:char="00FE"/>
            </w:r>
            <w:r>
              <w:rPr>
                <w:b w:val="0"/>
                <w:bCs/>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tcBorders>
              <w:tl2br w:val="nil"/>
              <w:tr2bl w:val="nil"/>
            </w:tcBorders>
            <w:noWrap/>
            <w:vAlign w:val="center"/>
          </w:tcPr>
          <w:p>
            <w:pPr>
              <w:ind w:firstLine="420"/>
              <w:jc w:val="center"/>
              <w:rPr>
                <w:b w:val="0"/>
                <w:bCs/>
                <w:szCs w:val="21"/>
                <w:u w:val="none"/>
              </w:rPr>
            </w:pPr>
          </w:p>
        </w:tc>
        <w:tc>
          <w:tcPr>
            <w:tcW w:w="1666" w:type="pct"/>
            <w:tcBorders>
              <w:tl2br w:val="nil"/>
              <w:tr2bl w:val="nil"/>
            </w:tcBorders>
            <w:noWrap/>
            <w:vAlign w:val="center"/>
          </w:tcPr>
          <w:p>
            <w:pPr>
              <w:ind w:firstLine="420"/>
              <w:jc w:val="center"/>
              <w:rPr>
                <w:b w:val="0"/>
                <w:bCs/>
                <w:szCs w:val="21"/>
                <w:u w:val="none"/>
              </w:rPr>
            </w:pPr>
            <w:r>
              <w:rPr>
                <w:b w:val="0"/>
                <w:bCs/>
                <w:szCs w:val="21"/>
                <w:u w:val="none"/>
              </w:rPr>
              <w:t>地形数据分辨率/m</w:t>
            </w:r>
          </w:p>
        </w:tc>
        <w:tc>
          <w:tcPr>
            <w:tcW w:w="1666" w:type="pct"/>
            <w:tcBorders>
              <w:tl2br w:val="nil"/>
              <w:tr2bl w:val="nil"/>
            </w:tcBorders>
            <w:noWrap/>
            <w:vAlign w:val="center"/>
          </w:tcPr>
          <w:p>
            <w:pPr>
              <w:ind w:firstLine="420"/>
              <w:jc w:val="center"/>
              <w:rPr>
                <w:b w:val="0"/>
                <w:bCs/>
                <w:szCs w:val="21"/>
                <w:u w:val="none"/>
              </w:rPr>
            </w:pPr>
            <w:r>
              <w:rPr>
                <w:b w:val="0"/>
                <w:bCs/>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restart"/>
            <w:tcBorders>
              <w:tl2br w:val="nil"/>
              <w:tr2bl w:val="nil"/>
            </w:tcBorders>
            <w:noWrap/>
            <w:vAlign w:val="center"/>
          </w:tcPr>
          <w:p>
            <w:pPr>
              <w:ind w:firstLine="420"/>
              <w:jc w:val="center"/>
              <w:rPr>
                <w:b w:val="0"/>
                <w:bCs/>
                <w:szCs w:val="21"/>
                <w:u w:val="none"/>
              </w:rPr>
            </w:pPr>
            <w:r>
              <w:rPr>
                <w:b w:val="0"/>
                <w:bCs/>
                <w:szCs w:val="21"/>
                <w:u w:val="none"/>
              </w:rPr>
              <w:t>是否考虑岸线熏烟</w:t>
            </w:r>
          </w:p>
        </w:tc>
        <w:tc>
          <w:tcPr>
            <w:tcW w:w="1666" w:type="pct"/>
            <w:tcBorders>
              <w:tl2br w:val="nil"/>
              <w:tr2bl w:val="nil"/>
            </w:tcBorders>
            <w:noWrap/>
            <w:vAlign w:val="center"/>
          </w:tcPr>
          <w:p>
            <w:pPr>
              <w:ind w:firstLine="420"/>
              <w:jc w:val="center"/>
              <w:rPr>
                <w:b w:val="0"/>
                <w:bCs/>
                <w:szCs w:val="21"/>
                <w:u w:val="none"/>
              </w:rPr>
            </w:pPr>
            <w:r>
              <w:rPr>
                <w:b w:val="0"/>
                <w:bCs/>
                <w:szCs w:val="21"/>
                <w:u w:val="none"/>
              </w:rPr>
              <w:t>考虑岸线熏烟</w:t>
            </w:r>
          </w:p>
        </w:tc>
        <w:tc>
          <w:tcPr>
            <w:tcW w:w="1666" w:type="pct"/>
            <w:tcBorders>
              <w:tl2br w:val="nil"/>
              <w:tr2bl w:val="nil"/>
            </w:tcBorders>
            <w:noWrap/>
            <w:vAlign w:val="center"/>
          </w:tcPr>
          <w:p>
            <w:pPr>
              <w:ind w:firstLine="420"/>
              <w:jc w:val="center"/>
              <w:rPr>
                <w:b w:val="0"/>
                <w:bCs/>
                <w:szCs w:val="21"/>
                <w:u w:val="none"/>
              </w:rPr>
            </w:pPr>
            <w:r>
              <w:rPr>
                <w:b w:val="0"/>
                <w:bCs/>
                <w:szCs w:val="21"/>
                <w:u w:val="none"/>
              </w:rPr>
              <w:sym w:font="Wingdings" w:char="00A8"/>
            </w:r>
            <w:r>
              <w:rPr>
                <w:b w:val="0"/>
                <w:bCs/>
                <w:szCs w:val="21"/>
                <w:u w:val="none"/>
              </w:rPr>
              <w:t xml:space="preserve">是  </w:t>
            </w:r>
            <w:r>
              <w:rPr>
                <w:b w:val="0"/>
                <w:bCs/>
                <w:szCs w:val="21"/>
                <w:u w:val="none"/>
              </w:rPr>
              <w:sym w:font="Wingdings" w:char="00FE"/>
            </w:r>
            <w:r>
              <w:rPr>
                <w:b w:val="0"/>
                <w:bCs/>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tcBorders>
              <w:tl2br w:val="nil"/>
              <w:tr2bl w:val="nil"/>
            </w:tcBorders>
            <w:noWrap/>
            <w:vAlign w:val="center"/>
          </w:tcPr>
          <w:p>
            <w:pPr>
              <w:ind w:firstLine="420"/>
              <w:jc w:val="center"/>
              <w:rPr>
                <w:b w:val="0"/>
                <w:bCs/>
                <w:szCs w:val="21"/>
                <w:u w:val="none"/>
              </w:rPr>
            </w:pPr>
          </w:p>
        </w:tc>
        <w:tc>
          <w:tcPr>
            <w:tcW w:w="1666" w:type="pct"/>
            <w:tcBorders>
              <w:tl2br w:val="nil"/>
              <w:tr2bl w:val="nil"/>
            </w:tcBorders>
            <w:noWrap/>
            <w:vAlign w:val="center"/>
          </w:tcPr>
          <w:p>
            <w:pPr>
              <w:ind w:firstLine="420"/>
              <w:jc w:val="center"/>
              <w:rPr>
                <w:b w:val="0"/>
                <w:bCs/>
                <w:szCs w:val="21"/>
                <w:u w:val="none"/>
              </w:rPr>
            </w:pPr>
            <w:r>
              <w:rPr>
                <w:b w:val="0"/>
                <w:bCs/>
                <w:szCs w:val="21"/>
                <w:u w:val="none"/>
              </w:rPr>
              <w:t>岸线距离/km</w:t>
            </w:r>
          </w:p>
        </w:tc>
        <w:tc>
          <w:tcPr>
            <w:tcW w:w="1666" w:type="pct"/>
            <w:tcBorders>
              <w:tl2br w:val="nil"/>
              <w:tr2bl w:val="nil"/>
            </w:tcBorders>
            <w:noWrap/>
            <w:vAlign w:val="center"/>
          </w:tcPr>
          <w:p>
            <w:pPr>
              <w:ind w:firstLine="420"/>
              <w:jc w:val="center"/>
              <w:rPr>
                <w:b w:val="0"/>
                <w:bCs/>
                <w:szCs w:val="21"/>
                <w:u w:val="none"/>
              </w:rPr>
            </w:pPr>
            <w:r>
              <w:rPr>
                <w:b w:val="0"/>
                <w:bCs/>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tcBorders>
              <w:tl2br w:val="nil"/>
              <w:tr2bl w:val="nil"/>
            </w:tcBorders>
            <w:noWrap/>
            <w:vAlign w:val="center"/>
          </w:tcPr>
          <w:p>
            <w:pPr>
              <w:ind w:firstLine="420"/>
              <w:jc w:val="center"/>
              <w:rPr>
                <w:b w:val="0"/>
                <w:bCs/>
                <w:szCs w:val="21"/>
                <w:u w:val="none"/>
              </w:rPr>
            </w:pPr>
          </w:p>
        </w:tc>
        <w:tc>
          <w:tcPr>
            <w:tcW w:w="1666" w:type="pct"/>
            <w:tcBorders>
              <w:tl2br w:val="nil"/>
              <w:tr2bl w:val="nil"/>
            </w:tcBorders>
            <w:noWrap/>
            <w:vAlign w:val="center"/>
          </w:tcPr>
          <w:p>
            <w:pPr>
              <w:ind w:firstLine="420"/>
              <w:jc w:val="center"/>
              <w:rPr>
                <w:b w:val="0"/>
                <w:bCs/>
                <w:szCs w:val="21"/>
                <w:u w:val="none"/>
              </w:rPr>
            </w:pPr>
            <w:r>
              <w:rPr>
                <w:b w:val="0"/>
                <w:bCs/>
                <w:szCs w:val="21"/>
                <w:u w:val="none"/>
              </w:rPr>
              <w:t>岸线方向/°</w:t>
            </w:r>
          </w:p>
        </w:tc>
        <w:tc>
          <w:tcPr>
            <w:tcW w:w="1666" w:type="pct"/>
            <w:tcBorders>
              <w:tl2br w:val="nil"/>
              <w:tr2bl w:val="nil"/>
            </w:tcBorders>
            <w:noWrap/>
            <w:vAlign w:val="center"/>
          </w:tcPr>
          <w:p>
            <w:pPr>
              <w:ind w:firstLine="420"/>
              <w:jc w:val="center"/>
              <w:rPr>
                <w:b w:val="0"/>
                <w:bCs/>
                <w:szCs w:val="21"/>
                <w:u w:val="none"/>
              </w:rPr>
            </w:pPr>
            <w:r>
              <w:rPr>
                <w:b w:val="0"/>
                <w:bCs/>
                <w:szCs w:val="21"/>
                <w:u w:val="none"/>
              </w:rPr>
              <w:t>/</w:t>
            </w:r>
          </w:p>
        </w:tc>
      </w:tr>
    </w:tbl>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5</w:t>
      </w:r>
      <w:r>
        <w:rPr>
          <w:b w:val="0"/>
          <w:bCs/>
          <w:color w:val="000000"/>
          <w:sz w:val="24"/>
          <w:u w:val="none"/>
        </w:rPr>
        <w:t>、预测范围、预测方案</w:t>
      </w:r>
    </w:p>
    <w:p>
      <w:pPr>
        <w:adjustRightInd w:val="0"/>
        <w:snapToGrid w:val="0"/>
        <w:spacing w:line="500" w:lineRule="exact"/>
        <w:ind w:firstLine="480" w:firstLineChars="200"/>
        <w:rPr>
          <w:b w:val="0"/>
          <w:bCs/>
          <w:color w:val="000000"/>
          <w:sz w:val="24"/>
          <w:u w:val="none"/>
        </w:rPr>
      </w:pPr>
      <w:r>
        <w:rPr>
          <w:rFonts w:hint="eastAsia" w:ascii="宋体" w:hAnsi="宋体" w:cs="宋体"/>
          <w:b w:val="0"/>
          <w:bCs/>
          <w:color w:val="000000"/>
          <w:sz w:val="24"/>
          <w:u w:val="none"/>
        </w:rPr>
        <w:t>①</w:t>
      </w:r>
      <w:r>
        <w:rPr>
          <w:b w:val="0"/>
          <w:bCs/>
          <w:color w:val="000000"/>
          <w:sz w:val="24"/>
          <w:u w:val="none"/>
        </w:rPr>
        <w:t>预测范围：分别以拟建项目场址中心为预测范围中心点，向E、S、W、N各延伸2.5km，总面积分别为2.5km</w:t>
      </w:r>
      <w:r>
        <w:rPr>
          <w:b w:val="0"/>
          <w:bCs/>
          <w:color w:val="000000"/>
          <w:sz w:val="24"/>
          <w:u w:val="none"/>
          <w:vertAlign w:val="superscript"/>
        </w:rPr>
        <w:t>2</w:t>
      </w:r>
      <w:r>
        <w:rPr>
          <w:b w:val="0"/>
          <w:bCs/>
          <w:color w:val="000000"/>
          <w:sz w:val="24"/>
          <w:u w:val="none"/>
        </w:rPr>
        <w:t>。</w:t>
      </w:r>
    </w:p>
    <w:p>
      <w:pPr>
        <w:adjustRightInd w:val="0"/>
        <w:snapToGrid w:val="0"/>
        <w:spacing w:line="500" w:lineRule="exact"/>
        <w:ind w:firstLine="480" w:firstLineChars="200"/>
        <w:rPr>
          <w:b w:val="0"/>
          <w:bCs/>
          <w:color w:val="000000"/>
          <w:sz w:val="24"/>
          <w:u w:val="none"/>
        </w:rPr>
      </w:pPr>
      <w:r>
        <w:rPr>
          <w:rFonts w:hint="eastAsia" w:ascii="宋体" w:hAnsi="宋体" w:cs="宋体"/>
          <w:b w:val="0"/>
          <w:bCs/>
          <w:color w:val="000000"/>
          <w:sz w:val="24"/>
          <w:u w:val="none"/>
        </w:rPr>
        <w:t>②</w:t>
      </w:r>
      <w:r>
        <w:rPr>
          <w:b w:val="0"/>
          <w:bCs/>
          <w:color w:val="000000"/>
          <w:sz w:val="24"/>
          <w:u w:val="none"/>
        </w:rPr>
        <w:t>预测方案：根据HJ2.2-2018要求，大气预测主要考虑项目建成后正常排放下各污染物对评价区域和环境空气敏感点的最大影响，预测内容包括计算评价区小时平均浓度、各场界浓度达标分析、计算无组织排放源的大气环境防护距离、确定卫生防护距离。</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6</w:t>
      </w:r>
      <w:r>
        <w:rPr>
          <w:b w:val="0"/>
          <w:bCs/>
          <w:color w:val="000000"/>
          <w:sz w:val="24"/>
          <w:u w:val="none"/>
        </w:rPr>
        <w:t>、大气环境影响预测结果与评价</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eastAsia="zh-CN"/>
        </w:rPr>
        <w:t>（</w:t>
      </w:r>
      <w:r>
        <w:rPr>
          <w:rFonts w:hint="eastAsia"/>
          <w:b w:val="0"/>
          <w:bCs/>
          <w:color w:val="000000"/>
          <w:sz w:val="24"/>
          <w:u w:val="none"/>
          <w:lang w:val="en-US" w:eastAsia="zh-CN"/>
        </w:rPr>
        <w:t>1</w:t>
      </w:r>
      <w:r>
        <w:rPr>
          <w:rFonts w:hint="eastAsia"/>
          <w:b w:val="0"/>
          <w:bCs/>
          <w:color w:val="000000"/>
          <w:sz w:val="24"/>
          <w:u w:val="none"/>
          <w:lang w:eastAsia="zh-CN"/>
        </w:rPr>
        <w:t>）</w:t>
      </w:r>
      <w:r>
        <w:rPr>
          <w:b w:val="0"/>
          <w:bCs/>
          <w:color w:val="000000"/>
          <w:sz w:val="24"/>
          <w:u w:val="none"/>
        </w:rPr>
        <w:t>无组织排放污染源贡献浓度预测</w:t>
      </w:r>
    </w:p>
    <w:p>
      <w:pPr>
        <w:adjustRightInd w:val="0"/>
        <w:snapToGrid w:val="0"/>
        <w:spacing w:line="500" w:lineRule="exact"/>
        <w:ind w:firstLine="480" w:firstLineChars="200"/>
        <w:rPr>
          <w:b w:val="0"/>
          <w:bCs/>
          <w:color w:val="000000"/>
          <w:sz w:val="24"/>
          <w:u w:val="none"/>
        </w:rPr>
      </w:pPr>
      <w:r>
        <w:rPr>
          <w:b w:val="0"/>
          <w:bCs/>
          <w:color w:val="000000"/>
          <w:sz w:val="24"/>
          <w:u w:val="none"/>
        </w:rPr>
        <w:t>本次无组织排放污染源贡献浓度预测结果见下表。</w:t>
      </w:r>
    </w:p>
    <w:p>
      <w:pPr>
        <w:jc w:val="center"/>
        <w:rPr>
          <w:b w:val="0"/>
          <w:bCs/>
          <w:color w:val="000000"/>
          <w:sz w:val="24"/>
          <w:u w:val="none"/>
        </w:rPr>
      </w:pPr>
      <w:r>
        <w:rPr>
          <w:b/>
          <w:bCs w:val="0"/>
          <w:color w:val="000000"/>
          <w:szCs w:val="21"/>
          <w:u w:val="none"/>
        </w:rPr>
        <w:t>表</w:t>
      </w:r>
      <w:r>
        <w:rPr>
          <w:rFonts w:hint="eastAsia"/>
          <w:b/>
          <w:bCs w:val="0"/>
          <w:color w:val="000000"/>
          <w:szCs w:val="21"/>
          <w:u w:val="none"/>
          <w:lang w:val="en-US" w:eastAsia="zh-CN"/>
        </w:rPr>
        <w:t>4.2-4</w:t>
      </w:r>
      <w:r>
        <w:rPr>
          <w:b/>
          <w:bCs w:val="0"/>
          <w:color w:val="000000"/>
          <w:szCs w:val="21"/>
          <w:u w:val="none"/>
        </w:rPr>
        <w:t xml:space="preserve">    本项目无组织排放NH</w:t>
      </w:r>
      <w:r>
        <w:rPr>
          <w:b/>
          <w:bCs w:val="0"/>
          <w:color w:val="000000"/>
          <w:szCs w:val="21"/>
          <w:u w:val="none"/>
          <w:vertAlign w:val="subscript"/>
        </w:rPr>
        <w:t>3</w:t>
      </w:r>
      <w:r>
        <w:rPr>
          <w:b/>
          <w:bCs w:val="0"/>
          <w:color w:val="000000"/>
          <w:szCs w:val="21"/>
          <w:u w:val="none"/>
        </w:rPr>
        <w:t>及H</w:t>
      </w:r>
      <w:r>
        <w:rPr>
          <w:b/>
          <w:bCs w:val="0"/>
          <w:color w:val="000000"/>
          <w:szCs w:val="21"/>
          <w:u w:val="none"/>
          <w:vertAlign w:val="subscript"/>
        </w:rPr>
        <w:t>2</w:t>
      </w:r>
      <w:r>
        <w:rPr>
          <w:b/>
          <w:bCs w:val="0"/>
          <w:color w:val="000000"/>
          <w:szCs w:val="21"/>
          <w:u w:val="none"/>
        </w:rPr>
        <w:t>S贡献值预测结果</w:t>
      </w:r>
      <w:r>
        <w:rPr>
          <w:b w:val="0"/>
          <w:bCs/>
          <w:color w:val="000000"/>
          <w:szCs w:val="21"/>
          <w:u w:val="none"/>
        </w:rPr>
        <w:t>（mg/m</w:t>
      </w:r>
      <w:r>
        <w:rPr>
          <w:b w:val="0"/>
          <w:bCs/>
          <w:color w:val="000000"/>
          <w:szCs w:val="21"/>
          <w:u w:val="none"/>
          <w:vertAlign w:val="superscript"/>
        </w:rPr>
        <w:t>3</w:t>
      </w:r>
      <w:r>
        <w:rPr>
          <w:b w:val="0"/>
          <w:bCs/>
          <w:color w:val="000000"/>
          <w:szCs w:val="21"/>
          <w:u w:val="none"/>
        </w:rPr>
        <w:t>）</w:t>
      </w:r>
    </w:p>
    <w:tbl>
      <w:tblPr>
        <w:tblStyle w:val="45"/>
        <w:tblW w:w="884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57" w:type="dxa"/>
          <w:bottom w:w="0" w:type="dxa"/>
          <w:right w:w="57" w:type="dxa"/>
        </w:tblCellMar>
      </w:tblPr>
      <w:tblGrid>
        <w:gridCol w:w="1676"/>
        <w:gridCol w:w="1785"/>
        <w:gridCol w:w="1629"/>
        <w:gridCol w:w="2128"/>
        <w:gridCol w:w="1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trPr>
        <w:tc>
          <w:tcPr>
            <w:tcW w:w="1676" w:type="dxa"/>
            <w:vMerge w:val="restart"/>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距离（m）</w:t>
            </w:r>
          </w:p>
        </w:tc>
        <w:tc>
          <w:tcPr>
            <w:tcW w:w="3414" w:type="dxa"/>
            <w:gridSpan w:val="2"/>
            <w:tcBorders>
              <w:top w:val="single" w:color="auto" w:sz="12" w:space="0"/>
              <w:left w:val="single" w:color="auto" w:sz="4" w:space="0"/>
              <w:bottom w:val="single" w:color="auto" w:sz="4" w:space="0"/>
              <w:right w:val="single" w:color="auto" w:sz="4" w:space="0"/>
            </w:tcBorders>
            <w:vAlign w:val="center"/>
          </w:tcPr>
          <w:p>
            <w:pPr>
              <w:ind w:firstLine="396" w:firstLineChars="200"/>
              <w:jc w:val="center"/>
              <w:rPr>
                <w:b w:val="0"/>
                <w:bCs/>
                <w:color w:val="000000"/>
                <w:spacing w:val="-6"/>
                <w:szCs w:val="21"/>
                <w:u w:val="none"/>
              </w:rPr>
            </w:pPr>
            <w:r>
              <w:rPr>
                <w:b w:val="0"/>
                <w:bCs/>
                <w:color w:val="000000"/>
                <w:spacing w:val="-6"/>
                <w:kern w:val="0"/>
                <w:szCs w:val="21"/>
                <w:u w:val="none"/>
              </w:rPr>
              <w:t>NH</w:t>
            </w:r>
            <w:r>
              <w:rPr>
                <w:b w:val="0"/>
                <w:bCs/>
                <w:color w:val="000000"/>
                <w:spacing w:val="-6"/>
                <w:kern w:val="0"/>
                <w:szCs w:val="21"/>
                <w:u w:val="none"/>
                <w:vertAlign w:val="subscript"/>
              </w:rPr>
              <w:t>3</w:t>
            </w:r>
            <w:r>
              <w:rPr>
                <w:b w:val="0"/>
                <w:bCs/>
                <w:color w:val="000000"/>
                <w:spacing w:val="-6"/>
                <w:kern w:val="0"/>
                <w:szCs w:val="21"/>
                <w:u w:val="none"/>
              </w:rPr>
              <w:t>1小时最大浓度</w:t>
            </w:r>
          </w:p>
        </w:tc>
        <w:tc>
          <w:tcPr>
            <w:tcW w:w="3756" w:type="dxa"/>
            <w:gridSpan w:val="2"/>
            <w:tcBorders>
              <w:top w:val="single" w:color="auto" w:sz="12" w:space="0"/>
              <w:left w:val="single" w:color="auto" w:sz="4" w:space="0"/>
              <w:bottom w:val="single" w:color="auto" w:sz="4" w:space="0"/>
              <w:right w:val="single" w:color="auto" w:sz="12" w:space="0"/>
            </w:tcBorders>
            <w:vAlign w:val="center"/>
          </w:tcPr>
          <w:p>
            <w:pPr>
              <w:jc w:val="center"/>
              <w:rPr>
                <w:b w:val="0"/>
                <w:bCs/>
                <w:color w:val="000000"/>
                <w:spacing w:val="-6"/>
                <w:szCs w:val="21"/>
                <w:u w:val="none"/>
              </w:rPr>
            </w:pPr>
            <w:r>
              <w:rPr>
                <w:b w:val="0"/>
                <w:bCs/>
                <w:color w:val="000000"/>
                <w:spacing w:val="-6"/>
                <w:kern w:val="0"/>
                <w:szCs w:val="21"/>
                <w:u w:val="none"/>
              </w:rPr>
              <w:t>H</w:t>
            </w:r>
            <w:r>
              <w:rPr>
                <w:b w:val="0"/>
                <w:bCs/>
                <w:color w:val="000000"/>
                <w:spacing w:val="-6"/>
                <w:kern w:val="0"/>
                <w:szCs w:val="21"/>
                <w:u w:val="none"/>
                <w:vertAlign w:val="subscript"/>
              </w:rPr>
              <w:t>2</w:t>
            </w:r>
            <w:r>
              <w:rPr>
                <w:b w:val="0"/>
                <w:bCs/>
                <w:color w:val="000000"/>
                <w:spacing w:val="-6"/>
                <w:kern w:val="0"/>
                <w:szCs w:val="21"/>
                <w:u w:val="none"/>
              </w:rPr>
              <w:t>S1小时平均最大浓度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trPr>
        <w:tc>
          <w:tcPr>
            <w:tcW w:w="1676" w:type="dxa"/>
            <w:vMerge w:val="continue"/>
            <w:tcBorders>
              <w:top w:val="single" w:color="auto" w:sz="4" w:space="0"/>
              <w:left w:val="single" w:color="auto" w:sz="12" w:space="0"/>
              <w:bottom w:val="single" w:color="auto" w:sz="4" w:space="0"/>
              <w:right w:val="single" w:color="auto" w:sz="4" w:space="0"/>
            </w:tcBorders>
            <w:vAlign w:val="center"/>
          </w:tcPr>
          <w:p>
            <w:pPr>
              <w:jc w:val="center"/>
              <w:rPr>
                <w:b w:val="0"/>
                <w:bCs/>
                <w:color w:val="000000"/>
                <w:szCs w:val="21"/>
                <w:u w:val="none"/>
              </w:rPr>
            </w:pPr>
          </w:p>
        </w:tc>
        <w:tc>
          <w:tcPr>
            <w:tcW w:w="17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预测浓度</w:t>
            </w:r>
          </w:p>
        </w:tc>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占标率%</w:t>
            </w:r>
          </w:p>
        </w:tc>
        <w:tc>
          <w:tcPr>
            <w:tcW w:w="21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预测浓度</w:t>
            </w:r>
          </w:p>
        </w:tc>
        <w:tc>
          <w:tcPr>
            <w:tcW w:w="1628"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占标率%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0.002935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1.47</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0.00019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1.90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tcMar>
              <w:left w:w="28" w:type="dxa"/>
              <w:right w:w="28" w:type="dxa"/>
            </w:tcMar>
            <w:vAlign w:val="center"/>
          </w:tcPr>
          <w:p>
            <w:pPr>
              <w:widowControl/>
              <w:jc w:val="center"/>
              <w:textAlignment w:val="center"/>
              <w:rPr>
                <w:b w:val="0"/>
                <w:bCs/>
                <w:color w:val="000000"/>
                <w:spacing w:val="-6"/>
                <w:szCs w:val="21"/>
                <w:u w:val="none"/>
              </w:rPr>
            </w:pPr>
            <w:r>
              <w:rPr>
                <w:b w:val="0"/>
                <w:bCs/>
                <w:color w:val="000000"/>
                <w:kern w:val="0"/>
                <w:szCs w:val="21"/>
                <w:u w:val="none"/>
              </w:rPr>
              <w:t>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0.006396</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3.20</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0.000414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4.14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0.007342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3.67</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0.000475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4.75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0.006319</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3.16</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0.000409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4.09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0.005576</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2.79</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0.000361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3.61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0.005001</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2.50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0.000324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3.24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0.004539</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2.27</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0.000294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2.94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0.00416</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2.08</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0.000269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0.004164</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2.08</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0.000269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0.003832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1.92</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0.000248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2.48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0.003557</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1.78</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0.003326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1.66</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0.000215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0.003128</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1.56</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0.000202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2.02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0.002957</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1.48</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0.000191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1.91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0.002807</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1.40</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0.000182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1.82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0.002674</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1.34</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0.000173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1.73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0.002555</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1.28</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0.000165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1.65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0.002161</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rPr>
              <w:t>1.</w:t>
            </w:r>
            <w:r>
              <w:rPr>
                <w:rFonts w:hint="eastAsia"/>
                <w:b w:val="0"/>
                <w:bCs/>
                <w:color w:val="000000"/>
                <w:sz w:val="22"/>
                <w:szCs w:val="22"/>
                <w:u w:val="none"/>
                <w:lang w:val="en-US" w:eastAsia="zh-CN"/>
              </w:rPr>
              <w:t>08</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rPr>
              <w:t>1.</w:t>
            </w:r>
            <w:r>
              <w:rPr>
                <w:rFonts w:hint="eastAsia"/>
                <w:b w:val="0"/>
                <w:bCs/>
                <w:color w:val="000000"/>
                <w:sz w:val="22"/>
                <w:szCs w:val="22"/>
                <w:u w:val="none"/>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1800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0.002076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1.04</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0.000125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1900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0.001998</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2000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0.001928</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0.96</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0.000116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2100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0.001863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0.93</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0.000112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2200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0.001803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0.90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0.000108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2300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0.001747</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0.87</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0.000105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eastAsia="宋体"/>
                <w:b w:val="0"/>
                <w:bCs/>
                <w:color w:val="000000"/>
                <w:kern w:val="0"/>
                <w:szCs w:val="21"/>
                <w:u w:val="none"/>
                <w:lang w:val="en-US" w:eastAsia="zh-CN"/>
              </w:rPr>
            </w:pPr>
            <w:r>
              <w:rPr>
                <w:rFonts w:hint="eastAsia"/>
                <w:b w:val="0"/>
                <w:bCs/>
                <w:color w:val="000000"/>
                <w:kern w:val="0"/>
                <w:szCs w:val="21"/>
                <w:u w:val="none"/>
                <w:lang w:val="en-US" w:eastAsia="zh-CN"/>
              </w:rPr>
              <w:t>2400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0.001696</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0.85</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0.000102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1.02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hint="default"/>
                <w:b w:val="0"/>
                <w:bCs/>
                <w:color w:val="000000"/>
                <w:kern w:val="0"/>
                <w:szCs w:val="21"/>
                <w:u w:val="none"/>
                <w:lang w:val="en-US" w:eastAsia="zh-CN"/>
              </w:rPr>
            </w:pPr>
            <w:r>
              <w:rPr>
                <w:rFonts w:hint="eastAsia"/>
                <w:b w:val="0"/>
                <w:bCs/>
                <w:color w:val="000000"/>
                <w:kern w:val="0"/>
                <w:szCs w:val="21"/>
                <w:u w:val="none"/>
                <w:lang w:val="en-US" w:eastAsia="zh-CN"/>
              </w:rPr>
              <w:t>2500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0.001648</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0.82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eastAsia"/>
                <w:b w:val="0"/>
                <w:bCs/>
                <w:color w:val="000000"/>
                <w:sz w:val="22"/>
                <w:szCs w:val="22"/>
                <w:u w:val="none"/>
              </w:rPr>
            </w:pPr>
            <w:r>
              <w:rPr>
                <w:rFonts w:hint="eastAsia"/>
                <w:b w:val="0"/>
                <w:bCs/>
                <w:color w:val="000000"/>
                <w:sz w:val="22"/>
                <w:szCs w:val="22"/>
                <w:u w:val="none"/>
              </w:rPr>
              <w:t>0.000099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0.99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最大浓度（</w:t>
            </w:r>
            <w:r>
              <w:rPr>
                <w:rFonts w:hint="eastAsia"/>
                <w:b w:val="0"/>
                <w:bCs/>
                <w:color w:val="000000"/>
                <w:spacing w:val="-6"/>
                <w:kern w:val="0"/>
                <w:szCs w:val="21"/>
                <w:u w:val="none"/>
                <w:lang w:val="en-US" w:eastAsia="zh-CN"/>
              </w:rPr>
              <w:t>162</w:t>
            </w:r>
            <w:r>
              <w:rPr>
                <w:b w:val="0"/>
                <w:bCs/>
                <w:color w:val="000000"/>
                <w:spacing w:val="-6"/>
                <w:kern w:val="0"/>
                <w:szCs w:val="21"/>
                <w:u w:val="none"/>
              </w:rPr>
              <w:t>m）</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0.007654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3.83</w:t>
            </w:r>
            <w:r>
              <w:rPr>
                <w:rFonts w:hint="eastAsia"/>
                <w:b w:val="0"/>
                <w:bCs/>
                <w:color w:val="000000"/>
                <w:sz w:val="22"/>
                <w:szCs w:val="22"/>
                <w:u w:val="none"/>
              </w:rPr>
              <w:tab/>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0.000495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rPr>
              <w:t>4.95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标准</w:t>
            </w:r>
          </w:p>
        </w:tc>
        <w:tc>
          <w:tcPr>
            <w:tcW w:w="3414" w:type="dxa"/>
            <w:gridSpan w:val="2"/>
            <w:tcBorders>
              <w:top w:val="single" w:color="auto" w:sz="4" w:space="0"/>
              <w:left w:val="single" w:color="auto" w:sz="4" w:space="0"/>
              <w:bottom w:val="single" w:color="auto" w:sz="12" w:space="0"/>
              <w:right w:val="single" w:color="auto" w:sz="4" w:space="0"/>
            </w:tcBorders>
            <w:vAlign w:val="center"/>
          </w:tcPr>
          <w:p>
            <w:pPr>
              <w:jc w:val="center"/>
              <w:rPr>
                <w:b w:val="0"/>
                <w:bCs/>
                <w:color w:val="000000"/>
                <w:spacing w:val="-6"/>
                <w:szCs w:val="21"/>
                <w:u w:val="none"/>
              </w:rPr>
            </w:pPr>
            <w:r>
              <w:rPr>
                <w:b w:val="0"/>
                <w:bCs/>
                <w:color w:val="000000"/>
                <w:spacing w:val="-6"/>
                <w:kern w:val="0"/>
                <w:szCs w:val="21"/>
                <w:u w:val="none"/>
              </w:rPr>
              <w:t>0.2mg/m</w:t>
            </w:r>
            <w:r>
              <w:rPr>
                <w:b w:val="0"/>
                <w:bCs/>
                <w:color w:val="000000"/>
                <w:spacing w:val="-6"/>
                <w:kern w:val="0"/>
                <w:szCs w:val="21"/>
                <w:u w:val="none"/>
                <w:vertAlign w:val="superscript"/>
              </w:rPr>
              <w:t>3</w:t>
            </w:r>
          </w:p>
        </w:tc>
        <w:tc>
          <w:tcPr>
            <w:tcW w:w="3756" w:type="dxa"/>
            <w:gridSpan w:val="2"/>
            <w:tcBorders>
              <w:top w:val="single" w:color="auto" w:sz="4" w:space="0"/>
              <w:left w:val="single" w:color="auto" w:sz="4" w:space="0"/>
              <w:bottom w:val="single" w:color="auto" w:sz="12" w:space="0"/>
              <w:right w:val="single" w:color="auto" w:sz="12" w:space="0"/>
            </w:tcBorders>
            <w:vAlign w:val="center"/>
          </w:tcPr>
          <w:p>
            <w:pPr>
              <w:jc w:val="center"/>
              <w:rPr>
                <w:b w:val="0"/>
                <w:bCs/>
                <w:color w:val="000000"/>
                <w:spacing w:val="-6"/>
                <w:szCs w:val="21"/>
                <w:u w:val="none"/>
              </w:rPr>
            </w:pPr>
            <w:r>
              <w:rPr>
                <w:b w:val="0"/>
                <w:bCs/>
                <w:color w:val="000000"/>
                <w:spacing w:val="-6"/>
                <w:kern w:val="0"/>
                <w:szCs w:val="21"/>
                <w:u w:val="none"/>
              </w:rPr>
              <w:t>0.01 mg/m</w:t>
            </w:r>
            <w:r>
              <w:rPr>
                <w:b w:val="0"/>
                <w:bCs/>
                <w:color w:val="000000"/>
                <w:spacing w:val="-6"/>
                <w:kern w:val="0"/>
                <w:szCs w:val="21"/>
                <w:u w:val="none"/>
                <w:vertAlign w:val="superscript"/>
              </w:rPr>
              <w:t>3</w:t>
            </w:r>
          </w:p>
        </w:tc>
      </w:tr>
    </w:tbl>
    <w:p>
      <w:pPr>
        <w:adjustRightInd w:val="0"/>
        <w:snapToGrid w:val="0"/>
        <w:spacing w:line="500" w:lineRule="exact"/>
        <w:ind w:firstLine="480" w:firstLineChars="200"/>
        <w:rPr>
          <w:b w:val="0"/>
          <w:bCs/>
          <w:color w:val="000000"/>
          <w:sz w:val="24"/>
          <w:u w:val="none"/>
        </w:rPr>
      </w:pPr>
      <w:r>
        <w:rPr>
          <w:b w:val="0"/>
          <w:bCs/>
          <w:color w:val="000000"/>
          <w:sz w:val="24"/>
          <w:u w:val="none"/>
        </w:rPr>
        <w:t>从上表可以看出，本项目无组织排放NH</w:t>
      </w:r>
      <w:r>
        <w:rPr>
          <w:b w:val="0"/>
          <w:bCs/>
          <w:color w:val="000000"/>
          <w:sz w:val="24"/>
          <w:u w:val="none"/>
          <w:vertAlign w:val="subscript"/>
        </w:rPr>
        <w:t>3</w:t>
      </w:r>
      <w:r>
        <w:rPr>
          <w:b w:val="0"/>
          <w:bCs/>
          <w:color w:val="000000"/>
          <w:sz w:val="24"/>
          <w:u w:val="none"/>
        </w:rPr>
        <w:t>、H</w:t>
      </w:r>
      <w:r>
        <w:rPr>
          <w:b w:val="0"/>
          <w:bCs/>
          <w:color w:val="000000"/>
          <w:sz w:val="24"/>
          <w:u w:val="none"/>
          <w:vertAlign w:val="subscript"/>
        </w:rPr>
        <w:t>2</w:t>
      </w:r>
      <w:r>
        <w:rPr>
          <w:b w:val="0"/>
          <w:bCs/>
          <w:color w:val="000000"/>
          <w:sz w:val="24"/>
          <w:u w:val="none"/>
        </w:rPr>
        <w:t>S对敏感点NH</w:t>
      </w:r>
      <w:r>
        <w:rPr>
          <w:b w:val="0"/>
          <w:bCs/>
          <w:color w:val="000000"/>
          <w:sz w:val="24"/>
          <w:u w:val="none"/>
          <w:vertAlign w:val="subscript"/>
        </w:rPr>
        <w:t>3</w:t>
      </w:r>
      <w:r>
        <w:rPr>
          <w:b w:val="0"/>
          <w:bCs/>
          <w:color w:val="000000"/>
          <w:sz w:val="24"/>
          <w:u w:val="none"/>
        </w:rPr>
        <w:t>、H</w:t>
      </w:r>
      <w:r>
        <w:rPr>
          <w:b w:val="0"/>
          <w:bCs/>
          <w:color w:val="000000"/>
          <w:sz w:val="24"/>
          <w:u w:val="none"/>
          <w:vertAlign w:val="subscript"/>
        </w:rPr>
        <w:t>2</w:t>
      </w:r>
      <w:r>
        <w:rPr>
          <w:b w:val="0"/>
          <w:bCs/>
          <w:color w:val="000000"/>
          <w:sz w:val="24"/>
          <w:u w:val="none"/>
        </w:rPr>
        <w:t>S小时最大浓度贡献值出现在</w:t>
      </w:r>
      <w:r>
        <w:rPr>
          <w:rFonts w:hint="eastAsia"/>
          <w:b w:val="0"/>
          <w:bCs/>
          <w:color w:val="000000"/>
          <w:sz w:val="24"/>
          <w:u w:val="none"/>
          <w:lang w:val="en-US" w:eastAsia="zh-CN"/>
        </w:rPr>
        <w:t>162</w:t>
      </w:r>
      <w:r>
        <w:rPr>
          <w:b w:val="0"/>
          <w:bCs/>
          <w:color w:val="000000"/>
          <w:sz w:val="24"/>
          <w:u w:val="none"/>
        </w:rPr>
        <w:t>m，占标率分别为</w:t>
      </w:r>
      <w:r>
        <w:rPr>
          <w:rFonts w:hint="eastAsia"/>
          <w:b w:val="0"/>
          <w:bCs/>
          <w:color w:val="000000"/>
          <w:sz w:val="24"/>
          <w:u w:val="none"/>
          <w:lang w:val="en-US" w:eastAsia="zh-CN"/>
        </w:rPr>
        <w:t>3.83</w:t>
      </w:r>
      <w:r>
        <w:rPr>
          <w:b w:val="0"/>
          <w:bCs/>
          <w:color w:val="000000"/>
          <w:sz w:val="24"/>
          <w:u w:val="none"/>
        </w:rPr>
        <w:t>%、</w:t>
      </w:r>
      <w:r>
        <w:rPr>
          <w:rFonts w:hint="eastAsia"/>
          <w:b w:val="0"/>
          <w:bCs/>
          <w:color w:val="000000"/>
          <w:sz w:val="24"/>
          <w:u w:val="none"/>
          <w:lang w:val="en-US" w:eastAsia="zh-CN"/>
        </w:rPr>
        <w:t>4.95</w:t>
      </w:r>
      <w:r>
        <w:rPr>
          <w:b w:val="0"/>
          <w:bCs/>
          <w:color w:val="000000"/>
          <w:sz w:val="24"/>
          <w:u w:val="none"/>
        </w:rPr>
        <w:t>%。</w:t>
      </w:r>
    </w:p>
    <w:p>
      <w:pPr>
        <w:adjustRightInd w:val="0"/>
        <w:snapToGrid w:val="0"/>
        <w:spacing w:line="500" w:lineRule="exact"/>
        <w:ind w:firstLine="480" w:firstLineChars="200"/>
        <w:rPr>
          <w:b w:val="0"/>
          <w:bCs/>
          <w:color w:val="000000"/>
          <w:sz w:val="24"/>
          <w:u w:val="none"/>
        </w:rPr>
      </w:pPr>
      <w:r>
        <w:rPr>
          <w:b w:val="0"/>
          <w:bCs/>
          <w:color w:val="000000"/>
          <w:sz w:val="24"/>
          <w:u w:val="none"/>
        </w:rPr>
        <w:t>无组织排放厂界浓度贡献值预测</w:t>
      </w:r>
    </w:p>
    <w:p>
      <w:pPr>
        <w:adjustRightInd w:val="0"/>
        <w:snapToGrid w:val="0"/>
        <w:spacing w:line="500" w:lineRule="exact"/>
        <w:ind w:firstLine="480" w:firstLineChars="200"/>
        <w:rPr>
          <w:b w:val="0"/>
          <w:bCs/>
          <w:color w:val="000000"/>
          <w:sz w:val="24"/>
          <w:u w:val="none"/>
        </w:rPr>
      </w:pPr>
      <w:r>
        <w:rPr>
          <w:b w:val="0"/>
          <w:bCs/>
          <w:color w:val="000000"/>
          <w:sz w:val="24"/>
          <w:u w:val="none"/>
        </w:rPr>
        <w:t>预测本项目无组织面源污染物NH</w:t>
      </w:r>
      <w:r>
        <w:rPr>
          <w:b w:val="0"/>
          <w:bCs/>
          <w:color w:val="000000"/>
          <w:sz w:val="24"/>
          <w:u w:val="none"/>
          <w:vertAlign w:val="subscript"/>
        </w:rPr>
        <w:t>3</w:t>
      </w:r>
      <w:r>
        <w:rPr>
          <w:b w:val="0"/>
          <w:bCs/>
          <w:color w:val="000000"/>
          <w:sz w:val="24"/>
          <w:u w:val="none"/>
        </w:rPr>
        <w:t>、H</w:t>
      </w:r>
      <w:r>
        <w:rPr>
          <w:b w:val="0"/>
          <w:bCs/>
          <w:color w:val="000000"/>
          <w:sz w:val="24"/>
          <w:u w:val="none"/>
          <w:vertAlign w:val="subscript"/>
        </w:rPr>
        <w:t>2</w:t>
      </w:r>
      <w:r>
        <w:rPr>
          <w:b w:val="0"/>
          <w:bCs/>
          <w:color w:val="000000"/>
          <w:sz w:val="24"/>
          <w:u w:val="none"/>
        </w:rPr>
        <w:t>S对各场界的贡献值，预测结果见下表。</w:t>
      </w:r>
    </w:p>
    <w:p>
      <w:pPr>
        <w:jc w:val="center"/>
        <w:rPr>
          <w:rFonts w:hint="eastAsia"/>
          <w:b/>
          <w:bCs w:val="0"/>
          <w:color w:val="000000"/>
          <w:szCs w:val="21"/>
          <w:u w:val="none"/>
          <w:lang w:val="en-US" w:eastAsia="zh-CN"/>
        </w:rPr>
      </w:pPr>
      <w:r>
        <w:rPr>
          <w:rFonts w:hint="eastAsia"/>
          <w:b/>
          <w:bCs w:val="0"/>
          <w:color w:val="000000"/>
          <w:szCs w:val="21"/>
          <w:u w:val="none"/>
          <w:lang w:val="en-US" w:eastAsia="zh-CN"/>
        </w:rPr>
        <w:t>表4.2-5       场界无组织排放废气预测结果</w:t>
      </w:r>
    </w:p>
    <w:tbl>
      <w:tblPr>
        <w:tblStyle w:val="45"/>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43"/>
        <w:gridCol w:w="1851"/>
        <w:gridCol w:w="1850"/>
        <w:gridCol w:w="1850"/>
        <w:gridCol w:w="1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443" w:type="dxa"/>
            <w:vMerge w:val="restart"/>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预测点</w:t>
            </w:r>
          </w:p>
        </w:tc>
        <w:tc>
          <w:tcPr>
            <w:tcW w:w="3701" w:type="dxa"/>
            <w:gridSpan w:val="2"/>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NH</w:t>
            </w:r>
            <w:r>
              <w:rPr>
                <w:b w:val="0"/>
                <w:bCs/>
                <w:color w:val="000000"/>
                <w:kern w:val="0"/>
                <w:szCs w:val="21"/>
                <w:u w:val="none"/>
                <w:vertAlign w:val="subscript"/>
              </w:rPr>
              <w:t>3</w:t>
            </w:r>
          </w:p>
        </w:tc>
        <w:tc>
          <w:tcPr>
            <w:tcW w:w="3700" w:type="dxa"/>
            <w:gridSpan w:val="2"/>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H</w:t>
            </w:r>
            <w:r>
              <w:rPr>
                <w:b w:val="0"/>
                <w:bCs/>
                <w:color w:val="000000"/>
                <w:kern w:val="0"/>
                <w:szCs w:val="21"/>
                <w:u w:val="none"/>
                <w:vertAlign w:val="subscript"/>
              </w:rPr>
              <w:t>2</w:t>
            </w:r>
            <w:r>
              <w:rPr>
                <w:b w:val="0"/>
                <w:bCs/>
                <w:color w:val="000000"/>
                <w:kern w:val="0"/>
                <w:szCs w:val="21"/>
                <w:u w:val="non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443" w:type="dxa"/>
            <w:vMerge w:val="continue"/>
            <w:vAlign w:val="center"/>
          </w:tcPr>
          <w:p>
            <w:pPr>
              <w:rPr>
                <w:b w:val="0"/>
                <w:bCs/>
                <w:color w:val="000000"/>
                <w:szCs w:val="21"/>
                <w:u w:val="none"/>
              </w:rPr>
            </w:pPr>
          </w:p>
        </w:tc>
        <w:tc>
          <w:tcPr>
            <w:tcW w:w="1851" w:type="dxa"/>
            <w:vAlign w:val="center"/>
          </w:tcPr>
          <w:p>
            <w:pPr>
              <w:spacing w:line="360" w:lineRule="exact"/>
              <w:jc w:val="center"/>
              <w:rPr>
                <w:b w:val="0"/>
                <w:bCs/>
                <w:color w:val="000000"/>
                <w:szCs w:val="21"/>
                <w:u w:val="none"/>
              </w:rPr>
            </w:pPr>
            <w:r>
              <w:rPr>
                <w:b w:val="0"/>
                <w:bCs/>
                <w:color w:val="000000"/>
                <w:kern w:val="0"/>
                <w:szCs w:val="21"/>
                <w:u w:val="none"/>
              </w:rPr>
              <w:t>预测值（mg/m</w:t>
            </w:r>
            <w:r>
              <w:rPr>
                <w:b w:val="0"/>
                <w:bCs/>
                <w:color w:val="000000"/>
                <w:kern w:val="0"/>
                <w:szCs w:val="21"/>
                <w:u w:val="none"/>
                <w:vertAlign w:val="superscript"/>
              </w:rPr>
              <w:t>3</w:t>
            </w:r>
            <w:r>
              <w:rPr>
                <w:b w:val="0"/>
                <w:bCs/>
                <w:color w:val="000000"/>
                <w:kern w:val="0"/>
                <w:szCs w:val="21"/>
                <w:u w:val="none"/>
              </w:rPr>
              <w:t>）</w:t>
            </w:r>
          </w:p>
        </w:tc>
        <w:tc>
          <w:tcPr>
            <w:tcW w:w="1850" w:type="dxa"/>
            <w:vAlign w:val="center"/>
          </w:tcPr>
          <w:p>
            <w:pPr>
              <w:spacing w:line="360" w:lineRule="exact"/>
              <w:jc w:val="center"/>
              <w:rPr>
                <w:b w:val="0"/>
                <w:bCs/>
                <w:color w:val="000000"/>
                <w:szCs w:val="21"/>
                <w:u w:val="none"/>
              </w:rPr>
            </w:pPr>
            <w:r>
              <w:rPr>
                <w:b w:val="0"/>
                <w:bCs/>
                <w:color w:val="000000"/>
                <w:kern w:val="0"/>
                <w:szCs w:val="21"/>
                <w:u w:val="none"/>
              </w:rPr>
              <w:t>占标率（%）</w:t>
            </w:r>
          </w:p>
        </w:tc>
        <w:tc>
          <w:tcPr>
            <w:tcW w:w="1850" w:type="dxa"/>
            <w:vAlign w:val="center"/>
          </w:tcPr>
          <w:p>
            <w:pPr>
              <w:spacing w:line="360" w:lineRule="exact"/>
              <w:jc w:val="center"/>
              <w:rPr>
                <w:b w:val="0"/>
                <w:bCs/>
                <w:color w:val="000000"/>
                <w:szCs w:val="21"/>
                <w:u w:val="none"/>
              </w:rPr>
            </w:pPr>
            <w:r>
              <w:rPr>
                <w:b w:val="0"/>
                <w:bCs/>
                <w:color w:val="000000"/>
                <w:kern w:val="0"/>
                <w:szCs w:val="21"/>
                <w:u w:val="none"/>
              </w:rPr>
              <w:t>预测值（mg/m</w:t>
            </w:r>
            <w:r>
              <w:rPr>
                <w:b w:val="0"/>
                <w:bCs/>
                <w:color w:val="000000"/>
                <w:kern w:val="0"/>
                <w:szCs w:val="21"/>
                <w:u w:val="none"/>
                <w:vertAlign w:val="superscript"/>
              </w:rPr>
              <w:t>3</w:t>
            </w:r>
            <w:r>
              <w:rPr>
                <w:b w:val="0"/>
                <w:bCs/>
                <w:color w:val="000000"/>
                <w:kern w:val="0"/>
                <w:szCs w:val="21"/>
                <w:u w:val="none"/>
              </w:rPr>
              <w:t>）</w:t>
            </w:r>
          </w:p>
        </w:tc>
        <w:tc>
          <w:tcPr>
            <w:tcW w:w="1850" w:type="dxa"/>
            <w:vAlign w:val="center"/>
          </w:tcPr>
          <w:p>
            <w:pPr>
              <w:spacing w:line="360" w:lineRule="exact"/>
              <w:jc w:val="center"/>
              <w:rPr>
                <w:b w:val="0"/>
                <w:bCs/>
                <w:color w:val="000000"/>
                <w:szCs w:val="21"/>
                <w:u w:val="none"/>
              </w:rPr>
            </w:pPr>
            <w:r>
              <w:rPr>
                <w:b w:val="0"/>
                <w:bCs/>
                <w:color w:val="000000"/>
                <w:kern w:val="0"/>
                <w:szCs w:val="21"/>
                <w:u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北场界</w:t>
            </w:r>
          </w:p>
        </w:tc>
        <w:tc>
          <w:tcPr>
            <w:tcW w:w="1851" w:type="dxa"/>
            <w:vAlign w:val="center"/>
          </w:tcPr>
          <w:p>
            <w:pPr>
              <w:jc w:val="center"/>
              <w:rPr>
                <w:b w:val="0"/>
                <w:bCs/>
                <w:color w:val="000000"/>
                <w:sz w:val="22"/>
                <w:szCs w:val="22"/>
                <w:u w:val="none"/>
              </w:rPr>
            </w:pPr>
            <w:r>
              <w:rPr>
                <w:rFonts w:hint="eastAsia"/>
                <w:b w:val="0"/>
                <w:bCs/>
                <w:color w:val="000000"/>
                <w:sz w:val="22"/>
                <w:szCs w:val="22"/>
                <w:u w:val="none"/>
              </w:rPr>
              <w:t>0.004461</w:t>
            </w:r>
          </w:p>
        </w:tc>
        <w:tc>
          <w:tcPr>
            <w:tcW w:w="1850" w:type="dxa"/>
            <w:vAlign w:val="center"/>
          </w:tcPr>
          <w:p>
            <w:pPr>
              <w:jc w:val="center"/>
              <w:rPr>
                <w:b w:val="0"/>
                <w:bCs/>
                <w:color w:val="000000"/>
                <w:sz w:val="22"/>
                <w:szCs w:val="22"/>
                <w:u w:val="none"/>
              </w:rPr>
            </w:pPr>
            <w:r>
              <w:rPr>
                <w:rFonts w:hint="eastAsia"/>
                <w:b w:val="0"/>
                <w:bCs/>
                <w:color w:val="000000"/>
                <w:sz w:val="22"/>
                <w:szCs w:val="22"/>
                <w:u w:val="none"/>
              </w:rPr>
              <w:t>2.23</w:t>
            </w:r>
            <w:r>
              <w:rPr>
                <w:rFonts w:hint="eastAsia"/>
                <w:b w:val="0"/>
                <w:bCs/>
                <w:color w:val="000000"/>
                <w:sz w:val="22"/>
                <w:szCs w:val="22"/>
                <w:u w:val="none"/>
              </w:rPr>
              <w:tab/>
            </w:r>
          </w:p>
        </w:tc>
        <w:tc>
          <w:tcPr>
            <w:tcW w:w="1850" w:type="dxa"/>
            <w:vAlign w:val="center"/>
          </w:tcPr>
          <w:p>
            <w:pPr>
              <w:jc w:val="center"/>
              <w:rPr>
                <w:b w:val="0"/>
                <w:bCs/>
                <w:color w:val="000000"/>
                <w:sz w:val="22"/>
                <w:szCs w:val="22"/>
                <w:u w:val="none"/>
              </w:rPr>
            </w:pPr>
            <w:r>
              <w:rPr>
                <w:rFonts w:hint="eastAsia"/>
                <w:b w:val="0"/>
                <w:bCs/>
                <w:color w:val="000000"/>
                <w:sz w:val="22"/>
                <w:szCs w:val="22"/>
                <w:u w:val="none"/>
              </w:rPr>
              <w:t>0.000289</w:t>
            </w:r>
          </w:p>
        </w:tc>
        <w:tc>
          <w:tcPr>
            <w:tcW w:w="1850" w:type="dxa"/>
            <w:vAlign w:val="center"/>
          </w:tcPr>
          <w:p>
            <w:pPr>
              <w:jc w:val="center"/>
              <w:rPr>
                <w:b w:val="0"/>
                <w:bCs/>
                <w:color w:val="000000"/>
                <w:sz w:val="22"/>
                <w:szCs w:val="22"/>
                <w:u w:val="none"/>
              </w:rPr>
            </w:pPr>
            <w:r>
              <w:rPr>
                <w:rFonts w:hint="eastAsia"/>
                <w:b w:val="0"/>
                <w:bCs/>
                <w:color w:val="000000"/>
                <w:sz w:val="22"/>
                <w:szCs w:val="22"/>
                <w:u w:val="none"/>
              </w:rPr>
              <w:t>2.89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南场界</w:t>
            </w:r>
          </w:p>
        </w:tc>
        <w:tc>
          <w:tcPr>
            <w:tcW w:w="1851" w:type="dxa"/>
            <w:vAlign w:val="center"/>
          </w:tcPr>
          <w:p>
            <w:pPr>
              <w:jc w:val="center"/>
              <w:rPr>
                <w:b w:val="0"/>
                <w:bCs/>
                <w:color w:val="000000"/>
                <w:szCs w:val="21"/>
                <w:u w:val="none"/>
              </w:rPr>
            </w:pPr>
            <w:r>
              <w:rPr>
                <w:rFonts w:hint="eastAsia"/>
                <w:b w:val="0"/>
                <w:bCs/>
                <w:color w:val="000000"/>
                <w:szCs w:val="21"/>
                <w:u w:val="none"/>
              </w:rPr>
              <w:t>0.005422</w:t>
            </w:r>
          </w:p>
        </w:tc>
        <w:tc>
          <w:tcPr>
            <w:tcW w:w="1850" w:type="dxa"/>
            <w:vAlign w:val="center"/>
          </w:tcPr>
          <w:p>
            <w:pPr>
              <w:jc w:val="center"/>
              <w:rPr>
                <w:b w:val="0"/>
                <w:bCs/>
                <w:color w:val="000000"/>
                <w:szCs w:val="21"/>
                <w:u w:val="none"/>
              </w:rPr>
            </w:pPr>
            <w:r>
              <w:rPr>
                <w:rFonts w:hint="eastAsia"/>
                <w:b w:val="0"/>
                <w:bCs/>
                <w:color w:val="000000"/>
                <w:szCs w:val="21"/>
                <w:u w:val="none"/>
              </w:rPr>
              <w:t>2.71</w:t>
            </w:r>
            <w:r>
              <w:rPr>
                <w:rFonts w:hint="eastAsia"/>
                <w:b w:val="0"/>
                <w:bCs/>
                <w:color w:val="000000"/>
                <w:szCs w:val="21"/>
                <w:u w:val="none"/>
              </w:rPr>
              <w:tab/>
            </w:r>
          </w:p>
        </w:tc>
        <w:tc>
          <w:tcPr>
            <w:tcW w:w="1850" w:type="dxa"/>
            <w:vAlign w:val="center"/>
          </w:tcPr>
          <w:p>
            <w:pPr>
              <w:jc w:val="center"/>
              <w:rPr>
                <w:b w:val="0"/>
                <w:bCs/>
                <w:color w:val="000000"/>
                <w:szCs w:val="21"/>
                <w:u w:val="none"/>
              </w:rPr>
            </w:pPr>
            <w:r>
              <w:rPr>
                <w:rFonts w:hint="eastAsia"/>
                <w:b w:val="0"/>
                <w:bCs/>
                <w:color w:val="000000"/>
                <w:szCs w:val="21"/>
                <w:u w:val="none"/>
              </w:rPr>
              <w:t>0.00035</w:t>
            </w:r>
          </w:p>
        </w:tc>
        <w:tc>
          <w:tcPr>
            <w:tcW w:w="1850" w:type="dxa"/>
            <w:vAlign w:val="center"/>
          </w:tcPr>
          <w:p>
            <w:pPr>
              <w:jc w:val="center"/>
              <w:rPr>
                <w:b w:val="0"/>
                <w:bCs/>
                <w:color w:val="000000"/>
                <w:szCs w:val="21"/>
                <w:u w:val="none"/>
              </w:rPr>
            </w:pPr>
            <w:r>
              <w:rPr>
                <w:rFonts w:hint="eastAsia"/>
                <w:b w:val="0"/>
                <w:bCs/>
                <w:color w:val="000000"/>
                <w:szCs w:val="21"/>
                <w:u w:val="none"/>
              </w:rPr>
              <w:t>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东场界</w:t>
            </w:r>
          </w:p>
        </w:tc>
        <w:tc>
          <w:tcPr>
            <w:tcW w:w="1851" w:type="dxa"/>
            <w:vAlign w:val="center"/>
          </w:tcPr>
          <w:p>
            <w:pPr>
              <w:jc w:val="center"/>
              <w:rPr>
                <w:b w:val="0"/>
                <w:bCs/>
                <w:color w:val="000000"/>
                <w:szCs w:val="21"/>
                <w:u w:val="none"/>
              </w:rPr>
            </w:pPr>
            <w:r>
              <w:rPr>
                <w:rFonts w:hint="eastAsia"/>
                <w:b w:val="0"/>
                <w:bCs/>
                <w:color w:val="000000"/>
                <w:szCs w:val="21"/>
                <w:u w:val="none"/>
              </w:rPr>
              <w:t>0.003504</w:t>
            </w:r>
            <w:r>
              <w:rPr>
                <w:rFonts w:hint="eastAsia"/>
                <w:b w:val="0"/>
                <w:bCs/>
                <w:color w:val="000000"/>
                <w:szCs w:val="21"/>
                <w:u w:val="none"/>
              </w:rPr>
              <w:tab/>
            </w:r>
          </w:p>
        </w:tc>
        <w:tc>
          <w:tcPr>
            <w:tcW w:w="1850" w:type="dxa"/>
            <w:vAlign w:val="center"/>
          </w:tcPr>
          <w:p>
            <w:pPr>
              <w:jc w:val="center"/>
              <w:rPr>
                <w:b w:val="0"/>
                <w:bCs/>
                <w:color w:val="000000"/>
                <w:szCs w:val="21"/>
                <w:u w:val="none"/>
              </w:rPr>
            </w:pPr>
            <w:r>
              <w:rPr>
                <w:rFonts w:hint="eastAsia"/>
                <w:b w:val="0"/>
                <w:bCs/>
                <w:color w:val="000000"/>
                <w:szCs w:val="21"/>
                <w:u w:val="none"/>
              </w:rPr>
              <w:t>1.75</w:t>
            </w:r>
            <w:r>
              <w:rPr>
                <w:rFonts w:hint="eastAsia"/>
                <w:b w:val="0"/>
                <w:bCs/>
                <w:color w:val="000000"/>
                <w:szCs w:val="21"/>
                <w:u w:val="none"/>
              </w:rPr>
              <w:tab/>
            </w:r>
          </w:p>
        </w:tc>
        <w:tc>
          <w:tcPr>
            <w:tcW w:w="1850" w:type="dxa"/>
            <w:vAlign w:val="center"/>
          </w:tcPr>
          <w:p>
            <w:pPr>
              <w:jc w:val="center"/>
              <w:rPr>
                <w:b w:val="0"/>
                <w:bCs/>
                <w:color w:val="000000"/>
                <w:szCs w:val="21"/>
                <w:u w:val="none"/>
              </w:rPr>
            </w:pPr>
            <w:r>
              <w:rPr>
                <w:rFonts w:hint="eastAsia"/>
                <w:b w:val="0"/>
                <w:bCs/>
                <w:color w:val="000000"/>
                <w:szCs w:val="21"/>
                <w:u w:val="none"/>
              </w:rPr>
              <w:t>0.000227</w:t>
            </w:r>
          </w:p>
        </w:tc>
        <w:tc>
          <w:tcPr>
            <w:tcW w:w="1850" w:type="dxa"/>
            <w:vAlign w:val="center"/>
          </w:tcPr>
          <w:p>
            <w:pPr>
              <w:jc w:val="center"/>
              <w:rPr>
                <w:b w:val="0"/>
                <w:bCs/>
                <w:color w:val="000000"/>
                <w:szCs w:val="21"/>
                <w:u w:val="none"/>
              </w:rPr>
            </w:pPr>
            <w:r>
              <w:rPr>
                <w:rFonts w:hint="eastAsia"/>
                <w:b w:val="0"/>
                <w:bCs/>
                <w:color w:val="000000"/>
                <w:szCs w:val="21"/>
                <w:u w:val="none"/>
              </w:rPr>
              <w:t>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西场界</w:t>
            </w:r>
          </w:p>
        </w:tc>
        <w:tc>
          <w:tcPr>
            <w:tcW w:w="1851" w:type="dxa"/>
            <w:vAlign w:val="center"/>
          </w:tcPr>
          <w:p>
            <w:pPr>
              <w:jc w:val="center"/>
              <w:rPr>
                <w:rFonts w:ascii="Times New Roman" w:hAnsi="Times New Roman" w:eastAsia="宋体" w:cs="Times New Roman"/>
                <w:b w:val="0"/>
                <w:bCs/>
                <w:color w:val="000000"/>
                <w:kern w:val="2"/>
                <w:sz w:val="21"/>
                <w:szCs w:val="21"/>
                <w:u w:val="none"/>
                <w:lang w:val="en-US" w:eastAsia="zh-CN" w:bidi="ar-SA"/>
              </w:rPr>
            </w:pPr>
            <w:r>
              <w:rPr>
                <w:rFonts w:hint="eastAsia"/>
                <w:b w:val="0"/>
                <w:bCs/>
                <w:color w:val="000000"/>
                <w:szCs w:val="21"/>
                <w:u w:val="none"/>
              </w:rPr>
              <w:t>0.003504</w:t>
            </w:r>
            <w:r>
              <w:rPr>
                <w:rFonts w:hint="eastAsia"/>
                <w:b w:val="0"/>
                <w:bCs/>
                <w:color w:val="000000"/>
                <w:szCs w:val="21"/>
                <w:u w:val="none"/>
              </w:rPr>
              <w:tab/>
            </w:r>
          </w:p>
        </w:tc>
        <w:tc>
          <w:tcPr>
            <w:tcW w:w="1850" w:type="dxa"/>
            <w:vAlign w:val="center"/>
          </w:tcPr>
          <w:p>
            <w:pPr>
              <w:jc w:val="center"/>
              <w:rPr>
                <w:rFonts w:hint="default" w:ascii="Times New Roman" w:hAnsi="Times New Roman" w:eastAsia="宋体" w:cs="Times New Roman"/>
                <w:b w:val="0"/>
                <w:bCs/>
                <w:color w:val="000000"/>
                <w:kern w:val="2"/>
                <w:sz w:val="21"/>
                <w:szCs w:val="21"/>
                <w:u w:val="none"/>
                <w:lang w:val="en-US" w:eastAsia="zh-CN" w:bidi="ar-SA"/>
              </w:rPr>
            </w:pPr>
            <w:r>
              <w:rPr>
                <w:rFonts w:hint="eastAsia" w:cs="Times New Roman"/>
                <w:b w:val="0"/>
                <w:bCs/>
                <w:color w:val="000000"/>
                <w:kern w:val="2"/>
                <w:sz w:val="21"/>
                <w:szCs w:val="21"/>
                <w:u w:val="none"/>
                <w:lang w:val="en-US" w:eastAsia="zh-CN" w:bidi="ar-SA"/>
              </w:rPr>
              <w:t>1.75</w:t>
            </w:r>
          </w:p>
        </w:tc>
        <w:tc>
          <w:tcPr>
            <w:tcW w:w="1850" w:type="dxa"/>
            <w:vAlign w:val="center"/>
          </w:tcPr>
          <w:p>
            <w:pPr>
              <w:jc w:val="center"/>
              <w:rPr>
                <w:rFonts w:ascii="Times New Roman" w:hAnsi="Times New Roman" w:eastAsia="宋体" w:cs="Times New Roman"/>
                <w:b w:val="0"/>
                <w:bCs/>
                <w:color w:val="000000"/>
                <w:kern w:val="2"/>
                <w:sz w:val="21"/>
                <w:szCs w:val="21"/>
                <w:u w:val="none"/>
                <w:lang w:val="en-US" w:eastAsia="zh-CN" w:bidi="ar-SA"/>
              </w:rPr>
            </w:pPr>
            <w:r>
              <w:rPr>
                <w:rFonts w:hint="eastAsia"/>
                <w:b w:val="0"/>
                <w:bCs/>
                <w:color w:val="000000"/>
                <w:szCs w:val="21"/>
                <w:u w:val="none"/>
              </w:rPr>
              <w:t>0.000227</w:t>
            </w:r>
          </w:p>
        </w:tc>
        <w:tc>
          <w:tcPr>
            <w:tcW w:w="1850" w:type="dxa"/>
            <w:vAlign w:val="center"/>
          </w:tcPr>
          <w:p>
            <w:pPr>
              <w:jc w:val="center"/>
              <w:rPr>
                <w:rFonts w:hint="default" w:eastAsia="宋体"/>
                <w:b w:val="0"/>
                <w:bCs/>
                <w:color w:val="000000"/>
                <w:szCs w:val="21"/>
                <w:u w:val="none"/>
                <w:lang w:val="en-US" w:eastAsia="zh-CN"/>
              </w:rPr>
            </w:pPr>
            <w:r>
              <w:rPr>
                <w:rFonts w:hint="eastAsia"/>
                <w:b w:val="0"/>
                <w:bCs/>
                <w:color w:val="000000"/>
                <w:szCs w:val="21"/>
                <w:u w:val="none"/>
                <w:lang w:val="en-US" w:eastAsia="zh-CN"/>
              </w:rPr>
              <w:t>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val="0"/>
                <w:bCs/>
                <w:color w:val="000000"/>
                <w:szCs w:val="21"/>
                <w:u w:val="none"/>
              </w:rPr>
            </w:pPr>
            <w:r>
              <w:rPr>
                <w:b w:val="0"/>
                <w:bCs/>
                <w:color w:val="000000"/>
                <w:kern w:val="0"/>
                <w:szCs w:val="21"/>
                <w:u w:val="none"/>
              </w:rPr>
              <w:t>标准值</w:t>
            </w:r>
          </w:p>
        </w:tc>
        <w:tc>
          <w:tcPr>
            <w:tcW w:w="3701" w:type="dxa"/>
            <w:gridSpan w:val="2"/>
            <w:vAlign w:val="center"/>
          </w:tcPr>
          <w:p>
            <w:pPr>
              <w:spacing w:line="360" w:lineRule="exact"/>
              <w:jc w:val="center"/>
              <w:rPr>
                <w:b w:val="0"/>
                <w:bCs/>
                <w:color w:val="000000"/>
                <w:szCs w:val="21"/>
                <w:u w:val="none"/>
              </w:rPr>
            </w:pPr>
            <w:r>
              <w:rPr>
                <w:b w:val="0"/>
                <w:bCs/>
                <w:color w:val="000000"/>
                <w:kern w:val="0"/>
                <w:szCs w:val="21"/>
                <w:u w:val="none"/>
              </w:rPr>
              <w:t>0.06</w:t>
            </w:r>
          </w:p>
        </w:tc>
        <w:tc>
          <w:tcPr>
            <w:tcW w:w="3700" w:type="dxa"/>
            <w:gridSpan w:val="2"/>
            <w:vAlign w:val="center"/>
          </w:tcPr>
          <w:p>
            <w:pPr>
              <w:spacing w:line="360" w:lineRule="exact"/>
              <w:jc w:val="center"/>
              <w:rPr>
                <w:b w:val="0"/>
                <w:bCs/>
                <w:color w:val="000000"/>
                <w:szCs w:val="21"/>
                <w:u w:val="none"/>
              </w:rPr>
            </w:pPr>
            <w:r>
              <w:rPr>
                <w:b w:val="0"/>
                <w:bCs/>
                <w:color w:val="000000"/>
                <w:kern w:val="0"/>
                <w:szCs w:val="21"/>
                <w:u w:val="none"/>
              </w:rPr>
              <w:t>1.5</w:t>
            </w:r>
          </w:p>
        </w:tc>
      </w:tr>
    </w:tbl>
    <w:p>
      <w:pPr>
        <w:adjustRightInd w:val="0"/>
        <w:snapToGrid w:val="0"/>
        <w:spacing w:line="500" w:lineRule="exact"/>
        <w:ind w:firstLine="480" w:firstLineChars="200"/>
        <w:rPr>
          <w:b w:val="0"/>
          <w:bCs/>
          <w:color w:val="000000"/>
          <w:sz w:val="24"/>
          <w:u w:val="none"/>
        </w:rPr>
      </w:pPr>
      <w:r>
        <w:rPr>
          <w:b w:val="0"/>
          <w:bCs/>
          <w:color w:val="000000"/>
          <w:sz w:val="24"/>
          <w:u w:val="none"/>
        </w:rPr>
        <w:t>由上表可知，本项目无组织排放的NH</w:t>
      </w:r>
      <w:r>
        <w:rPr>
          <w:b w:val="0"/>
          <w:bCs/>
          <w:color w:val="000000"/>
          <w:sz w:val="24"/>
          <w:u w:val="none"/>
          <w:vertAlign w:val="subscript"/>
        </w:rPr>
        <w:t>3</w:t>
      </w:r>
      <w:r>
        <w:rPr>
          <w:b w:val="0"/>
          <w:bCs/>
          <w:color w:val="000000"/>
          <w:sz w:val="24"/>
          <w:u w:val="none"/>
        </w:rPr>
        <w:t>、H</w:t>
      </w:r>
      <w:r>
        <w:rPr>
          <w:b w:val="0"/>
          <w:bCs/>
          <w:color w:val="000000"/>
          <w:sz w:val="24"/>
          <w:u w:val="none"/>
          <w:vertAlign w:val="subscript"/>
        </w:rPr>
        <w:t>2</w:t>
      </w:r>
      <w:r>
        <w:rPr>
          <w:b w:val="0"/>
          <w:bCs/>
          <w:color w:val="000000"/>
          <w:sz w:val="24"/>
          <w:u w:val="none"/>
        </w:rPr>
        <w:t>S在各场界处的预测值均可达到对应的《恶臭污染物排放标准》（GB14554-93）场界浓度限值要求。</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eastAsia="zh-CN"/>
        </w:rPr>
        <w:t>（</w:t>
      </w:r>
      <w:r>
        <w:rPr>
          <w:rFonts w:hint="eastAsia"/>
          <w:b w:val="0"/>
          <w:bCs/>
          <w:color w:val="000000"/>
          <w:sz w:val="24"/>
          <w:u w:val="none"/>
          <w:lang w:val="en-US" w:eastAsia="zh-CN"/>
        </w:rPr>
        <w:t>2</w:t>
      </w:r>
      <w:r>
        <w:rPr>
          <w:rFonts w:hint="eastAsia"/>
          <w:b w:val="0"/>
          <w:bCs/>
          <w:color w:val="000000"/>
          <w:sz w:val="24"/>
          <w:u w:val="none"/>
          <w:lang w:eastAsia="zh-CN"/>
        </w:rPr>
        <w:t>）</w:t>
      </w:r>
      <w:r>
        <w:rPr>
          <w:b w:val="0"/>
          <w:bCs/>
          <w:color w:val="000000"/>
          <w:sz w:val="24"/>
          <w:u w:val="none"/>
        </w:rPr>
        <w:t>有组织排放污染源贡献浓度预测</w:t>
      </w:r>
    </w:p>
    <w:p>
      <w:pPr>
        <w:adjustRightInd w:val="0"/>
        <w:snapToGrid w:val="0"/>
        <w:spacing w:line="500" w:lineRule="exact"/>
        <w:ind w:firstLine="480" w:firstLineChars="200"/>
        <w:rPr>
          <w:b w:val="0"/>
          <w:bCs/>
          <w:color w:val="000000"/>
          <w:sz w:val="24"/>
          <w:u w:val="none"/>
        </w:rPr>
      </w:pPr>
      <w:r>
        <w:rPr>
          <w:b w:val="0"/>
          <w:bCs/>
          <w:color w:val="000000"/>
          <w:sz w:val="24"/>
          <w:u w:val="none"/>
        </w:rPr>
        <w:t>有组织排放污染源贡献浓度预测结果见下表。</w:t>
      </w:r>
    </w:p>
    <w:p>
      <w:pPr>
        <w:jc w:val="center"/>
        <w:rPr>
          <w:b w:val="0"/>
          <w:bCs/>
          <w:color w:val="000000"/>
          <w:szCs w:val="21"/>
          <w:u w:val="none"/>
        </w:rPr>
      </w:pPr>
      <w:r>
        <w:rPr>
          <w:b/>
          <w:bCs w:val="0"/>
          <w:color w:val="000000"/>
          <w:szCs w:val="21"/>
          <w:u w:val="none"/>
        </w:rPr>
        <w:t>表</w:t>
      </w:r>
      <w:r>
        <w:rPr>
          <w:rFonts w:hint="eastAsia"/>
          <w:b/>
          <w:bCs w:val="0"/>
          <w:color w:val="000000"/>
          <w:szCs w:val="21"/>
          <w:u w:val="none"/>
          <w:lang w:val="en-US" w:eastAsia="zh-CN"/>
        </w:rPr>
        <w:t>4.2-6</w:t>
      </w:r>
      <w:r>
        <w:rPr>
          <w:b/>
          <w:bCs w:val="0"/>
          <w:color w:val="000000"/>
          <w:szCs w:val="21"/>
          <w:u w:val="none"/>
        </w:rPr>
        <w:t xml:space="preserve">   本项目有组织排放SO</w:t>
      </w:r>
      <w:r>
        <w:rPr>
          <w:b/>
          <w:bCs w:val="0"/>
          <w:color w:val="000000"/>
          <w:szCs w:val="21"/>
          <w:u w:val="none"/>
          <w:vertAlign w:val="subscript"/>
        </w:rPr>
        <w:t>2</w:t>
      </w:r>
      <w:r>
        <w:rPr>
          <w:b/>
          <w:bCs w:val="0"/>
          <w:color w:val="000000"/>
          <w:szCs w:val="21"/>
          <w:u w:val="none"/>
        </w:rPr>
        <w:t>及NO</w:t>
      </w:r>
      <w:r>
        <w:rPr>
          <w:b/>
          <w:bCs w:val="0"/>
          <w:color w:val="000000"/>
          <w:szCs w:val="21"/>
          <w:u w:val="none"/>
          <w:vertAlign w:val="subscript"/>
        </w:rPr>
        <w:t>X</w:t>
      </w:r>
      <w:r>
        <w:rPr>
          <w:b/>
          <w:bCs w:val="0"/>
          <w:color w:val="000000"/>
          <w:szCs w:val="21"/>
          <w:u w:val="none"/>
        </w:rPr>
        <w:t>贡献值预测结果</w:t>
      </w:r>
      <w:r>
        <w:rPr>
          <w:b w:val="0"/>
          <w:bCs/>
          <w:color w:val="000000"/>
          <w:szCs w:val="21"/>
          <w:u w:val="none"/>
        </w:rPr>
        <w:t>（mg/m</w:t>
      </w:r>
      <w:r>
        <w:rPr>
          <w:b w:val="0"/>
          <w:bCs/>
          <w:color w:val="000000"/>
          <w:szCs w:val="21"/>
          <w:u w:val="none"/>
          <w:vertAlign w:val="superscript"/>
        </w:rPr>
        <w:t>3</w:t>
      </w:r>
      <w:r>
        <w:rPr>
          <w:b w:val="0"/>
          <w:bCs/>
          <w:color w:val="000000"/>
          <w:szCs w:val="21"/>
          <w:u w:val="none"/>
        </w:rPr>
        <w:t>）</w:t>
      </w:r>
    </w:p>
    <w:tbl>
      <w:tblPr>
        <w:tblStyle w:val="45"/>
        <w:tblW w:w="884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57" w:type="dxa"/>
          <w:bottom w:w="0" w:type="dxa"/>
          <w:right w:w="57" w:type="dxa"/>
        </w:tblCellMar>
      </w:tblPr>
      <w:tblGrid>
        <w:gridCol w:w="1676"/>
        <w:gridCol w:w="1785"/>
        <w:gridCol w:w="1629"/>
        <w:gridCol w:w="2128"/>
        <w:gridCol w:w="1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tblHeader/>
          <w:jc w:val="center"/>
        </w:trPr>
        <w:tc>
          <w:tcPr>
            <w:tcW w:w="1676" w:type="dxa"/>
            <w:vMerge w:val="restart"/>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距离（m）</w:t>
            </w:r>
          </w:p>
        </w:tc>
        <w:tc>
          <w:tcPr>
            <w:tcW w:w="3414" w:type="dxa"/>
            <w:gridSpan w:val="2"/>
            <w:tcBorders>
              <w:top w:val="single" w:color="auto" w:sz="12" w:space="0"/>
              <w:left w:val="single" w:color="auto" w:sz="4" w:space="0"/>
              <w:bottom w:val="single" w:color="auto" w:sz="4" w:space="0"/>
              <w:right w:val="single" w:color="auto" w:sz="4" w:space="0"/>
            </w:tcBorders>
            <w:vAlign w:val="center"/>
          </w:tcPr>
          <w:p>
            <w:pPr>
              <w:ind w:firstLine="396" w:firstLineChars="200"/>
              <w:jc w:val="center"/>
              <w:rPr>
                <w:b w:val="0"/>
                <w:bCs/>
                <w:color w:val="000000"/>
                <w:spacing w:val="-6"/>
                <w:szCs w:val="21"/>
                <w:u w:val="none"/>
              </w:rPr>
            </w:pPr>
            <w:r>
              <w:rPr>
                <w:b w:val="0"/>
                <w:bCs/>
                <w:color w:val="000000"/>
                <w:spacing w:val="-6"/>
                <w:kern w:val="0"/>
                <w:szCs w:val="21"/>
                <w:u w:val="none"/>
              </w:rPr>
              <w:t>SO</w:t>
            </w:r>
            <w:r>
              <w:rPr>
                <w:b w:val="0"/>
                <w:bCs/>
                <w:color w:val="000000"/>
                <w:spacing w:val="-6"/>
                <w:kern w:val="0"/>
                <w:szCs w:val="21"/>
                <w:u w:val="none"/>
                <w:vertAlign w:val="subscript"/>
              </w:rPr>
              <w:t>2</w:t>
            </w:r>
            <w:r>
              <w:rPr>
                <w:b w:val="0"/>
                <w:bCs/>
                <w:color w:val="000000"/>
                <w:spacing w:val="-6"/>
                <w:kern w:val="0"/>
                <w:szCs w:val="21"/>
                <w:u w:val="none"/>
              </w:rPr>
              <w:t>1小时最大浓度</w:t>
            </w:r>
          </w:p>
        </w:tc>
        <w:tc>
          <w:tcPr>
            <w:tcW w:w="3756" w:type="dxa"/>
            <w:gridSpan w:val="2"/>
            <w:tcBorders>
              <w:top w:val="single" w:color="auto" w:sz="12" w:space="0"/>
              <w:left w:val="single" w:color="auto" w:sz="4" w:space="0"/>
              <w:bottom w:val="single" w:color="auto" w:sz="4" w:space="0"/>
              <w:right w:val="single" w:color="auto" w:sz="12" w:space="0"/>
            </w:tcBorders>
            <w:vAlign w:val="center"/>
          </w:tcPr>
          <w:p>
            <w:pPr>
              <w:jc w:val="center"/>
              <w:rPr>
                <w:b w:val="0"/>
                <w:bCs/>
                <w:color w:val="000000"/>
                <w:spacing w:val="-6"/>
                <w:szCs w:val="21"/>
                <w:u w:val="none"/>
              </w:rPr>
            </w:pPr>
            <w:r>
              <w:rPr>
                <w:b w:val="0"/>
                <w:bCs/>
                <w:color w:val="000000"/>
                <w:spacing w:val="-6"/>
                <w:kern w:val="0"/>
                <w:szCs w:val="21"/>
                <w:u w:val="none"/>
              </w:rPr>
              <w:t>NO</w:t>
            </w:r>
            <w:r>
              <w:rPr>
                <w:b w:val="0"/>
                <w:bCs/>
                <w:color w:val="000000"/>
                <w:spacing w:val="-6"/>
                <w:kern w:val="0"/>
                <w:szCs w:val="21"/>
                <w:u w:val="none"/>
                <w:vertAlign w:val="subscript"/>
              </w:rPr>
              <w:t>X</w:t>
            </w:r>
            <w:r>
              <w:rPr>
                <w:b w:val="0"/>
                <w:bCs/>
                <w:color w:val="000000"/>
                <w:spacing w:val="-6"/>
                <w:kern w:val="0"/>
                <w:szCs w:val="21"/>
                <w:u w:val="none"/>
              </w:rPr>
              <w:t>1小时平均最大浓度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jc w:val="center"/>
        </w:trPr>
        <w:tc>
          <w:tcPr>
            <w:tcW w:w="1676" w:type="dxa"/>
            <w:vMerge w:val="continue"/>
            <w:tcBorders>
              <w:top w:val="single" w:color="auto" w:sz="4" w:space="0"/>
              <w:left w:val="single" w:color="auto" w:sz="12" w:space="0"/>
              <w:bottom w:val="single" w:color="auto" w:sz="4" w:space="0"/>
              <w:right w:val="single" w:color="auto" w:sz="4" w:space="0"/>
            </w:tcBorders>
            <w:vAlign w:val="center"/>
          </w:tcPr>
          <w:p>
            <w:pPr>
              <w:jc w:val="center"/>
              <w:rPr>
                <w:b w:val="0"/>
                <w:bCs/>
                <w:color w:val="000000"/>
                <w:szCs w:val="21"/>
                <w:u w:val="none"/>
              </w:rPr>
            </w:pPr>
          </w:p>
        </w:tc>
        <w:tc>
          <w:tcPr>
            <w:tcW w:w="17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预测浓度</w:t>
            </w:r>
          </w:p>
        </w:tc>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占标率%</w:t>
            </w:r>
          </w:p>
        </w:tc>
        <w:tc>
          <w:tcPr>
            <w:tcW w:w="21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预测浓度</w:t>
            </w:r>
          </w:p>
        </w:tc>
        <w:tc>
          <w:tcPr>
            <w:tcW w:w="1628"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占标率%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0.000001</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0.000022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tcMar>
              <w:left w:w="28" w:type="dxa"/>
              <w:right w:w="28" w:type="dxa"/>
            </w:tcMar>
            <w:vAlign w:val="center"/>
          </w:tcPr>
          <w:p>
            <w:pPr>
              <w:widowControl/>
              <w:jc w:val="center"/>
              <w:textAlignment w:val="center"/>
              <w:rPr>
                <w:b w:val="0"/>
                <w:bCs/>
                <w:color w:val="000000"/>
                <w:spacing w:val="-6"/>
                <w:szCs w:val="21"/>
                <w:u w:val="none"/>
              </w:rPr>
            </w:pPr>
            <w:r>
              <w:rPr>
                <w:b w:val="0"/>
                <w:bCs/>
                <w:color w:val="000000"/>
                <w:kern w:val="0"/>
                <w:szCs w:val="21"/>
                <w:u w:val="none"/>
              </w:rPr>
              <w:t>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0.000004</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0.000151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0.000005</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0.000171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0.000004</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0.000141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0.000004</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0.000136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0.000136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0.000004</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0.000129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0.000112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0.000108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0.000104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0.000095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0.000003</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0.000091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0.000087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0.000084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0.000077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0.000074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b w:val="0"/>
                <w:bCs/>
                <w:color w:val="000000"/>
                <w:sz w:val="22"/>
                <w:szCs w:val="22"/>
                <w:u w:val="none"/>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1900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0.000072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0.000069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 w:val="0"/>
                <w:bCs/>
                <w:color w:val="000000"/>
                <w:kern w:val="2"/>
                <w:sz w:val="22"/>
                <w:szCs w:val="22"/>
                <w:u w:val="none"/>
                <w:lang w:val="en-US" w:eastAsia="zh-CN" w:bidi="ar-SA"/>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0.000067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 w:val="0"/>
                <w:bCs/>
                <w:color w:val="000000"/>
                <w:kern w:val="2"/>
                <w:sz w:val="22"/>
                <w:szCs w:val="22"/>
                <w:u w:val="none"/>
                <w:lang w:val="en-US" w:eastAsia="zh-CN" w:bidi="ar-SA"/>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r>
              <w:rPr>
                <w:rFonts w:hint="eastAsia"/>
                <w:b w:val="0"/>
                <w:bCs/>
                <w:color w:val="000000"/>
                <w:sz w:val="22"/>
                <w:szCs w:val="22"/>
                <w:u w:val="none"/>
              </w:rPr>
              <w:tab/>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0.000065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eastAsia="宋体" w:cs="Times New Roman"/>
                <w:b w:val="0"/>
                <w:bCs/>
                <w:color w:val="000000"/>
                <w:kern w:val="2"/>
                <w:sz w:val="22"/>
                <w:szCs w:val="22"/>
                <w:u w:val="none"/>
                <w:lang w:val="en-US" w:eastAsia="zh-CN" w:bidi="ar-SA"/>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0.000063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s="Times New Roman"/>
                <w:b w:val="0"/>
                <w:bCs/>
                <w:color w:val="000000"/>
                <w:kern w:val="2"/>
                <w:sz w:val="22"/>
                <w:szCs w:val="22"/>
                <w:u w:val="none"/>
                <w:lang w:val="en-US" w:eastAsia="zh-CN" w:bidi="ar-SA"/>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szCs w:val="21"/>
                <w:u w:val="none"/>
              </w:rPr>
            </w:pPr>
            <w:r>
              <w:rPr>
                <w:b w:val="0"/>
                <w:bCs/>
                <w:color w:val="000000"/>
                <w:kern w:val="0"/>
                <w:szCs w:val="21"/>
                <w:u w:val="none"/>
              </w:rPr>
              <w:t>2400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0.000061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eastAsia="宋体" w:cs="Times New Roman"/>
                <w:b w:val="0"/>
                <w:bCs/>
                <w:color w:val="000000"/>
                <w:kern w:val="2"/>
                <w:sz w:val="22"/>
                <w:szCs w:val="22"/>
                <w:u w:val="none"/>
                <w:lang w:val="en-US" w:eastAsia="zh-CN" w:bidi="ar-SA"/>
              </w:rPr>
            </w:pPr>
            <w:r>
              <w:rPr>
                <w:rFonts w:hint="eastAsia"/>
                <w:b w:val="0"/>
                <w:bCs/>
                <w:color w:val="000000"/>
                <w:sz w:val="22"/>
                <w:szCs w:val="22"/>
                <w:u w:val="none"/>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val="0"/>
                <w:bCs/>
                <w:color w:val="000000"/>
                <w:spacing w:val="-6"/>
                <w:kern w:val="0"/>
                <w:szCs w:val="21"/>
                <w:u w:val="none"/>
              </w:rPr>
            </w:pPr>
            <w:r>
              <w:rPr>
                <w:b w:val="0"/>
                <w:bCs/>
                <w:color w:val="000000"/>
                <w:kern w:val="0"/>
                <w:szCs w:val="21"/>
                <w:u w:val="none"/>
              </w:rPr>
              <w:t>2500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b w:val="0"/>
                <w:bCs/>
                <w:color w:val="000000"/>
                <w:sz w:val="22"/>
                <w:szCs w:val="22"/>
                <w:u w:val="none"/>
              </w:rPr>
              <w:t>0.000059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最大浓度（1</w:t>
            </w:r>
            <w:r>
              <w:rPr>
                <w:rFonts w:hint="eastAsia"/>
                <w:b w:val="0"/>
                <w:bCs/>
                <w:color w:val="000000"/>
                <w:spacing w:val="-6"/>
                <w:kern w:val="0"/>
                <w:szCs w:val="21"/>
                <w:u w:val="none"/>
                <w:lang w:val="en-US" w:eastAsia="zh-CN"/>
              </w:rPr>
              <w:t>29</w:t>
            </w:r>
            <w:r>
              <w:rPr>
                <w:b w:val="0"/>
                <w:bCs/>
                <w:color w:val="000000"/>
                <w:spacing w:val="-6"/>
                <w:kern w:val="0"/>
                <w:szCs w:val="21"/>
                <w:u w:val="none"/>
              </w:rPr>
              <w:t>m）</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b w:val="0"/>
                <w:bCs/>
                <w:color w:val="000000"/>
                <w:sz w:val="22"/>
                <w:szCs w:val="22"/>
                <w:u w:val="none"/>
              </w:rPr>
              <w:t>0.000</w:t>
            </w:r>
            <w:r>
              <w:rPr>
                <w:rFonts w:hint="eastAsia"/>
                <w:b w:val="0"/>
                <w:bCs/>
                <w:color w:val="000000"/>
                <w:sz w:val="22"/>
                <w:szCs w:val="22"/>
                <w:u w:val="none"/>
                <w:lang w:val="en-US" w:eastAsia="zh-CN"/>
              </w:rPr>
              <w:t>005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b w:val="0"/>
                <w:bCs/>
                <w:color w:val="000000"/>
                <w:sz w:val="22"/>
                <w:szCs w:val="22"/>
                <w:u w:val="none"/>
              </w:rPr>
            </w:pPr>
            <w:r>
              <w:rPr>
                <w:rFonts w:hint="eastAsia"/>
              </w:rPr>
              <w:t>0.00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b w:val="0"/>
                <w:bCs/>
                <w:color w:val="000000"/>
                <w:sz w:val="22"/>
                <w:szCs w:val="22"/>
                <w:u w:val="none"/>
                <w:lang w:val="en-US" w:eastAsia="zh-CN"/>
              </w:rPr>
            </w:pPr>
            <w:r>
              <w:rPr>
                <w:b w:val="0"/>
                <w:bCs/>
                <w:color w:val="000000"/>
                <w:sz w:val="22"/>
                <w:szCs w:val="22"/>
                <w:u w:val="none"/>
              </w:rPr>
              <w:t>0.00</w:t>
            </w:r>
            <w:r>
              <w:rPr>
                <w:rFonts w:hint="eastAsia"/>
                <w:b w:val="0"/>
                <w:bCs/>
                <w:color w:val="000000"/>
                <w:sz w:val="22"/>
                <w:szCs w:val="22"/>
                <w:u w:val="none"/>
                <w:lang w:val="en-US" w:eastAsia="zh-CN"/>
              </w:rPr>
              <w:t>0187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hint="default" w:eastAsia="宋体"/>
                <w:b w:val="0"/>
                <w:bCs/>
                <w:color w:val="000000"/>
                <w:sz w:val="22"/>
                <w:szCs w:val="22"/>
                <w:u w:val="none"/>
                <w:lang w:val="en-US" w:eastAsia="zh-CN"/>
              </w:rPr>
            </w:pPr>
            <w:r>
              <w:rPr>
                <w:rFonts w:hint="eastAsia"/>
                <w:b w:val="0"/>
                <w:bCs/>
                <w:color w:val="000000"/>
                <w:sz w:val="22"/>
                <w:szCs w:val="22"/>
                <w:u w:val="none"/>
                <w:lang w:val="en-US" w:eastAsia="zh-CN"/>
              </w:rPr>
              <w:t>0.09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jc w:val="center"/>
        </w:trPr>
        <w:tc>
          <w:tcPr>
            <w:tcW w:w="167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b w:val="0"/>
                <w:bCs/>
                <w:color w:val="000000"/>
                <w:spacing w:val="-6"/>
                <w:szCs w:val="21"/>
                <w:u w:val="none"/>
              </w:rPr>
            </w:pPr>
            <w:r>
              <w:rPr>
                <w:b w:val="0"/>
                <w:bCs/>
                <w:color w:val="000000"/>
                <w:spacing w:val="-6"/>
                <w:kern w:val="0"/>
                <w:szCs w:val="21"/>
                <w:u w:val="none"/>
              </w:rPr>
              <w:t>标准</w:t>
            </w:r>
          </w:p>
        </w:tc>
        <w:tc>
          <w:tcPr>
            <w:tcW w:w="3414" w:type="dxa"/>
            <w:gridSpan w:val="2"/>
            <w:tcBorders>
              <w:top w:val="single" w:color="auto" w:sz="4" w:space="0"/>
              <w:left w:val="single" w:color="auto" w:sz="4" w:space="0"/>
              <w:bottom w:val="single" w:color="auto" w:sz="12" w:space="0"/>
              <w:right w:val="single" w:color="auto" w:sz="4" w:space="0"/>
            </w:tcBorders>
            <w:vAlign w:val="center"/>
          </w:tcPr>
          <w:p>
            <w:pPr>
              <w:jc w:val="center"/>
              <w:rPr>
                <w:b w:val="0"/>
                <w:bCs/>
                <w:color w:val="000000"/>
                <w:spacing w:val="-6"/>
                <w:szCs w:val="21"/>
                <w:u w:val="none"/>
              </w:rPr>
            </w:pPr>
            <w:r>
              <w:rPr>
                <w:b w:val="0"/>
                <w:bCs/>
                <w:color w:val="000000"/>
                <w:spacing w:val="-6"/>
                <w:kern w:val="0"/>
                <w:szCs w:val="21"/>
                <w:u w:val="none"/>
              </w:rPr>
              <w:t>0.5mg/m</w:t>
            </w:r>
            <w:r>
              <w:rPr>
                <w:b w:val="0"/>
                <w:bCs/>
                <w:color w:val="000000"/>
                <w:spacing w:val="-6"/>
                <w:kern w:val="0"/>
                <w:szCs w:val="21"/>
                <w:u w:val="none"/>
                <w:vertAlign w:val="superscript"/>
              </w:rPr>
              <w:t>3</w:t>
            </w:r>
          </w:p>
        </w:tc>
        <w:tc>
          <w:tcPr>
            <w:tcW w:w="3756" w:type="dxa"/>
            <w:gridSpan w:val="2"/>
            <w:tcBorders>
              <w:top w:val="single" w:color="auto" w:sz="4" w:space="0"/>
              <w:left w:val="single" w:color="auto" w:sz="4" w:space="0"/>
              <w:bottom w:val="single" w:color="auto" w:sz="12" w:space="0"/>
              <w:right w:val="single" w:color="auto" w:sz="12" w:space="0"/>
            </w:tcBorders>
            <w:vAlign w:val="center"/>
          </w:tcPr>
          <w:p>
            <w:pPr>
              <w:jc w:val="center"/>
              <w:rPr>
                <w:b w:val="0"/>
                <w:bCs/>
                <w:color w:val="000000"/>
                <w:spacing w:val="-6"/>
                <w:szCs w:val="21"/>
                <w:u w:val="none"/>
              </w:rPr>
            </w:pPr>
            <w:r>
              <w:rPr>
                <w:b w:val="0"/>
                <w:bCs/>
                <w:color w:val="000000"/>
                <w:spacing w:val="-6"/>
                <w:kern w:val="0"/>
                <w:szCs w:val="21"/>
                <w:u w:val="none"/>
              </w:rPr>
              <w:t>0.2mg/m</w:t>
            </w:r>
            <w:r>
              <w:rPr>
                <w:b w:val="0"/>
                <w:bCs/>
                <w:color w:val="000000"/>
                <w:spacing w:val="-6"/>
                <w:kern w:val="0"/>
                <w:szCs w:val="21"/>
                <w:u w:val="none"/>
                <w:vertAlign w:val="superscript"/>
              </w:rPr>
              <w:t>3</w:t>
            </w:r>
          </w:p>
        </w:tc>
      </w:tr>
    </w:tbl>
    <w:p>
      <w:pPr>
        <w:adjustRightInd w:val="0"/>
        <w:snapToGrid w:val="0"/>
        <w:spacing w:line="500" w:lineRule="exact"/>
        <w:ind w:firstLine="480" w:firstLineChars="200"/>
        <w:rPr>
          <w:b w:val="0"/>
          <w:bCs/>
          <w:color w:val="000000"/>
          <w:sz w:val="24"/>
          <w:u w:val="none"/>
        </w:rPr>
      </w:pPr>
      <w:r>
        <w:rPr>
          <w:b w:val="0"/>
          <w:bCs/>
          <w:color w:val="000000"/>
          <w:sz w:val="24"/>
          <w:u w:val="none"/>
        </w:rPr>
        <w:t>从上表可以看出，本项目有组织排放SO</w:t>
      </w:r>
      <w:r>
        <w:rPr>
          <w:b w:val="0"/>
          <w:bCs/>
          <w:color w:val="000000"/>
          <w:sz w:val="24"/>
          <w:u w:val="none"/>
          <w:vertAlign w:val="subscript"/>
        </w:rPr>
        <w:t>2</w:t>
      </w:r>
      <w:r>
        <w:rPr>
          <w:b w:val="0"/>
          <w:bCs/>
          <w:color w:val="000000"/>
          <w:sz w:val="24"/>
          <w:u w:val="none"/>
        </w:rPr>
        <w:t>、NO</w:t>
      </w:r>
      <w:r>
        <w:rPr>
          <w:b w:val="0"/>
          <w:bCs/>
          <w:color w:val="000000"/>
          <w:sz w:val="24"/>
          <w:u w:val="none"/>
          <w:vertAlign w:val="subscript"/>
        </w:rPr>
        <w:t>X</w:t>
      </w:r>
      <w:r>
        <w:rPr>
          <w:b w:val="0"/>
          <w:bCs/>
          <w:color w:val="000000"/>
          <w:sz w:val="24"/>
          <w:u w:val="none"/>
        </w:rPr>
        <w:t>小时最大浓度贡献值出现在1</w:t>
      </w:r>
      <w:r>
        <w:rPr>
          <w:rFonts w:hint="eastAsia"/>
          <w:b w:val="0"/>
          <w:bCs/>
          <w:color w:val="000000"/>
          <w:sz w:val="24"/>
          <w:u w:val="none"/>
          <w:lang w:val="en-US" w:eastAsia="zh-CN"/>
        </w:rPr>
        <w:t>29</w:t>
      </w:r>
      <w:r>
        <w:rPr>
          <w:b w:val="0"/>
          <w:bCs/>
          <w:color w:val="000000"/>
          <w:sz w:val="24"/>
          <w:u w:val="none"/>
        </w:rPr>
        <w:t>m，占标率分别为0.0</w:t>
      </w:r>
      <w:r>
        <w:rPr>
          <w:rFonts w:hint="eastAsia"/>
          <w:b w:val="0"/>
          <w:bCs/>
          <w:color w:val="000000"/>
          <w:sz w:val="24"/>
          <w:u w:val="none"/>
          <w:lang w:val="en-US" w:eastAsia="zh-CN"/>
        </w:rPr>
        <w:t>0</w:t>
      </w:r>
      <w:r>
        <w:rPr>
          <w:b w:val="0"/>
          <w:bCs/>
          <w:color w:val="000000"/>
          <w:sz w:val="24"/>
          <w:u w:val="none"/>
        </w:rPr>
        <w:t>%、</w:t>
      </w:r>
      <w:r>
        <w:rPr>
          <w:rFonts w:hint="eastAsia"/>
          <w:b w:val="0"/>
          <w:bCs/>
          <w:color w:val="000000"/>
          <w:sz w:val="24"/>
          <w:u w:val="none"/>
          <w:lang w:val="en-US" w:eastAsia="zh-CN"/>
        </w:rPr>
        <w:t>0.09</w:t>
      </w:r>
      <w:r>
        <w:rPr>
          <w:b w:val="0"/>
          <w:bCs/>
          <w:color w:val="000000"/>
          <w:sz w:val="24"/>
          <w:u w:val="none"/>
        </w:rPr>
        <w:t>%。</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7</w:t>
      </w:r>
      <w:r>
        <w:rPr>
          <w:b w:val="0"/>
          <w:bCs/>
          <w:color w:val="000000"/>
          <w:sz w:val="24"/>
          <w:u w:val="none"/>
        </w:rPr>
        <w:t>、环境防护距离的确定</w:t>
      </w:r>
    </w:p>
    <w:p>
      <w:pPr>
        <w:adjustRightInd w:val="0"/>
        <w:snapToGrid w:val="0"/>
        <w:spacing w:line="500" w:lineRule="exact"/>
        <w:ind w:firstLine="480" w:firstLineChars="200"/>
        <w:rPr>
          <w:b w:val="0"/>
          <w:bCs/>
          <w:color w:val="000000"/>
          <w:sz w:val="24"/>
          <w:u w:val="none"/>
        </w:rPr>
      </w:pPr>
      <w:r>
        <w:rPr>
          <w:b w:val="0"/>
          <w:bCs/>
          <w:color w:val="000000"/>
          <w:sz w:val="24"/>
          <w:u w:val="none"/>
        </w:rPr>
        <w:t>（1）大气防护距离</w:t>
      </w:r>
    </w:p>
    <w:p>
      <w:pPr>
        <w:adjustRightInd w:val="0"/>
        <w:snapToGrid w:val="0"/>
        <w:spacing w:line="500" w:lineRule="exact"/>
        <w:ind w:firstLine="480" w:firstLineChars="200"/>
        <w:rPr>
          <w:b w:val="0"/>
          <w:bCs/>
          <w:color w:val="000000"/>
          <w:sz w:val="24"/>
          <w:u w:val="none"/>
        </w:rPr>
      </w:pPr>
      <w:r>
        <w:rPr>
          <w:rFonts w:hint="eastAsia"/>
          <w:b w:val="0"/>
          <w:bCs/>
          <w:color w:val="000000"/>
          <w:sz w:val="24"/>
          <w:u w:val="none"/>
        </w:rPr>
        <w:t>根据《环境影响评价技术导则 大气环境》（HJ2.2-2018）中确定大气环境防护距离的方法：采用进一步预测模型模拟评价基准年内，本项目所有污染源对厂界外主要污染物的短期贡献浓度分布。在底图上标注从厂界起所有超过环境质量短期浓度标准值的网格区域，以自厂界起至超标区域的最远垂直距离作为大气环境防护距离。</w:t>
      </w:r>
    </w:p>
    <w:p>
      <w:pPr>
        <w:adjustRightInd w:val="0"/>
        <w:snapToGrid w:val="0"/>
        <w:spacing w:line="500" w:lineRule="exact"/>
        <w:ind w:firstLine="480" w:firstLineChars="200"/>
      </w:pPr>
      <w:r>
        <w:rPr>
          <w:rFonts w:hint="eastAsia"/>
          <w:b w:val="0"/>
          <w:bCs/>
          <w:color w:val="000000"/>
          <w:sz w:val="24"/>
          <w:u w:val="none"/>
        </w:rPr>
        <w:t>根据本项目的工程分析和污染防治分析，经计算本项目不需设置大气环境防护距离。</w:t>
      </w:r>
    </w:p>
    <w:p>
      <w:pPr>
        <w:adjustRightInd w:val="0"/>
        <w:snapToGrid w:val="0"/>
        <w:spacing w:line="500" w:lineRule="exact"/>
        <w:ind w:firstLine="480" w:firstLineChars="200"/>
        <w:rPr>
          <w:b w:val="0"/>
          <w:bCs/>
          <w:color w:val="000000"/>
          <w:sz w:val="24"/>
          <w:u w:val="none"/>
        </w:rPr>
      </w:pPr>
      <w:r>
        <w:rPr>
          <w:b w:val="0"/>
          <w:bCs/>
          <w:color w:val="000000"/>
          <w:sz w:val="24"/>
          <w:u w:val="none"/>
        </w:rPr>
        <w:t>（2）卫生防护距离核定</w:t>
      </w:r>
    </w:p>
    <w:p>
      <w:pPr>
        <w:adjustRightInd w:val="0"/>
        <w:snapToGrid w:val="0"/>
        <w:spacing w:line="500" w:lineRule="exact"/>
        <w:ind w:firstLine="480" w:firstLineChars="200"/>
        <w:rPr>
          <w:b w:val="0"/>
          <w:bCs/>
          <w:color w:val="000000"/>
          <w:sz w:val="24"/>
          <w:u w:val="none"/>
        </w:rPr>
      </w:pPr>
      <w:r>
        <w:rPr>
          <w:b w:val="0"/>
          <w:bCs/>
          <w:color w:val="000000"/>
          <w:sz w:val="24"/>
          <w:u w:val="none"/>
        </w:rPr>
        <w:t>依据《制定地方大气污染物排放标准的技术方法》(GB/T3840-1991)卫生防护距离确定方法，无组织排放源所在的生产单元（生产车间）与居住区之间应设置卫生防护距离，其计算公式为：</w:t>
      </w:r>
    </w:p>
    <w:p>
      <w:pPr>
        <w:adjustRightInd w:val="0"/>
        <w:snapToGrid w:val="0"/>
        <w:spacing w:line="360" w:lineRule="auto"/>
        <w:ind w:firstLine="480" w:firstLineChars="200"/>
        <w:jc w:val="center"/>
        <w:rPr>
          <w:b w:val="0"/>
          <w:bCs/>
          <w:color w:val="000000"/>
          <w:sz w:val="24"/>
          <w:u w:val="none"/>
        </w:rPr>
      </w:pPr>
      <w:r>
        <w:rPr>
          <w:b w:val="0"/>
          <w:bCs/>
          <w:color w:val="000000"/>
          <w:sz w:val="24"/>
          <w:u w:val="none"/>
        </w:rPr>
        <w:drawing>
          <wp:inline distT="0" distB="0" distL="0" distR="0">
            <wp:extent cx="2324100" cy="47625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20" cstate="print"/>
                    <a:srcRect/>
                    <a:stretch>
                      <a:fillRect/>
                    </a:stretch>
                  </pic:blipFill>
                  <pic:spPr>
                    <a:xfrm>
                      <a:off x="0" y="0"/>
                      <a:ext cx="2324100" cy="476250"/>
                    </a:xfrm>
                    <a:prstGeom prst="rect">
                      <a:avLst/>
                    </a:prstGeom>
                    <a:noFill/>
                    <a:ln w="9525">
                      <a:noFill/>
                      <a:miter lim="800000"/>
                      <a:headEnd/>
                      <a:tailEnd/>
                    </a:ln>
                  </pic:spPr>
                </pic:pic>
              </a:graphicData>
            </a:graphic>
          </wp:inline>
        </w:drawing>
      </w:r>
    </w:p>
    <w:p>
      <w:pPr>
        <w:adjustRightInd w:val="0"/>
        <w:snapToGrid w:val="0"/>
        <w:spacing w:line="500" w:lineRule="exact"/>
        <w:ind w:firstLine="480" w:firstLineChars="200"/>
        <w:rPr>
          <w:b w:val="0"/>
          <w:bCs/>
          <w:color w:val="000000"/>
          <w:sz w:val="24"/>
          <w:u w:val="none"/>
        </w:rPr>
      </w:pPr>
      <w:r>
        <w:rPr>
          <w:b w:val="0"/>
          <w:bCs/>
          <w:color w:val="000000"/>
          <w:sz w:val="24"/>
          <w:u w:val="none"/>
        </w:rPr>
        <w:t>式中：C</w:t>
      </w:r>
      <w:r>
        <w:rPr>
          <w:b w:val="0"/>
          <w:bCs/>
          <w:color w:val="000000"/>
          <w:sz w:val="24"/>
          <w:u w:val="none"/>
          <w:vertAlign w:val="subscript"/>
        </w:rPr>
        <w:t>m</w:t>
      </w:r>
      <w:r>
        <w:rPr>
          <w:b w:val="0"/>
          <w:bCs/>
          <w:color w:val="000000"/>
          <w:sz w:val="24"/>
          <w:u w:val="none"/>
        </w:rPr>
        <w:t>—标准浓度限值，mg/Nm</w:t>
      </w:r>
      <w:r>
        <w:rPr>
          <w:b w:val="0"/>
          <w:bCs/>
          <w:color w:val="000000"/>
          <w:sz w:val="24"/>
          <w:u w:val="none"/>
          <w:vertAlign w:val="superscript"/>
        </w:rPr>
        <w:t>3</w:t>
      </w:r>
      <w:r>
        <w:rPr>
          <w:b w:val="0"/>
          <w:bCs/>
          <w:color w:val="000000"/>
          <w:sz w:val="24"/>
          <w:u w:val="none"/>
        </w:rPr>
        <w:t>，取值分别为NH</w:t>
      </w:r>
      <w:r>
        <w:rPr>
          <w:b w:val="0"/>
          <w:bCs/>
          <w:color w:val="000000"/>
          <w:sz w:val="24"/>
          <w:u w:val="none"/>
          <w:vertAlign w:val="subscript"/>
        </w:rPr>
        <w:t>3</w:t>
      </w:r>
      <w:r>
        <w:rPr>
          <w:b w:val="0"/>
          <w:bCs/>
          <w:color w:val="000000"/>
          <w:sz w:val="24"/>
          <w:u w:val="none"/>
        </w:rPr>
        <w:t>为0.2，H</w:t>
      </w:r>
      <w:r>
        <w:rPr>
          <w:b w:val="0"/>
          <w:bCs/>
          <w:color w:val="000000"/>
          <w:sz w:val="24"/>
          <w:u w:val="none"/>
          <w:vertAlign w:val="subscript"/>
        </w:rPr>
        <w:t>2</w:t>
      </w:r>
      <w:r>
        <w:rPr>
          <w:b w:val="0"/>
          <w:bCs/>
          <w:color w:val="000000"/>
          <w:sz w:val="24"/>
          <w:u w:val="none"/>
        </w:rPr>
        <w:t>S为0.01（按居住区标准，即</w:t>
      </w:r>
      <w:r>
        <w:rPr>
          <w:rFonts w:hint="eastAsia"/>
          <w:b w:val="0"/>
          <w:bCs/>
          <w:color w:val="000000"/>
          <w:sz w:val="24"/>
          <w:u w:val="none"/>
          <w:lang w:eastAsia="zh-CN"/>
        </w:rPr>
        <w:t>《环境影响评价技术导则 大气环境（HJ2.2-2018）》中附录D</w:t>
      </w:r>
      <w:r>
        <w:rPr>
          <w:b w:val="0"/>
          <w:bCs/>
          <w:color w:val="000000"/>
          <w:sz w:val="24"/>
          <w:u w:val="none"/>
        </w:rPr>
        <w:t>。</w:t>
      </w:r>
    </w:p>
    <w:p>
      <w:pPr>
        <w:adjustRightInd w:val="0"/>
        <w:snapToGrid w:val="0"/>
        <w:spacing w:line="500" w:lineRule="exact"/>
        <w:ind w:firstLine="1200" w:firstLineChars="500"/>
        <w:rPr>
          <w:b w:val="0"/>
          <w:bCs/>
          <w:color w:val="000000"/>
          <w:sz w:val="24"/>
          <w:u w:val="none"/>
        </w:rPr>
      </w:pPr>
      <w:r>
        <w:rPr>
          <w:b w:val="0"/>
          <w:bCs/>
          <w:color w:val="000000"/>
          <w:sz w:val="24"/>
          <w:u w:val="none"/>
        </w:rPr>
        <w:t>L—工业企业所需卫生防护距离，m。</w:t>
      </w:r>
    </w:p>
    <w:p>
      <w:pPr>
        <w:adjustRightInd w:val="0"/>
        <w:snapToGrid w:val="0"/>
        <w:spacing w:line="500" w:lineRule="exact"/>
        <w:ind w:firstLine="1200" w:firstLineChars="500"/>
        <w:rPr>
          <w:b w:val="0"/>
          <w:bCs/>
          <w:color w:val="000000"/>
          <w:sz w:val="24"/>
          <w:u w:val="none"/>
        </w:rPr>
      </w:pPr>
      <w:r>
        <w:rPr>
          <w:b w:val="0"/>
          <w:bCs/>
          <w:color w:val="000000"/>
          <w:sz w:val="24"/>
          <w:u w:val="none"/>
        </w:rPr>
        <w:t>r—有害气体无组织排放源所在生产单元的等效半径，m。根据该生产单元占地面积S(m</w:t>
      </w:r>
      <w:r>
        <w:rPr>
          <w:b w:val="0"/>
          <w:bCs/>
          <w:color w:val="000000"/>
          <w:sz w:val="24"/>
          <w:u w:val="none"/>
          <w:vertAlign w:val="superscript"/>
        </w:rPr>
        <w:t>2</w:t>
      </w:r>
      <w:r>
        <w:rPr>
          <w:b w:val="0"/>
          <w:bCs/>
          <w:color w:val="000000"/>
          <w:sz w:val="24"/>
          <w:u w:val="none"/>
        </w:rPr>
        <w:t>)计算，r=(S/</w:t>
      </w:r>
      <w:r>
        <w:rPr>
          <w:b w:val="0"/>
          <w:bCs/>
          <w:color w:val="000000"/>
          <w:sz w:val="24"/>
          <w:u w:val="none"/>
        </w:rPr>
        <w:sym w:font="Symbol" w:char="F070"/>
      </w:r>
      <w:r>
        <w:rPr>
          <w:b w:val="0"/>
          <w:bCs/>
          <w:color w:val="000000"/>
          <w:sz w:val="24"/>
          <w:u w:val="none"/>
        </w:rPr>
        <w:t>)</w:t>
      </w:r>
      <w:r>
        <w:rPr>
          <w:b w:val="0"/>
          <w:bCs/>
          <w:color w:val="000000"/>
          <w:sz w:val="24"/>
          <w:u w:val="none"/>
          <w:vertAlign w:val="superscript"/>
        </w:rPr>
        <w:t>0.5</w:t>
      </w:r>
      <w:r>
        <w:rPr>
          <w:b w:val="0"/>
          <w:bCs/>
          <w:color w:val="000000"/>
          <w:sz w:val="24"/>
          <w:u w:val="none"/>
        </w:rPr>
        <w:t>。</w:t>
      </w:r>
    </w:p>
    <w:p>
      <w:pPr>
        <w:adjustRightInd w:val="0"/>
        <w:snapToGrid w:val="0"/>
        <w:spacing w:line="500" w:lineRule="exact"/>
        <w:ind w:firstLine="1200" w:firstLineChars="500"/>
        <w:rPr>
          <w:b w:val="0"/>
          <w:bCs/>
          <w:color w:val="000000"/>
          <w:sz w:val="24"/>
          <w:u w:val="none"/>
        </w:rPr>
      </w:pPr>
      <w:r>
        <w:rPr>
          <w:b w:val="0"/>
          <w:bCs/>
          <w:color w:val="000000"/>
          <w:sz w:val="24"/>
          <w:u w:val="none"/>
        </w:rPr>
        <w:t>A，B，C，D—卫生防护距离计算系数，无因次，根据工业企业所在地区近五年平均风速及工业企业大气污染源构成类别确定；v=1.9m/s，L≤1000m，工业企业大气污染源构成类型为</w:t>
      </w:r>
      <w:r>
        <w:rPr>
          <w:b w:val="0"/>
          <w:bCs/>
          <w:color w:val="000000"/>
          <w:sz w:val="24"/>
          <w:u w:val="none"/>
        </w:rPr>
        <w:fldChar w:fldCharType="begin"/>
      </w:r>
      <w:r>
        <w:rPr>
          <w:b w:val="0"/>
          <w:bCs/>
          <w:color w:val="000000"/>
          <w:sz w:val="24"/>
          <w:u w:val="none"/>
        </w:rPr>
        <w:instrText xml:space="preserve">= 3 \* ROMAN</w:instrText>
      </w:r>
      <w:r>
        <w:rPr>
          <w:b w:val="0"/>
          <w:bCs/>
          <w:color w:val="000000"/>
          <w:sz w:val="24"/>
          <w:u w:val="none"/>
        </w:rPr>
        <w:fldChar w:fldCharType="separate"/>
      </w:r>
      <w:r>
        <w:rPr>
          <w:b w:val="0"/>
          <w:bCs/>
          <w:color w:val="000000"/>
          <w:sz w:val="24"/>
          <w:u w:val="none"/>
        </w:rPr>
        <w:t>III</w:t>
      </w:r>
      <w:r>
        <w:rPr>
          <w:b w:val="0"/>
          <w:bCs/>
          <w:color w:val="000000"/>
          <w:sz w:val="24"/>
          <w:u w:val="none"/>
        </w:rPr>
        <w:fldChar w:fldCharType="end"/>
      </w:r>
      <w:r>
        <w:rPr>
          <w:b w:val="0"/>
          <w:bCs/>
          <w:color w:val="000000"/>
          <w:sz w:val="24"/>
          <w:u w:val="none"/>
        </w:rPr>
        <w:t>类，取值A=400，B=0.010，C=1.85，D=0.78。</w:t>
      </w:r>
    </w:p>
    <w:p>
      <w:pPr>
        <w:adjustRightInd w:val="0"/>
        <w:snapToGrid w:val="0"/>
        <w:spacing w:line="500" w:lineRule="exact"/>
        <w:ind w:firstLine="1200" w:firstLineChars="500"/>
        <w:rPr>
          <w:b w:val="0"/>
          <w:bCs/>
          <w:color w:val="000000"/>
          <w:sz w:val="24"/>
          <w:u w:val="none"/>
        </w:rPr>
      </w:pPr>
      <w:r>
        <w:rPr>
          <w:b w:val="0"/>
          <w:bCs/>
          <w:color w:val="000000"/>
          <w:sz w:val="24"/>
          <w:u w:val="none"/>
        </w:rPr>
        <w:t>Q</w:t>
      </w:r>
      <w:r>
        <w:rPr>
          <w:b w:val="0"/>
          <w:bCs/>
          <w:color w:val="000000"/>
          <w:sz w:val="24"/>
          <w:u w:val="none"/>
          <w:vertAlign w:val="subscript"/>
        </w:rPr>
        <w:t>c</w:t>
      </w:r>
      <w:r>
        <w:rPr>
          <w:b w:val="0"/>
          <w:bCs/>
          <w:color w:val="000000"/>
          <w:sz w:val="24"/>
          <w:u w:val="none"/>
        </w:rPr>
        <w:t>—工业企业有害气体无组织排放量可以达到的控制水平，kg/h。</w:t>
      </w:r>
    </w:p>
    <w:p>
      <w:pPr>
        <w:spacing w:line="500" w:lineRule="exact"/>
        <w:ind w:firstLine="480" w:firstLineChars="200"/>
        <w:jc w:val="left"/>
        <w:rPr>
          <w:b w:val="0"/>
          <w:bCs/>
          <w:color w:val="000000"/>
          <w:sz w:val="24"/>
          <w:szCs w:val="22"/>
          <w:u w:val="none"/>
        </w:rPr>
      </w:pPr>
      <w:r>
        <w:rPr>
          <w:b w:val="0"/>
          <w:bCs/>
          <w:color w:val="000000"/>
          <w:sz w:val="24"/>
          <w:szCs w:val="22"/>
          <w:u w:val="none"/>
        </w:rPr>
        <w:t>依照上述公式无组织排放单元与居住区之间卫生防护距离计算参数及其结果见表</w:t>
      </w:r>
      <w:r>
        <w:rPr>
          <w:rFonts w:hint="eastAsia"/>
          <w:b w:val="0"/>
          <w:bCs/>
          <w:color w:val="000000"/>
          <w:sz w:val="24"/>
          <w:szCs w:val="22"/>
          <w:u w:val="none"/>
          <w:lang w:val="en-US" w:eastAsia="zh-CN"/>
        </w:rPr>
        <w:t>4.2-9</w:t>
      </w:r>
      <w:r>
        <w:rPr>
          <w:b w:val="0"/>
          <w:bCs/>
          <w:color w:val="000000"/>
          <w:sz w:val="24"/>
          <w:szCs w:val="22"/>
          <w:u w:val="none"/>
        </w:rPr>
        <w:t>。</w:t>
      </w:r>
    </w:p>
    <w:p>
      <w:pPr>
        <w:jc w:val="center"/>
        <w:rPr>
          <w:b/>
          <w:bCs w:val="0"/>
          <w:color w:val="000000"/>
          <w:szCs w:val="21"/>
          <w:u w:val="none"/>
        </w:rPr>
      </w:pPr>
      <w:r>
        <w:rPr>
          <w:b/>
          <w:bCs w:val="0"/>
          <w:color w:val="000000"/>
          <w:szCs w:val="21"/>
          <w:u w:val="none"/>
        </w:rPr>
        <w:t>表</w:t>
      </w:r>
      <w:r>
        <w:rPr>
          <w:rFonts w:hint="eastAsia"/>
          <w:b/>
          <w:bCs w:val="0"/>
          <w:color w:val="000000"/>
          <w:szCs w:val="21"/>
          <w:u w:val="none"/>
          <w:lang w:val="en-US" w:eastAsia="zh-CN"/>
        </w:rPr>
        <w:t>4.2-9</w:t>
      </w:r>
      <w:r>
        <w:rPr>
          <w:b/>
          <w:bCs w:val="0"/>
          <w:color w:val="000000"/>
          <w:szCs w:val="21"/>
          <w:u w:val="none"/>
        </w:rPr>
        <w:t xml:space="preserve">  无组织排放单元卫生防护距离计算参数及其结果</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2"/>
        <w:gridCol w:w="850"/>
        <w:gridCol w:w="1134"/>
        <w:gridCol w:w="567"/>
        <w:gridCol w:w="710"/>
        <w:gridCol w:w="567"/>
        <w:gridCol w:w="569"/>
        <w:gridCol w:w="1417"/>
        <w:gridCol w:w="10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1242" w:type="dxa"/>
            <w:vMerge w:val="restart"/>
            <w:vAlign w:val="center"/>
          </w:tcPr>
          <w:p>
            <w:pPr>
              <w:spacing w:line="260" w:lineRule="exact"/>
              <w:jc w:val="center"/>
              <w:rPr>
                <w:b w:val="0"/>
                <w:bCs/>
                <w:color w:val="000000"/>
                <w:sz w:val="18"/>
                <w:szCs w:val="18"/>
                <w:u w:val="none"/>
              </w:rPr>
            </w:pPr>
            <w:r>
              <w:rPr>
                <w:b w:val="0"/>
                <w:bCs/>
                <w:color w:val="000000"/>
                <w:sz w:val="18"/>
                <w:szCs w:val="18"/>
                <w:u w:val="none"/>
              </w:rPr>
              <w:t>无组织</w:t>
            </w:r>
          </w:p>
          <w:p>
            <w:pPr>
              <w:spacing w:line="260" w:lineRule="exact"/>
              <w:jc w:val="center"/>
              <w:rPr>
                <w:b w:val="0"/>
                <w:bCs/>
                <w:color w:val="000000"/>
                <w:sz w:val="18"/>
                <w:szCs w:val="18"/>
                <w:u w:val="none"/>
              </w:rPr>
            </w:pPr>
            <w:r>
              <w:rPr>
                <w:b w:val="0"/>
                <w:bCs/>
                <w:color w:val="000000"/>
                <w:sz w:val="18"/>
                <w:szCs w:val="18"/>
                <w:u w:val="none"/>
              </w:rPr>
              <w:t>排放源</w:t>
            </w:r>
          </w:p>
        </w:tc>
        <w:tc>
          <w:tcPr>
            <w:tcW w:w="852" w:type="dxa"/>
            <w:vMerge w:val="restart"/>
            <w:vAlign w:val="center"/>
          </w:tcPr>
          <w:p>
            <w:pPr>
              <w:spacing w:line="260" w:lineRule="exact"/>
              <w:jc w:val="center"/>
              <w:rPr>
                <w:b w:val="0"/>
                <w:bCs/>
                <w:color w:val="000000"/>
                <w:sz w:val="18"/>
                <w:szCs w:val="18"/>
                <w:u w:val="none"/>
              </w:rPr>
            </w:pPr>
            <w:r>
              <w:rPr>
                <w:b w:val="0"/>
                <w:bCs/>
                <w:color w:val="000000"/>
                <w:sz w:val="18"/>
                <w:szCs w:val="18"/>
                <w:u w:val="none"/>
              </w:rPr>
              <w:t>主要</w:t>
            </w:r>
          </w:p>
          <w:p>
            <w:pPr>
              <w:spacing w:line="260" w:lineRule="exact"/>
              <w:jc w:val="center"/>
              <w:rPr>
                <w:b w:val="0"/>
                <w:bCs/>
                <w:color w:val="000000"/>
                <w:sz w:val="18"/>
                <w:szCs w:val="18"/>
                <w:u w:val="none"/>
              </w:rPr>
            </w:pPr>
            <w:r>
              <w:rPr>
                <w:b w:val="0"/>
                <w:bCs/>
                <w:color w:val="000000"/>
                <w:sz w:val="18"/>
                <w:szCs w:val="18"/>
                <w:u w:val="none"/>
              </w:rPr>
              <w:t>污染物</w:t>
            </w:r>
          </w:p>
        </w:tc>
        <w:tc>
          <w:tcPr>
            <w:tcW w:w="850" w:type="dxa"/>
            <w:vMerge w:val="restart"/>
            <w:vAlign w:val="center"/>
          </w:tcPr>
          <w:p>
            <w:pPr>
              <w:spacing w:line="260" w:lineRule="exact"/>
              <w:jc w:val="center"/>
              <w:rPr>
                <w:b w:val="0"/>
                <w:bCs/>
                <w:color w:val="000000"/>
                <w:sz w:val="18"/>
                <w:szCs w:val="18"/>
                <w:u w:val="none"/>
              </w:rPr>
            </w:pPr>
            <w:r>
              <w:rPr>
                <w:b w:val="0"/>
                <w:bCs/>
                <w:color w:val="000000"/>
                <w:sz w:val="18"/>
                <w:szCs w:val="18"/>
                <w:u w:val="none"/>
              </w:rPr>
              <w:t>排放量kg/h</w:t>
            </w:r>
          </w:p>
        </w:tc>
        <w:tc>
          <w:tcPr>
            <w:tcW w:w="1134" w:type="dxa"/>
            <w:vMerge w:val="restart"/>
            <w:vAlign w:val="center"/>
          </w:tcPr>
          <w:p>
            <w:pPr>
              <w:spacing w:line="260" w:lineRule="exact"/>
              <w:jc w:val="center"/>
              <w:rPr>
                <w:b w:val="0"/>
                <w:bCs/>
                <w:color w:val="000000"/>
                <w:sz w:val="18"/>
                <w:szCs w:val="18"/>
                <w:u w:val="none"/>
              </w:rPr>
            </w:pPr>
            <w:r>
              <w:rPr>
                <w:b w:val="0"/>
                <w:bCs/>
                <w:color w:val="000000"/>
                <w:sz w:val="18"/>
                <w:szCs w:val="18"/>
                <w:u w:val="none"/>
              </w:rPr>
              <w:t>评价标准</w:t>
            </w:r>
          </w:p>
          <w:p>
            <w:pPr>
              <w:spacing w:line="260" w:lineRule="exact"/>
              <w:jc w:val="center"/>
              <w:rPr>
                <w:b w:val="0"/>
                <w:bCs/>
                <w:color w:val="000000"/>
                <w:sz w:val="18"/>
                <w:szCs w:val="18"/>
                <w:u w:val="none"/>
              </w:rPr>
            </w:pPr>
            <w:r>
              <w:rPr>
                <w:b w:val="0"/>
                <w:bCs/>
                <w:color w:val="000000"/>
                <w:sz w:val="18"/>
                <w:szCs w:val="18"/>
                <w:u w:val="none"/>
              </w:rPr>
              <w:t>mg/m</w:t>
            </w:r>
            <w:r>
              <w:rPr>
                <w:b w:val="0"/>
                <w:bCs/>
                <w:color w:val="000000"/>
                <w:sz w:val="18"/>
                <w:szCs w:val="18"/>
                <w:u w:val="none"/>
                <w:vertAlign w:val="superscript"/>
              </w:rPr>
              <w:t>3</w:t>
            </w:r>
          </w:p>
        </w:tc>
        <w:tc>
          <w:tcPr>
            <w:tcW w:w="2413" w:type="dxa"/>
            <w:gridSpan w:val="4"/>
            <w:vAlign w:val="center"/>
          </w:tcPr>
          <w:p>
            <w:pPr>
              <w:spacing w:line="260" w:lineRule="exact"/>
              <w:jc w:val="center"/>
              <w:rPr>
                <w:b w:val="0"/>
                <w:bCs/>
                <w:color w:val="000000"/>
                <w:sz w:val="18"/>
                <w:szCs w:val="18"/>
                <w:u w:val="none"/>
              </w:rPr>
            </w:pPr>
            <w:r>
              <w:rPr>
                <w:b w:val="0"/>
                <w:bCs/>
                <w:color w:val="000000"/>
                <w:sz w:val="18"/>
                <w:szCs w:val="18"/>
                <w:u w:val="none"/>
              </w:rPr>
              <w:t>计算参数</w:t>
            </w:r>
          </w:p>
        </w:tc>
        <w:tc>
          <w:tcPr>
            <w:tcW w:w="1417" w:type="dxa"/>
            <w:vMerge w:val="restart"/>
            <w:vAlign w:val="center"/>
          </w:tcPr>
          <w:p>
            <w:pPr>
              <w:spacing w:line="260" w:lineRule="exact"/>
              <w:jc w:val="center"/>
              <w:rPr>
                <w:b w:val="0"/>
                <w:bCs/>
                <w:color w:val="000000"/>
                <w:sz w:val="18"/>
                <w:szCs w:val="18"/>
                <w:u w:val="none"/>
              </w:rPr>
            </w:pPr>
            <w:r>
              <w:rPr>
                <w:b w:val="0"/>
                <w:bCs/>
                <w:color w:val="000000"/>
                <w:sz w:val="18"/>
                <w:szCs w:val="18"/>
                <w:u w:val="none"/>
              </w:rPr>
              <w:t>卫生防护距离</w:t>
            </w:r>
          </w:p>
          <w:p>
            <w:pPr>
              <w:spacing w:line="260" w:lineRule="exact"/>
              <w:jc w:val="center"/>
              <w:rPr>
                <w:b w:val="0"/>
                <w:bCs/>
                <w:color w:val="000000"/>
                <w:sz w:val="18"/>
                <w:szCs w:val="18"/>
                <w:u w:val="none"/>
              </w:rPr>
            </w:pPr>
            <w:r>
              <w:rPr>
                <w:b w:val="0"/>
                <w:bCs/>
                <w:color w:val="000000"/>
                <w:sz w:val="18"/>
                <w:szCs w:val="18"/>
                <w:u w:val="none"/>
              </w:rPr>
              <w:t>计算值（m）</w:t>
            </w:r>
          </w:p>
        </w:tc>
        <w:tc>
          <w:tcPr>
            <w:tcW w:w="1038" w:type="dxa"/>
            <w:vMerge w:val="restart"/>
            <w:vAlign w:val="center"/>
          </w:tcPr>
          <w:p>
            <w:pPr>
              <w:spacing w:line="260" w:lineRule="exact"/>
              <w:jc w:val="center"/>
              <w:rPr>
                <w:b w:val="0"/>
                <w:bCs/>
                <w:color w:val="000000"/>
                <w:sz w:val="18"/>
                <w:szCs w:val="18"/>
                <w:u w:val="none"/>
              </w:rPr>
            </w:pPr>
            <w:r>
              <w:rPr>
                <w:b w:val="0"/>
                <w:bCs/>
                <w:color w:val="000000"/>
                <w:sz w:val="18"/>
                <w:szCs w:val="18"/>
                <w:u w:val="none"/>
              </w:rPr>
              <w:t>提级后</w:t>
            </w:r>
          </w:p>
          <w:p>
            <w:pPr>
              <w:spacing w:line="260" w:lineRule="exact"/>
              <w:jc w:val="center"/>
              <w:rPr>
                <w:b w:val="0"/>
                <w:bCs/>
                <w:color w:val="000000"/>
                <w:sz w:val="18"/>
                <w:szCs w:val="18"/>
                <w:u w:val="none"/>
              </w:rPr>
            </w:pPr>
            <w:r>
              <w:rPr>
                <w:b w:val="0"/>
                <w:bCs/>
                <w:color w:val="000000"/>
                <w:sz w:val="18"/>
                <w:szCs w:val="18"/>
                <w:u w:val="none"/>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242" w:type="dxa"/>
            <w:vMerge w:val="continue"/>
            <w:vAlign w:val="center"/>
          </w:tcPr>
          <w:p>
            <w:pPr>
              <w:jc w:val="center"/>
              <w:rPr>
                <w:b w:val="0"/>
                <w:bCs/>
                <w:color w:val="000000"/>
                <w:sz w:val="18"/>
                <w:szCs w:val="18"/>
                <w:u w:val="none"/>
              </w:rPr>
            </w:pPr>
          </w:p>
        </w:tc>
        <w:tc>
          <w:tcPr>
            <w:tcW w:w="852" w:type="dxa"/>
            <w:vMerge w:val="continue"/>
            <w:vAlign w:val="center"/>
          </w:tcPr>
          <w:p>
            <w:pPr>
              <w:jc w:val="center"/>
              <w:rPr>
                <w:b w:val="0"/>
                <w:bCs/>
                <w:color w:val="000000"/>
                <w:sz w:val="18"/>
                <w:szCs w:val="18"/>
                <w:u w:val="none"/>
              </w:rPr>
            </w:pPr>
          </w:p>
        </w:tc>
        <w:tc>
          <w:tcPr>
            <w:tcW w:w="850" w:type="dxa"/>
            <w:vMerge w:val="continue"/>
            <w:vAlign w:val="center"/>
          </w:tcPr>
          <w:p>
            <w:pPr>
              <w:jc w:val="center"/>
              <w:rPr>
                <w:b w:val="0"/>
                <w:bCs/>
                <w:color w:val="000000"/>
                <w:sz w:val="18"/>
                <w:szCs w:val="18"/>
                <w:u w:val="none"/>
              </w:rPr>
            </w:pPr>
          </w:p>
        </w:tc>
        <w:tc>
          <w:tcPr>
            <w:tcW w:w="1134" w:type="dxa"/>
            <w:vMerge w:val="continue"/>
            <w:vAlign w:val="center"/>
          </w:tcPr>
          <w:p>
            <w:pPr>
              <w:jc w:val="center"/>
              <w:rPr>
                <w:b w:val="0"/>
                <w:bCs/>
                <w:color w:val="000000"/>
                <w:sz w:val="18"/>
                <w:szCs w:val="18"/>
                <w:u w:val="none"/>
              </w:rPr>
            </w:pPr>
          </w:p>
        </w:tc>
        <w:tc>
          <w:tcPr>
            <w:tcW w:w="567" w:type="dxa"/>
            <w:vAlign w:val="center"/>
          </w:tcPr>
          <w:p>
            <w:pPr>
              <w:spacing w:line="320" w:lineRule="exact"/>
              <w:jc w:val="center"/>
              <w:rPr>
                <w:b w:val="0"/>
                <w:bCs/>
                <w:color w:val="000000"/>
                <w:sz w:val="18"/>
                <w:szCs w:val="18"/>
                <w:u w:val="none"/>
              </w:rPr>
            </w:pPr>
            <w:r>
              <w:rPr>
                <w:b w:val="0"/>
                <w:bCs/>
                <w:color w:val="000000"/>
                <w:sz w:val="18"/>
                <w:szCs w:val="18"/>
                <w:u w:val="none"/>
              </w:rPr>
              <w:t>A</w:t>
            </w:r>
          </w:p>
        </w:tc>
        <w:tc>
          <w:tcPr>
            <w:tcW w:w="710" w:type="dxa"/>
            <w:vAlign w:val="center"/>
          </w:tcPr>
          <w:p>
            <w:pPr>
              <w:spacing w:line="320" w:lineRule="exact"/>
              <w:jc w:val="center"/>
              <w:rPr>
                <w:b w:val="0"/>
                <w:bCs/>
                <w:color w:val="000000"/>
                <w:sz w:val="18"/>
                <w:szCs w:val="18"/>
                <w:u w:val="none"/>
              </w:rPr>
            </w:pPr>
            <w:r>
              <w:rPr>
                <w:b w:val="0"/>
                <w:bCs/>
                <w:color w:val="000000"/>
                <w:sz w:val="18"/>
                <w:szCs w:val="18"/>
                <w:u w:val="none"/>
              </w:rPr>
              <w:t>B</w:t>
            </w:r>
          </w:p>
        </w:tc>
        <w:tc>
          <w:tcPr>
            <w:tcW w:w="567" w:type="dxa"/>
            <w:vAlign w:val="center"/>
          </w:tcPr>
          <w:p>
            <w:pPr>
              <w:spacing w:line="320" w:lineRule="exact"/>
              <w:jc w:val="center"/>
              <w:rPr>
                <w:b w:val="0"/>
                <w:bCs/>
                <w:color w:val="000000"/>
                <w:sz w:val="18"/>
                <w:szCs w:val="18"/>
                <w:u w:val="none"/>
              </w:rPr>
            </w:pPr>
            <w:r>
              <w:rPr>
                <w:b w:val="0"/>
                <w:bCs/>
                <w:color w:val="000000"/>
                <w:sz w:val="18"/>
                <w:szCs w:val="18"/>
                <w:u w:val="none"/>
              </w:rPr>
              <w:t>C</w:t>
            </w:r>
          </w:p>
        </w:tc>
        <w:tc>
          <w:tcPr>
            <w:tcW w:w="569" w:type="dxa"/>
            <w:vAlign w:val="center"/>
          </w:tcPr>
          <w:p>
            <w:pPr>
              <w:spacing w:line="320" w:lineRule="exact"/>
              <w:jc w:val="center"/>
              <w:rPr>
                <w:b w:val="0"/>
                <w:bCs/>
                <w:color w:val="000000"/>
                <w:sz w:val="18"/>
                <w:szCs w:val="18"/>
                <w:u w:val="none"/>
              </w:rPr>
            </w:pPr>
            <w:r>
              <w:rPr>
                <w:b w:val="0"/>
                <w:bCs/>
                <w:color w:val="000000"/>
                <w:sz w:val="18"/>
                <w:szCs w:val="18"/>
                <w:u w:val="none"/>
              </w:rPr>
              <w:t>D</w:t>
            </w:r>
          </w:p>
        </w:tc>
        <w:tc>
          <w:tcPr>
            <w:tcW w:w="1417" w:type="dxa"/>
            <w:vMerge w:val="continue"/>
            <w:vAlign w:val="center"/>
          </w:tcPr>
          <w:p>
            <w:pPr>
              <w:spacing w:line="240" w:lineRule="atLeast"/>
              <w:jc w:val="center"/>
              <w:rPr>
                <w:b w:val="0"/>
                <w:bCs/>
                <w:color w:val="000000"/>
                <w:sz w:val="18"/>
                <w:szCs w:val="18"/>
                <w:u w:val="none"/>
              </w:rPr>
            </w:pPr>
          </w:p>
        </w:tc>
        <w:tc>
          <w:tcPr>
            <w:tcW w:w="1038" w:type="dxa"/>
            <w:vMerge w:val="continue"/>
            <w:vAlign w:val="center"/>
          </w:tcPr>
          <w:p>
            <w:pPr>
              <w:spacing w:line="240" w:lineRule="atLeast"/>
              <w:jc w:val="center"/>
              <w:rPr>
                <w:b w:val="0"/>
                <w:bCs/>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vMerge w:val="restart"/>
            <w:vAlign w:val="center"/>
          </w:tcPr>
          <w:p>
            <w:pPr>
              <w:spacing w:line="240" w:lineRule="atLeast"/>
              <w:jc w:val="center"/>
              <w:rPr>
                <w:b w:val="0"/>
                <w:bCs/>
                <w:color w:val="000000"/>
                <w:sz w:val="18"/>
                <w:szCs w:val="18"/>
                <w:u w:val="none"/>
              </w:rPr>
            </w:pPr>
            <w:r>
              <w:rPr>
                <w:b w:val="0"/>
                <w:bCs/>
                <w:color w:val="000000"/>
                <w:sz w:val="18"/>
                <w:szCs w:val="18"/>
                <w:u w:val="none"/>
              </w:rPr>
              <w:t>厂区</w:t>
            </w:r>
          </w:p>
        </w:tc>
        <w:tc>
          <w:tcPr>
            <w:tcW w:w="852" w:type="dxa"/>
            <w:vAlign w:val="center"/>
          </w:tcPr>
          <w:p>
            <w:pPr>
              <w:jc w:val="center"/>
              <w:rPr>
                <w:b w:val="0"/>
                <w:bCs/>
                <w:color w:val="000000"/>
                <w:sz w:val="18"/>
                <w:szCs w:val="18"/>
                <w:u w:val="none"/>
              </w:rPr>
            </w:pPr>
            <w:r>
              <w:rPr>
                <w:b w:val="0"/>
                <w:bCs/>
                <w:color w:val="000000"/>
                <w:sz w:val="18"/>
                <w:szCs w:val="18"/>
                <w:u w:val="none"/>
              </w:rPr>
              <w:t>H</w:t>
            </w:r>
            <w:r>
              <w:rPr>
                <w:b w:val="0"/>
                <w:bCs/>
                <w:color w:val="000000"/>
                <w:sz w:val="18"/>
                <w:szCs w:val="18"/>
                <w:u w:val="none"/>
                <w:vertAlign w:val="subscript"/>
              </w:rPr>
              <w:t>2</w:t>
            </w:r>
            <w:r>
              <w:rPr>
                <w:b w:val="0"/>
                <w:bCs/>
                <w:color w:val="000000"/>
                <w:sz w:val="18"/>
                <w:szCs w:val="18"/>
                <w:u w:val="none"/>
              </w:rPr>
              <w:t>S</w:t>
            </w:r>
          </w:p>
        </w:tc>
        <w:tc>
          <w:tcPr>
            <w:tcW w:w="850" w:type="dxa"/>
            <w:vAlign w:val="center"/>
          </w:tcPr>
          <w:p>
            <w:pPr>
              <w:jc w:val="center"/>
              <w:rPr>
                <w:rFonts w:hint="default" w:eastAsia="宋体"/>
                <w:b w:val="0"/>
                <w:bCs/>
                <w:color w:val="000000"/>
                <w:sz w:val="18"/>
                <w:szCs w:val="18"/>
                <w:u w:val="none"/>
                <w:lang w:val="en-US" w:eastAsia="zh-CN"/>
              </w:rPr>
            </w:pPr>
            <w:r>
              <w:rPr>
                <w:b w:val="0"/>
                <w:bCs/>
                <w:color w:val="000000"/>
                <w:sz w:val="18"/>
                <w:szCs w:val="18"/>
                <w:u w:val="none"/>
              </w:rPr>
              <w:t>0.0</w:t>
            </w:r>
            <w:r>
              <w:rPr>
                <w:rFonts w:hint="eastAsia"/>
                <w:b w:val="0"/>
                <w:bCs/>
                <w:color w:val="000000"/>
                <w:sz w:val="18"/>
                <w:szCs w:val="18"/>
                <w:u w:val="none"/>
                <w:lang w:val="en-US" w:eastAsia="zh-CN"/>
              </w:rPr>
              <w:t>023</w:t>
            </w:r>
          </w:p>
        </w:tc>
        <w:tc>
          <w:tcPr>
            <w:tcW w:w="1134" w:type="dxa"/>
            <w:vAlign w:val="center"/>
          </w:tcPr>
          <w:p>
            <w:pPr>
              <w:jc w:val="center"/>
              <w:rPr>
                <w:b w:val="0"/>
                <w:bCs/>
                <w:color w:val="000000"/>
                <w:sz w:val="18"/>
                <w:szCs w:val="18"/>
                <w:u w:val="none"/>
              </w:rPr>
            </w:pPr>
            <w:r>
              <w:rPr>
                <w:b w:val="0"/>
                <w:bCs/>
                <w:color w:val="000000"/>
                <w:sz w:val="18"/>
                <w:szCs w:val="18"/>
                <w:u w:val="none"/>
              </w:rPr>
              <w:t>0.01</w:t>
            </w:r>
          </w:p>
        </w:tc>
        <w:tc>
          <w:tcPr>
            <w:tcW w:w="567" w:type="dxa"/>
            <w:vMerge w:val="restart"/>
            <w:vAlign w:val="center"/>
          </w:tcPr>
          <w:p>
            <w:pPr>
              <w:jc w:val="center"/>
              <w:rPr>
                <w:b w:val="0"/>
                <w:bCs/>
                <w:color w:val="000000"/>
                <w:sz w:val="18"/>
                <w:szCs w:val="18"/>
                <w:u w:val="none"/>
              </w:rPr>
            </w:pPr>
            <w:r>
              <w:rPr>
                <w:b w:val="0"/>
                <w:bCs/>
                <w:color w:val="000000"/>
                <w:sz w:val="18"/>
                <w:szCs w:val="18"/>
                <w:u w:val="none"/>
              </w:rPr>
              <w:t>470</w:t>
            </w:r>
          </w:p>
        </w:tc>
        <w:tc>
          <w:tcPr>
            <w:tcW w:w="710" w:type="dxa"/>
            <w:vMerge w:val="restart"/>
            <w:vAlign w:val="center"/>
          </w:tcPr>
          <w:p>
            <w:pPr>
              <w:jc w:val="center"/>
              <w:rPr>
                <w:b w:val="0"/>
                <w:bCs/>
                <w:color w:val="000000"/>
                <w:sz w:val="18"/>
                <w:szCs w:val="18"/>
                <w:u w:val="none"/>
              </w:rPr>
            </w:pPr>
            <w:r>
              <w:rPr>
                <w:b w:val="0"/>
                <w:bCs/>
                <w:color w:val="000000"/>
                <w:sz w:val="18"/>
                <w:szCs w:val="18"/>
                <w:u w:val="none"/>
              </w:rPr>
              <w:t>0.021</w:t>
            </w:r>
          </w:p>
        </w:tc>
        <w:tc>
          <w:tcPr>
            <w:tcW w:w="567" w:type="dxa"/>
            <w:vMerge w:val="restart"/>
            <w:vAlign w:val="center"/>
          </w:tcPr>
          <w:p>
            <w:pPr>
              <w:jc w:val="center"/>
              <w:rPr>
                <w:b w:val="0"/>
                <w:bCs/>
                <w:color w:val="000000"/>
                <w:sz w:val="18"/>
                <w:szCs w:val="18"/>
                <w:u w:val="none"/>
              </w:rPr>
            </w:pPr>
            <w:r>
              <w:rPr>
                <w:b w:val="0"/>
                <w:bCs/>
                <w:color w:val="000000"/>
                <w:sz w:val="18"/>
                <w:szCs w:val="18"/>
                <w:u w:val="none"/>
              </w:rPr>
              <w:t>1.85</w:t>
            </w:r>
          </w:p>
        </w:tc>
        <w:tc>
          <w:tcPr>
            <w:tcW w:w="569" w:type="dxa"/>
            <w:vMerge w:val="restart"/>
            <w:vAlign w:val="center"/>
          </w:tcPr>
          <w:p>
            <w:pPr>
              <w:jc w:val="center"/>
              <w:rPr>
                <w:b w:val="0"/>
                <w:bCs/>
                <w:color w:val="000000"/>
                <w:sz w:val="18"/>
                <w:szCs w:val="18"/>
                <w:u w:val="none"/>
              </w:rPr>
            </w:pPr>
            <w:r>
              <w:rPr>
                <w:b w:val="0"/>
                <w:bCs/>
                <w:color w:val="000000"/>
                <w:sz w:val="18"/>
                <w:szCs w:val="18"/>
                <w:u w:val="none"/>
              </w:rPr>
              <w:t>0.84</w:t>
            </w:r>
          </w:p>
        </w:tc>
        <w:tc>
          <w:tcPr>
            <w:tcW w:w="1417" w:type="dxa"/>
            <w:vAlign w:val="center"/>
          </w:tcPr>
          <w:p>
            <w:pPr>
              <w:jc w:val="center"/>
              <w:rPr>
                <w:rFonts w:hint="default" w:eastAsia="宋体"/>
                <w:b w:val="0"/>
                <w:bCs/>
                <w:color w:val="000000"/>
                <w:sz w:val="18"/>
                <w:szCs w:val="18"/>
                <w:u w:val="none"/>
                <w:lang w:val="en-US" w:eastAsia="zh-CN"/>
              </w:rPr>
            </w:pPr>
            <w:r>
              <w:rPr>
                <w:rFonts w:hint="eastAsia"/>
                <w:b w:val="0"/>
                <w:bCs/>
                <w:color w:val="000000"/>
                <w:sz w:val="18"/>
                <w:szCs w:val="18"/>
                <w:u w:val="none"/>
                <w:lang w:val="en-US" w:eastAsia="zh-CN"/>
              </w:rPr>
              <w:t>2.44</w:t>
            </w:r>
          </w:p>
        </w:tc>
        <w:tc>
          <w:tcPr>
            <w:tcW w:w="1038" w:type="dxa"/>
            <w:vAlign w:val="center"/>
          </w:tcPr>
          <w:p>
            <w:pPr>
              <w:jc w:val="center"/>
              <w:rPr>
                <w:rFonts w:hint="default" w:eastAsia="宋体"/>
                <w:b w:val="0"/>
                <w:bCs/>
                <w:color w:val="000000"/>
                <w:sz w:val="18"/>
                <w:szCs w:val="18"/>
                <w:u w:val="none"/>
                <w:lang w:val="en-US" w:eastAsia="zh-CN"/>
              </w:rPr>
            </w:pPr>
            <w:r>
              <w:rPr>
                <w:rFonts w:hint="eastAsia"/>
                <w:b w:val="0"/>
                <w:bCs/>
                <w:color w:val="000000"/>
                <w:sz w:val="18"/>
                <w:szCs w:val="18"/>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vMerge w:val="continue"/>
            <w:vAlign w:val="center"/>
          </w:tcPr>
          <w:p>
            <w:pPr>
              <w:jc w:val="center"/>
              <w:rPr>
                <w:b w:val="0"/>
                <w:bCs/>
                <w:color w:val="000000"/>
                <w:sz w:val="18"/>
                <w:szCs w:val="18"/>
                <w:u w:val="none"/>
              </w:rPr>
            </w:pPr>
          </w:p>
        </w:tc>
        <w:tc>
          <w:tcPr>
            <w:tcW w:w="852" w:type="dxa"/>
            <w:vAlign w:val="center"/>
          </w:tcPr>
          <w:p>
            <w:pPr>
              <w:jc w:val="center"/>
              <w:rPr>
                <w:b w:val="0"/>
                <w:bCs/>
                <w:color w:val="000000"/>
                <w:sz w:val="18"/>
                <w:szCs w:val="18"/>
                <w:u w:val="none"/>
              </w:rPr>
            </w:pPr>
            <w:r>
              <w:rPr>
                <w:b w:val="0"/>
                <w:bCs/>
                <w:color w:val="000000"/>
                <w:sz w:val="18"/>
                <w:szCs w:val="18"/>
                <w:u w:val="none"/>
              </w:rPr>
              <w:t>NH</w:t>
            </w:r>
            <w:r>
              <w:rPr>
                <w:b w:val="0"/>
                <w:bCs/>
                <w:color w:val="000000"/>
                <w:sz w:val="18"/>
                <w:szCs w:val="18"/>
                <w:u w:val="none"/>
                <w:vertAlign w:val="subscript"/>
              </w:rPr>
              <w:t>3</w:t>
            </w:r>
          </w:p>
        </w:tc>
        <w:tc>
          <w:tcPr>
            <w:tcW w:w="850" w:type="dxa"/>
            <w:vAlign w:val="center"/>
          </w:tcPr>
          <w:p>
            <w:pPr>
              <w:jc w:val="center"/>
              <w:rPr>
                <w:rFonts w:hint="default" w:eastAsia="宋体"/>
                <w:b w:val="0"/>
                <w:bCs/>
                <w:color w:val="000000"/>
                <w:sz w:val="18"/>
                <w:szCs w:val="18"/>
                <w:u w:val="none"/>
                <w:lang w:val="en-US" w:eastAsia="zh-CN"/>
              </w:rPr>
            </w:pPr>
            <w:r>
              <w:rPr>
                <w:b w:val="0"/>
                <w:bCs/>
                <w:color w:val="000000"/>
                <w:sz w:val="18"/>
                <w:szCs w:val="18"/>
                <w:u w:val="none"/>
              </w:rPr>
              <w:t>0.</w:t>
            </w:r>
            <w:r>
              <w:rPr>
                <w:rFonts w:hint="eastAsia"/>
                <w:b w:val="0"/>
                <w:bCs/>
                <w:color w:val="000000"/>
                <w:sz w:val="18"/>
                <w:szCs w:val="18"/>
                <w:u w:val="none"/>
                <w:lang w:val="en-US" w:eastAsia="zh-CN"/>
              </w:rPr>
              <w:t>036</w:t>
            </w:r>
          </w:p>
        </w:tc>
        <w:tc>
          <w:tcPr>
            <w:tcW w:w="1134" w:type="dxa"/>
            <w:vAlign w:val="center"/>
          </w:tcPr>
          <w:p>
            <w:pPr>
              <w:jc w:val="center"/>
              <w:rPr>
                <w:b w:val="0"/>
                <w:bCs/>
                <w:color w:val="000000"/>
                <w:sz w:val="18"/>
                <w:szCs w:val="18"/>
                <w:u w:val="none"/>
              </w:rPr>
            </w:pPr>
            <w:r>
              <w:rPr>
                <w:b w:val="0"/>
                <w:bCs/>
                <w:color w:val="000000"/>
                <w:sz w:val="18"/>
                <w:szCs w:val="18"/>
                <w:u w:val="none"/>
              </w:rPr>
              <w:t>0.20</w:t>
            </w:r>
          </w:p>
        </w:tc>
        <w:tc>
          <w:tcPr>
            <w:tcW w:w="567" w:type="dxa"/>
            <w:vMerge w:val="continue"/>
            <w:vAlign w:val="center"/>
          </w:tcPr>
          <w:p>
            <w:pPr>
              <w:jc w:val="center"/>
              <w:rPr>
                <w:b w:val="0"/>
                <w:bCs/>
                <w:color w:val="000000"/>
                <w:sz w:val="18"/>
                <w:szCs w:val="18"/>
                <w:u w:val="none"/>
              </w:rPr>
            </w:pPr>
          </w:p>
        </w:tc>
        <w:tc>
          <w:tcPr>
            <w:tcW w:w="710" w:type="dxa"/>
            <w:vMerge w:val="continue"/>
            <w:vAlign w:val="center"/>
          </w:tcPr>
          <w:p>
            <w:pPr>
              <w:jc w:val="center"/>
              <w:rPr>
                <w:b w:val="0"/>
                <w:bCs/>
                <w:color w:val="000000"/>
                <w:sz w:val="18"/>
                <w:szCs w:val="18"/>
                <w:u w:val="none"/>
              </w:rPr>
            </w:pPr>
          </w:p>
        </w:tc>
        <w:tc>
          <w:tcPr>
            <w:tcW w:w="567" w:type="dxa"/>
            <w:vMerge w:val="continue"/>
            <w:vAlign w:val="center"/>
          </w:tcPr>
          <w:p>
            <w:pPr>
              <w:jc w:val="center"/>
              <w:rPr>
                <w:b w:val="0"/>
                <w:bCs/>
                <w:color w:val="000000"/>
                <w:sz w:val="18"/>
                <w:szCs w:val="18"/>
                <w:u w:val="none"/>
              </w:rPr>
            </w:pPr>
          </w:p>
        </w:tc>
        <w:tc>
          <w:tcPr>
            <w:tcW w:w="569" w:type="dxa"/>
            <w:vMerge w:val="continue"/>
            <w:vAlign w:val="center"/>
          </w:tcPr>
          <w:p>
            <w:pPr>
              <w:jc w:val="center"/>
              <w:rPr>
                <w:b w:val="0"/>
                <w:bCs/>
                <w:color w:val="000000"/>
                <w:sz w:val="18"/>
                <w:szCs w:val="18"/>
                <w:u w:val="none"/>
              </w:rPr>
            </w:pPr>
          </w:p>
        </w:tc>
        <w:tc>
          <w:tcPr>
            <w:tcW w:w="1417" w:type="dxa"/>
            <w:vAlign w:val="center"/>
          </w:tcPr>
          <w:p>
            <w:pPr>
              <w:jc w:val="center"/>
              <w:rPr>
                <w:rFonts w:hint="default" w:eastAsia="宋体"/>
                <w:b w:val="0"/>
                <w:bCs/>
                <w:color w:val="000000"/>
                <w:sz w:val="18"/>
                <w:szCs w:val="18"/>
                <w:u w:val="none"/>
                <w:lang w:val="en-US" w:eastAsia="zh-CN"/>
              </w:rPr>
            </w:pPr>
            <w:r>
              <w:rPr>
                <w:rFonts w:hint="eastAsia"/>
                <w:b w:val="0"/>
                <w:bCs/>
                <w:color w:val="000000"/>
                <w:sz w:val="18"/>
                <w:szCs w:val="18"/>
                <w:u w:val="none"/>
                <w:lang w:val="en-US" w:eastAsia="zh-CN"/>
              </w:rPr>
              <w:t>1.78</w:t>
            </w:r>
          </w:p>
        </w:tc>
        <w:tc>
          <w:tcPr>
            <w:tcW w:w="1038" w:type="dxa"/>
            <w:vAlign w:val="center"/>
          </w:tcPr>
          <w:p>
            <w:pPr>
              <w:jc w:val="center"/>
              <w:rPr>
                <w:rFonts w:hint="default" w:eastAsia="宋体"/>
                <w:b w:val="0"/>
                <w:bCs/>
                <w:color w:val="000000"/>
                <w:u w:val="none"/>
                <w:lang w:val="en-US" w:eastAsia="zh-CN"/>
              </w:rPr>
            </w:pPr>
            <w:r>
              <w:rPr>
                <w:rFonts w:hint="eastAsia"/>
                <w:b w:val="0"/>
                <w:bCs/>
                <w:color w:val="000000"/>
                <w:u w:val="none"/>
                <w:lang w:val="en-US" w:eastAsia="zh-CN"/>
              </w:rPr>
              <w:t>50</w:t>
            </w:r>
          </w:p>
        </w:tc>
      </w:tr>
    </w:tbl>
    <w:p>
      <w:pPr>
        <w:spacing w:line="460" w:lineRule="exact"/>
        <w:ind w:firstLine="480" w:firstLineChars="200"/>
        <w:rPr>
          <w:b w:val="0"/>
          <w:bCs/>
          <w:color w:val="000000"/>
          <w:sz w:val="24"/>
          <w:szCs w:val="22"/>
          <w:u w:val="none"/>
        </w:rPr>
      </w:pPr>
      <w:r>
        <w:rPr>
          <w:b w:val="0"/>
          <w:bCs/>
          <w:color w:val="000000"/>
          <w:sz w:val="24"/>
          <w:szCs w:val="22"/>
          <w:u w:val="none"/>
        </w:rPr>
        <w:t>根据《制定地方大气污染物排放标准的技术方法》规定，“无组织排放多种有害气体的工业企业，按Q</w:t>
      </w:r>
      <w:r>
        <w:rPr>
          <w:b w:val="0"/>
          <w:bCs/>
          <w:color w:val="000000"/>
          <w:sz w:val="24"/>
          <w:szCs w:val="22"/>
          <w:u w:val="none"/>
          <w:vertAlign w:val="subscript"/>
        </w:rPr>
        <w:t>c</w:t>
      </w:r>
      <w:r>
        <w:rPr>
          <w:b w:val="0"/>
          <w:bCs/>
          <w:color w:val="000000"/>
          <w:sz w:val="24"/>
          <w:szCs w:val="22"/>
          <w:u w:val="none"/>
        </w:rPr>
        <w:t>/C</w:t>
      </w:r>
      <w:r>
        <w:rPr>
          <w:b w:val="0"/>
          <w:bCs/>
          <w:color w:val="000000"/>
          <w:sz w:val="24"/>
          <w:szCs w:val="22"/>
          <w:u w:val="none"/>
          <w:vertAlign w:val="subscript"/>
        </w:rPr>
        <w:t>m</w:t>
      </w:r>
      <w:r>
        <w:rPr>
          <w:b w:val="0"/>
          <w:bCs/>
          <w:color w:val="000000"/>
          <w:sz w:val="24"/>
          <w:szCs w:val="22"/>
          <w:u w:val="none"/>
        </w:rPr>
        <w:t>的最大值计算其所需卫生防护距离；但当按两种或两种以上的有害气体的Q</w:t>
      </w:r>
      <w:r>
        <w:rPr>
          <w:b w:val="0"/>
          <w:bCs/>
          <w:color w:val="000000"/>
          <w:sz w:val="24"/>
          <w:szCs w:val="22"/>
          <w:u w:val="none"/>
          <w:vertAlign w:val="subscript"/>
        </w:rPr>
        <w:t>c</w:t>
      </w:r>
      <w:r>
        <w:rPr>
          <w:b w:val="0"/>
          <w:bCs/>
          <w:color w:val="000000"/>
          <w:sz w:val="24"/>
          <w:szCs w:val="22"/>
          <w:u w:val="none"/>
        </w:rPr>
        <w:t>/C</w:t>
      </w:r>
      <w:r>
        <w:rPr>
          <w:b w:val="0"/>
          <w:bCs/>
          <w:color w:val="000000"/>
          <w:sz w:val="24"/>
          <w:szCs w:val="22"/>
          <w:u w:val="none"/>
          <w:vertAlign w:val="subscript"/>
        </w:rPr>
        <w:t>m</w:t>
      </w:r>
      <w:r>
        <w:rPr>
          <w:b w:val="0"/>
          <w:bCs/>
          <w:color w:val="000000"/>
          <w:sz w:val="24"/>
          <w:szCs w:val="22"/>
          <w:u w:val="none"/>
        </w:rPr>
        <w:t>值计算的卫生防护距离在同一级别时，该类工业企业的卫生防护距离级别应该高一级。”</w:t>
      </w:r>
    </w:p>
    <w:p>
      <w:pPr>
        <w:spacing w:line="460" w:lineRule="exact"/>
        <w:ind w:firstLine="480" w:firstLineChars="200"/>
        <w:rPr>
          <w:b w:val="0"/>
          <w:bCs/>
          <w:color w:val="000000"/>
          <w:sz w:val="24"/>
          <w:szCs w:val="22"/>
          <w:u w:val="none"/>
        </w:rPr>
      </w:pPr>
      <w:r>
        <w:rPr>
          <w:b w:val="0"/>
          <w:bCs/>
          <w:color w:val="000000"/>
          <w:sz w:val="24"/>
          <w:szCs w:val="22"/>
          <w:u w:val="none"/>
        </w:rPr>
        <w:t>经计算，项目无组织排放2种有害气体，因此，场区需设置卫生防护距离为100m。</w:t>
      </w:r>
    </w:p>
    <w:p>
      <w:pPr>
        <w:spacing w:line="460" w:lineRule="exact"/>
        <w:ind w:firstLine="480" w:firstLineChars="200"/>
        <w:rPr>
          <w:b w:val="0"/>
          <w:bCs/>
          <w:color w:val="000000"/>
          <w:sz w:val="24"/>
          <w:u w:val="none"/>
        </w:rPr>
      </w:pPr>
      <w:r>
        <w:rPr>
          <w:b w:val="0"/>
          <w:bCs/>
          <w:color w:val="000000"/>
          <w:sz w:val="24"/>
          <w:szCs w:val="22"/>
          <w:u w:val="none"/>
        </w:rPr>
        <w:t>根据本项目平面布置，本项目卫生防护距离设置为：厂区：东场界100m、南场界100m、西场界100m、北场界100m</w:t>
      </w:r>
      <w:r>
        <w:rPr>
          <w:b w:val="0"/>
          <w:bCs/>
          <w:color w:val="000000"/>
          <w:sz w:val="24"/>
          <w:u w:val="none"/>
        </w:rPr>
        <w:t>。</w:t>
      </w:r>
    </w:p>
    <w:p>
      <w:pPr>
        <w:adjustRightInd w:val="0"/>
        <w:snapToGrid w:val="0"/>
        <w:spacing w:line="500" w:lineRule="exact"/>
        <w:ind w:firstLine="480" w:firstLineChars="200"/>
        <w:rPr>
          <w:b w:val="0"/>
          <w:bCs/>
          <w:color w:val="000000"/>
          <w:sz w:val="24"/>
          <w:u w:val="none"/>
        </w:rPr>
      </w:pPr>
      <w:r>
        <w:rPr>
          <w:b w:val="0"/>
          <w:bCs/>
          <w:color w:val="000000"/>
          <w:sz w:val="24"/>
          <w:u w:val="none"/>
        </w:rPr>
        <w:t>据现场勘查，项目最近敏感点</w:t>
      </w:r>
      <w:r>
        <w:rPr>
          <w:rFonts w:hint="eastAsia"/>
          <w:b w:val="0"/>
          <w:bCs/>
          <w:color w:val="000000"/>
          <w:sz w:val="24"/>
          <w:u w:val="none"/>
          <w:lang w:val="en-US" w:eastAsia="zh-CN"/>
        </w:rPr>
        <w:t>前周庄</w:t>
      </w:r>
      <w:r>
        <w:rPr>
          <w:b w:val="0"/>
          <w:bCs/>
          <w:color w:val="000000"/>
          <w:sz w:val="24"/>
          <w:u w:val="none"/>
        </w:rPr>
        <w:t>距离项目养殖场</w:t>
      </w:r>
      <w:r>
        <w:rPr>
          <w:rFonts w:hint="eastAsia"/>
          <w:b w:val="0"/>
          <w:bCs/>
          <w:color w:val="000000"/>
          <w:sz w:val="24"/>
          <w:u w:val="none"/>
          <w:lang w:val="en-US" w:eastAsia="zh-CN"/>
        </w:rPr>
        <w:t>东</w:t>
      </w:r>
      <w:r>
        <w:rPr>
          <w:b w:val="0"/>
          <w:bCs/>
          <w:color w:val="000000"/>
          <w:sz w:val="24"/>
          <w:u w:val="none"/>
        </w:rPr>
        <w:t>场界</w:t>
      </w:r>
      <w:r>
        <w:rPr>
          <w:rFonts w:hint="eastAsia"/>
          <w:b w:val="0"/>
          <w:bCs/>
          <w:color w:val="000000"/>
          <w:sz w:val="24"/>
          <w:u w:val="none"/>
          <w:lang w:val="en-US" w:eastAsia="zh-CN"/>
        </w:rPr>
        <w:t>501</w:t>
      </w:r>
      <w:r>
        <w:rPr>
          <w:b w:val="0"/>
          <w:bCs/>
          <w:color w:val="000000"/>
          <w:sz w:val="24"/>
          <w:u w:val="none"/>
        </w:rPr>
        <w:t>m，防护距离100m内无环境敏感点。</w:t>
      </w:r>
    </w:p>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2.1.</w:t>
      </w:r>
      <w:r>
        <w:rPr>
          <w:rFonts w:hint="eastAsia"/>
          <w:b w:val="0"/>
          <w:bCs/>
          <w:color w:val="000000"/>
          <w:sz w:val="24"/>
          <w:u w:val="none"/>
          <w:lang w:val="en-US" w:eastAsia="zh-CN"/>
        </w:rPr>
        <w:t>2</w:t>
      </w:r>
      <w:r>
        <w:rPr>
          <w:b w:val="0"/>
          <w:bCs/>
          <w:color w:val="000000"/>
          <w:sz w:val="24"/>
          <w:u w:val="none"/>
        </w:rPr>
        <w:t>大气环境预测结论</w:t>
      </w:r>
    </w:p>
    <w:p>
      <w:pPr>
        <w:adjustRightInd w:val="0"/>
        <w:snapToGrid w:val="0"/>
        <w:spacing w:line="500" w:lineRule="exact"/>
        <w:ind w:firstLine="480" w:firstLineChars="200"/>
        <w:rPr>
          <w:b w:val="0"/>
          <w:bCs/>
          <w:color w:val="000000"/>
          <w:sz w:val="24"/>
          <w:u w:val="none"/>
        </w:rPr>
      </w:pPr>
      <w:r>
        <w:rPr>
          <w:rFonts w:hint="eastAsia" w:ascii="宋体" w:hAnsi="宋体" w:cs="宋体"/>
          <w:b w:val="0"/>
          <w:bCs/>
          <w:color w:val="000000"/>
          <w:sz w:val="24"/>
          <w:u w:val="none"/>
        </w:rPr>
        <w:t>①</w:t>
      </w:r>
      <w:r>
        <w:rPr>
          <w:b w:val="0"/>
          <w:bCs/>
          <w:color w:val="000000"/>
          <w:sz w:val="24"/>
          <w:u w:val="none"/>
        </w:rPr>
        <w:t xml:space="preserve"> 项目实施后，沼气燃烧产生的SO</w:t>
      </w:r>
      <w:r>
        <w:rPr>
          <w:b w:val="0"/>
          <w:bCs/>
          <w:color w:val="000000"/>
          <w:sz w:val="24"/>
          <w:u w:val="none"/>
          <w:vertAlign w:val="subscript"/>
        </w:rPr>
        <w:t>2</w:t>
      </w:r>
      <w:r>
        <w:rPr>
          <w:b w:val="0"/>
          <w:bCs/>
          <w:color w:val="000000"/>
          <w:sz w:val="24"/>
          <w:u w:val="none"/>
        </w:rPr>
        <w:t>、NO</w:t>
      </w:r>
      <w:r>
        <w:rPr>
          <w:b w:val="0"/>
          <w:bCs/>
          <w:color w:val="000000"/>
          <w:sz w:val="24"/>
          <w:u w:val="none"/>
          <w:vertAlign w:val="subscript"/>
        </w:rPr>
        <w:t>X</w:t>
      </w:r>
      <w:r>
        <w:rPr>
          <w:b w:val="0"/>
          <w:bCs/>
          <w:color w:val="000000"/>
          <w:sz w:val="24"/>
          <w:u w:val="none"/>
        </w:rPr>
        <w:t>在各敏感点处的污染物浓度均能满足《环境空气质量标准》（GB3095-2012）中SO</w:t>
      </w:r>
      <w:r>
        <w:rPr>
          <w:b w:val="0"/>
          <w:bCs/>
          <w:color w:val="000000"/>
          <w:sz w:val="24"/>
          <w:u w:val="none"/>
          <w:vertAlign w:val="subscript"/>
        </w:rPr>
        <w:t>2</w:t>
      </w:r>
      <w:r>
        <w:rPr>
          <w:b w:val="0"/>
          <w:bCs/>
          <w:color w:val="000000"/>
          <w:sz w:val="24"/>
          <w:u w:val="none"/>
        </w:rPr>
        <w:t>、NO</w:t>
      </w:r>
      <w:r>
        <w:rPr>
          <w:b w:val="0"/>
          <w:bCs/>
          <w:color w:val="000000"/>
          <w:sz w:val="24"/>
          <w:u w:val="none"/>
          <w:vertAlign w:val="subscript"/>
        </w:rPr>
        <w:t>X</w:t>
      </w:r>
      <w:r>
        <w:rPr>
          <w:b w:val="0"/>
          <w:bCs/>
          <w:color w:val="000000"/>
          <w:sz w:val="24"/>
          <w:u w:val="none"/>
        </w:rPr>
        <w:t>的二级标准浓度限值要求；工经程采取脱臭措施后排放的H</w:t>
      </w:r>
      <w:r>
        <w:rPr>
          <w:b w:val="0"/>
          <w:bCs/>
          <w:color w:val="000000"/>
          <w:sz w:val="24"/>
          <w:u w:val="none"/>
          <w:vertAlign w:val="subscript"/>
        </w:rPr>
        <w:t>2</w:t>
      </w:r>
      <w:r>
        <w:rPr>
          <w:b w:val="0"/>
          <w:bCs/>
          <w:color w:val="000000"/>
          <w:sz w:val="24"/>
          <w:u w:val="none"/>
        </w:rPr>
        <w:t>S、NH</w:t>
      </w:r>
      <w:r>
        <w:rPr>
          <w:b w:val="0"/>
          <w:bCs/>
          <w:color w:val="000000"/>
          <w:sz w:val="24"/>
          <w:u w:val="none"/>
          <w:vertAlign w:val="subscript"/>
        </w:rPr>
        <w:t>3</w:t>
      </w:r>
      <w:r>
        <w:rPr>
          <w:b w:val="0"/>
          <w:bCs/>
          <w:color w:val="000000"/>
          <w:sz w:val="24"/>
          <w:u w:val="none"/>
        </w:rPr>
        <w:t>在各敏感点处的污染物浓度均能满足</w:t>
      </w:r>
      <w:r>
        <w:rPr>
          <w:rFonts w:hint="eastAsia"/>
          <w:b w:val="0"/>
          <w:bCs/>
          <w:color w:val="000000"/>
          <w:sz w:val="24"/>
          <w:u w:val="none"/>
          <w:lang w:eastAsia="zh-CN"/>
        </w:rPr>
        <w:t>《环境影响评价技术导则 大气环境（HJ2.2-2018）》中附录D</w:t>
      </w:r>
      <w:r>
        <w:rPr>
          <w:b w:val="0"/>
          <w:bCs/>
          <w:color w:val="000000"/>
          <w:sz w:val="24"/>
          <w:u w:val="none"/>
        </w:rPr>
        <w:t>中大气中有害物质的最高允许浓度限值。</w:t>
      </w:r>
    </w:p>
    <w:p>
      <w:pPr>
        <w:adjustRightInd w:val="0"/>
        <w:snapToGrid w:val="0"/>
        <w:spacing w:line="500" w:lineRule="exact"/>
        <w:ind w:firstLine="480" w:firstLineChars="200"/>
        <w:rPr>
          <w:b w:val="0"/>
          <w:bCs/>
          <w:color w:val="000000"/>
          <w:sz w:val="24"/>
          <w:u w:val="none"/>
        </w:rPr>
      </w:pPr>
      <w:r>
        <w:rPr>
          <w:rFonts w:hint="eastAsia" w:ascii="宋体" w:hAnsi="宋体" w:cs="宋体"/>
          <w:b w:val="0"/>
          <w:bCs/>
          <w:color w:val="000000"/>
          <w:sz w:val="24"/>
          <w:u w:val="none"/>
        </w:rPr>
        <w:t>②</w:t>
      </w:r>
      <w:r>
        <w:rPr>
          <w:b w:val="0"/>
          <w:bCs/>
          <w:color w:val="000000"/>
          <w:sz w:val="24"/>
          <w:u w:val="none"/>
        </w:rPr>
        <w:t xml:space="preserve"> 经计算，工经程采取脱臭措施后排放的H</w:t>
      </w:r>
      <w:r>
        <w:rPr>
          <w:b w:val="0"/>
          <w:bCs/>
          <w:color w:val="000000"/>
          <w:sz w:val="24"/>
          <w:u w:val="none"/>
          <w:vertAlign w:val="subscript"/>
        </w:rPr>
        <w:t>2</w:t>
      </w:r>
      <w:r>
        <w:rPr>
          <w:b w:val="0"/>
          <w:bCs/>
          <w:color w:val="000000"/>
          <w:sz w:val="24"/>
          <w:u w:val="none"/>
        </w:rPr>
        <w:t>S、NH</w:t>
      </w:r>
      <w:r>
        <w:rPr>
          <w:b w:val="0"/>
          <w:bCs/>
          <w:color w:val="000000"/>
          <w:sz w:val="24"/>
          <w:u w:val="none"/>
          <w:vertAlign w:val="subscript"/>
        </w:rPr>
        <w:t>3</w:t>
      </w:r>
      <w:r>
        <w:rPr>
          <w:b w:val="0"/>
          <w:bCs/>
          <w:color w:val="000000"/>
          <w:sz w:val="24"/>
          <w:u w:val="none"/>
        </w:rPr>
        <w:t>在各场界处的预测值均可达到对应的《恶臭污染物排放标准》（GB14554-93）场界浓度限值要求。</w:t>
      </w:r>
    </w:p>
    <w:p>
      <w:pPr>
        <w:adjustRightInd w:val="0"/>
        <w:snapToGrid w:val="0"/>
        <w:spacing w:line="500" w:lineRule="exact"/>
        <w:ind w:firstLine="480" w:firstLineChars="200"/>
        <w:rPr>
          <w:b w:val="0"/>
          <w:bCs/>
          <w:color w:val="000000"/>
          <w:sz w:val="24"/>
          <w:u w:val="none"/>
        </w:rPr>
      </w:pPr>
      <w:r>
        <w:rPr>
          <w:rFonts w:hint="eastAsia" w:ascii="宋体" w:hAnsi="宋体" w:cs="宋体"/>
          <w:b w:val="0"/>
          <w:bCs/>
          <w:color w:val="000000"/>
          <w:sz w:val="24"/>
          <w:u w:val="none"/>
        </w:rPr>
        <w:t>③</w:t>
      </w:r>
      <w:r>
        <w:rPr>
          <w:b w:val="0"/>
          <w:bCs/>
          <w:color w:val="000000"/>
          <w:sz w:val="24"/>
          <w:u w:val="none"/>
        </w:rPr>
        <w:t>经计算，本项目的卫生防护距离均为100m，大气环境防护距离计算无超标点，同时根据《畜禽养殖业污染防治技术规范》（HJ/T81－2001）中选址要求的规定，养殖场场界与禁建区域边界的最小距离不得小于500m。项目区最近敏感点</w:t>
      </w:r>
      <w:r>
        <w:rPr>
          <w:rFonts w:hint="eastAsia"/>
          <w:b w:val="0"/>
          <w:bCs/>
          <w:color w:val="000000"/>
          <w:sz w:val="24"/>
          <w:u w:val="none"/>
          <w:lang w:val="en-US" w:eastAsia="zh-CN"/>
        </w:rPr>
        <w:t>前周庄</w:t>
      </w:r>
      <w:r>
        <w:rPr>
          <w:b w:val="0"/>
          <w:bCs/>
          <w:color w:val="000000"/>
          <w:sz w:val="24"/>
          <w:u w:val="none"/>
        </w:rPr>
        <w:t>距离项目养殖场</w:t>
      </w:r>
      <w:r>
        <w:rPr>
          <w:rFonts w:hint="eastAsia"/>
          <w:b w:val="0"/>
          <w:bCs/>
          <w:color w:val="000000"/>
          <w:sz w:val="24"/>
          <w:u w:val="none"/>
          <w:lang w:val="en-US" w:eastAsia="zh-CN"/>
        </w:rPr>
        <w:t>东</w:t>
      </w:r>
      <w:r>
        <w:rPr>
          <w:b w:val="0"/>
          <w:bCs/>
          <w:color w:val="000000"/>
          <w:sz w:val="24"/>
          <w:u w:val="none"/>
        </w:rPr>
        <w:t>场界</w:t>
      </w:r>
      <w:r>
        <w:rPr>
          <w:rFonts w:hint="eastAsia"/>
          <w:b w:val="0"/>
          <w:bCs/>
          <w:color w:val="000000"/>
          <w:sz w:val="24"/>
          <w:u w:val="none"/>
          <w:lang w:val="en-US" w:eastAsia="zh-CN"/>
        </w:rPr>
        <w:t>501</w:t>
      </w:r>
      <w:r>
        <w:rPr>
          <w:b w:val="0"/>
          <w:bCs/>
          <w:color w:val="000000"/>
          <w:sz w:val="24"/>
          <w:u w:val="none"/>
        </w:rPr>
        <w:t>m，项目选址满足卫生防护距离要求和选址要求。</w:t>
      </w:r>
    </w:p>
    <w:p>
      <w:pPr>
        <w:adjustRightInd w:val="0"/>
        <w:snapToGrid w:val="0"/>
        <w:spacing w:line="500" w:lineRule="exact"/>
        <w:ind w:firstLine="480" w:firstLineChars="200"/>
        <w:rPr>
          <w:b w:val="0"/>
          <w:bCs/>
          <w:color w:val="000000"/>
          <w:sz w:val="24"/>
          <w:u w:val="none"/>
        </w:rPr>
      </w:pPr>
      <w:r>
        <w:rPr>
          <w:rFonts w:hint="eastAsia" w:ascii="宋体" w:hAnsi="宋体" w:cs="宋体"/>
          <w:b w:val="0"/>
          <w:bCs/>
          <w:color w:val="000000"/>
          <w:sz w:val="24"/>
          <w:u w:val="none"/>
        </w:rPr>
        <w:t>④</w:t>
      </w:r>
      <w:r>
        <w:rPr>
          <w:b w:val="0"/>
          <w:bCs/>
          <w:color w:val="000000"/>
          <w:sz w:val="24"/>
          <w:u w:val="none"/>
        </w:rPr>
        <w:t>防护距离内无敏感点存在，满足项目防护距离的条件下，评价认为项目无组织废气的排放对环境的影响可以接受。</w:t>
      </w:r>
    </w:p>
    <w:p>
      <w:pPr>
        <w:spacing w:line="600" w:lineRule="exact"/>
        <w:outlineLvl w:val="2"/>
        <w:rPr>
          <w:b w:val="0"/>
          <w:bCs/>
          <w:color w:val="000000"/>
          <w:sz w:val="24"/>
          <w:u w:val="none"/>
        </w:rPr>
      </w:pPr>
      <w:r>
        <w:rPr>
          <w:rFonts w:hint="eastAsia"/>
          <w:b w:val="0"/>
          <w:bCs/>
          <w:color w:val="000000"/>
          <w:sz w:val="24"/>
          <w:u w:val="none"/>
          <w:lang w:val="en-US" w:eastAsia="zh-CN"/>
        </w:rPr>
        <w:t>4</w:t>
      </w:r>
      <w:r>
        <w:rPr>
          <w:b w:val="0"/>
          <w:bCs/>
          <w:color w:val="000000"/>
          <w:sz w:val="24"/>
          <w:u w:val="none"/>
        </w:rPr>
        <w:t>.2.</w:t>
      </w:r>
      <w:bookmarkStart w:id="264" w:name="_Toc298705419"/>
      <w:r>
        <w:rPr>
          <w:b w:val="0"/>
          <w:bCs/>
          <w:color w:val="000000"/>
          <w:sz w:val="24"/>
          <w:u w:val="none"/>
        </w:rPr>
        <w:t xml:space="preserve">2 </w:t>
      </w:r>
      <w:bookmarkEnd w:id="264"/>
      <w:r>
        <w:rPr>
          <w:b w:val="0"/>
          <w:bCs/>
          <w:color w:val="000000"/>
          <w:sz w:val="24"/>
          <w:u w:val="none"/>
        </w:rPr>
        <w:t>地表水环境影响预测与评价</w:t>
      </w:r>
    </w:p>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.2.2.1 正常工况</w:t>
      </w:r>
    </w:p>
    <w:p>
      <w:pPr>
        <w:adjustRightInd w:val="0"/>
        <w:snapToGrid w:val="0"/>
        <w:spacing w:line="500" w:lineRule="exact"/>
        <w:ind w:firstLine="480" w:firstLineChars="200"/>
        <w:rPr>
          <w:b w:val="0"/>
          <w:bCs/>
          <w:color w:val="000000"/>
          <w:sz w:val="24"/>
          <w:u w:val="none"/>
        </w:rPr>
      </w:pPr>
      <w:r>
        <w:rPr>
          <w:b w:val="0"/>
          <w:bCs/>
          <w:color w:val="000000"/>
          <w:sz w:val="24"/>
          <w:u w:val="none"/>
        </w:rPr>
        <w:t>项目废水经场内污水站处理后，部分回用于猪舍冲洗，剩余作为农肥施用于项目配套</w:t>
      </w:r>
      <w:r>
        <w:rPr>
          <w:rFonts w:hint="eastAsia"/>
          <w:b w:val="0"/>
          <w:bCs/>
          <w:color w:val="000000"/>
          <w:sz w:val="24"/>
          <w:u w:val="none"/>
          <w:lang w:val="en-US" w:eastAsia="zh-CN"/>
        </w:rPr>
        <w:t>林地</w:t>
      </w:r>
      <w:r>
        <w:rPr>
          <w:b w:val="0"/>
          <w:bCs/>
          <w:color w:val="000000"/>
          <w:sz w:val="24"/>
          <w:u w:val="none"/>
        </w:rPr>
        <w:t>的种植。废水全部消纳利用，不外排。项目的生产运营不会对评价区地表水环境造成污染影响。</w:t>
      </w:r>
    </w:p>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.2.2.2 雨季及非施肥期</w:t>
      </w:r>
    </w:p>
    <w:p>
      <w:pPr>
        <w:adjustRightInd w:val="0"/>
        <w:snapToGrid w:val="0"/>
        <w:spacing w:line="500" w:lineRule="exact"/>
        <w:ind w:firstLine="480" w:firstLineChars="200"/>
        <w:rPr>
          <w:b w:val="0"/>
          <w:bCs/>
          <w:color w:val="000000"/>
          <w:sz w:val="24"/>
          <w:u w:val="none"/>
        </w:rPr>
      </w:pPr>
      <w:r>
        <w:rPr>
          <w:b w:val="0"/>
          <w:bCs/>
          <w:color w:val="000000"/>
          <w:sz w:val="24"/>
          <w:u w:val="none"/>
        </w:rPr>
        <w:t>雨季及非施肥期，项目所产生的沼液无法及时消纳，拟全部暂存于沼液储存池，项目场内设1个沼液储存池，总容积为</w:t>
      </w:r>
      <w:r>
        <w:rPr>
          <w:rFonts w:hint="eastAsia"/>
          <w:b w:val="0"/>
          <w:bCs/>
          <w:color w:val="000000"/>
          <w:sz w:val="24"/>
          <w:u w:val="none"/>
          <w:lang w:val="en-US" w:eastAsia="zh-CN"/>
        </w:rPr>
        <w:t>5000</w:t>
      </w:r>
      <w:r>
        <w:rPr>
          <w:b w:val="0"/>
          <w:bCs/>
          <w:color w:val="000000"/>
          <w:sz w:val="24"/>
          <w:u w:val="none"/>
        </w:rPr>
        <w:t>m</w:t>
      </w:r>
      <w:r>
        <w:rPr>
          <w:b w:val="0"/>
          <w:bCs/>
          <w:color w:val="000000"/>
          <w:sz w:val="24"/>
          <w:u w:val="none"/>
          <w:vertAlign w:val="superscript"/>
        </w:rPr>
        <w:t>3</w:t>
      </w:r>
      <w:r>
        <w:rPr>
          <w:b w:val="0"/>
          <w:bCs/>
          <w:color w:val="000000"/>
          <w:sz w:val="24"/>
          <w:u w:val="none"/>
        </w:rPr>
        <w:t>，占地面积</w:t>
      </w:r>
      <w:r>
        <w:rPr>
          <w:rFonts w:hint="eastAsia"/>
          <w:b w:val="0"/>
          <w:bCs/>
          <w:sz w:val="24"/>
          <w:u w:val="none"/>
          <w:lang w:val="en-US" w:eastAsia="zh-CN"/>
        </w:rPr>
        <w:t>833</w:t>
      </w:r>
      <w:r>
        <w:rPr>
          <w:b w:val="0"/>
          <w:bCs/>
          <w:color w:val="000000"/>
          <w:sz w:val="24"/>
          <w:u w:val="none"/>
        </w:rPr>
        <w:t>m</w:t>
      </w:r>
      <w:r>
        <w:rPr>
          <w:b w:val="0"/>
          <w:bCs/>
          <w:color w:val="000000"/>
          <w:sz w:val="24"/>
          <w:u w:val="none"/>
          <w:vertAlign w:val="superscript"/>
        </w:rPr>
        <w:t>2</w:t>
      </w:r>
      <w:r>
        <w:rPr>
          <w:b w:val="0"/>
          <w:bCs/>
          <w:color w:val="000000"/>
          <w:sz w:val="24"/>
          <w:u w:val="none"/>
        </w:rPr>
        <w:t>，位于项目</w:t>
      </w:r>
      <w:r>
        <w:rPr>
          <w:rFonts w:hint="eastAsia"/>
          <w:b w:val="0"/>
          <w:bCs/>
          <w:color w:val="000000"/>
          <w:sz w:val="24"/>
          <w:u w:val="none"/>
          <w:lang w:val="en-US" w:eastAsia="zh-CN"/>
        </w:rPr>
        <w:t>西侧和东侧</w:t>
      </w:r>
      <w:r>
        <w:rPr>
          <w:b w:val="0"/>
          <w:bCs/>
          <w:color w:val="000000"/>
          <w:sz w:val="24"/>
          <w:u w:val="none"/>
        </w:rPr>
        <w:t>。</w:t>
      </w:r>
    </w:p>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.2.2.3消纳区对地表水影响分析</w:t>
      </w:r>
    </w:p>
    <w:p>
      <w:pPr>
        <w:adjustRightInd w:val="0"/>
        <w:snapToGrid w:val="0"/>
        <w:spacing w:line="500" w:lineRule="exact"/>
        <w:ind w:firstLine="480" w:firstLineChars="200"/>
        <w:rPr>
          <w:b w:val="0"/>
          <w:bCs/>
          <w:color w:val="000000"/>
          <w:sz w:val="24"/>
          <w:u w:val="none"/>
        </w:rPr>
      </w:pPr>
      <w:r>
        <w:rPr>
          <w:b w:val="0"/>
          <w:bCs/>
          <w:color w:val="000000"/>
          <w:sz w:val="24"/>
          <w:u w:val="none"/>
        </w:rPr>
        <w:t>本项目及配套沼液消纳区距离最近地表水体为</w:t>
      </w:r>
      <w:r>
        <w:rPr>
          <w:rFonts w:hint="eastAsia"/>
          <w:b w:val="0"/>
          <w:bCs/>
          <w:color w:val="000000"/>
          <w:sz w:val="24"/>
          <w:u w:val="none"/>
          <w:lang w:val="en-US" w:eastAsia="zh-CN"/>
        </w:rPr>
        <w:t>南侧闾河</w:t>
      </w:r>
      <w:r>
        <w:rPr>
          <w:b w:val="0"/>
          <w:bCs/>
          <w:color w:val="000000"/>
          <w:sz w:val="24"/>
          <w:u w:val="none"/>
        </w:rPr>
        <w:t>，消纳区设置田埂，分区轮流灌溉，确保沼液不外流，由于项目距离地表水体较远对周边地表水体影响不大。</w:t>
      </w:r>
    </w:p>
    <w:p>
      <w:pPr>
        <w:adjustRightInd w:val="0"/>
        <w:snapToGrid w:val="0"/>
        <w:spacing w:line="600" w:lineRule="exact"/>
        <w:outlineLvl w:val="2"/>
        <w:rPr>
          <w:b w:val="0"/>
          <w:bCs/>
          <w:color w:val="000000"/>
          <w:sz w:val="24"/>
          <w:u w:val="none"/>
        </w:rPr>
      </w:pPr>
      <w:r>
        <w:rPr>
          <w:rFonts w:hint="eastAsia"/>
          <w:b w:val="0"/>
          <w:bCs/>
          <w:color w:val="000000"/>
          <w:sz w:val="24"/>
          <w:u w:val="none"/>
          <w:lang w:val="en-US" w:eastAsia="zh-CN"/>
        </w:rPr>
        <w:t>4</w:t>
      </w:r>
      <w:r>
        <w:rPr>
          <w:b w:val="0"/>
          <w:bCs/>
          <w:color w:val="000000"/>
          <w:sz w:val="24"/>
          <w:u w:val="none"/>
        </w:rPr>
        <w:t>.2.</w:t>
      </w:r>
      <w:bookmarkStart w:id="265" w:name="_Toc298705420"/>
      <w:r>
        <w:rPr>
          <w:b w:val="0"/>
          <w:bCs/>
          <w:color w:val="000000"/>
          <w:sz w:val="24"/>
          <w:u w:val="none"/>
        </w:rPr>
        <w:t xml:space="preserve">3 </w:t>
      </w:r>
      <w:bookmarkEnd w:id="265"/>
      <w:r>
        <w:rPr>
          <w:b w:val="0"/>
          <w:bCs/>
          <w:color w:val="000000"/>
          <w:sz w:val="24"/>
          <w:u w:val="none"/>
        </w:rPr>
        <w:t>地下水环境影响预测与评价</w:t>
      </w:r>
    </w:p>
    <w:p>
      <w:pPr>
        <w:tabs>
          <w:tab w:val="right" w:leader="dot" w:pos="8647"/>
        </w:tabs>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.2.3.1评价工作等级的确定</w:t>
      </w:r>
    </w:p>
    <w:p>
      <w:pPr>
        <w:topLinePunct/>
        <w:spacing w:line="500" w:lineRule="exact"/>
        <w:ind w:firstLine="480" w:firstLineChars="200"/>
        <w:rPr>
          <w:b w:val="0"/>
          <w:bCs/>
          <w:color w:val="000000"/>
          <w:sz w:val="24"/>
          <w:szCs w:val="28"/>
          <w:u w:val="none"/>
          <w:lang w:val="en-GB"/>
        </w:rPr>
      </w:pPr>
      <w:r>
        <w:rPr>
          <w:b w:val="0"/>
          <w:bCs/>
          <w:color w:val="000000"/>
          <w:sz w:val="24"/>
          <w:szCs w:val="28"/>
          <w:u w:val="none"/>
          <w:lang w:val="en-GB"/>
        </w:rPr>
        <w:t>根据《环境影响评价技术导则·地下水环境》（HJ610-2016）评价等级划分依据，建设项目评价等级由项目类别和环境敏感程度共同判定：</w:t>
      </w:r>
    </w:p>
    <w:p>
      <w:pPr>
        <w:topLinePunct/>
        <w:spacing w:line="500" w:lineRule="exact"/>
        <w:ind w:firstLine="480" w:firstLineChars="200"/>
        <w:rPr>
          <w:b w:val="0"/>
          <w:bCs/>
          <w:color w:val="000000"/>
          <w:sz w:val="24"/>
          <w:szCs w:val="28"/>
          <w:u w:val="none"/>
          <w:lang w:val="en-GB"/>
        </w:rPr>
      </w:pPr>
      <w:r>
        <w:rPr>
          <w:b w:val="0"/>
          <w:bCs/>
          <w:color w:val="000000"/>
          <w:sz w:val="24"/>
          <w:szCs w:val="28"/>
          <w:u w:val="none"/>
          <w:lang w:val="en-GB"/>
        </w:rPr>
        <w:t>（1）地下水环境影响评价项目类别：根据HJ610-2016附录A“地下水环境影响评价行业分类表”，本项目行业类别属于畜禽养殖场、养殖小区项目，环境影响评价文件类型为报告书，因此其地下水环境影响评价项目类别为</w:t>
      </w:r>
      <w:r>
        <w:rPr>
          <w:rFonts w:hint="eastAsia" w:ascii="宋体" w:hAnsi="宋体" w:cs="宋体"/>
          <w:b w:val="0"/>
          <w:bCs/>
          <w:color w:val="000000"/>
          <w:sz w:val="24"/>
          <w:szCs w:val="28"/>
          <w:u w:val="none"/>
          <w:lang w:val="en-GB"/>
        </w:rPr>
        <w:t>Ⅲ</w:t>
      </w:r>
      <w:r>
        <w:rPr>
          <w:b w:val="0"/>
          <w:bCs/>
          <w:color w:val="000000"/>
          <w:sz w:val="24"/>
          <w:szCs w:val="28"/>
          <w:u w:val="none"/>
          <w:lang w:val="en-GB"/>
        </w:rPr>
        <w:t>类。</w:t>
      </w:r>
    </w:p>
    <w:p>
      <w:pPr>
        <w:topLinePunct/>
        <w:spacing w:line="500" w:lineRule="exact"/>
        <w:ind w:firstLine="480" w:firstLineChars="200"/>
        <w:rPr>
          <w:b w:val="0"/>
          <w:bCs/>
          <w:color w:val="000000"/>
          <w:sz w:val="24"/>
          <w:szCs w:val="28"/>
          <w:u w:val="none"/>
          <w:lang w:val="en-GB"/>
        </w:rPr>
      </w:pPr>
      <w:r>
        <w:rPr>
          <w:b w:val="0"/>
          <w:bCs/>
          <w:color w:val="000000"/>
          <w:sz w:val="24"/>
          <w:szCs w:val="28"/>
          <w:u w:val="none"/>
          <w:lang w:val="en-GB"/>
        </w:rPr>
        <w:t>（2）建设项目场地的地下水环境敏感程度：根据《河南省县级集中式饮用水水源保护区划》，本项目在饮用水源保护区范围之外，不会对</w:t>
      </w:r>
      <w:r>
        <w:rPr>
          <w:rFonts w:hint="eastAsia"/>
          <w:b w:val="0"/>
          <w:bCs/>
          <w:color w:val="000000"/>
          <w:sz w:val="24"/>
          <w:szCs w:val="28"/>
          <w:u w:val="none"/>
          <w:lang w:val="en-GB" w:eastAsia="zh-CN"/>
        </w:rPr>
        <w:t>正阳县</w:t>
      </w:r>
      <w:r>
        <w:rPr>
          <w:b w:val="0"/>
          <w:bCs/>
          <w:color w:val="000000"/>
          <w:sz w:val="24"/>
          <w:szCs w:val="28"/>
          <w:u w:val="none"/>
          <w:lang w:val="en-GB"/>
        </w:rPr>
        <w:t>饮用水源产生影响。且本项目周围无国家和地方政府设定的与地下水环境相关的其它保护区。因此，本项目的地下水环境敏感程度为不敏感。</w:t>
      </w:r>
    </w:p>
    <w:p>
      <w:pPr>
        <w:adjustRightInd w:val="0"/>
        <w:snapToGrid w:val="0"/>
        <w:spacing w:line="500" w:lineRule="exact"/>
        <w:ind w:firstLine="480" w:firstLineChars="200"/>
        <w:rPr>
          <w:b w:val="0"/>
          <w:bCs/>
          <w:color w:val="000000"/>
          <w:sz w:val="24"/>
          <w:u w:val="none"/>
        </w:rPr>
      </w:pPr>
      <w:r>
        <w:rPr>
          <w:b w:val="0"/>
          <w:bCs/>
          <w:color w:val="000000"/>
          <w:sz w:val="24"/>
          <w:szCs w:val="28"/>
          <w:u w:val="none"/>
          <w:lang w:val="en-GB"/>
        </w:rPr>
        <w:t>根据评价工作等级分级表可知，本项目地下水评价工作等级为三级</w:t>
      </w:r>
      <w:r>
        <w:rPr>
          <w:b w:val="0"/>
          <w:bCs/>
          <w:color w:val="000000"/>
          <w:sz w:val="24"/>
          <w:u w:val="none"/>
        </w:rPr>
        <w:t>。</w:t>
      </w:r>
    </w:p>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.2.3.2 区域环境水文地质条件及区域地下水开采情况</w:t>
      </w:r>
    </w:p>
    <w:p>
      <w:pPr>
        <w:pStyle w:val="18"/>
        <w:adjustRightInd w:val="0"/>
        <w:snapToGrid w:val="0"/>
        <w:spacing w:after="0" w:line="500" w:lineRule="exact"/>
        <w:ind w:firstLine="482"/>
        <w:rPr>
          <w:color w:val="000000"/>
          <w:sz w:val="24"/>
          <w:szCs w:val="24"/>
        </w:rPr>
      </w:pPr>
      <w:r>
        <w:rPr>
          <w:color w:val="000000"/>
          <w:sz w:val="24"/>
          <w:szCs w:val="24"/>
        </w:rPr>
        <w:t>正阳县地下水地层结构主要为中更新统、上更新统、低洼处有零星全更新统。中更新统中下部的粉质粘土层，底板埋深72.94-92.76m，其上无砂层。在全县均有分布，很稳定。目前县区内农业开采井在30-60m，故以此为界（控制深度50m），以上划分为浅层含水层组，赋存其中的地下水位浅层地下水；其下至210m深度内为深层含水层组，赋存其中的地下水</w:t>
      </w:r>
      <w:r>
        <w:rPr>
          <w:rFonts w:hint="eastAsia"/>
          <w:color w:val="000000"/>
          <w:sz w:val="24"/>
          <w:szCs w:val="24"/>
        </w:rPr>
        <w:t>为</w:t>
      </w:r>
      <w:r>
        <w:rPr>
          <w:color w:val="000000"/>
          <w:sz w:val="24"/>
          <w:szCs w:val="24"/>
        </w:rPr>
        <w:t>深层地下水。</w:t>
      </w:r>
    </w:p>
    <w:p>
      <w:pPr>
        <w:pStyle w:val="18"/>
        <w:adjustRightInd w:val="0"/>
        <w:snapToGrid w:val="0"/>
        <w:spacing w:after="0" w:line="500" w:lineRule="exact"/>
        <w:ind w:firstLine="482"/>
        <w:rPr>
          <w:color w:val="000000"/>
          <w:sz w:val="24"/>
          <w:szCs w:val="24"/>
        </w:rPr>
      </w:pPr>
      <w:r>
        <w:rPr>
          <w:color w:val="000000"/>
          <w:sz w:val="24"/>
          <w:szCs w:val="24"/>
        </w:rPr>
        <w:t>（1）下更新统</w:t>
      </w:r>
    </w:p>
    <w:p>
      <w:pPr>
        <w:pStyle w:val="18"/>
        <w:adjustRightInd w:val="0"/>
        <w:snapToGrid w:val="0"/>
        <w:spacing w:after="0" w:line="500" w:lineRule="exact"/>
        <w:ind w:firstLine="480"/>
        <w:rPr>
          <w:color w:val="000000"/>
          <w:sz w:val="24"/>
          <w:szCs w:val="24"/>
        </w:rPr>
      </w:pPr>
      <w:r>
        <w:rPr>
          <w:color w:val="000000"/>
          <w:sz w:val="24"/>
          <w:szCs w:val="24"/>
        </w:rPr>
        <w:t>该统埋藏于中更新统之下，分布全县。为充洪积沉物，岩性为灰色、灰白色夹斑状黄色粘土，土黄色、褐黄色、少量灰绿色粉质粘土，灰黄、灰绿色砂、泥质砂砾石层，顶板埋深80-100m，钻探厚度220m，210m深度内砂层累计厚度71.68m。</w:t>
      </w:r>
    </w:p>
    <w:p>
      <w:pPr>
        <w:pStyle w:val="18"/>
        <w:adjustRightInd w:val="0"/>
        <w:snapToGrid w:val="0"/>
        <w:spacing w:after="0" w:line="500" w:lineRule="exact"/>
        <w:ind w:firstLine="480"/>
        <w:rPr>
          <w:color w:val="000000"/>
          <w:sz w:val="24"/>
          <w:szCs w:val="24"/>
        </w:rPr>
      </w:pPr>
      <w:r>
        <w:rPr>
          <w:color w:val="000000"/>
          <w:sz w:val="24"/>
          <w:szCs w:val="24"/>
        </w:rPr>
        <w:t>（2）中更新统</w:t>
      </w:r>
    </w:p>
    <w:p>
      <w:pPr>
        <w:pStyle w:val="18"/>
        <w:adjustRightInd w:val="0"/>
        <w:snapToGrid w:val="0"/>
        <w:spacing w:after="0" w:line="500" w:lineRule="exact"/>
        <w:ind w:firstLine="480"/>
        <w:rPr>
          <w:color w:val="000000"/>
          <w:sz w:val="24"/>
          <w:szCs w:val="24"/>
        </w:rPr>
      </w:pPr>
      <w:r>
        <w:rPr>
          <w:color w:val="000000"/>
          <w:sz w:val="24"/>
          <w:szCs w:val="24"/>
        </w:rPr>
        <w:t>中更新统出露在西北大部及中南部，大部分出露在侵蚀缓岗地带，其他部位埋深于更新统之下，为一套冲洪积沉物，岩性以土黄色、褐黄色粉质粘土为主，层位稳定，厚度大于83.44m。底部有一层细砂层（77.44-83.44m），松散，成分以石英、长石为主，含少量泥质。77.44m以上为粉质粘土、粘土，稍硬、微塑，块状结构，含铁锰质结核，裂隙发育，含粘土裂隙水、粉质粘土孔隙水。</w:t>
      </w:r>
    </w:p>
    <w:p>
      <w:pPr>
        <w:pStyle w:val="18"/>
        <w:adjustRightInd w:val="0"/>
        <w:snapToGrid w:val="0"/>
        <w:spacing w:after="0" w:line="500" w:lineRule="exact"/>
        <w:ind w:firstLine="480"/>
        <w:rPr>
          <w:color w:val="000000"/>
          <w:sz w:val="24"/>
          <w:szCs w:val="24"/>
        </w:rPr>
      </w:pPr>
      <w:r>
        <w:rPr>
          <w:color w:val="000000"/>
          <w:sz w:val="24"/>
          <w:szCs w:val="24"/>
        </w:rPr>
        <w:t>（3）上更新统</w:t>
      </w:r>
    </w:p>
    <w:p>
      <w:pPr>
        <w:pStyle w:val="18"/>
        <w:adjustRightInd w:val="0"/>
        <w:snapToGrid w:val="0"/>
        <w:spacing w:after="0" w:line="500" w:lineRule="exact"/>
        <w:ind w:firstLine="480"/>
        <w:rPr>
          <w:color w:val="000000"/>
          <w:sz w:val="24"/>
          <w:szCs w:val="24"/>
        </w:rPr>
      </w:pPr>
      <w:r>
        <w:rPr>
          <w:color w:val="000000"/>
          <w:sz w:val="24"/>
          <w:szCs w:val="24"/>
        </w:rPr>
        <w:t>出露于西南部和东北部，为冲湖积沉物，岩层主要为灰褐、灰黑色粉土、粉质粘土、含钙质小结核，厚度0.5-2.0m。</w:t>
      </w:r>
    </w:p>
    <w:p>
      <w:pPr>
        <w:pStyle w:val="18"/>
        <w:adjustRightInd w:val="0"/>
        <w:snapToGrid w:val="0"/>
        <w:spacing w:after="0" w:line="500" w:lineRule="exact"/>
        <w:ind w:firstLine="480"/>
        <w:rPr>
          <w:color w:val="000000"/>
          <w:sz w:val="24"/>
          <w:szCs w:val="24"/>
        </w:rPr>
      </w:pPr>
      <w:r>
        <w:rPr>
          <w:color w:val="000000"/>
          <w:sz w:val="24"/>
          <w:szCs w:val="24"/>
        </w:rPr>
        <w:t>（4）全新统</w:t>
      </w:r>
    </w:p>
    <w:p>
      <w:pPr>
        <w:pStyle w:val="18"/>
        <w:adjustRightInd w:val="0"/>
        <w:snapToGrid w:val="0"/>
        <w:spacing w:after="0" w:line="500" w:lineRule="exact"/>
        <w:ind w:firstLine="480"/>
        <w:rPr>
          <w:color w:val="000000"/>
          <w:sz w:val="24"/>
          <w:szCs w:val="24"/>
        </w:rPr>
      </w:pPr>
      <w:r>
        <w:rPr>
          <w:color w:val="000000"/>
          <w:sz w:val="24"/>
          <w:szCs w:val="24"/>
        </w:rPr>
        <w:t>全新统零星分布于河谷及地貌低洼部位，岩性以浅灰黄色粉土、中细砂为主。</w:t>
      </w:r>
    </w:p>
    <w:p>
      <w:pPr>
        <w:pStyle w:val="18"/>
        <w:adjustRightInd w:val="0"/>
        <w:snapToGrid w:val="0"/>
        <w:spacing w:after="0" w:line="500" w:lineRule="exact"/>
        <w:ind w:firstLine="480"/>
        <w:rPr>
          <w:color w:val="000000"/>
          <w:sz w:val="24"/>
          <w:szCs w:val="24"/>
        </w:rPr>
      </w:pPr>
      <w:r>
        <w:rPr>
          <w:color w:val="000000"/>
          <w:sz w:val="24"/>
          <w:szCs w:val="24"/>
        </w:rPr>
        <w:t>（5）浅层含水层组</w:t>
      </w:r>
    </w:p>
    <w:p>
      <w:pPr>
        <w:pStyle w:val="18"/>
        <w:adjustRightInd w:val="0"/>
        <w:snapToGrid w:val="0"/>
        <w:spacing w:after="0" w:line="500" w:lineRule="exact"/>
        <w:ind w:firstLine="480"/>
        <w:rPr>
          <w:color w:val="000000"/>
          <w:sz w:val="24"/>
          <w:szCs w:val="24"/>
        </w:rPr>
      </w:pPr>
      <w:r>
        <w:rPr>
          <w:color w:val="000000"/>
          <w:sz w:val="24"/>
          <w:szCs w:val="24"/>
        </w:rPr>
        <w:t>浅层地下水含水层组岩性为中更新统浅黄色—棕红色粉质粘土，节理及裂隙发育程度一般，地下水径流条件一般，径流总体方向自西向东流动，水利坡度＜3.0%，渗透系数10-15m/d，为中等径流带。浅层含水层组水化学类型为HCO</w:t>
      </w:r>
      <w:r>
        <w:rPr>
          <w:color w:val="000000"/>
          <w:sz w:val="24"/>
          <w:szCs w:val="24"/>
          <w:vertAlign w:val="subscript"/>
        </w:rPr>
        <w:t>3</w:t>
      </w:r>
      <w:r>
        <w:rPr>
          <w:color w:val="000000"/>
          <w:sz w:val="24"/>
          <w:szCs w:val="24"/>
        </w:rPr>
        <w:t>-Ca·Na和HCO</w:t>
      </w:r>
      <w:r>
        <w:rPr>
          <w:color w:val="000000"/>
          <w:sz w:val="24"/>
          <w:szCs w:val="24"/>
          <w:vertAlign w:val="subscript"/>
        </w:rPr>
        <w:t>3</w:t>
      </w:r>
      <w:r>
        <w:rPr>
          <w:color w:val="000000"/>
          <w:sz w:val="24"/>
          <w:szCs w:val="24"/>
        </w:rPr>
        <w:t>-Ca·Mg型水，矿化度500-700mg/l，属淡水。</w:t>
      </w:r>
    </w:p>
    <w:p>
      <w:pPr>
        <w:pStyle w:val="18"/>
        <w:adjustRightInd w:val="0"/>
        <w:snapToGrid w:val="0"/>
        <w:spacing w:after="0" w:line="500" w:lineRule="exact"/>
        <w:ind w:firstLine="480"/>
        <w:rPr>
          <w:color w:val="000000"/>
          <w:sz w:val="24"/>
          <w:szCs w:val="24"/>
        </w:rPr>
      </w:pPr>
      <w:r>
        <w:rPr>
          <w:color w:val="000000"/>
          <w:sz w:val="24"/>
          <w:szCs w:val="24"/>
        </w:rPr>
        <w:t>浅层含水层组单井涌水量7.39-195.40m³/d，可分为贫水区和弱富水区。浅层含水层组的补给主要为大气降水入渗补给、地下径流补给、灌溉回渗补给。浅层含水层组的排泄主要为蒸发排泄、河流排泄、人工开发排泄、越流排泄和径流排泄。通过多年平均补给量与消耗量的各均衡要素对比分析，大气降水入渗补给是正阳县浅层地下水的主要补给来源，占总补给量的82.05%；消耗量以人工开发为主，占总消耗量的70.41%，其次是蒸发排泄。</w:t>
      </w:r>
    </w:p>
    <w:p>
      <w:pPr>
        <w:pStyle w:val="18"/>
        <w:adjustRightInd w:val="0"/>
        <w:snapToGrid w:val="0"/>
        <w:spacing w:after="0" w:line="500" w:lineRule="exact"/>
        <w:ind w:firstLine="480"/>
        <w:rPr>
          <w:color w:val="000000"/>
          <w:sz w:val="24"/>
          <w:szCs w:val="24"/>
        </w:rPr>
      </w:pPr>
      <w:r>
        <w:rPr>
          <w:color w:val="000000"/>
          <w:sz w:val="24"/>
          <w:szCs w:val="24"/>
        </w:rPr>
        <w:t>（6）深层含水层组</w:t>
      </w:r>
    </w:p>
    <w:p>
      <w:pPr>
        <w:pStyle w:val="18"/>
        <w:adjustRightInd w:val="0"/>
        <w:snapToGrid w:val="0"/>
        <w:spacing w:after="0" w:line="500" w:lineRule="exact"/>
        <w:ind w:firstLine="480"/>
        <w:rPr>
          <w:color w:val="000000"/>
          <w:sz w:val="24"/>
          <w:szCs w:val="24"/>
        </w:rPr>
      </w:pPr>
      <w:r>
        <w:rPr>
          <w:color w:val="000000"/>
          <w:sz w:val="24"/>
          <w:szCs w:val="24"/>
        </w:rPr>
        <w:t>深层含水层组包括中更新统和下更新统细粉砂、中细砂、粗中砂、砂砾石及泥质混粒砂、砂砾石组成。深层含水层组含水层顶板埋深72.94-92.76m，底板埋深176.20-202.27m。砂层累计厚度33.00-82.00m，深层水头埋深19.22-34.00m，水化学类型为HCO</w:t>
      </w:r>
      <w:r>
        <w:rPr>
          <w:color w:val="000000"/>
          <w:sz w:val="24"/>
          <w:szCs w:val="24"/>
          <w:vertAlign w:val="subscript"/>
        </w:rPr>
        <w:t>3</w:t>
      </w:r>
      <w:r>
        <w:rPr>
          <w:color w:val="000000"/>
          <w:sz w:val="24"/>
          <w:szCs w:val="24"/>
        </w:rPr>
        <w:t>-Ca·Mg和HCO</w:t>
      </w:r>
      <w:r>
        <w:rPr>
          <w:color w:val="000000"/>
          <w:sz w:val="24"/>
          <w:szCs w:val="24"/>
          <w:vertAlign w:val="subscript"/>
        </w:rPr>
        <w:t>3</w:t>
      </w:r>
      <w:r>
        <w:rPr>
          <w:color w:val="000000"/>
          <w:sz w:val="24"/>
          <w:szCs w:val="24"/>
        </w:rPr>
        <w:t>-Ca·Na型水。</w:t>
      </w:r>
    </w:p>
    <w:p>
      <w:pPr>
        <w:pStyle w:val="18"/>
        <w:adjustRightInd w:val="0"/>
        <w:snapToGrid w:val="0"/>
        <w:spacing w:after="0" w:line="500" w:lineRule="exact"/>
        <w:ind w:firstLine="480"/>
        <w:rPr>
          <w:color w:val="000000"/>
          <w:sz w:val="24"/>
          <w:szCs w:val="24"/>
        </w:rPr>
      </w:pPr>
      <w:r>
        <w:rPr>
          <w:color w:val="000000"/>
          <w:sz w:val="24"/>
          <w:szCs w:val="24"/>
        </w:rPr>
        <w:t>深层含水层组单井涌水量1330.25-2386.29m³/d，属富水地区，导水系数242.2-394.3m³/d。深层含水层组地下水自西向东流动，其补给方式主要为径流补给和浅层水的越流补给。水源运行过程中，其补给量以径流补给为主，深层汗水层为无线含水层，且没有其他的集中开采，因此水源地的补给量是有保证的。</w:t>
      </w:r>
    </w:p>
    <w:p>
      <w:pPr>
        <w:adjustRightInd w:val="0"/>
        <w:snapToGrid w:val="0"/>
        <w:spacing w:line="520" w:lineRule="exact"/>
        <w:ind w:firstLine="480" w:firstLineChars="200"/>
        <w:rPr>
          <w:rFonts w:hint="eastAsia"/>
          <w:color w:val="000000"/>
          <w:sz w:val="24"/>
          <w:szCs w:val="24"/>
        </w:rPr>
      </w:pPr>
      <w:r>
        <w:rPr>
          <w:rFonts w:hint="eastAsia"/>
          <w:color w:val="000000"/>
          <w:sz w:val="24"/>
          <w:szCs w:val="24"/>
        </w:rPr>
        <w:t>根据《环境影响评价技术导则 地下水环境》（HJ610-2016），渗透系数经验取值见表4</w:t>
      </w:r>
      <w:r>
        <w:rPr>
          <w:rFonts w:hint="eastAsia"/>
          <w:color w:val="000000"/>
          <w:sz w:val="24"/>
          <w:szCs w:val="24"/>
          <w:lang w:val="en-US" w:eastAsia="zh-CN"/>
        </w:rPr>
        <w:t>.2-10</w:t>
      </w:r>
      <w:r>
        <w:rPr>
          <w:rFonts w:hint="eastAsia"/>
          <w:color w:val="000000"/>
          <w:sz w:val="24"/>
          <w:szCs w:val="24"/>
        </w:rPr>
        <w:t>。</w:t>
      </w:r>
    </w:p>
    <w:p>
      <w:pPr>
        <w:widowControl/>
        <w:adjustRightInd w:val="0"/>
        <w:snapToGrid w:val="0"/>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表4</w:t>
      </w:r>
      <w:r>
        <w:rPr>
          <w:rFonts w:hint="default" w:ascii="Times New Roman" w:hAnsi="Times New Roman" w:cs="Times New Roman"/>
          <w:b/>
          <w:color w:val="000000"/>
          <w:sz w:val="24"/>
          <w:szCs w:val="24"/>
          <w:lang w:val="en-US" w:eastAsia="zh-CN"/>
        </w:rPr>
        <w:t>.2-10</w:t>
      </w:r>
      <w:r>
        <w:rPr>
          <w:rFonts w:hint="default" w:ascii="Times New Roman" w:hAnsi="Times New Roman" w:cs="Times New Roman"/>
          <w:b/>
          <w:color w:val="000000"/>
          <w:sz w:val="24"/>
          <w:szCs w:val="24"/>
        </w:rPr>
        <w:t xml:space="preserve">    渗透系数经验值表</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6"/>
        <w:gridCol w:w="2236"/>
        <w:gridCol w:w="2237"/>
        <w:gridCol w:w="22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岩性名称</w:t>
            </w:r>
          </w:p>
        </w:tc>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主要颗粒粒径（</w:t>
            </w:r>
            <w:r>
              <w:rPr>
                <w:rFonts w:ascii="Times New Roman" w:hAnsi="Times New Roman"/>
                <w:color w:val="000000"/>
                <w:sz w:val="21"/>
                <w:szCs w:val="21"/>
              </w:rPr>
              <w:t>mm</w:t>
            </w:r>
            <w:r>
              <w:rPr>
                <w:rFonts w:ascii="Times New Roman" w:hAnsi="宋体"/>
                <w:color w:val="000000"/>
                <w:sz w:val="21"/>
                <w:szCs w:val="21"/>
              </w:rPr>
              <w:t>）</w:t>
            </w:r>
          </w:p>
        </w:tc>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渗透系数（</w:t>
            </w:r>
            <w:r>
              <w:rPr>
                <w:rFonts w:ascii="Times New Roman" w:hAnsi="Times New Roman"/>
                <w:color w:val="000000"/>
                <w:sz w:val="21"/>
                <w:szCs w:val="21"/>
              </w:rPr>
              <w:t>m/d</w:t>
            </w:r>
            <w:r>
              <w:rPr>
                <w:rFonts w:ascii="Times New Roman" w:hAnsi="宋体"/>
                <w:color w:val="000000"/>
                <w:sz w:val="21"/>
                <w:szCs w:val="21"/>
              </w:rPr>
              <w:t>）</w:t>
            </w:r>
          </w:p>
        </w:tc>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渗透系数（</w:t>
            </w:r>
            <w:r>
              <w:rPr>
                <w:rFonts w:ascii="Times New Roman" w:hAnsi="Times New Roman"/>
                <w:color w:val="000000"/>
                <w:sz w:val="21"/>
                <w:szCs w:val="21"/>
              </w:rPr>
              <w:t>cm/s</w:t>
            </w:r>
            <w:r>
              <w:rPr>
                <w:rFonts w:ascii="Times New Roman" w:hAnsi="宋体"/>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轻亚黏土</w:t>
            </w:r>
          </w:p>
        </w:tc>
        <w:tc>
          <w:tcPr>
            <w:tcW w:w="1250" w:type="pct"/>
            <w:vMerge w:val="restart"/>
            <w:noWrap w:val="0"/>
            <w:vAlign w:val="center"/>
          </w:tcPr>
          <w:p>
            <w:pPr>
              <w:jc w:val="center"/>
              <w:rPr>
                <w:rFonts w:ascii="Times New Roman" w:hAnsi="Times New Roman"/>
                <w:bCs/>
                <w:color w:val="000000"/>
                <w:sz w:val="21"/>
                <w:szCs w:val="21"/>
              </w:rPr>
            </w:pPr>
            <w:r>
              <w:rPr>
                <w:rFonts w:ascii="Times New Roman" w:hAnsi="Times New Roman"/>
                <w:bCs/>
                <w:color w:val="000000"/>
                <w:sz w:val="21"/>
                <w:szCs w:val="21"/>
              </w:rPr>
              <w:t>0.05~0.1</w:t>
            </w:r>
          </w:p>
          <w:p>
            <w:pPr>
              <w:jc w:val="center"/>
              <w:rPr>
                <w:rFonts w:ascii="Times New Roman" w:hAnsi="Times New Roman"/>
                <w:bCs/>
                <w:color w:val="000000"/>
                <w:sz w:val="21"/>
                <w:szCs w:val="21"/>
              </w:rPr>
            </w:pPr>
            <w:r>
              <w:rPr>
                <w:rFonts w:ascii="Times New Roman" w:hAnsi="Times New Roman"/>
                <w:bCs/>
                <w:color w:val="000000"/>
                <w:sz w:val="21"/>
                <w:szCs w:val="21"/>
              </w:rPr>
              <w:t>0.1~0.25</w:t>
            </w:r>
          </w:p>
          <w:p>
            <w:pPr>
              <w:jc w:val="center"/>
              <w:rPr>
                <w:rFonts w:ascii="Times New Roman" w:hAnsi="Times New Roman"/>
                <w:bCs/>
                <w:color w:val="000000"/>
                <w:sz w:val="21"/>
                <w:szCs w:val="21"/>
              </w:rPr>
            </w:pPr>
            <w:r>
              <w:rPr>
                <w:rFonts w:ascii="Times New Roman" w:hAnsi="Times New Roman"/>
                <w:bCs/>
                <w:color w:val="000000"/>
                <w:sz w:val="21"/>
                <w:szCs w:val="21"/>
              </w:rPr>
              <w:t>0.25~0.5</w:t>
            </w:r>
          </w:p>
          <w:p>
            <w:pPr>
              <w:jc w:val="center"/>
              <w:rPr>
                <w:rFonts w:ascii="Times New Roman" w:hAnsi="Times New Roman"/>
                <w:bCs/>
                <w:color w:val="000000"/>
                <w:sz w:val="21"/>
                <w:szCs w:val="21"/>
              </w:rPr>
            </w:pPr>
            <w:r>
              <w:rPr>
                <w:rFonts w:ascii="Times New Roman" w:hAnsi="Times New Roman"/>
                <w:bCs/>
                <w:color w:val="000000"/>
                <w:sz w:val="21"/>
                <w:szCs w:val="21"/>
              </w:rPr>
              <w:t>0.5~1.0</w:t>
            </w:r>
          </w:p>
          <w:p>
            <w:pPr>
              <w:jc w:val="center"/>
              <w:rPr>
                <w:rFonts w:ascii="Times New Roman" w:hAnsi="Times New Roman"/>
                <w:bCs/>
                <w:color w:val="000000"/>
                <w:sz w:val="21"/>
                <w:szCs w:val="21"/>
              </w:rPr>
            </w:pPr>
            <w:r>
              <w:rPr>
                <w:rFonts w:ascii="Times New Roman" w:hAnsi="Times New Roman"/>
                <w:bCs/>
                <w:color w:val="000000"/>
                <w:sz w:val="21"/>
                <w:szCs w:val="21"/>
              </w:rPr>
              <w:t>1.0~2.0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0.05~0.1</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5.79×10</w:t>
            </w:r>
            <w:r>
              <w:rPr>
                <w:rFonts w:ascii="Times New Roman" w:hAnsi="Times New Roman"/>
                <w:color w:val="000000"/>
                <w:sz w:val="21"/>
                <w:szCs w:val="21"/>
                <w:vertAlign w:val="superscript"/>
              </w:rPr>
              <w:t xml:space="preserve">-5 </w:t>
            </w:r>
            <w:r>
              <w:rPr>
                <w:rFonts w:ascii="Times New Roman" w:hAnsi="Times New Roman"/>
                <w:color w:val="000000"/>
                <w:sz w:val="21"/>
                <w:szCs w:val="21"/>
              </w:rPr>
              <w:t>~1.16×10</w:t>
            </w:r>
            <w:r>
              <w:rPr>
                <w:rFonts w:ascii="Times New Roman" w:hAnsi="Times New Roman"/>
                <w:color w:val="000000"/>
                <w:sz w:val="21"/>
                <w:szCs w:val="21"/>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亚黏土</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0.1~0.25</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1.16×10</w:t>
            </w:r>
            <w:r>
              <w:rPr>
                <w:rFonts w:ascii="Times New Roman" w:hAnsi="Times New Roman"/>
                <w:color w:val="000000"/>
                <w:sz w:val="21"/>
                <w:szCs w:val="21"/>
                <w:vertAlign w:val="superscript"/>
              </w:rPr>
              <w:t>-4</w:t>
            </w:r>
            <w:r>
              <w:rPr>
                <w:rFonts w:ascii="Times New Roman" w:hAnsi="Times New Roman"/>
                <w:color w:val="000000"/>
                <w:sz w:val="21"/>
                <w:szCs w:val="21"/>
              </w:rPr>
              <w:t xml:space="preserve"> ~2.89×10</w:t>
            </w:r>
            <w:r>
              <w:rPr>
                <w:rFonts w:ascii="Times New Roman" w:hAnsi="Times New Roman"/>
                <w:color w:val="000000"/>
                <w:sz w:val="21"/>
                <w:szCs w:val="21"/>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黄土</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0.25~0.5</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2.89×10</w:t>
            </w:r>
            <w:r>
              <w:rPr>
                <w:rFonts w:ascii="Times New Roman" w:hAnsi="Times New Roman"/>
                <w:color w:val="000000"/>
                <w:sz w:val="21"/>
                <w:szCs w:val="21"/>
                <w:vertAlign w:val="superscript"/>
              </w:rPr>
              <w:t>-4</w:t>
            </w:r>
            <w:r>
              <w:rPr>
                <w:rFonts w:ascii="Times New Roman" w:hAnsi="Times New Roman"/>
                <w:color w:val="000000"/>
                <w:sz w:val="21"/>
                <w:szCs w:val="21"/>
              </w:rPr>
              <w:t xml:space="preserve"> ~5.79×10</w:t>
            </w:r>
            <w:r>
              <w:rPr>
                <w:rFonts w:ascii="Times New Roman" w:hAnsi="Times New Roman"/>
                <w:color w:val="000000"/>
                <w:sz w:val="21"/>
                <w:szCs w:val="21"/>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粉土质砂</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0.5~1.0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5.79×10</w:t>
            </w:r>
            <w:r>
              <w:rPr>
                <w:rFonts w:ascii="Times New Roman" w:hAnsi="Times New Roman"/>
                <w:color w:val="000000"/>
                <w:sz w:val="21"/>
                <w:szCs w:val="21"/>
                <w:vertAlign w:val="superscript"/>
              </w:rPr>
              <w:t xml:space="preserve">-4 </w:t>
            </w:r>
            <w:r>
              <w:rPr>
                <w:rFonts w:ascii="Times New Roman" w:hAnsi="Times New Roman"/>
                <w:color w:val="000000"/>
                <w:sz w:val="21"/>
                <w:szCs w:val="21"/>
              </w:rPr>
              <w:t>~1.16×10</w:t>
            </w:r>
            <w:r>
              <w:rPr>
                <w:rFonts w:ascii="Times New Roman" w:hAnsi="Times New Roman"/>
                <w:color w:val="000000"/>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粉砂</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1.0~1.5</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1.16×10</w:t>
            </w:r>
            <w:r>
              <w:rPr>
                <w:rFonts w:ascii="Times New Roman" w:hAnsi="Times New Roman"/>
                <w:color w:val="000000"/>
                <w:sz w:val="21"/>
                <w:szCs w:val="21"/>
                <w:vertAlign w:val="superscript"/>
              </w:rPr>
              <w:t>-3</w:t>
            </w:r>
            <w:r>
              <w:rPr>
                <w:rFonts w:ascii="Times New Roman" w:hAnsi="Times New Roman"/>
                <w:color w:val="000000"/>
                <w:sz w:val="21"/>
                <w:szCs w:val="21"/>
              </w:rPr>
              <w:t xml:space="preserve"> ~1.74×10</w:t>
            </w:r>
            <w:r>
              <w:rPr>
                <w:rFonts w:ascii="Times New Roman" w:hAnsi="Times New Roman"/>
                <w:color w:val="000000"/>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7"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细砂</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5.0~10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5.79×10</w:t>
            </w:r>
            <w:r>
              <w:rPr>
                <w:rFonts w:ascii="Times New Roman" w:hAnsi="Times New Roman"/>
                <w:color w:val="000000"/>
                <w:sz w:val="21"/>
                <w:szCs w:val="21"/>
                <w:vertAlign w:val="superscript"/>
              </w:rPr>
              <w:t>-3</w:t>
            </w:r>
            <w:r>
              <w:rPr>
                <w:rFonts w:ascii="Times New Roman" w:hAnsi="Times New Roman"/>
                <w:color w:val="000000"/>
                <w:sz w:val="21"/>
                <w:szCs w:val="21"/>
              </w:rPr>
              <w:t xml:space="preserve"> ~1.16×10</w:t>
            </w:r>
            <w:r>
              <w:rPr>
                <w:rFonts w:ascii="Times New Roman" w:hAnsi="Times New Roman"/>
                <w:color w:val="000000"/>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5"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中砂</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10.0~25</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1.16×10</w:t>
            </w:r>
            <w:r>
              <w:rPr>
                <w:rFonts w:ascii="Times New Roman" w:hAnsi="Times New Roman"/>
                <w:color w:val="000000"/>
                <w:sz w:val="21"/>
                <w:szCs w:val="21"/>
                <w:vertAlign w:val="superscript"/>
              </w:rPr>
              <w:t xml:space="preserve">-2 </w:t>
            </w:r>
            <w:r>
              <w:rPr>
                <w:rFonts w:ascii="Times New Roman" w:hAnsi="Times New Roman"/>
                <w:color w:val="000000"/>
                <w:sz w:val="21"/>
                <w:szCs w:val="21"/>
              </w:rPr>
              <w:t>~2.89×10</w:t>
            </w:r>
            <w:r>
              <w:rPr>
                <w:rFonts w:ascii="Times New Roman" w:hAnsi="Times New Roman"/>
                <w:color w:val="000000"/>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9"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粗砂</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25~50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2.89×10</w:t>
            </w:r>
            <w:r>
              <w:rPr>
                <w:rFonts w:ascii="Times New Roman" w:hAnsi="Times New Roman"/>
                <w:color w:val="000000"/>
                <w:sz w:val="21"/>
                <w:szCs w:val="21"/>
                <w:vertAlign w:val="superscript"/>
              </w:rPr>
              <w:t>-2</w:t>
            </w:r>
            <w:r>
              <w:rPr>
                <w:rFonts w:ascii="Times New Roman" w:hAnsi="Times New Roman"/>
                <w:color w:val="000000"/>
                <w:sz w:val="21"/>
                <w:szCs w:val="21"/>
              </w:rPr>
              <w:t xml:space="preserve"> ~5.78×10</w:t>
            </w:r>
            <w:r>
              <w:rPr>
                <w:rFonts w:ascii="Times New Roman" w:hAnsi="Times New Roman"/>
                <w:color w:val="000000"/>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砾砂</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50~100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5.78×10</w:t>
            </w:r>
            <w:r>
              <w:rPr>
                <w:rFonts w:ascii="Times New Roman" w:hAnsi="Times New Roman"/>
                <w:color w:val="000000"/>
                <w:sz w:val="21"/>
                <w:szCs w:val="21"/>
                <w:vertAlign w:val="superscript"/>
              </w:rPr>
              <w:t>-2</w:t>
            </w:r>
            <w:r>
              <w:rPr>
                <w:rFonts w:ascii="Times New Roman" w:hAnsi="Times New Roman"/>
                <w:color w:val="000000"/>
                <w:sz w:val="21"/>
                <w:szCs w:val="21"/>
              </w:rPr>
              <w:t xml:space="preserve"> ~1.16×10</w:t>
            </w:r>
            <w:r>
              <w:rPr>
                <w:rFonts w:ascii="Times New Roman" w:hAnsi="Times New Roman"/>
                <w:color w:val="000000"/>
                <w:sz w:val="21"/>
                <w:szCs w:val="21"/>
                <w:vertAlign w:val="superscript"/>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圆砾</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75~150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8.68×10</w:t>
            </w:r>
            <w:r>
              <w:rPr>
                <w:rFonts w:ascii="Times New Roman" w:hAnsi="Times New Roman"/>
                <w:color w:val="000000"/>
                <w:sz w:val="21"/>
                <w:szCs w:val="21"/>
                <w:vertAlign w:val="superscript"/>
              </w:rPr>
              <w:t>-2</w:t>
            </w:r>
            <w:r>
              <w:rPr>
                <w:rFonts w:ascii="Times New Roman" w:hAnsi="Times New Roman"/>
                <w:color w:val="000000"/>
                <w:sz w:val="21"/>
                <w:szCs w:val="21"/>
              </w:rPr>
              <w:t xml:space="preserve"> ~1.74×10</w:t>
            </w:r>
            <w:r>
              <w:rPr>
                <w:rFonts w:ascii="Times New Roman" w:hAnsi="Times New Roman"/>
                <w:color w:val="000000"/>
                <w:sz w:val="21"/>
                <w:szCs w:val="21"/>
                <w:vertAlign w:val="superscript"/>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卵石</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100~200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1.16×10</w:t>
            </w:r>
            <w:r>
              <w:rPr>
                <w:rFonts w:ascii="Times New Roman" w:hAnsi="Times New Roman"/>
                <w:color w:val="000000"/>
                <w:sz w:val="21"/>
                <w:szCs w:val="21"/>
                <w:vertAlign w:val="superscript"/>
              </w:rPr>
              <w:t xml:space="preserve">-1 </w:t>
            </w:r>
            <w:r>
              <w:rPr>
                <w:rFonts w:ascii="Times New Roman" w:hAnsi="Times New Roman"/>
                <w:color w:val="000000"/>
                <w:sz w:val="21"/>
                <w:szCs w:val="21"/>
              </w:rPr>
              <w:t>~2.31×10</w:t>
            </w:r>
            <w:r>
              <w:rPr>
                <w:rFonts w:ascii="Times New Roman" w:hAnsi="Times New Roman"/>
                <w:color w:val="000000"/>
                <w:sz w:val="21"/>
                <w:szCs w:val="21"/>
                <w:vertAlign w:val="superscript"/>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块石</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200~500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2.31×10</w:t>
            </w:r>
            <w:r>
              <w:rPr>
                <w:rFonts w:ascii="Times New Roman" w:hAnsi="Times New Roman"/>
                <w:color w:val="000000"/>
                <w:sz w:val="21"/>
                <w:szCs w:val="21"/>
                <w:vertAlign w:val="superscript"/>
              </w:rPr>
              <w:t xml:space="preserve">-1 </w:t>
            </w:r>
            <w:r>
              <w:rPr>
                <w:rFonts w:ascii="Times New Roman" w:hAnsi="Times New Roman"/>
                <w:color w:val="000000"/>
                <w:sz w:val="21"/>
                <w:szCs w:val="21"/>
              </w:rPr>
              <w:t>~5.79×10</w:t>
            </w:r>
            <w:r>
              <w:rPr>
                <w:rFonts w:ascii="Times New Roman" w:hAnsi="Times New Roman"/>
                <w:color w:val="000000"/>
                <w:sz w:val="21"/>
                <w:szCs w:val="21"/>
                <w:vertAlign w:val="superscript"/>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 w:hRule="atLeast"/>
        </w:trPr>
        <w:tc>
          <w:tcPr>
            <w:tcW w:w="1250" w:type="pct"/>
            <w:noWrap w:val="0"/>
            <w:vAlign w:val="center"/>
          </w:tcPr>
          <w:p>
            <w:pPr>
              <w:jc w:val="center"/>
              <w:rPr>
                <w:rFonts w:ascii="Times New Roman" w:hAnsi="Times New Roman"/>
                <w:color w:val="000000"/>
                <w:sz w:val="21"/>
                <w:szCs w:val="21"/>
              </w:rPr>
            </w:pPr>
            <w:r>
              <w:rPr>
                <w:rFonts w:ascii="Times New Roman" w:hAnsi="宋体"/>
                <w:color w:val="000000"/>
                <w:sz w:val="21"/>
                <w:szCs w:val="21"/>
              </w:rPr>
              <w:t>漂石</w:t>
            </w:r>
          </w:p>
        </w:tc>
        <w:tc>
          <w:tcPr>
            <w:tcW w:w="1250" w:type="pct"/>
            <w:vMerge w:val="continue"/>
            <w:noWrap w:val="0"/>
            <w:vAlign w:val="center"/>
          </w:tcPr>
          <w:p>
            <w:pPr>
              <w:ind w:firstLine="480"/>
              <w:jc w:val="center"/>
              <w:rPr>
                <w:rFonts w:ascii="Times New Roman" w:hAnsi="Times New Roman"/>
                <w:bCs/>
                <w:color w:val="000000"/>
                <w:sz w:val="21"/>
                <w:szCs w:val="21"/>
              </w:rPr>
            </w:pP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500~1000</w:t>
            </w:r>
          </w:p>
        </w:tc>
        <w:tc>
          <w:tcPr>
            <w:tcW w:w="1250" w:type="pct"/>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5.79×10</w:t>
            </w:r>
            <w:r>
              <w:rPr>
                <w:rFonts w:ascii="Times New Roman" w:hAnsi="Times New Roman"/>
                <w:color w:val="000000"/>
                <w:sz w:val="21"/>
                <w:szCs w:val="21"/>
                <w:vertAlign w:val="superscript"/>
              </w:rPr>
              <w:t>-1</w:t>
            </w:r>
            <w:r>
              <w:rPr>
                <w:rFonts w:ascii="Times New Roman" w:hAnsi="Times New Roman"/>
                <w:color w:val="000000"/>
                <w:sz w:val="21"/>
                <w:szCs w:val="21"/>
              </w:rPr>
              <w:t xml:space="preserve"> ~1.16×10</w:t>
            </w:r>
            <w:r>
              <w:rPr>
                <w:rFonts w:ascii="Times New Roman" w:hAnsi="Times New Roman"/>
                <w:color w:val="000000"/>
                <w:sz w:val="21"/>
                <w:szCs w:val="21"/>
                <w:vertAlign w:val="superscript"/>
              </w:rPr>
              <w:t>0</w:t>
            </w:r>
          </w:p>
        </w:tc>
      </w:tr>
    </w:tbl>
    <w:p>
      <w:pPr>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.2.3.3地下水环境影响分析</w:t>
      </w:r>
    </w:p>
    <w:p>
      <w:pPr>
        <w:adjustRightInd w:val="0"/>
        <w:snapToGrid w:val="0"/>
        <w:spacing w:line="500" w:lineRule="exact"/>
        <w:ind w:firstLine="480" w:firstLineChars="200"/>
        <w:rPr>
          <w:b w:val="0"/>
          <w:bCs/>
          <w:color w:val="000000"/>
          <w:sz w:val="24"/>
          <w:u w:val="none"/>
        </w:rPr>
      </w:pPr>
      <w:r>
        <w:rPr>
          <w:b w:val="0"/>
          <w:bCs/>
          <w:color w:val="000000"/>
          <w:sz w:val="24"/>
          <w:u w:val="none"/>
        </w:rPr>
        <w:t>本项目产生的废水主要为养殖废水和员工生活污水，经管道收集后自流至污水处理系统统一处理，其中养殖废水为高浓度有机废水，经厌氧处理后用于附近</w:t>
      </w:r>
      <w:r>
        <w:rPr>
          <w:rFonts w:hint="eastAsia"/>
          <w:b w:val="0"/>
          <w:bCs/>
          <w:color w:val="000000"/>
          <w:sz w:val="24"/>
          <w:u w:val="none"/>
          <w:lang w:val="en-US" w:eastAsia="zh-CN"/>
        </w:rPr>
        <w:t>林地</w:t>
      </w:r>
      <w:r>
        <w:rPr>
          <w:b w:val="0"/>
          <w:bCs/>
          <w:color w:val="000000"/>
          <w:sz w:val="24"/>
          <w:u w:val="none"/>
        </w:rPr>
        <w:t>施肥，雨季暂存在场区沼液池中，本次评价主要从以下方面分析营运期废水对地下水水质的影响。</w:t>
      </w:r>
    </w:p>
    <w:p>
      <w:pPr>
        <w:spacing w:line="500" w:lineRule="exact"/>
        <w:ind w:firstLine="480" w:firstLineChars="200"/>
        <w:rPr>
          <w:b w:val="0"/>
          <w:bCs/>
          <w:sz w:val="24"/>
          <w:u w:val="none"/>
        </w:rPr>
      </w:pPr>
      <w:r>
        <w:rPr>
          <w:b w:val="0"/>
          <w:bCs/>
          <w:sz w:val="24"/>
          <w:u w:val="none"/>
        </w:rPr>
        <w:t>本项目为养殖项目，营运期间无废水排放，项目地下水的影响主要为沼液储存池防渗衬层达不到防渗效果沼液泄漏对地下水的影响。</w:t>
      </w:r>
    </w:p>
    <w:p>
      <w:pPr>
        <w:spacing w:line="500" w:lineRule="exact"/>
        <w:ind w:firstLine="480" w:firstLineChars="200"/>
        <w:rPr>
          <w:b w:val="0"/>
          <w:bCs/>
          <w:sz w:val="24"/>
          <w:u w:val="none"/>
        </w:rPr>
      </w:pPr>
      <w:r>
        <w:rPr>
          <w:b w:val="0"/>
          <w:bCs/>
          <w:sz w:val="24"/>
          <w:u w:val="none"/>
        </w:rPr>
        <w:t>（1）预测时段</w:t>
      </w:r>
    </w:p>
    <w:p>
      <w:pPr>
        <w:spacing w:line="520" w:lineRule="exact"/>
        <w:ind w:firstLine="480" w:firstLineChars="200"/>
        <w:rPr>
          <w:b w:val="0"/>
          <w:bCs/>
          <w:sz w:val="24"/>
          <w:u w:val="none"/>
        </w:rPr>
      </w:pPr>
      <w:r>
        <w:rPr>
          <w:b w:val="0"/>
          <w:bCs/>
          <w:sz w:val="24"/>
          <w:u w:val="none"/>
        </w:rPr>
        <w:t>地下水环境影响预测时段为污染发生后1d、100d、1000d，和能反映特征因子迁移规律的其他时间节点。</w:t>
      </w:r>
    </w:p>
    <w:p>
      <w:pPr>
        <w:spacing w:line="500" w:lineRule="exact"/>
        <w:ind w:firstLine="480" w:firstLineChars="200"/>
        <w:rPr>
          <w:b w:val="0"/>
          <w:bCs/>
          <w:sz w:val="24"/>
          <w:u w:val="none"/>
        </w:rPr>
      </w:pPr>
      <w:r>
        <w:rPr>
          <w:b w:val="0"/>
          <w:bCs/>
          <w:sz w:val="24"/>
          <w:u w:val="none"/>
        </w:rPr>
        <w:t>（2）情景设置</w:t>
      </w:r>
    </w:p>
    <w:p>
      <w:pPr>
        <w:spacing w:line="500" w:lineRule="exact"/>
        <w:ind w:firstLine="480" w:firstLineChars="200"/>
        <w:rPr>
          <w:b w:val="0"/>
          <w:bCs/>
          <w:sz w:val="24"/>
          <w:u w:val="none"/>
        </w:rPr>
      </w:pPr>
      <w:r>
        <w:rPr>
          <w:b w:val="0"/>
          <w:bCs/>
          <w:sz w:val="24"/>
          <w:u w:val="none"/>
        </w:rPr>
        <w:t>根据《环境影响评价技术导则 地下水环境》（HJ610-2016），本项目场区划分为重点防渗区及一般防渗区，根据防渗级别采取不同的防渗材料，地下水防渗措施均为目前养殖行业普遍采用的成熟措施，沼液储存池防渗采用“素土夯实+HDPE膜”，渗透系数1.0×10</w:t>
      </w:r>
      <w:r>
        <w:rPr>
          <w:b w:val="0"/>
          <w:bCs/>
          <w:sz w:val="24"/>
          <w:u w:val="none"/>
          <w:vertAlign w:val="superscript"/>
        </w:rPr>
        <w:t>-10</w:t>
      </w:r>
      <w:r>
        <w:rPr>
          <w:b w:val="0"/>
          <w:bCs/>
          <w:sz w:val="24"/>
          <w:u w:val="none"/>
        </w:rPr>
        <w:t>cm/s，符合（GB18597-2001）、（GB18599-2001）的相关规定要求，故仅预测非正常状况下的影响结果。本次情景设置如下：</w:t>
      </w:r>
    </w:p>
    <w:p>
      <w:pPr>
        <w:spacing w:line="520" w:lineRule="exact"/>
        <w:ind w:firstLine="480" w:firstLineChars="200"/>
        <w:rPr>
          <w:b w:val="0"/>
          <w:bCs/>
          <w:sz w:val="24"/>
          <w:u w:val="none"/>
        </w:rPr>
      </w:pPr>
      <w:r>
        <w:rPr>
          <w:b w:val="0"/>
          <w:bCs/>
          <w:sz w:val="24"/>
          <w:u w:val="none"/>
        </w:rPr>
        <w:t>非正常状况下：沼液储存池防渗层达不到设计的防渗效果，沼液通过池底、池壁下渗经包气带进入潜层地下水对场界及下游保护目标</w:t>
      </w:r>
      <w:r>
        <w:rPr>
          <w:rFonts w:hint="eastAsia"/>
          <w:b w:val="0"/>
          <w:bCs/>
          <w:sz w:val="24"/>
          <w:u w:val="none"/>
          <w:lang w:val="en-US" w:eastAsia="zh-CN"/>
        </w:rPr>
        <w:t>贾田</w:t>
      </w:r>
      <w:r>
        <w:rPr>
          <w:b w:val="0"/>
          <w:bCs/>
          <w:sz w:val="24"/>
          <w:u w:val="none"/>
        </w:rPr>
        <w:t>的影响进行预测。</w:t>
      </w:r>
    </w:p>
    <w:p>
      <w:pPr>
        <w:spacing w:line="500" w:lineRule="exact"/>
        <w:ind w:firstLine="480" w:firstLineChars="200"/>
        <w:rPr>
          <w:b w:val="0"/>
          <w:bCs/>
          <w:sz w:val="24"/>
          <w:u w:val="none"/>
        </w:rPr>
      </w:pPr>
      <w:r>
        <w:rPr>
          <w:b w:val="0"/>
          <w:bCs/>
          <w:sz w:val="24"/>
          <w:u w:val="none"/>
        </w:rPr>
        <w:t>（3）预测因子</w:t>
      </w:r>
    </w:p>
    <w:p>
      <w:pPr>
        <w:spacing w:line="520" w:lineRule="exact"/>
        <w:ind w:firstLine="480" w:firstLineChars="200"/>
        <w:rPr>
          <w:b w:val="0"/>
          <w:bCs/>
          <w:sz w:val="24"/>
          <w:u w:val="none"/>
        </w:rPr>
      </w:pPr>
      <w:r>
        <w:rPr>
          <w:b w:val="0"/>
          <w:bCs/>
          <w:sz w:val="24"/>
          <w:u w:val="none"/>
        </w:rPr>
        <w:t>本项目废水污染物特征因子不含重金属，不含持久性有机污染物，废水特征污染因子为COD</w:t>
      </w:r>
      <w:r>
        <w:rPr>
          <w:b w:val="0"/>
          <w:bCs/>
          <w:sz w:val="24"/>
          <w:u w:val="none"/>
          <w:vertAlign w:val="subscript"/>
        </w:rPr>
        <w:t>Mn</w:t>
      </w:r>
      <w:r>
        <w:rPr>
          <w:b w:val="0"/>
          <w:bCs/>
          <w:sz w:val="24"/>
          <w:u w:val="none"/>
        </w:rPr>
        <w:t>、氨氮。</w:t>
      </w:r>
    </w:p>
    <w:p>
      <w:pPr>
        <w:spacing w:line="500" w:lineRule="exact"/>
        <w:ind w:firstLine="480" w:firstLineChars="200"/>
        <w:rPr>
          <w:b w:val="0"/>
          <w:bCs/>
          <w:sz w:val="24"/>
          <w:u w:val="none"/>
        </w:rPr>
      </w:pPr>
      <w:r>
        <w:rPr>
          <w:b w:val="0"/>
          <w:bCs/>
          <w:sz w:val="24"/>
          <w:u w:val="none"/>
        </w:rPr>
        <w:t>（4）预测源强及预测模式</w:t>
      </w:r>
    </w:p>
    <w:p>
      <w:pPr>
        <w:spacing w:line="500" w:lineRule="exact"/>
        <w:ind w:firstLine="480" w:firstLineChars="200"/>
        <w:rPr>
          <w:b w:val="0"/>
          <w:bCs/>
          <w:sz w:val="24"/>
          <w:u w:val="none"/>
        </w:rPr>
      </w:pPr>
      <w:r>
        <w:rPr>
          <w:b w:val="0"/>
          <w:bCs/>
          <w:sz w:val="24"/>
          <w:u w:val="none"/>
        </w:rPr>
        <w:t>参照《给水排水构筑物工程施工及验收规范》（GB50141）中钢筋混凝土结构渗漏强度、渗漏量计算公式，确定本项目预测源强。其正常状况渗漏强度为：2L/（m</w:t>
      </w:r>
      <w:r>
        <w:rPr>
          <w:b w:val="0"/>
          <w:bCs/>
          <w:sz w:val="24"/>
          <w:u w:val="none"/>
          <w:vertAlign w:val="superscript"/>
        </w:rPr>
        <w:t>2</w:t>
      </w:r>
      <w:r>
        <w:rPr>
          <w:b w:val="0"/>
          <w:bCs/>
          <w:sz w:val="24"/>
          <w:u w:val="none"/>
        </w:rPr>
        <w:t>·d），非正常状况下泄漏强度按照正常状况下泄漏源强的10倍计，渗漏量（L/d）=渗漏面积（池底面积+池壁面积）×渗漏强度。考虑到本项目沼液储存池占地面积较大，整个沼液储存池同时发生防渗层达不到设计的防渗效果的可能性较小，故本项目非正常状况的渗漏面积按照沼液储存池有效内表面积的10%计。</w:t>
      </w:r>
    </w:p>
    <w:p>
      <w:pPr>
        <w:spacing w:line="520" w:lineRule="exact"/>
        <w:ind w:firstLine="480" w:firstLineChars="200"/>
        <w:rPr>
          <w:b w:val="0"/>
          <w:bCs/>
          <w:sz w:val="24"/>
          <w:u w:val="none"/>
        </w:rPr>
      </w:pPr>
      <w:r>
        <w:rPr>
          <w:b w:val="0"/>
          <w:bCs/>
          <w:sz w:val="24"/>
          <w:u w:val="none"/>
        </w:rPr>
        <w:t>本项目按照沼液储存池（</w:t>
      </w:r>
      <w:r>
        <w:rPr>
          <w:rFonts w:hint="eastAsia"/>
          <w:b w:val="0"/>
          <w:bCs/>
          <w:sz w:val="24"/>
          <w:u w:val="none"/>
          <w:lang w:val="en-US" w:eastAsia="zh-CN"/>
        </w:rPr>
        <w:t>5</w:t>
      </w:r>
      <w:r>
        <w:rPr>
          <w:b w:val="0"/>
          <w:bCs/>
          <w:sz w:val="24"/>
          <w:u w:val="none"/>
        </w:rPr>
        <w:t>000m</w:t>
      </w:r>
      <w:r>
        <w:rPr>
          <w:b w:val="0"/>
          <w:bCs/>
          <w:sz w:val="24"/>
          <w:u w:val="none"/>
          <w:vertAlign w:val="superscript"/>
        </w:rPr>
        <w:t>3</w:t>
      </w:r>
      <w:r>
        <w:rPr>
          <w:b w:val="0"/>
          <w:bCs/>
          <w:sz w:val="24"/>
          <w:u w:val="none"/>
        </w:rPr>
        <w:t>）有效内表面积（池底面积+池壁面积）的10%为</w:t>
      </w:r>
      <w:r>
        <w:rPr>
          <w:rFonts w:hint="eastAsia"/>
          <w:b w:val="0"/>
          <w:bCs/>
          <w:sz w:val="24"/>
          <w:u w:val="none"/>
          <w:lang w:val="en-US" w:eastAsia="zh-CN"/>
        </w:rPr>
        <w:t>15</w:t>
      </w:r>
      <w:r>
        <w:rPr>
          <w:b w:val="0"/>
          <w:bCs/>
          <w:sz w:val="24"/>
          <w:u w:val="none"/>
        </w:rPr>
        <w:t>0m</w:t>
      </w:r>
      <w:r>
        <w:rPr>
          <w:b w:val="0"/>
          <w:bCs/>
          <w:sz w:val="24"/>
          <w:u w:val="none"/>
          <w:vertAlign w:val="superscript"/>
        </w:rPr>
        <w:t>2</w:t>
      </w:r>
      <w:r>
        <w:rPr>
          <w:b w:val="0"/>
          <w:bCs/>
          <w:sz w:val="24"/>
          <w:u w:val="none"/>
        </w:rPr>
        <w:t>，沼液渗漏量约为</w:t>
      </w:r>
      <w:r>
        <w:rPr>
          <w:rFonts w:hint="eastAsia"/>
          <w:b w:val="0"/>
          <w:bCs/>
          <w:sz w:val="24"/>
          <w:u w:val="none"/>
          <w:lang w:val="en-US" w:eastAsia="zh-CN"/>
        </w:rPr>
        <w:t>3</w:t>
      </w:r>
      <w:r>
        <w:rPr>
          <w:b w:val="0"/>
          <w:bCs/>
          <w:sz w:val="24"/>
          <w:u w:val="none"/>
        </w:rPr>
        <w:t>m</w:t>
      </w:r>
      <w:r>
        <w:rPr>
          <w:b w:val="0"/>
          <w:bCs/>
          <w:sz w:val="24"/>
          <w:u w:val="none"/>
          <w:vertAlign w:val="superscript"/>
        </w:rPr>
        <w:t>3</w:t>
      </w:r>
      <w:r>
        <w:rPr>
          <w:b w:val="0"/>
          <w:bCs/>
          <w:sz w:val="24"/>
          <w:u w:val="none"/>
        </w:rPr>
        <w:t>。沼液中COD浓度为3000mg/L，氨氮为900mg/L，所以COD、氨氮泄漏量分别为COD</w:t>
      </w:r>
      <w:r>
        <w:rPr>
          <w:rFonts w:hint="eastAsia"/>
          <w:b w:val="0"/>
          <w:bCs/>
          <w:sz w:val="24"/>
          <w:u w:val="none"/>
          <w:lang w:val="en-US" w:eastAsia="zh-CN"/>
        </w:rPr>
        <w:t>9</w:t>
      </w:r>
      <w:r>
        <w:rPr>
          <w:b w:val="0"/>
          <w:bCs/>
          <w:sz w:val="24"/>
          <w:u w:val="none"/>
        </w:rPr>
        <w:t>kg，氨氮</w:t>
      </w:r>
      <w:r>
        <w:rPr>
          <w:rFonts w:hint="eastAsia"/>
          <w:b w:val="0"/>
          <w:bCs/>
          <w:sz w:val="24"/>
          <w:u w:val="none"/>
          <w:lang w:val="en-US" w:eastAsia="zh-CN"/>
        </w:rPr>
        <w:t>2.7</w:t>
      </w:r>
      <w:r>
        <w:rPr>
          <w:b w:val="0"/>
          <w:bCs/>
          <w:sz w:val="24"/>
          <w:u w:val="none"/>
        </w:rPr>
        <w:t>kg。根据有关资料，COD是高锰酸盐指数的2.7倍，因此，COD泄漏量折算成高锰酸盐指数为</w:t>
      </w:r>
      <w:r>
        <w:rPr>
          <w:rFonts w:hint="eastAsia"/>
          <w:b w:val="0"/>
          <w:bCs/>
          <w:sz w:val="24"/>
          <w:u w:val="none"/>
          <w:lang w:val="en-US" w:eastAsia="zh-CN"/>
        </w:rPr>
        <w:t>3.33</w:t>
      </w:r>
      <w:r>
        <w:rPr>
          <w:b w:val="0"/>
          <w:bCs/>
          <w:sz w:val="24"/>
          <w:u w:val="none"/>
        </w:rPr>
        <w:t>kg。</w:t>
      </w:r>
    </w:p>
    <w:p>
      <w:pPr>
        <w:spacing w:line="520" w:lineRule="exact"/>
        <w:ind w:firstLine="480" w:firstLineChars="200"/>
        <w:rPr>
          <w:b w:val="0"/>
          <w:bCs/>
          <w:sz w:val="24"/>
          <w:u w:val="none"/>
        </w:rPr>
      </w:pPr>
      <w:r>
        <w:rPr>
          <w:b w:val="0"/>
          <w:bCs/>
          <w:sz w:val="24"/>
          <w:u w:val="none"/>
        </w:rPr>
        <w:t>预测模型采用地下水溶质运移解析法——一维无限长多孔介质柱体，示踪剂瞬时注入模型：</w:t>
      </w:r>
    </w:p>
    <w:p>
      <w:pPr>
        <w:ind w:firstLine="480"/>
        <w:rPr>
          <w:bCs/>
          <w:color w:val="FF0000"/>
          <w:sz w:val="24"/>
        </w:rPr>
      </w:pPr>
      <w:r>
        <w:rPr>
          <w:b w:val="0"/>
          <w:bCs/>
          <w:sz w:val="24"/>
          <w:u w:val="none"/>
        </w:rPr>
        <w:drawing>
          <wp:anchor distT="0" distB="0" distL="0" distR="0" simplePos="0" relativeHeight="76099584" behindDoc="1" locked="0" layoutInCell="1" allowOverlap="1">
            <wp:simplePos x="0" y="0"/>
            <wp:positionH relativeFrom="column">
              <wp:posOffset>1758950</wp:posOffset>
            </wp:positionH>
            <wp:positionV relativeFrom="paragraph">
              <wp:posOffset>-4445</wp:posOffset>
            </wp:positionV>
            <wp:extent cx="1454150" cy="502285"/>
            <wp:effectExtent l="0" t="0" r="8890" b="635"/>
            <wp:wrapNone/>
            <wp:docPr id="36" name="图片 36" descr="C:\Users\mayn\AppData\Roaming\Tencent\Users\173754872\TIM\WinTemp\RichOle\CZIN%SE_EB@1VR}ZG%HBE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mayn\AppData\Roaming\Tencent\Users\173754872\TIM\WinTemp\RichOle\CZIN%SE_EB@1VR}ZG%HBEU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54150" cy="502285"/>
                    </a:xfrm>
                    <a:prstGeom prst="rect">
                      <a:avLst/>
                    </a:prstGeom>
                    <a:noFill/>
                    <a:ln>
                      <a:noFill/>
                    </a:ln>
                  </pic:spPr>
                </pic:pic>
              </a:graphicData>
            </a:graphic>
          </wp:anchor>
        </w:drawing>
      </w:r>
    </w:p>
    <w:p>
      <w:pPr>
        <w:pStyle w:val="2"/>
        <w:rPr>
          <w:bCs/>
          <w:color w:val="FF0000"/>
          <w:sz w:val="24"/>
        </w:rPr>
      </w:pPr>
    </w:p>
    <w:p>
      <w:pPr>
        <w:spacing w:line="500" w:lineRule="exact"/>
        <w:ind w:firstLine="480" w:firstLineChars="200"/>
        <w:rPr>
          <w:b w:val="0"/>
          <w:bCs/>
          <w:sz w:val="24"/>
          <w:u w:val="none"/>
        </w:rPr>
      </w:pPr>
      <w:r>
        <w:rPr>
          <w:rFonts w:hint="eastAsia"/>
          <w:b w:val="0"/>
          <w:bCs/>
          <w:sz w:val="24"/>
          <w:u w:val="none"/>
        </w:rPr>
        <w:t>式中：x——距注入点的距离，m；即预测点到污染源的距离，m；</w:t>
      </w:r>
    </w:p>
    <w:p>
      <w:pPr>
        <w:spacing w:line="500" w:lineRule="exact"/>
        <w:ind w:firstLine="480" w:firstLineChars="200"/>
        <w:rPr>
          <w:b w:val="0"/>
          <w:bCs/>
          <w:sz w:val="24"/>
          <w:u w:val="none"/>
        </w:rPr>
      </w:pPr>
      <w:r>
        <w:rPr>
          <w:rFonts w:hint="eastAsia"/>
          <w:b w:val="0"/>
          <w:bCs/>
          <w:sz w:val="24"/>
          <w:u w:val="none"/>
        </w:rPr>
        <w:t>t——时间，d；即泄漏发生时间；</w:t>
      </w:r>
    </w:p>
    <w:p>
      <w:pPr>
        <w:spacing w:line="500" w:lineRule="exact"/>
        <w:ind w:firstLine="480" w:firstLineChars="200"/>
        <w:rPr>
          <w:b w:val="0"/>
          <w:bCs/>
          <w:sz w:val="24"/>
          <w:u w:val="none"/>
        </w:rPr>
      </w:pPr>
      <w:r>
        <w:rPr>
          <w:rFonts w:hint="eastAsia"/>
          <w:b w:val="0"/>
          <w:bCs/>
          <w:sz w:val="24"/>
          <w:u w:val="none"/>
        </w:rPr>
        <w:t>C(x,t)——t 时刻 x 处的示踪剂浓度，mg/L；即泄漏发生 t 天后距离泄漏点 xm处的污染物浓度；</w:t>
      </w:r>
    </w:p>
    <w:p>
      <w:pPr>
        <w:spacing w:line="500" w:lineRule="exact"/>
        <w:ind w:firstLine="480" w:firstLineChars="200"/>
        <w:rPr>
          <w:b w:val="0"/>
          <w:bCs/>
          <w:sz w:val="24"/>
          <w:u w:val="none"/>
        </w:rPr>
      </w:pPr>
      <w:r>
        <w:rPr>
          <w:rFonts w:hint="eastAsia"/>
          <w:b w:val="0"/>
          <w:bCs/>
          <w:sz w:val="24"/>
          <w:u w:val="none"/>
        </w:rPr>
        <w:t>m——注入的示踪剂质量，kg；即污染源强。</w:t>
      </w:r>
    </w:p>
    <w:p>
      <w:pPr>
        <w:spacing w:line="500" w:lineRule="exact"/>
        <w:ind w:firstLine="480" w:firstLineChars="200"/>
        <w:rPr>
          <w:b w:val="0"/>
          <w:bCs/>
          <w:sz w:val="24"/>
          <w:u w:val="none"/>
        </w:rPr>
      </w:pPr>
      <w:r>
        <w:rPr>
          <w:rFonts w:hint="eastAsia"/>
          <w:b w:val="0"/>
          <w:bCs/>
          <w:sz w:val="24"/>
          <w:u w:val="none"/>
        </w:rPr>
        <w:t>w——横截面面积，m</w:t>
      </w:r>
      <w:r>
        <w:rPr>
          <w:rFonts w:hint="eastAsia"/>
          <w:b w:val="0"/>
          <w:bCs/>
          <w:sz w:val="24"/>
          <w:u w:val="none"/>
          <w:vertAlign w:val="superscript"/>
        </w:rPr>
        <w:t>2</w:t>
      </w:r>
      <w:r>
        <w:rPr>
          <w:rFonts w:hint="eastAsia"/>
          <w:b w:val="0"/>
          <w:bCs/>
          <w:sz w:val="24"/>
          <w:u w:val="none"/>
        </w:rPr>
        <w:t>，宽度取地下水流经宽度约 20m，深度取中等透水岩组厚度 20m，即截面积为 400m</w:t>
      </w:r>
      <w:r>
        <w:rPr>
          <w:rFonts w:hint="eastAsia"/>
          <w:b w:val="0"/>
          <w:bCs/>
          <w:sz w:val="24"/>
          <w:u w:val="none"/>
          <w:vertAlign w:val="superscript"/>
        </w:rPr>
        <w:t>2</w:t>
      </w:r>
      <w:r>
        <w:rPr>
          <w:rFonts w:hint="eastAsia"/>
          <w:b w:val="0"/>
          <w:bCs/>
          <w:sz w:val="24"/>
          <w:u w:val="none"/>
        </w:rPr>
        <w:t>。</w:t>
      </w:r>
    </w:p>
    <w:p>
      <w:pPr>
        <w:spacing w:line="500" w:lineRule="exact"/>
        <w:ind w:firstLine="480" w:firstLineChars="200"/>
        <w:rPr>
          <w:b w:val="0"/>
          <w:bCs/>
          <w:sz w:val="24"/>
          <w:u w:val="none"/>
        </w:rPr>
      </w:pPr>
      <w:r>
        <w:rPr>
          <w:rFonts w:hint="eastAsia"/>
          <w:b w:val="0"/>
          <w:bCs/>
          <w:sz w:val="24"/>
          <w:u w:val="none"/>
        </w:rPr>
        <w:t xml:space="preserve">u——地下水流速度，m/d，取 </w:t>
      </w:r>
      <w:r>
        <w:rPr>
          <w:b w:val="0"/>
          <w:bCs/>
          <w:sz w:val="24"/>
          <w:u w:val="none"/>
        </w:rPr>
        <w:t>0.0</w:t>
      </w:r>
      <w:r>
        <w:rPr>
          <w:rFonts w:hint="eastAsia"/>
          <w:b w:val="0"/>
          <w:bCs/>
          <w:sz w:val="24"/>
          <w:u w:val="none"/>
          <w:lang w:val="en-US" w:eastAsia="zh-CN"/>
        </w:rPr>
        <w:t>14</w:t>
      </w:r>
      <w:r>
        <w:rPr>
          <w:rFonts w:hint="eastAsia"/>
          <w:b w:val="0"/>
          <w:bCs/>
          <w:sz w:val="24"/>
          <w:u w:val="none"/>
        </w:rPr>
        <w:t>m/d；</w:t>
      </w:r>
    </w:p>
    <w:p>
      <w:pPr>
        <w:spacing w:line="500" w:lineRule="exact"/>
        <w:ind w:firstLine="480" w:firstLineChars="200"/>
        <w:rPr>
          <w:b w:val="0"/>
          <w:bCs/>
          <w:sz w:val="24"/>
          <w:u w:val="none"/>
        </w:rPr>
      </w:pPr>
      <w:r>
        <w:rPr>
          <w:rFonts w:hint="eastAsia"/>
          <w:b w:val="0"/>
          <w:bCs/>
          <w:sz w:val="24"/>
          <w:u w:val="none"/>
        </w:rPr>
        <w:t>n——有效孔隙度，无量纲，取 0.</w:t>
      </w:r>
      <w:r>
        <w:rPr>
          <w:b w:val="0"/>
          <w:bCs/>
          <w:sz w:val="24"/>
          <w:u w:val="none"/>
        </w:rPr>
        <w:t>3</w:t>
      </w:r>
      <w:r>
        <w:rPr>
          <w:rFonts w:hint="eastAsia"/>
          <w:b w:val="0"/>
          <w:bCs/>
          <w:sz w:val="24"/>
          <w:u w:val="none"/>
        </w:rPr>
        <w:t>；</w:t>
      </w:r>
    </w:p>
    <w:p>
      <w:pPr>
        <w:spacing w:line="500" w:lineRule="exact"/>
        <w:ind w:firstLine="480" w:firstLineChars="200"/>
        <w:rPr>
          <w:b w:val="0"/>
          <w:bCs/>
          <w:sz w:val="24"/>
          <w:u w:val="none"/>
        </w:rPr>
      </w:pPr>
      <w:r>
        <w:rPr>
          <w:rFonts w:hint="eastAsia"/>
          <w:b w:val="0"/>
          <w:bCs/>
          <w:sz w:val="24"/>
          <w:u w:val="none"/>
        </w:rPr>
        <w:t>DL——纵向弥散系数，m</w:t>
      </w:r>
      <w:r>
        <w:rPr>
          <w:rFonts w:hint="eastAsia"/>
          <w:b w:val="0"/>
          <w:bCs/>
          <w:sz w:val="24"/>
          <w:u w:val="none"/>
          <w:vertAlign w:val="superscript"/>
        </w:rPr>
        <w:t>2</w:t>
      </w:r>
      <w:r>
        <w:rPr>
          <w:rFonts w:hint="eastAsia"/>
          <w:b w:val="0"/>
          <w:bCs/>
          <w:sz w:val="24"/>
          <w:u w:val="none"/>
        </w:rPr>
        <w:t xml:space="preserve">/d，取 </w:t>
      </w:r>
      <w:r>
        <w:rPr>
          <w:rFonts w:hint="eastAsia"/>
          <w:b w:val="0"/>
          <w:bCs/>
          <w:sz w:val="24"/>
          <w:u w:val="none"/>
          <w:lang w:val="en-US" w:eastAsia="zh-CN"/>
        </w:rPr>
        <w:t>0.05</w:t>
      </w:r>
      <w:r>
        <w:rPr>
          <w:rFonts w:hint="eastAsia"/>
          <w:b w:val="0"/>
          <w:bCs/>
          <w:sz w:val="24"/>
          <w:u w:val="none"/>
        </w:rPr>
        <w:t>m</w:t>
      </w:r>
      <w:r>
        <w:rPr>
          <w:rFonts w:hint="eastAsia"/>
          <w:b w:val="0"/>
          <w:bCs/>
          <w:sz w:val="24"/>
          <w:u w:val="none"/>
          <w:vertAlign w:val="superscript"/>
        </w:rPr>
        <w:t>2</w:t>
      </w:r>
      <w:r>
        <w:rPr>
          <w:rFonts w:hint="eastAsia"/>
          <w:b w:val="0"/>
          <w:bCs/>
          <w:sz w:val="24"/>
          <w:u w:val="none"/>
        </w:rPr>
        <w:t>/d；</w:t>
      </w:r>
    </w:p>
    <w:p>
      <w:pPr>
        <w:adjustRightInd w:val="0"/>
        <w:snapToGrid w:val="0"/>
        <w:spacing w:line="500" w:lineRule="exact"/>
        <w:ind w:firstLine="480" w:firstLineChars="200"/>
        <w:rPr>
          <w:sz w:val="24"/>
        </w:rPr>
      </w:pPr>
      <w:r>
        <w:rPr>
          <w:rFonts w:hint="eastAsia"/>
          <w:b w:val="0"/>
          <w:bCs/>
          <w:sz w:val="24"/>
          <w:u w:val="none"/>
        </w:rPr>
        <w:t>π——圆周率</w:t>
      </w:r>
      <w:r>
        <w:rPr>
          <w:sz w:val="24"/>
        </w:rPr>
        <w:t>。</w:t>
      </w:r>
    </w:p>
    <w:p>
      <w:pPr>
        <w:spacing w:line="500" w:lineRule="exact"/>
        <w:ind w:firstLine="480" w:firstLineChars="200"/>
        <w:rPr>
          <w:b w:val="0"/>
          <w:bCs w:val="0"/>
          <w:sz w:val="24"/>
          <w:u w:val="none"/>
        </w:rPr>
      </w:pPr>
      <w:r>
        <w:rPr>
          <w:b w:val="0"/>
          <w:bCs w:val="0"/>
          <w:sz w:val="24"/>
          <w:u w:val="none"/>
        </w:rPr>
        <w:t>（5）预测结果</w:t>
      </w:r>
    </w:p>
    <w:p>
      <w:pPr>
        <w:spacing w:line="520" w:lineRule="exact"/>
        <w:jc w:val="center"/>
        <w:rPr>
          <w:rFonts w:ascii="Times New Roman" w:hAnsi="Times New Roman" w:eastAsia="黑体" w:cs="Times New Roman"/>
          <w:i w:val="0"/>
          <w:iCs w:val="0"/>
          <w:sz w:val="24"/>
          <w:szCs w:val="24"/>
          <w:u w:val="none"/>
        </w:rPr>
      </w:pPr>
      <w:r>
        <w:rPr>
          <w:rFonts w:ascii="Times New Roman" w:hAnsi="Times New Roman" w:eastAsia="黑体" w:cs="Times New Roman"/>
          <w:i w:val="0"/>
          <w:iCs w:val="0"/>
          <w:sz w:val="24"/>
          <w:szCs w:val="24"/>
          <w:u w:val="none"/>
        </w:rPr>
        <w:t>表</w:t>
      </w:r>
      <w:r>
        <w:rPr>
          <w:rFonts w:hint="eastAsia" w:eastAsia="黑体" w:cs="Times New Roman"/>
          <w:i w:val="0"/>
          <w:iCs w:val="0"/>
          <w:sz w:val="24"/>
          <w:szCs w:val="24"/>
          <w:u w:val="none"/>
          <w:lang w:val="en-US" w:eastAsia="zh-CN"/>
        </w:rPr>
        <w:t>4</w:t>
      </w:r>
      <w:r>
        <w:rPr>
          <w:rFonts w:ascii="Times New Roman" w:hAnsi="Times New Roman" w:eastAsia="黑体" w:cs="Times New Roman"/>
          <w:i w:val="0"/>
          <w:iCs w:val="0"/>
          <w:sz w:val="24"/>
          <w:szCs w:val="24"/>
          <w:u w:val="none"/>
        </w:rPr>
        <w:t>.</w:t>
      </w:r>
      <w:r>
        <w:rPr>
          <w:rFonts w:hint="eastAsia" w:ascii="Times New Roman" w:hAnsi="Times New Roman" w:eastAsia="黑体" w:cs="Times New Roman"/>
          <w:i w:val="0"/>
          <w:iCs w:val="0"/>
          <w:sz w:val="24"/>
          <w:szCs w:val="24"/>
          <w:u w:val="none"/>
          <w:lang w:val="en-US" w:eastAsia="zh-CN"/>
        </w:rPr>
        <w:t>2-10</w:t>
      </w:r>
      <w:r>
        <w:rPr>
          <w:rFonts w:hint="eastAsia" w:ascii="Times New Roman" w:hAnsi="Times New Roman" w:eastAsia="黑体" w:cs="Times New Roman"/>
          <w:i w:val="0"/>
          <w:iCs w:val="0"/>
          <w:sz w:val="24"/>
          <w:szCs w:val="24"/>
          <w:u w:val="none"/>
        </w:rPr>
        <w:t xml:space="preserve"> </w:t>
      </w:r>
      <w:r>
        <w:rPr>
          <w:rFonts w:ascii="Times New Roman" w:hAnsi="Times New Roman" w:eastAsia="黑体" w:cs="Times New Roman"/>
          <w:i w:val="0"/>
          <w:iCs w:val="0"/>
          <w:sz w:val="24"/>
          <w:szCs w:val="24"/>
          <w:u w:val="none"/>
        </w:rPr>
        <w:t xml:space="preserve"> </w:t>
      </w:r>
      <w:r>
        <w:rPr>
          <w:rFonts w:hint="eastAsia" w:ascii="Times New Roman" w:hAnsi="Times New Roman" w:eastAsia="黑体" w:cs="Times New Roman"/>
          <w:i w:val="0"/>
          <w:iCs w:val="0"/>
          <w:sz w:val="24"/>
          <w:szCs w:val="24"/>
          <w:u w:val="none"/>
        </w:rPr>
        <w:t xml:space="preserve"> </w:t>
      </w:r>
      <w:r>
        <w:rPr>
          <w:rFonts w:ascii="Times New Roman" w:hAnsi="Times New Roman" w:eastAsia="黑体" w:cs="Times New Roman"/>
          <w:i w:val="0"/>
          <w:iCs w:val="0"/>
          <w:sz w:val="24"/>
          <w:szCs w:val="24"/>
          <w:u w:val="none"/>
        </w:rPr>
        <w:t xml:space="preserve"> </w:t>
      </w:r>
      <w:r>
        <w:rPr>
          <w:rFonts w:hint="eastAsia" w:ascii="Times New Roman" w:hAnsi="Times New Roman" w:eastAsia="黑体" w:cs="Times New Roman"/>
          <w:i w:val="0"/>
          <w:iCs w:val="0"/>
          <w:sz w:val="24"/>
          <w:szCs w:val="24"/>
          <w:u w:val="none"/>
        </w:rPr>
        <w:t>非正常工况对地下水影响预测</w:t>
      </w:r>
      <w:r>
        <w:rPr>
          <w:rFonts w:ascii="Times New Roman" w:hAnsi="Times New Roman" w:eastAsia="黑体" w:cs="Times New Roman"/>
          <w:i w:val="0"/>
          <w:iCs w:val="0"/>
          <w:sz w:val="24"/>
          <w:szCs w:val="24"/>
          <w:u w:val="none"/>
        </w:rPr>
        <w:t>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9"/>
        <w:gridCol w:w="775"/>
        <w:gridCol w:w="1532"/>
        <w:gridCol w:w="1413"/>
        <w:gridCol w:w="1415"/>
        <w:gridCol w:w="1415"/>
        <w:gridCol w:w="1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1634" w:type="dxa"/>
            <w:gridSpan w:val="2"/>
            <w:tcBorders>
              <w:tl2br w:val="single" w:color="auto" w:sz="12" w:space="0"/>
            </w:tcBorders>
            <w:vAlign w:val="center"/>
          </w:tcPr>
          <w:p>
            <w:pPr>
              <w:jc w:val="center"/>
              <w:rPr>
                <w:rFonts w:ascii="Times New Roman" w:hAnsi="Times New Roman"/>
                <w:i w:val="0"/>
                <w:iCs w:val="0"/>
                <w:szCs w:val="21"/>
                <w:u w:val="none"/>
              </w:rPr>
            </w:pPr>
            <w:r>
              <w:rPr>
                <w:rFonts w:ascii="Times New Roman" w:hAnsi="Times New Roman"/>
                <w:i w:val="0"/>
                <w:iCs w:val="0"/>
                <w:u w:val="none"/>
              </w:rPr>
              <w:t xml:space="preserve">     </w:t>
            </w:r>
            <w:r>
              <w:rPr>
                <w:rFonts w:hint="eastAsia" w:ascii="Times New Roman" w:hAnsi="Times New Roman"/>
                <w:i w:val="0"/>
                <w:iCs w:val="0"/>
                <w:u w:val="none"/>
              </w:rPr>
              <w:t>时间</w:t>
            </w:r>
          </w:p>
          <w:p>
            <w:pPr>
              <w:rPr>
                <w:rFonts w:ascii="Times New Roman" w:hAnsi="Times New Roman"/>
                <w:i w:val="0"/>
                <w:iCs w:val="0"/>
                <w:u w:val="none"/>
              </w:rPr>
            </w:pPr>
            <w:r>
              <w:rPr>
                <w:rFonts w:hint="eastAsia" w:ascii="Times New Roman" w:hAnsi="Times New Roman"/>
                <w:i w:val="0"/>
                <w:iCs w:val="0"/>
                <w:u w:val="none"/>
              </w:rPr>
              <w:t>距离</w:t>
            </w:r>
          </w:p>
        </w:tc>
        <w:tc>
          <w:tcPr>
            <w:tcW w:w="1532" w:type="dxa"/>
            <w:vAlign w:val="center"/>
          </w:tcPr>
          <w:p>
            <w:pPr>
              <w:jc w:val="center"/>
              <w:rPr>
                <w:rFonts w:ascii="Times New Roman" w:hAnsi="Times New Roman"/>
                <w:i w:val="0"/>
                <w:iCs w:val="0"/>
                <w:u w:val="none"/>
              </w:rPr>
            </w:pPr>
            <w:r>
              <w:rPr>
                <w:rFonts w:ascii="Times New Roman" w:hAnsi="Times New Roman"/>
                <w:i w:val="0"/>
                <w:iCs w:val="0"/>
                <w:u w:val="none"/>
              </w:rPr>
              <w:t>10</w:t>
            </w:r>
          </w:p>
        </w:tc>
        <w:tc>
          <w:tcPr>
            <w:tcW w:w="1413" w:type="dxa"/>
            <w:vAlign w:val="center"/>
          </w:tcPr>
          <w:p>
            <w:pPr>
              <w:jc w:val="center"/>
              <w:rPr>
                <w:rFonts w:ascii="Times New Roman" w:hAnsi="Times New Roman"/>
                <w:i w:val="0"/>
                <w:iCs w:val="0"/>
                <w:u w:val="none"/>
              </w:rPr>
            </w:pPr>
            <w:r>
              <w:rPr>
                <w:rFonts w:ascii="Times New Roman" w:hAnsi="Times New Roman"/>
                <w:i w:val="0"/>
                <w:iCs w:val="0"/>
                <w:u w:val="none"/>
              </w:rPr>
              <w:t>50</w:t>
            </w:r>
          </w:p>
        </w:tc>
        <w:tc>
          <w:tcPr>
            <w:tcW w:w="1415" w:type="dxa"/>
            <w:vAlign w:val="center"/>
          </w:tcPr>
          <w:p>
            <w:pPr>
              <w:jc w:val="center"/>
              <w:rPr>
                <w:rFonts w:ascii="Times New Roman" w:hAnsi="Times New Roman"/>
                <w:i w:val="0"/>
                <w:iCs w:val="0"/>
                <w:u w:val="none"/>
              </w:rPr>
            </w:pPr>
            <w:r>
              <w:rPr>
                <w:rFonts w:ascii="Times New Roman" w:hAnsi="Times New Roman"/>
                <w:i w:val="0"/>
                <w:iCs w:val="0"/>
                <w:u w:val="none"/>
              </w:rPr>
              <w:t>100</w:t>
            </w:r>
          </w:p>
        </w:tc>
        <w:tc>
          <w:tcPr>
            <w:tcW w:w="1415" w:type="dxa"/>
            <w:vAlign w:val="center"/>
          </w:tcPr>
          <w:p>
            <w:pPr>
              <w:jc w:val="center"/>
              <w:rPr>
                <w:rFonts w:hint="default" w:ascii="Times New Roman" w:hAnsi="Times New Roman" w:eastAsia="宋体"/>
                <w:i w:val="0"/>
                <w:iCs w:val="0"/>
                <w:u w:val="none"/>
                <w:lang w:val="en-US" w:eastAsia="zh-CN"/>
              </w:rPr>
            </w:pPr>
            <w:r>
              <w:rPr>
                <w:rFonts w:hint="eastAsia" w:ascii="Times New Roman" w:hAnsi="Times New Roman"/>
                <w:i w:val="0"/>
                <w:iCs w:val="0"/>
                <w:u w:val="none"/>
                <w:lang w:val="en-US" w:eastAsia="zh-CN"/>
              </w:rPr>
              <w:t>500</w:t>
            </w:r>
          </w:p>
        </w:tc>
        <w:tc>
          <w:tcPr>
            <w:tcW w:w="1537" w:type="dxa"/>
            <w:vAlign w:val="center"/>
          </w:tcPr>
          <w:p>
            <w:pPr>
              <w:jc w:val="center"/>
              <w:rPr>
                <w:rFonts w:hint="default" w:ascii="Times New Roman" w:hAnsi="Times New Roman" w:eastAsia="宋体"/>
                <w:i w:val="0"/>
                <w:iCs w:val="0"/>
                <w:u w:val="none"/>
                <w:lang w:val="en-US" w:eastAsia="zh-CN"/>
              </w:rPr>
            </w:pPr>
            <w:r>
              <w:rPr>
                <w:rFonts w:hint="eastAsia" w:ascii="Times New Roman" w:hAnsi="Times New Roman"/>
                <w:i w:val="0"/>
                <w:iCs w:val="0"/>
                <w:u w:val="none"/>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859" w:type="dxa"/>
            <w:vMerge w:val="restart"/>
            <w:vAlign w:val="center"/>
          </w:tcPr>
          <w:p>
            <w:pPr>
              <w:jc w:val="center"/>
              <w:rPr>
                <w:rFonts w:ascii="Times New Roman" w:hAnsi="Times New Roman"/>
                <w:i w:val="0"/>
                <w:iCs w:val="0"/>
                <w:u w:val="none"/>
              </w:rPr>
            </w:pPr>
            <w:r>
              <w:rPr>
                <w:rFonts w:hint="eastAsia" w:ascii="Times New Roman" w:hAnsi="Times New Roman"/>
                <w:i w:val="0"/>
                <w:iCs w:val="0"/>
                <w:u w:val="none"/>
              </w:rPr>
              <w:t>C</w:t>
            </w:r>
            <w:r>
              <w:rPr>
                <w:rFonts w:ascii="Times New Roman" w:hAnsi="Times New Roman"/>
                <w:i w:val="0"/>
                <w:iCs w:val="0"/>
                <w:u w:val="none"/>
              </w:rPr>
              <w:t>OD</w:t>
            </w:r>
          </w:p>
        </w:tc>
        <w:tc>
          <w:tcPr>
            <w:tcW w:w="775" w:type="dxa"/>
            <w:vAlign w:val="center"/>
          </w:tcPr>
          <w:p>
            <w:pPr>
              <w:jc w:val="center"/>
              <w:rPr>
                <w:rFonts w:ascii="Times New Roman" w:hAnsi="Times New Roman"/>
                <w:i w:val="0"/>
                <w:iCs w:val="0"/>
                <w:u w:val="none"/>
              </w:rPr>
            </w:pPr>
            <w:r>
              <w:rPr>
                <w:rFonts w:ascii="Times New Roman" w:hAnsi="Times New Roman"/>
                <w:i w:val="0"/>
                <w:iCs w:val="0"/>
                <w:u w:val="none"/>
              </w:rPr>
              <w:t>10m</w:t>
            </w:r>
          </w:p>
        </w:tc>
        <w:tc>
          <w:tcPr>
            <w:tcW w:w="1532" w:type="dxa"/>
            <w:vAlign w:val="center"/>
          </w:tcPr>
          <w:p>
            <w:pPr>
              <w:jc w:val="center"/>
              <w:rPr>
                <w:rFonts w:hint="default" w:ascii="Times New Roman" w:hAnsi="Times New Roman" w:eastAsiaTheme="minorEastAsia"/>
                <w:i w:val="0"/>
                <w:iCs w:val="0"/>
                <w:u w:val="none"/>
                <w:lang w:val="en-US" w:eastAsia="zh-CN"/>
              </w:rPr>
            </w:pPr>
            <w:r>
              <w:rPr>
                <w:rFonts w:hint="eastAsia" w:ascii="Times New Roman" w:hAnsi="Times New Roman"/>
                <w:i w:val="0"/>
                <w:iCs w:val="0"/>
                <w:u w:val="none"/>
                <w:lang w:val="en-US" w:eastAsia="zh-CN"/>
              </w:rPr>
              <w:t>0</w:t>
            </w:r>
          </w:p>
        </w:tc>
        <w:tc>
          <w:tcPr>
            <w:tcW w:w="1413"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i w:val="0"/>
                <w:iCs w:val="0"/>
                <w:u w:val="none"/>
                <w:lang w:val="en-US" w:eastAsia="zh-CN"/>
              </w:rPr>
              <w:t>0.0</w:t>
            </w:r>
            <w:r>
              <w:rPr>
                <w:rFonts w:hint="eastAsia"/>
                <w:i w:val="0"/>
                <w:iCs w:val="0"/>
                <w:u w:val="none"/>
                <w:lang w:val="en-US" w:eastAsia="zh-CN"/>
              </w:rPr>
              <w:t>5</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eastAsiaTheme="minorEastAsia"/>
                <w:i w:val="0"/>
                <w:iCs w:val="0"/>
                <w:u w:val="none"/>
                <w:lang w:val="en-US" w:eastAsia="zh-CN"/>
              </w:rPr>
              <w:t>9.7</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eastAsiaTheme="minorEastAsia"/>
                <w:i w:val="0"/>
                <w:iCs w:val="0"/>
                <w:u w:val="none"/>
                <w:lang w:val="en-US" w:eastAsia="zh-CN"/>
              </w:rPr>
              <w:t>810.06</w:t>
            </w:r>
          </w:p>
        </w:tc>
        <w:tc>
          <w:tcPr>
            <w:tcW w:w="1537"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1748.74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5</w:t>
            </w:r>
            <w:r>
              <w:rPr>
                <w:rFonts w:ascii="Times New Roman" w:hAnsi="Times New Roman"/>
                <w:i w:val="0"/>
                <w:iCs w:val="0"/>
                <w:u w:val="none"/>
              </w:rPr>
              <w:t>0m</w:t>
            </w:r>
          </w:p>
        </w:tc>
        <w:tc>
          <w:tcPr>
            <w:tcW w:w="1532"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3" w:type="dxa"/>
            <w:vAlign w:val="bottom"/>
          </w:tcPr>
          <w:p>
            <w:pPr>
              <w:jc w:val="center"/>
              <w:rPr>
                <w:rFonts w:hint="eastAsia" w:ascii="Times New Roman" w:hAnsi="Times New Roman" w:eastAsiaTheme="minorEastAsia"/>
                <w:i w:val="0"/>
                <w:iCs w:val="0"/>
                <w:u w:val="none"/>
                <w:lang w:eastAsia="zh-CN"/>
              </w:rPr>
            </w:pPr>
            <w:r>
              <w:rPr>
                <w:rFonts w:hint="eastAsia" w:ascii="Times New Roman" w:hAnsi="Times New Roman" w:eastAsiaTheme="minorEastAsia"/>
                <w:i w:val="0"/>
                <w:iCs w:val="0"/>
                <w:u w:val="none"/>
                <w:lang w:val="en-US" w:eastAsia="zh-CN"/>
              </w:rPr>
              <w:t>0</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c>
          <w:tcPr>
            <w:tcW w:w="1537"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r>
              <w:rPr>
                <w:rFonts w:hint="eastAsia" w:eastAsiaTheme="minorEastAsia"/>
                <w:i w:val="0"/>
                <w:iCs w:val="0"/>
                <w:u w:val="none"/>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1</w:t>
            </w:r>
            <w:r>
              <w:rPr>
                <w:rFonts w:ascii="Times New Roman" w:hAnsi="Times New Roman"/>
                <w:i w:val="0"/>
                <w:iCs w:val="0"/>
                <w:u w:val="none"/>
              </w:rPr>
              <w:t>00m</w:t>
            </w:r>
          </w:p>
        </w:tc>
        <w:tc>
          <w:tcPr>
            <w:tcW w:w="1532"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3"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c>
          <w:tcPr>
            <w:tcW w:w="1537"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2</w:t>
            </w:r>
            <w:r>
              <w:rPr>
                <w:rFonts w:ascii="Times New Roman" w:hAnsi="Times New Roman"/>
                <w:i w:val="0"/>
                <w:iCs w:val="0"/>
                <w:u w:val="none"/>
              </w:rPr>
              <w:t>00m</w:t>
            </w:r>
          </w:p>
        </w:tc>
        <w:tc>
          <w:tcPr>
            <w:tcW w:w="1532"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3"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537" w:type="dxa"/>
            <w:vAlign w:val="bottom"/>
          </w:tcPr>
          <w:p>
            <w:pPr>
              <w:jc w:val="center"/>
              <w:rPr>
                <w:rFonts w:hint="eastAsia" w:ascii="Times New Roman" w:hAnsi="Times New Roman" w:eastAsiaTheme="minorEastAsia"/>
                <w:i w:val="0"/>
                <w:iCs w:val="0"/>
                <w:u w:val="none"/>
                <w:lang w:eastAsia="zh-CN"/>
              </w:rPr>
            </w:pPr>
            <w:r>
              <w:rPr>
                <w:rFonts w:hint="eastAsia" w:ascii="Times New Roman" w:hAnsi="Times New Roman"/>
                <w:i w:val="0"/>
                <w:iCs w:val="0"/>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5</w:t>
            </w:r>
            <w:r>
              <w:rPr>
                <w:rFonts w:ascii="Times New Roman" w:hAnsi="Times New Roman"/>
                <w:i w:val="0"/>
                <w:iCs w:val="0"/>
                <w:u w:val="none"/>
              </w:rPr>
              <w:t>00m</w:t>
            </w:r>
          </w:p>
        </w:tc>
        <w:tc>
          <w:tcPr>
            <w:tcW w:w="1532"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3"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537"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restart"/>
            <w:vAlign w:val="center"/>
          </w:tcPr>
          <w:p>
            <w:pPr>
              <w:jc w:val="center"/>
              <w:rPr>
                <w:rFonts w:ascii="Times New Roman" w:hAnsi="Times New Roman"/>
                <w:i w:val="0"/>
                <w:iCs w:val="0"/>
                <w:u w:val="none"/>
              </w:rPr>
            </w:pPr>
            <w:r>
              <w:rPr>
                <w:rFonts w:hint="eastAsia" w:ascii="Times New Roman" w:hAnsi="Times New Roman"/>
                <w:i w:val="0"/>
                <w:iCs w:val="0"/>
                <w:u w:val="none"/>
              </w:rPr>
              <w:t>N</w:t>
            </w:r>
            <w:r>
              <w:rPr>
                <w:rFonts w:ascii="Times New Roman" w:hAnsi="Times New Roman"/>
                <w:i w:val="0"/>
                <w:iCs w:val="0"/>
                <w:u w:val="none"/>
              </w:rPr>
              <w:t>H</w:t>
            </w:r>
            <w:r>
              <w:rPr>
                <w:rFonts w:ascii="Times New Roman" w:hAnsi="Times New Roman"/>
                <w:i w:val="0"/>
                <w:iCs w:val="0"/>
                <w:u w:val="none"/>
                <w:vertAlign w:val="subscript"/>
              </w:rPr>
              <w:t>3</w:t>
            </w:r>
            <w:r>
              <w:rPr>
                <w:rFonts w:ascii="Times New Roman" w:hAnsi="Times New Roman"/>
                <w:i w:val="0"/>
                <w:iCs w:val="0"/>
                <w:u w:val="none"/>
              </w:rPr>
              <w:t>-N</w:t>
            </w:r>
          </w:p>
        </w:tc>
        <w:tc>
          <w:tcPr>
            <w:tcW w:w="775" w:type="dxa"/>
            <w:vAlign w:val="center"/>
          </w:tcPr>
          <w:p>
            <w:pPr>
              <w:jc w:val="center"/>
              <w:rPr>
                <w:rFonts w:ascii="Times New Roman" w:hAnsi="Times New Roman"/>
                <w:i w:val="0"/>
                <w:iCs w:val="0"/>
                <w:u w:val="none"/>
              </w:rPr>
            </w:pPr>
            <w:r>
              <w:rPr>
                <w:rFonts w:ascii="Times New Roman" w:hAnsi="Times New Roman"/>
                <w:i w:val="0"/>
                <w:iCs w:val="0"/>
                <w:u w:val="none"/>
              </w:rPr>
              <w:t>10m</w:t>
            </w:r>
          </w:p>
        </w:tc>
        <w:tc>
          <w:tcPr>
            <w:tcW w:w="1532" w:type="dxa"/>
            <w:vAlign w:val="center"/>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c>
          <w:tcPr>
            <w:tcW w:w="1413"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r>
              <w:rPr>
                <w:rFonts w:hint="eastAsia" w:eastAsiaTheme="minorEastAsia"/>
                <w:i w:val="0"/>
                <w:iCs w:val="0"/>
                <w:u w:val="none"/>
                <w:lang w:val="en-US" w:eastAsia="zh-CN"/>
              </w:rPr>
              <w:t>.1</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eastAsiaTheme="minorEastAsia"/>
                <w:i w:val="0"/>
                <w:iCs w:val="0"/>
                <w:u w:val="none"/>
                <w:lang w:val="en-US" w:eastAsia="zh-CN"/>
              </w:rPr>
              <w:t>2.91</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243.02</w:t>
            </w:r>
          </w:p>
        </w:tc>
        <w:tc>
          <w:tcPr>
            <w:tcW w:w="1537"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524.62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5</w:t>
            </w:r>
            <w:r>
              <w:rPr>
                <w:rFonts w:ascii="Times New Roman" w:hAnsi="Times New Roman"/>
                <w:i w:val="0"/>
                <w:iCs w:val="0"/>
                <w:u w:val="none"/>
              </w:rPr>
              <w:t>0m</w:t>
            </w:r>
          </w:p>
        </w:tc>
        <w:tc>
          <w:tcPr>
            <w:tcW w:w="1532"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413"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c>
          <w:tcPr>
            <w:tcW w:w="1415"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c>
          <w:tcPr>
            <w:tcW w:w="1537" w:type="dxa"/>
            <w:vAlign w:val="bottom"/>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r>
              <w:rPr>
                <w:rFonts w:hint="eastAsia" w:eastAsiaTheme="minorEastAsia"/>
                <w:i w:val="0"/>
                <w:iCs w:val="0"/>
                <w:u w:val="none"/>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1</w:t>
            </w:r>
            <w:r>
              <w:rPr>
                <w:rFonts w:ascii="Times New Roman" w:hAnsi="Times New Roman"/>
                <w:i w:val="0"/>
                <w:iCs w:val="0"/>
                <w:u w:val="none"/>
              </w:rPr>
              <w:t>00m</w:t>
            </w:r>
          </w:p>
        </w:tc>
        <w:tc>
          <w:tcPr>
            <w:tcW w:w="1532"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413"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415"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415" w:type="dxa"/>
            <w:vAlign w:val="center"/>
          </w:tcPr>
          <w:p>
            <w:pPr>
              <w:jc w:val="center"/>
              <w:rPr>
                <w:rFonts w:hint="eastAsia" w:ascii="Times New Roman" w:hAnsi="Times New Roman" w:eastAsia="宋体"/>
                <w:i w:val="0"/>
                <w:iCs w:val="0"/>
                <w:u w:val="none"/>
                <w:lang w:val="en-US" w:eastAsia="zh-CN"/>
              </w:rPr>
            </w:pPr>
            <w:r>
              <w:rPr>
                <w:rFonts w:hint="eastAsia" w:ascii="Times New Roman" w:hAnsi="Times New Roman"/>
                <w:i w:val="0"/>
                <w:iCs w:val="0"/>
                <w:u w:val="none"/>
                <w:lang w:val="en-US" w:eastAsia="zh-CN"/>
              </w:rPr>
              <w:t>0</w:t>
            </w:r>
          </w:p>
        </w:tc>
        <w:tc>
          <w:tcPr>
            <w:tcW w:w="1537" w:type="dxa"/>
            <w:vAlign w:val="center"/>
          </w:tcPr>
          <w:p>
            <w:pPr>
              <w:jc w:val="center"/>
              <w:rPr>
                <w:rFonts w:hint="default" w:ascii="Times New Roman" w:hAnsi="Times New Roman" w:eastAsiaTheme="minorEastAsia"/>
                <w:i w:val="0"/>
                <w:iCs w:val="0"/>
                <w:u w:val="none"/>
                <w:lang w:val="en-US" w:eastAsia="zh-CN"/>
              </w:rPr>
            </w:pPr>
            <w:r>
              <w:rPr>
                <w:rFonts w:hint="eastAsia" w:ascii="Times New Roman" w:hAnsi="Times New Roman" w:eastAsiaTheme="minorEastAsia"/>
                <w:i w:val="0"/>
                <w:iCs w:val="0"/>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2</w:t>
            </w:r>
            <w:r>
              <w:rPr>
                <w:rFonts w:ascii="Times New Roman" w:hAnsi="Times New Roman"/>
                <w:i w:val="0"/>
                <w:iCs w:val="0"/>
                <w:u w:val="none"/>
              </w:rPr>
              <w:t>00m</w:t>
            </w:r>
          </w:p>
        </w:tc>
        <w:tc>
          <w:tcPr>
            <w:tcW w:w="1532"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3"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537"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59" w:type="dxa"/>
            <w:vMerge w:val="continue"/>
            <w:vAlign w:val="center"/>
          </w:tcPr>
          <w:p>
            <w:pPr>
              <w:jc w:val="left"/>
              <w:rPr>
                <w:rFonts w:ascii="Times New Roman" w:hAnsi="Times New Roman" w:eastAsia="宋体"/>
                <w:i w:val="0"/>
                <w:iCs w:val="0"/>
                <w:szCs w:val="21"/>
                <w:u w:val="none"/>
              </w:rPr>
            </w:pPr>
          </w:p>
        </w:tc>
        <w:tc>
          <w:tcPr>
            <w:tcW w:w="775" w:type="dxa"/>
            <w:vAlign w:val="center"/>
          </w:tcPr>
          <w:p>
            <w:pPr>
              <w:jc w:val="center"/>
              <w:rPr>
                <w:rFonts w:ascii="Times New Roman" w:hAnsi="Times New Roman"/>
                <w:i w:val="0"/>
                <w:iCs w:val="0"/>
                <w:u w:val="none"/>
              </w:rPr>
            </w:pPr>
            <w:r>
              <w:rPr>
                <w:rFonts w:hint="eastAsia" w:ascii="Times New Roman" w:hAnsi="Times New Roman"/>
                <w:i w:val="0"/>
                <w:iCs w:val="0"/>
                <w:u w:val="none"/>
              </w:rPr>
              <w:t>5</w:t>
            </w:r>
            <w:r>
              <w:rPr>
                <w:rFonts w:ascii="Times New Roman" w:hAnsi="Times New Roman"/>
                <w:i w:val="0"/>
                <w:iCs w:val="0"/>
                <w:u w:val="none"/>
              </w:rPr>
              <w:t>00m</w:t>
            </w:r>
          </w:p>
        </w:tc>
        <w:tc>
          <w:tcPr>
            <w:tcW w:w="1532"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3"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415"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c>
          <w:tcPr>
            <w:tcW w:w="1537" w:type="dxa"/>
            <w:vAlign w:val="center"/>
          </w:tcPr>
          <w:p>
            <w:pPr>
              <w:jc w:val="center"/>
              <w:rPr>
                <w:rFonts w:ascii="Times New Roman" w:hAnsi="Times New Roman"/>
                <w:i w:val="0"/>
                <w:iCs w:val="0"/>
                <w:u w:val="none"/>
              </w:rPr>
            </w:pPr>
            <w:r>
              <w:rPr>
                <w:rFonts w:hint="eastAsia" w:ascii="Times New Roman" w:hAnsi="Times New Roman"/>
                <w:i w:val="0"/>
                <w:iCs w:val="0"/>
                <w:u w:val="none"/>
              </w:rPr>
              <w:t>0</w:t>
            </w:r>
          </w:p>
        </w:tc>
      </w:tr>
    </w:tbl>
    <w:p>
      <w:pPr>
        <w:spacing w:line="500" w:lineRule="exact"/>
        <w:ind w:firstLine="480" w:firstLineChars="200"/>
        <w:rPr>
          <w:b w:val="0"/>
          <w:bCs w:val="0"/>
          <w:sz w:val="24"/>
          <w:u w:val="none"/>
        </w:rPr>
      </w:pPr>
      <w:r>
        <w:rPr>
          <w:rFonts w:hint="eastAsia"/>
          <w:b w:val="0"/>
          <w:bCs w:val="0"/>
          <w:sz w:val="24"/>
          <w:u w:val="none"/>
        </w:rPr>
        <w:t>由预测结果可知，项目厂区非正常工况下，污水需连续渗漏</w:t>
      </w:r>
      <w:r>
        <w:rPr>
          <w:rFonts w:hint="eastAsia"/>
          <w:b w:val="0"/>
          <w:bCs w:val="0"/>
          <w:sz w:val="24"/>
          <w:u w:val="none"/>
          <w:lang w:val="en-US" w:eastAsia="zh-CN"/>
        </w:rPr>
        <w:t>50</w:t>
      </w:r>
      <w:r>
        <w:rPr>
          <w:rFonts w:hint="eastAsia"/>
          <w:b w:val="0"/>
          <w:bCs w:val="0"/>
          <w:sz w:val="24"/>
          <w:u w:val="none"/>
        </w:rPr>
        <w:t>天后，C</w:t>
      </w:r>
      <w:r>
        <w:rPr>
          <w:b w:val="0"/>
          <w:bCs w:val="0"/>
          <w:sz w:val="24"/>
          <w:u w:val="none"/>
        </w:rPr>
        <w:t>OD</w:t>
      </w:r>
      <w:r>
        <w:rPr>
          <w:rFonts w:hint="eastAsia"/>
          <w:b w:val="0"/>
          <w:bCs w:val="0"/>
          <w:sz w:val="24"/>
          <w:u w:val="none"/>
        </w:rPr>
        <w:t>会影响到地下水</w:t>
      </w:r>
      <w:r>
        <w:rPr>
          <w:rFonts w:hint="eastAsia"/>
          <w:b w:val="0"/>
          <w:bCs w:val="0"/>
          <w:sz w:val="24"/>
          <w:u w:val="none"/>
          <w:lang w:val="en-US" w:eastAsia="zh-CN"/>
        </w:rPr>
        <w:t>1</w:t>
      </w:r>
      <w:r>
        <w:rPr>
          <w:rFonts w:hint="eastAsia"/>
          <w:b w:val="0"/>
          <w:bCs w:val="0"/>
          <w:sz w:val="24"/>
          <w:u w:val="none"/>
        </w:rPr>
        <w:t>0</w:t>
      </w:r>
      <w:r>
        <w:rPr>
          <w:b w:val="0"/>
          <w:bCs w:val="0"/>
          <w:sz w:val="24"/>
          <w:u w:val="none"/>
        </w:rPr>
        <w:t>m</w:t>
      </w:r>
      <w:r>
        <w:rPr>
          <w:rFonts w:hint="eastAsia"/>
          <w:b w:val="0"/>
          <w:bCs w:val="0"/>
          <w:sz w:val="24"/>
          <w:u w:val="none"/>
        </w:rPr>
        <w:t>处，浓度为</w:t>
      </w:r>
      <w:r>
        <w:rPr>
          <w:rFonts w:hint="eastAsia"/>
          <w:b w:val="0"/>
          <w:bCs w:val="0"/>
          <w:sz w:val="24"/>
          <w:u w:val="none"/>
          <w:lang w:val="en-US" w:eastAsia="zh-CN"/>
        </w:rPr>
        <w:t>0.05</w:t>
      </w:r>
      <w:r>
        <w:rPr>
          <w:b w:val="0"/>
          <w:bCs w:val="0"/>
          <w:sz w:val="24"/>
          <w:u w:val="none"/>
        </w:rPr>
        <w:t>mg/L</w:t>
      </w:r>
      <w:r>
        <w:rPr>
          <w:rFonts w:hint="eastAsia"/>
          <w:b w:val="0"/>
          <w:bCs w:val="0"/>
          <w:sz w:val="24"/>
          <w:u w:val="none"/>
        </w:rPr>
        <w:t>，满足</w:t>
      </w:r>
      <w:r>
        <w:rPr>
          <w:b w:val="0"/>
          <w:bCs w:val="0"/>
          <w:sz w:val="24"/>
          <w:u w:val="none"/>
        </w:rPr>
        <w:t>《地下水质量标准》（GB/T14848-2017）Ⅲ类</w:t>
      </w:r>
      <w:r>
        <w:rPr>
          <w:rFonts w:hint="eastAsia"/>
          <w:b w:val="0"/>
          <w:bCs w:val="0"/>
          <w:sz w:val="24"/>
          <w:u w:val="none"/>
        </w:rPr>
        <w:t>标准；污水需连续渗漏</w:t>
      </w:r>
      <w:r>
        <w:rPr>
          <w:rFonts w:hint="eastAsia"/>
          <w:b w:val="0"/>
          <w:bCs w:val="0"/>
          <w:sz w:val="24"/>
          <w:u w:val="none"/>
          <w:lang w:val="en-US" w:eastAsia="zh-CN"/>
        </w:rPr>
        <w:t>1000</w:t>
      </w:r>
      <w:r>
        <w:rPr>
          <w:rFonts w:hint="eastAsia"/>
          <w:b w:val="0"/>
          <w:bCs w:val="0"/>
          <w:sz w:val="24"/>
          <w:u w:val="none"/>
        </w:rPr>
        <w:t>天后，C</w:t>
      </w:r>
      <w:r>
        <w:rPr>
          <w:b w:val="0"/>
          <w:bCs w:val="0"/>
          <w:sz w:val="24"/>
          <w:u w:val="none"/>
        </w:rPr>
        <w:t>OD</w:t>
      </w:r>
      <w:r>
        <w:rPr>
          <w:rFonts w:hint="eastAsia"/>
          <w:b w:val="0"/>
          <w:bCs w:val="0"/>
          <w:sz w:val="24"/>
          <w:u w:val="none"/>
        </w:rPr>
        <w:t>会影响到地下水</w:t>
      </w:r>
      <w:r>
        <w:rPr>
          <w:rFonts w:hint="eastAsia"/>
          <w:b w:val="0"/>
          <w:bCs w:val="0"/>
          <w:sz w:val="24"/>
          <w:u w:val="none"/>
          <w:lang w:val="en-US" w:eastAsia="zh-CN"/>
        </w:rPr>
        <w:t>5</w:t>
      </w:r>
      <w:r>
        <w:rPr>
          <w:b w:val="0"/>
          <w:bCs w:val="0"/>
          <w:sz w:val="24"/>
          <w:u w:val="none"/>
        </w:rPr>
        <w:t>0m</w:t>
      </w:r>
      <w:r>
        <w:rPr>
          <w:rFonts w:hint="eastAsia"/>
          <w:b w:val="0"/>
          <w:bCs w:val="0"/>
          <w:sz w:val="24"/>
          <w:u w:val="none"/>
        </w:rPr>
        <w:t>处，浓度为</w:t>
      </w:r>
      <w:r>
        <w:rPr>
          <w:b w:val="0"/>
          <w:bCs w:val="0"/>
          <w:sz w:val="24"/>
          <w:u w:val="none"/>
        </w:rPr>
        <w:t>0.</w:t>
      </w:r>
      <w:r>
        <w:rPr>
          <w:rFonts w:hint="eastAsia"/>
          <w:b w:val="0"/>
          <w:bCs w:val="0"/>
          <w:sz w:val="24"/>
          <w:u w:val="none"/>
          <w:lang w:val="en-US" w:eastAsia="zh-CN"/>
        </w:rPr>
        <w:t>48</w:t>
      </w:r>
      <w:r>
        <w:rPr>
          <w:b w:val="0"/>
          <w:bCs w:val="0"/>
          <w:sz w:val="24"/>
          <w:u w:val="none"/>
        </w:rPr>
        <w:t>mg/L</w:t>
      </w:r>
      <w:r>
        <w:rPr>
          <w:rFonts w:hint="eastAsia"/>
          <w:b w:val="0"/>
          <w:bCs w:val="0"/>
          <w:sz w:val="24"/>
          <w:u w:val="none"/>
        </w:rPr>
        <w:t>。污水需连续渗漏</w:t>
      </w:r>
      <w:r>
        <w:rPr>
          <w:b w:val="0"/>
          <w:bCs w:val="0"/>
          <w:sz w:val="24"/>
          <w:u w:val="none"/>
        </w:rPr>
        <w:t>100</w:t>
      </w:r>
      <w:r>
        <w:rPr>
          <w:rFonts w:hint="eastAsia"/>
          <w:b w:val="0"/>
          <w:bCs w:val="0"/>
          <w:sz w:val="24"/>
          <w:u w:val="none"/>
        </w:rPr>
        <w:t>天后，</w:t>
      </w:r>
      <w:r>
        <w:rPr>
          <w:b w:val="0"/>
          <w:bCs w:val="0"/>
          <w:sz w:val="24"/>
          <w:u w:val="none"/>
        </w:rPr>
        <w:t>NH</w:t>
      </w:r>
      <w:r>
        <w:rPr>
          <w:b w:val="0"/>
          <w:bCs w:val="0"/>
          <w:sz w:val="24"/>
          <w:u w:val="none"/>
          <w:vertAlign w:val="subscript"/>
        </w:rPr>
        <w:t>3</w:t>
      </w:r>
      <w:r>
        <w:rPr>
          <w:b w:val="0"/>
          <w:bCs w:val="0"/>
          <w:sz w:val="24"/>
          <w:u w:val="none"/>
        </w:rPr>
        <w:t>-N</w:t>
      </w:r>
      <w:r>
        <w:rPr>
          <w:rFonts w:hint="eastAsia"/>
          <w:b w:val="0"/>
          <w:bCs w:val="0"/>
          <w:sz w:val="24"/>
          <w:u w:val="none"/>
        </w:rPr>
        <w:t>会影响到地下水</w:t>
      </w:r>
      <w:r>
        <w:rPr>
          <w:rFonts w:hint="eastAsia"/>
          <w:b w:val="0"/>
          <w:bCs w:val="0"/>
          <w:sz w:val="24"/>
          <w:u w:val="none"/>
          <w:lang w:val="en-US" w:eastAsia="zh-CN"/>
        </w:rPr>
        <w:t>1</w:t>
      </w:r>
      <w:r>
        <w:rPr>
          <w:b w:val="0"/>
          <w:bCs w:val="0"/>
          <w:sz w:val="24"/>
          <w:u w:val="none"/>
        </w:rPr>
        <w:t>0m</w:t>
      </w:r>
      <w:r>
        <w:rPr>
          <w:rFonts w:hint="eastAsia"/>
          <w:b w:val="0"/>
          <w:bCs w:val="0"/>
          <w:sz w:val="24"/>
          <w:u w:val="none"/>
        </w:rPr>
        <w:t>处，浓度为</w:t>
      </w:r>
      <w:r>
        <w:rPr>
          <w:rFonts w:hint="eastAsia"/>
          <w:b w:val="0"/>
          <w:bCs w:val="0"/>
          <w:sz w:val="24"/>
          <w:u w:val="none"/>
          <w:lang w:val="en-US" w:eastAsia="zh-CN"/>
        </w:rPr>
        <w:t>2.91</w:t>
      </w:r>
      <w:r>
        <w:rPr>
          <w:b w:val="0"/>
          <w:bCs w:val="0"/>
          <w:sz w:val="24"/>
          <w:u w:val="none"/>
        </w:rPr>
        <w:t>mg/L</w:t>
      </w:r>
      <w:r>
        <w:rPr>
          <w:rFonts w:hint="eastAsia"/>
          <w:b w:val="0"/>
          <w:bCs w:val="0"/>
          <w:sz w:val="24"/>
          <w:u w:val="none"/>
        </w:rPr>
        <w:t>，</w:t>
      </w:r>
      <w:r>
        <w:rPr>
          <w:rFonts w:hint="eastAsia"/>
          <w:b w:val="0"/>
          <w:bCs w:val="0"/>
          <w:sz w:val="24"/>
          <w:u w:val="none"/>
          <w:lang w:val="en-US" w:eastAsia="zh-CN"/>
        </w:rPr>
        <w:t>不满足</w:t>
      </w:r>
      <w:r>
        <w:rPr>
          <w:b w:val="0"/>
          <w:bCs w:val="0"/>
          <w:sz w:val="24"/>
          <w:u w:val="none"/>
        </w:rPr>
        <w:t>《地下水质量标准》（GB/T14848-2017）Ⅲ类</w:t>
      </w:r>
      <w:r>
        <w:rPr>
          <w:rFonts w:hint="eastAsia"/>
          <w:b w:val="0"/>
          <w:bCs w:val="0"/>
          <w:sz w:val="24"/>
          <w:u w:val="none"/>
        </w:rPr>
        <w:t>标准；污水需连续渗漏</w:t>
      </w:r>
      <w:r>
        <w:rPr>
          <w:rFonts w:hint="eastAsia"/>
          <w:b w:val="0"/>
          <w:bCs w:val="0"/>
          <w:sz w:val="24"/>
          <w:u w:val="none"/>
          <w:lang w:val="en-US" w:eastAsia="zh-CN"/>
        </w:rPr>
        <w:t>10</w:t>
      </w:r>
      <w:r>
        <w:rPr>
          <w:b w:val="0"/>
          <w:bCs w:val="0"/>
          <w:sz w:val="24"/>
          <w:u w:val="none"/>
        </w:rPr>
        <w:t>00</w:t>
      </w:r>
      <w:r>
        <w:rPr>
          <w:rFonts w:hint="eastAsia"/>
          <w:b w:val="0"/>
          <w:bCs w:val="0"/>
          <w:sz w:val="24"/>
          <w:u w:val="none"/>
        </w:rPr>
        <w:t>天后，</w:t>
      </w:r>
      <w:r>
        <w:rPr>
          <w:b w:val="0"/>
          <w:bCs w:val="0"/>
          <w:sz w:val="24"/>
          <w:u w:val="none"/>
        </w:rPr>
        <w:t>NH</w:t>
      </w:r>
      <w:r>
        <w:rPr>
          <w:b w:val="0"/>
          <w:bCs w:val="0"/>
          <w:sz w:val="24"/>
          <w:u w:val="none"/>
          <w:vertAlign w:val="subscript"/>
        </w:rPr>
        <w:t>3</w:t>
      </w:r>
      <w:r>
        <w:rPr>
          <w:b w:val="0"/>
          <w:bCs w:val="0"/>
          <w:sz w:val="24"/>
          <w:u w:val="none"/>
        </w:rPr>
        <w:t>-N</w:t>
      </w:r>
      <w:r>
        <w:rPr>
          <w:rFonts w:hint="eastAsia"/>
          <w:b w:val="0"/>
          <w:bCs w:val="0"/>
          <w:sz w:val="24"/>
          <w:u w:val="none"/>
        </w:rPr>
        <w:t>会影响到地下水</w:t>
      </w:r>
      <w:r>
        <w:rPr>
          <w:rFonts w:hint="eastAsia"/>
          <w:b w:val="0"/>
          <w:bCs w:val="0"/>
          <w:sz w:val="24"/>
          <w:u w:val="none"/>
          <w:lang w:val="en-US" w:eastAsia="zh-CN"/>
        </w:rPr>
        <w:t>5</w:t>
      </w:r>
      <w:r>
        <w:rPr>
          <w:b w:val="0"/>
          <w:bCs w:val="0"/>
          <w:sz w:val="24"/>
          <w:u w:val="none"/>
        </w:rPr>
        <w:t>0m</w:t>
      </w:r>
      <w:r>
        <w:rPr>
          <w:rFonts w:hint="eastAsia"/>
          <w:b w:val="0"/>
          <w:bCs w:val="0"/>
          <w:sz w:val="24"/>
          <w:u w:val="none"/>
        </w:rPr>
        <w:t>处，浓度为</w:t>
      </w:r>
      <w:r>
        <w:rPr>
          <w:b w:val="0"/>
          <w:bCs w:val="0"/>
          <w:sz w:val="24"/>
          <w:u w:val="none"/>
        </w:rPr>
        <w:t>0.</w:t>
      </w:r>
      <w:r>
        <w:rPr>
          <w:rFonts w:hint="eastAsia"/>
          <w:b w:val="0"/>
          <w:bCs w:val="0"/>
          <w:sz w:val="24"/>
          <w:u w:val="none"/>
          <w:lang w:val="en-US" w:eastAsia="zh-CN"/>
        </w:rPr>
        <w:t>14</w:t>
      </w:r>
      <w:r>
        <w:rPr>
          <w:b w:val="0"/>
          <w:bCs w:val="0"/>
          <w:sz w:val="24"/>
          <w:u w:val="none"/>
        </w:rPr>
        <w:t>mg/L。</w:t>
      </w:r>
    </w:p>
    <w:p>
      <w:pPr>
        <w:adjustRightInd w:val="0"/>
        <w:snapToGrid w:val="0"/>
        <w:spacing w:line="500" w:lineRule="exact"/>
        <w:ind w:firstLine="480" w:firstLineChars="200"/>
        <w:rPr>
          <w:b w:val="0"/>
          <w:bCs w:val="0"/>
          <w:sz w:val="24"/>
          <w:u w:val="none"/>
        </w:rPr>
      </w:pPr>
      <w:r>
        <w:rPr>
          <w:b w:val="0"/>
          <w:bCs w:val="0"/>
          <w:sz w:val="24"/>
          <w:u w:val="none"/>
        </w:rPr>
        <w:t>因此为避免非正常工况下沼液渗漏对场址下游地下水保护目标的影响，项目营运期间要加强对沼液储存池的维护管理，定期监测场址周围地下水水质状况，制定跟踪监测计划，将对地下水的污染风险降低到最小。</w:t>
      </w:r>
    </w:p>
    <w:p>
      <w:pPr>
        <w:adjustRightInd w:val="0"/>
        <w:snapToGrid w:val="0"/>
        <w:spacing w:line="500" w:lineRule="exact"/>
        <w:ind w:firstLine="480" w:firstLineChars="200"/>
        <w:rPr>
          <w:b w:val="0"/>
          <w:bCs w:val="0"/>
          <w:color w:val="000000"/>
          <w:sz w:val="24"/>
          <w:u w:val="none"/>
        </w:rPr>
      </w:pPr>
      <w:r>
        <w:rPr>
          <w:b w:val="0"/>
          <w:bCs w:val="0"/>
          <w:color w:val="000000"/>
          <w:sz w:val="24"/>
          <w:u w:val="none"/>
        </w:rPr>
        <w:t>（1）养殖区地下水污染途径及防治措施分析</w:t>
      </w:r>
    </w:p>
    <w:p>
      <w:pPr>
        <w:adjustRightInd w:val="0"/>
        <w:snapToGrid w:val="0"/>
        <w:spacing w:line="500" w:lineRule="exact"/>
        <w:ind w:firstLine="480" w:firstLineChars="200"/>
        <w:rPr>
          <w:b w:val="0"/>
          <w:bCs w:val="0"/>
          <w:color w:val="000000"/>
          <w:sz w:val="24"/>
          <w:u w:val="none"/>
        </w:rPr>
      </w:pPr>
      <w:r>
        <w:rPr>
          <w:b w:val="0"/>
          <w:bCs w:val="0"/>
          <w:color w:val="000000"/>
          <w:sz w:val="24"/>
          <w:u w:val="none"/>
        </w:rPr>
        <w:t>污染物从污染源进入地下水所经过路径称为地下水污染途径，地下水污染途径是多种多样的。本项目营运期环境影响因素主要为生活污水、养殖废水、猪粪。以上污染因素如不加以管理，污水处理池及储存池存在下渗污染地下水的隐患；猪粪乱堆乱放，以恶臭和地表径流的形式可能转入环境空气或地表水体，并通过下渗影响到地下水环境，评价针对污染途径采取相应措施处理，详见表</w:t>
      </w:r>
      <w:r>
        <w:rPr>
          <w:rFonts w:hint="eastAsia"/>
          <w:b w:val="0"/>
          <w:bCs w:val="0"/>
          <w:color w:val="000000"/>
          <w:sz w:val="24"/>
          <w:u w:val="none"/>
          <w:lang w:val="en-US" w:eastAsia="zh-CN"/>
        </w:rPr>
        <w:t>4.2-14</w:t>
      </w:r>
      <w:r>
        <w:rPr>
          <w:b w:val="0"/>
          <w:bCs w:val="0"/>
          <w:color w:val="000000"/>
          <w:sz w:val="24"/>
          <w:u w:val="none"/>
        </w:rPr>
        <w:t>。</w:t>
      </w:r>
    </w:p>
    <w:p>
      <w:pPr>
        <w:adjustRightInd w:val="0"/>
        <w:snapToGrid w:val="0"/>
        <w:spacing w:beforeLines="50" w:afterLines="50"/>
        <w:ind w:firstLine="420" w:firstLineChars="200"/>
        <w:jc w:val="center"/>
        <w:rPr>
          <w:b/>
          <w:bCs/>
          <w:color w:val="000000"/>
          <w:szCs w:val="21"/>
          <w:u w:val="none"/>
        </w:rPr>
      </w:pPr>
      <w:r>
        <w:rPr>
          <w:b/>
          <w:bCs/>
          <w:color w:val="000000"/>
          <w:szCs w:val="21"/>
          <w:u w:val="none"/>
        </w:rPr>
        <w:t>表</w:t>
      </w:r>
      <w:r>
        <w:rPr>
          <w:rFonts w:hint="eastAsia"/>
          <w:b/>
          <w:bCs/>
          <w:color w:val="000000"/>
          <w:szCs w:val="21"/>
          <w:u w:val="none"/>
          <w:lang w:val="en-US" w:eastAsia="zh-CN"/>
        </w:rPr>
        <w:t>4.2-14</w:t>
      </w:r>
      <w:r>
        <w:rPr>
          <w:b/>
          <w:bCs/>
          <w:color w:val="000000"/>
          <w:szCs w:val="21"/>
          <w:u w:val="none"/>
        </w:rPr>
        <w:t xml:space="preserve">   项目污染地下水途径及防治措施一览表</w:t>
      </w:r>
    </w:p>
    <w:tbl>
      <w:tblPr>
        <w:tblStyle w:val="45"/>
        <w:tblW w:w="91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045"/>
        <w:gridCol w:w="5386"/>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序号</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项目</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保护措施</w:t>
            </w:r>
          </w:p>
        </w:tc>
        <w:tc>
          <w:tcPr>
            <w:tcW w:w="215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1</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沼液储存池</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沼液储存池为满足农闲期沼液产生量，容积不小于</w:t>
            </w:r>
            <w:r>
              <w:rPr>
                <w:rFonts w:hint="eastAsia"/>
                <w:b w:val="0"/>
                <w:bCs w:val="0"/>
                <w:color w:val="000000"/>
                <w:szCs w:val="21"/>
                <w:u w:val="none"/>
                <w:lang w:eastAsia="zh-CN"/>
              </w:rPr>
              <w:t>166</w:t>
            </w:r>
            <w:r>
              <w:rPr>
                <w:b w:val="0"/>
                <w:bCs w:val="0"/>
                <w:color w:val="000000"/>
                <w:szCs w:val="21"/>
                <w:u w:val="none"/>
              </w:rPr>
              <w:t>的废水产生量，并采用HDPE膜防渗处理措施，合理控制施肥频次和施肥量，尽量避开雨天施肥</w:t>
            </w:r>
          </w:p>
        </w:tc>
        <w:tc>
          <w:tcPr>
            <w:tcW w:w="2155" w:type="dxa"/>
            <w:vMerge w:val="restart"/>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各反应池及储存池均符合《规模化畜禽养殖场沼气工程设计规范》（NY/T1222）和《混凝土结构设计规范》（GB50010）的要求，具备“防渗、防雨、防溢”的三防措施；畜禽粪便的贮存相关要求，应具备防渗、防风、防雨的“三防”措施，雨污分流</w:t>
            </w:r>
          </w:p>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2</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养殖区</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养殖区猪舍底部采用混凝土防渗</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3</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污水处理系统</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收集池应为砖混结构</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4</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固粪处置区</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地面进行混凝土硬化防渗，设置顶棚</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5</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排污沟、漏缝板贮池</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采取暗沟形式，具备防止淤集以利于定期清理的条件，排污沟应采取硬化措施</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6</w:t>
            </w:r>
          </w:p>
        </w:tc>
        <w:tc>
          <w:tcPr>
            <w:tcW w:w="1045"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场区雨、污管网</w:t>
            </w:r>
          </w:p>
        </w:tc>
        <w:tc>
          <w:tcPr>
            <w:tcW w:w="5386" w:type="dxa"/>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r>
              <w:rPr>
                <w:b w:val="0"/>
                <w:bCs w:val="0"/>
                <w:color w:val="000000"/>
                <w:szCs w:val="21"/>
                <w:u w:val="none"/>
              </w:rPr>
              <w:t>雨污分流、按照畜禽养殖业污染防治技术规范要求进行建设</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val="0"/>
                <w:bCs w:val="0"/>
                <w:color w:val="000000"/>
                <w:szCs w:val="21"/>
                <w:u w:val="none"/>
              </w:rPr>
            </w:pPr>
          </w:p>
        </w:tc>
      </w:tr>
    </w:tbl>
    <w:p>
      <w:pPr>
        <w:spacing w:line="520" w:lineRule="exact"/>
        <w:ind w:firstLine="480" w:firstLineChars="200"/>
        <w:rPr>
          <w:b w:val="0"/>
          <w:bCs w:val="0"/>
          <w:color w:val="000000"/>
          <w:sz w:val="24"/>
          <w:u w:val="none"/>
        </w:rPr>
      </w:pPr>
      <w:r>
        <w:rPr>
          <w:b w:val="0"/>
          <w:bCs w:val="0"/>
          <w:color w:val="000000"/>
          <w:sz w:val="24"/>
          <w:u w:val="none"/>
        </w:rPr>
        <w:t>因此，建设单位应当做好地面的防渗漏处理和地面硬化，同时还应加强管理，合理施肥，建立地下水监控体系，以防污染地下水。</w:t>
      </w:r>
    </w:p>
    <w:p>
      <w:pPr>
        <w:spacing w:line="520" w:lineRule="exact"/>
        <w:ind w:firstLine="480" w:firstLineChars="200"/>
        <w:rPr>
          <w:b w:val="0"/>
          <w:bCs w:val="0"/>
          <w:color w:val="000000"/>
          <w:sz w:val="24"/>
          <w:u w:val="none"/>
        </w:rPr>
      </w:pPr>
      <w:r>
        <w:rPr>
          <w:b w:val="0"/>
          <w:bCs w:val="0"/>
          <w:color w:val="000000"/>
          <w:sz w:val="24"/>
          <w:u w:val="none"/>
        </w:rPr>
        <w:t>（2）预防地下水污染物的要求及环境管理建议</w:t>
      </w:r>
    </w:p>
    <w:p>
      <w:pPr>
        <w:spacing w:line="500" w:lineRule="exact"/>
        <w:ind w:firstLine="482"/>
        <w:rPr>
          <w:b w:val="0"/>
          <w:bCs w:val="0"/>
          <w:color w:val="000000"/>
          <w:sz w:val="24"/>
          <w:u w:val="none"/>
        </w:rPr>
      </w:pPr>
      <w:r>
        <w:rPr>
          <w:b w:val="0"/>
          <w:bCs w:val="0"/>
          <w:color w:val="000000"/>
          <w:sz w:val="24"/>
          <w:u w:val="none"/>
        </w:rPr>
        <w:t>项目在施工和运营阶段，应充分做好排污管道的防渗处理，杜绝污水渗漏，确保污水收集处理系统衔接良好，严格用水管理，防止污水“跑、冒、滴、漏”现象的发生，这样可以保证项目区内产生的全部废水汇集到污水处理站集中处理，可以很大程度的消除周边地区污染物排放对地下水环境的影响。营运期建议严格按照以下要求进行管理：</w:t>
      </w:r>
    </w:p>
    <w:p>
      <w:pPr>
        <w:adjustRightInd w:val="0"/>
        <w:snapToGrid w:val="0"/>
        <w:spacing w:line="520" w:lineRule="exact"/>
        <w:ind w:firstLine="480" w:firstLineChars="200"/>
        <w:rPr>
          <w:b w:val="0"/>
          <w:bCs w:val="0"/>
          <w:color w:val="000000"/>
          <w:sz w:val="24"/>
          <w:u w:val="none"/>
        </w:rPr>
      </w:pPr>
      <w:r>
        <w:rPr>
          <w:rFonts w:hint="eastAsia" w:ascii="宋体" w:hAnsi="宋体" w:cs="宋体"/>
          <w:b w:val="0"/>
          <w:bCs w:val="0"/>
          <w:color w:val="000000"/>
          <w:sz w:val="24"/>
          <w:u w:val="none"/>
        </w:rPr>
        <w:t>①</w:t>
      </w:r>
      <w:r>
        <w:rPr>
          <w:b w:val="0"/>
          <w:bCs w:val="0"/>
          <w:color w:val="000000"/>
          <w:sz w:val="24"/>
          <w:u w:val="none"/>
        </w:rPr>
        <w:t>《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adjustRightInd w:val="0"/>
        <w:snapToGrid w:val="0"/>
        <w:spacing w:line="520" w:lineRule="exact"/>
        <w:ind w:firstLine="480" w:firstLineChars="200"/>
        <w:rPr>
          <w:b w:val="0"/>
          <w:bCs w:val="0"/>
          <w:color w:val="000000"/>
          <w:sz w:val="24"/>
          <w:u w:val="none"/>
        </w:rPr>
      </w:pPr>
      <w:r>
        <w:rPr>
          <w:rFonts w:hint="eastAsia" w:ascii="宋体" w:hAnsi="宋体" w:cs="宋体"/>
          <w:b w:val="0"/>
          <w:bCs w:val="0"/>
          <w:color w:val="000000"/>
          <w:sz w:val="24"/>
          <w:u w:val="none"/>
        </w:rPr>
        <w:t>②</w:t>
      </w:r>
      <w:r>
        <w:rPr>
          <w:b w:val="0"/>
          <w:bCs w:val="0"/>
          <w:color w:val="000000"/>
          <w:sz w:val="24"/>
          <w:u w:val="none"/>
        </w:rPr>
        <w:t>猪粪贮存设施应采取有效的防渗处理工艺，防止粪便淋滤液污染地下水。</w:t>
      </w:r>
    </w:p>
    <w:p>
      <w:pPr>
        <w:adjustRightInd w:val="0"/>
        <w:snapToGrid w:val="0"/>
        <w:spacing w:line="520" w:lineRule="exact"/>
        <w:ind w:firstLine="480" w:firstLineChars="200"/>
        <w:rPr>
          <w:b w:val="0"/>
          <w:bCs w:val="0"/>
          <w:color w:val="000000"/>
          <w:sz w:val="24"/>
          <w:u w:val="none"/>
        </w:rPr>
      </w:pPr>
      <w:r>
        <w:rPr>
          <w:rFonts w:hint="eastAsia" w:ascii="宋体" w:hAnsi="宋体" w:cs="宋体"/>
          <w:b w:val="0"/>
          <w:bCs w:val="0"/>
          <w:color w:val="000000"/>
          <w:sz w:val="24"/>
          <w:u w:val="none"/>
        </w:rPr>
        <w:t>③</w:t>
      </w:r>
      <w:r>
        <w:rPr>
          <w:b w:val="0"/>
          <w:bCs w:val="0"/>
          <w:color w:val="000000"/>
          <w:sz w:val="24"/>
          <w:u w:val="none"/>
        </w:rPr>
        <w:t>做好收集池、沼气池、沼液储存池等的防渗工作，应充分考虑农作期间影响和雨季影响，能够保证有足够的容量以容纳养殖场产生的废水。养殖场废水收集池应按期清淤，各池建设时应高出地面至少20cm以上，以保证大雨时雨水不进入、污水不外溢。</w:t>
      </w:r>
    </w:p>
    <w:p>
      <w:pPr>
        <w:adjustRightInd w:val="0"/>
        <w:snapToGrid w:val="0"/>
        <w:spacing w:line="520" w:lineRule="exact"/>
        <w:rPr>
          <w:b w:val="0"/>
          <w:bCs w:val="0"/>
          <w:sz w:val="24"/>
          <w:u w:val="none"/>
        </w:rPr>
      </w:pPr>
      <w:r>
        <w:rPr>
          <w:b w:val="0"/>
          <w:bCs w:val="0"/>
          <w:sz w:val="24"/>
          <w:u w:val="none"/>
        </w:rPr>
        <w:t>（3）沼液消纳地地下水影响分析</w:t>
      </w:r>
    </w:p>
    <w:p>
      <w:pPr>
        <w:spacing w:line="500" w:lineRule="exact"/>
        <w:ind w:left="21" w:leftChars="10" w:right="20" w:firstLine="436" w:firstLineChars="182"/>
        <w:rPr>
          <w:b w:val="0"/>
          <w:bCs w:val="0"/>
          <w:sz w:val="24"/>
          <w:u w:val="none"/>
        </w:rPr>
      </w:pPr>
      <w:r>
        <w:rPr>
          <w:rFonts w:hint="eastAsia" w:ascii="宋体" w:hAnsi="宋体" w:cs="宋体"/>
          <w:b w:val="0"/>
          <w:bCs w:val="0"/>
          <w:sz w:val="24"/>
          <w:u w:val="none"/>
        </w:rPr>
        <w:t>①</w:t>
      </w:r>
      <w:r>
        <w:rPr>
          <w:b w:val="0"/>
          <w:bCs w:val="0"/>
          <w:sz w:val="24"/>
          <w:u w:val="none"/>
        </w:rPr>
        <w:t>沼液浇灌方式对地下水的影响</w:t>
      </w:r>
    </w:p>
    <w:p>
      <w:pPr>
        <w:spacing w:line="500" w:lineRule="exact"/>
        <w:ind w:firstLine="480" w:firstLineChars="200"/>
        <w:rPr>
          <w:b w:val="0"/>
          <w:bCs w:val="0"/>
          <w:sz w:val="24"/>
          <w:u w:val="none"/>
        </w:rPr>
      </w:pPr>
      <w:r>
        <w:rPr>
          <w:b w:val="0"/>
          <w:bCs w:val="0"/>
          <w:sz w:val="24"/>
          <w:u w:val="none"/>
        </w:rPr>
        <w:t>本项目由场区沼液储存池引至施肥</w:t>
      </w:r>
      <w:r>
        <w:rPr>
          <w:rFonts w:hint="eastAsia"/>
          <w:b w:val="0"/>
          <w:bCs w:val="0"/>
          <w:sz w:val="24"/>
          <w:u w:val="none"/>
          <w:lang w:val="en-US" w:eastAsia="zh-CN"/>
        </w:rPr>
        <w:t>林地管网，将</w:t>
      </w:r>
      <w:r>
        <w:rPr>
          <w:b w:val="0"/>
          <w:bCs w:val="0"/>
          <w:sz w:val="24"/>
          <w:u w:val="none"/>
        </w:rPr>
        <w:t>沼液由沼液储存池引至施肥</w:t>
      </w:r>
      <w:r>
        <w:rPr>
          <w:rFonts w:hint="eastAsia"/>
          <w:b w:val="0"/>
          <w:bCs w:val="0"/>
          <w:sz w:val="24"/>
          <w:u w:val="none"/>
          <w:lang w:val="en-US" w:eastAsia="zh-CN"/>
        </w:rPr>
        <w:t>林地</w:t>
      </w:r>
      <w:r>
        <w:rPr>
          <w:b w:val="0"/>
          <w:bCs w:val="0"/>
          <w:sz w:val="24"/>
          <w:u w:val="none"/>
        </w:rPr>
        <w:t>。当地群众只需通过软管和预留口连接，在田间采用喷灌的方式对</w:t>
      </w:r>
      <w:r>
        <w:rPr>
          <w:rFonts w:hint="eastAsia"/>
          <w:b w:val="0"/>
          <w:bCs w:val="0"/>
          <w:sz w:val="24"/>
          <w:u w:val="none"/>
          <w:lang w:val="en-US" w:eastAsia="zh-CN"/>
        </w:rPr>
        <w:t>林地</w:t>
      </w:r>
      <w:r>
        <w:rPr>
          <w:b w:val="0"/>
          <w:bCs w:val="0"/>
          <w:sz w:val="24"/>
          <w:u w:val="none"/>
        </w:rPr>
        <w:t>进行施肥。喷灌方式相对开沟洒施和浇施来讲对地下水影响最小。</w:t>
      </w:r>
    </w:p>
    <w:p>
      <w:pPr>
        <w:spacing w:line="500" w:lineRule="exact"/>
        <w:ind w:firstLine="480" w:firstLineChars="200"/>
        <w:rPr>
          <w:b w:val="0"/>
          <w:bCs w:val="0"/>
          <w:sz w:val="24"/>
          <w:u w:val="none"/>
        </w:rPr>
      </w:pPr>
      <w:r>
        <w:rPr>
          <w:rFonts w:hint="eastAsia" w:ascii="宋体" w:hAnsi="宋体" w:cs="宋体"/>
          <w:b w:val="0"/>
          <w:bCs w:val="0"/>
          <w:sz w:val="24"/>
          <w:u w:val="none"/>
        </w:rPr>
        <w:t>②</w:t>
      </w:r>
      <w:r>
        <w:rPr>
          <w:b w:val="0"/>
          <w:bCs w:val="0"/>
          <w:sz w:val="24"/>
          <w:u w:val="none"/>
        </w:rPr>
        <w:t>沼液施肥对地下水可能存在的影响</w:t>
      </w:r>
    </w:p>
    <w:p>
      <w:pPr>
        <w:spacing w:line="500" w:lineRule="exact"/>
        <w:ind w:firstLine="480" w:firstLineChars="200"/>
        <w:rPr>
          <w:b w:val="0"/>
          <w:bCs w:val="0"/>
          <w:sz w:val="24"/>
          <w:u w:val="none"/>
        </w:rPr>
      </w:pPr>
      <w:r>
        <w:rPr>
          <w:b w:val="0"/>
          <w:bCs w:val="0"/>
          <w:sz w:val="24"/>
          <w:u w:val="none"/>
        </w:rPr>
        <w:t>本项目产生的沼液暂存于沼液储存池内，在施肥季节施用于</w:t>
      </w:r>
      <w:r>
        <w:rPr>
          <w:rFonts w:hint="eastAsia"/>
          <w:b w:val="0"/>
          <w:bCs w:val="0"/>
          <w:sz w:val="24"/>
          <w:u w:val="none"/>
          <w:lang w:val="en-US" w:eastAsia="zh-CN"/>
        </w:rPr>
        <w:t>林地</w:t>
      </w:r>
      <w:r>
        <w:rPr>
          <w:b w:val="0"/>
          <w:bCs w:val="0"/>
          <w:sz w:val="24"/>
          <w:u w:val="none"/>
        </w:rPr>
        <w:t>，沼液施用于</w:t>
      </w:r>
      <w:r>
        <w:rPr>
          <w:rFonts w:hint="eastAsia"/>
          <w:b w:val="0"/>
          <w:bCs w:val="0"/>
          <w:sz w:val="24"/>
          <w:u w:val="none"/>
          <w:lang w:val="en-US" w:eastAsia="zh-CN"/>
        </w:rPr>
        <w:t>林地</w:t>
      </w:r>
      <w:r>
        <w:rPr>
          <w:b w:val="0"/>
          <w:bCs w:val="0"/>
          <w:sz w:val="24"/>
          <w:u w:val="none"/>
        </w:rPr>
        <w:t>可能会对地下水水质造成影响。沼液中NH</w:t>
      </w:r>
      <w:r>
        <w:rPr>
          <w:b w:val="0"/>
          <w:bCs w:val="0"/>
          <w:sz w:val="24"/>
          <w:u w:val="none"/>
          <w:vertAlign w:val="subscript"/>
        </w:rPr>
        <w:t>3</w:t>
      </w:r>
      <w:r>
        <w:rPr>
          <w:b w:val="0"/>
          <w:bCs w:val="0"/>
          <w:sz w:val="24"/>
          <w:u w:val="none"/>
        </w:rPr>
        <w:t>-N在包气带中的迁移是一个复杂的过程，主要的化学反应是硝化、反硝化作用。本项目厌氧处理后的废水经过在耕作土中的迁移转化、吸附降解等作用，进入环境的NH</w:t>
      </w:r>
      <w:r>
        <w:rPr>
          <w:b w:val="0"/>
          <w:bCs w:val="0"/>
          <w:sz w:val="24"/>
          <w:u w:val="none"/>
          <w:vertAlign w:val="subscript"/>
        </w:rPr>
        <w:t>3</w:t>
      </w:r>
      <w:r>
        <w:rPr>
          <w:b w:val="0"/>
          <w:bCs w:val="0"/>
          <w:sz w:val="24"/>
          <w:u w:val="none"/>
        </w:rPr>
        <w:t>-N被大量吸附并保存在土壤中。由于植物的根区效应，在植物的根系周围形成了许多好氧、缺氧和厌氧小区，NH</w:t>
      </w:r>
      <w:r>
        <w:rPr>
          <w:b w:val="0"/>
          <w:bCs w:val="0"/>
          <w:sz w:val="24"/>
          <w:u w:val="none"/>
          <w:vertAlign w:val="subscript"/>
        </w:rPr>
        <w:t>3</w:t>
      </w:r>
      <w:r>
        <w:rPr>
          <w:b w:val="0"/>
          <w:bCs w:val="0"/>
          <w:sz w:val="24"/>
          <w:u w:val="none"/>
        </w:rPr>
        <w:t>-N在植物根系好氧环境下经硝化作用转化为NO</w:t>
      </w:r>
      <w:r>
        <w:rPr>
          <w:b w:val="0"/>
          <w:bCs w:val="0"/>
          <w:sz w:val="24"/>
          <w:u w:val="none"/>
          <w:vertAlign w:val="superscript"/>
        </w:rPr>
        <w:t>3-</w:t>
      </w:r>
      <w:r>
        <w:rPr>
          <w:b w:val="0"/>
          <w:bCs w:val="0"/>
          <w:sz w:val="24"/>
          <w:u w:val="none"/>
        </w:rPr>
        <w:t>，NO</w:t>
      </w:r>
      <w:r>
        <w:rPr>
          <w:b w:val="0"/>
          <w:bCs w:val="0"/>
          <w:sz w:val="24"/>
          <w:u w:val="none"/>
          <w:vertAlign w:val="superscript"/>
        </w:rPr>
        <w:t>3-</w:t>
      </w:r>
      <w:r>
        <w:rPr>
          <w:b w:val="0"/>
          <w:bCs w:val="0"/>
          <w:sz w:val="24"/>
          <w:u w:val="none"/>
        </w:rPr>
        <w:t>扩散到缺氧区，通过微生物的反硝化作用还原为N</w:t>
      </w:r>
      <w:r>
        <w:rPr>
          <w:b w:val="0"/>
          <w:bCs w:val="0"/>
          <w:sz w:val="24"/>
          <w:u w:val="none"/>
          <w:vertAlign w:val="subscript"/>
        </w:rPr>
        <w:t>2</w:t>
      </w:r>
      <w:r>
        <w:rPr>
          <w:b w:val="0"/>
          <w:bCs w:val="0"/>
          <w:sz w:val="24"/>
          <w:u w:val="none"/>
        </w:rPr>
        <w:t>或N</w:t>
      </w:r>
      <w:r>
        <w:rPr>
          <w:b w:val="0"/>
          <w:bCs w:val="0"/>
          <w:sz w:val="24"/>
          <w:u w:val="none"/>
          <w:vertAlign w:val="subscript"/>
        </w:rPr>
        <w:t>2</w:t>
      </w:r>
      <w:r>
        <w:rPr>
          <w:b w:val="0"/>
          <w:bCs w:val="0"/>
          <w:sz w:val="24"/>
          <w:u w:val="none"/>
        </w:rPr>
        <w:t>O而去除，因此沼液施肥主要是将沼液作为农肥被农作物吸收，变成供养农作物的养分，不会对地下水水位产生影响。</w:t>
      </w:r>
    </w:p>
    <w:p>
      <w:pPr>
        <w:adjustRightInd w:val="0"/>
        <w:snapToGrid w:val="0"/>
        <w:spacing w:line="500" w:lineRule="exact"/>
        <w:ind w:firstLine="480" w:firstLineChars="200"/>
        <w:rPr>
          <w:b w:val="0"/>
          <w:bCs w:val="0"/>
          <w:color w:val="000000"/>
          <w:sz w:val="24"/>
          <w:u w:val="none"/>
        </w:rPr>
      </w:pPr>
      <w:r>
        <w:rPr>
          <w:b w:val="0"/>
          <w:bCs w:val="0"/>
          <w:color w:val="000000"/>
          <w:sz w:val="24"/>
          <w:u w:val="none"/>
        </w:rPr>
        <w:t>综上分析，建设项目场区地下水环境不敏感，在落实好防渗、防污措施后，本项目污染物能得到有效处理，对地下水水质影响较小，项目的建设不会产生其他环境地质问题，因此对地下水环境质量影响较小。</w:t>
      </w:r>
    </w:p>
    <w:p>
      <w:pPr>
        <w:spacing w:line="600" w:lineRule="exact"/>
        <w:outlineLvl w:val="2"/>
        <w:rPr>
          <w:b/>
          <w:color w:val="000000"/>
          <w:sz w:val="24"/>
        </w:rPr>
      </w:pPr>
      <w:r>
        <w:rPr>
          <w:rFonts w:hint="eastAsia"/>
          <w:b/>
          <w:color w:val="000000"/>
          <w:sz w:val="24"/>
          <w:lang w:val="en-US" w:eastAsia="zh-CN"/>
        </w:rPr>
        <w:t>4</w:t>
      </w:r>
      <w:r>
        <w:rPr>
          <w:b/>
          <w:color w:val="000000"/>
          <w:sz w:val="24"/>
        </w:rPr>
        <w:t>.2.4 声环境影响预测与评价</w:t>
      </w:r>
    </w:p>
    <w:p>
      <w:pPr>
        <w:adjustRightInd w:val="0"/>
        <w:snapToGrid w:val="0"/>
        <w:spacing w:line="500" w:lineRule="exact"/>
        <w:rPr>
          <w:color w:val="000000"/>
          <w:sz w:val="24"/>
        </w:rPr>
      </w:pPr>
      <w:r>
        <w:rPr>
          <w:rFonts w:hint="eastAsia"/>
          <w:color w:val="000000"/>
          <w:sz w:val="24"/>
          <w:lang w:val="en-US" w:eastAsia="zh-CN"/>
        </w:rPr>
        <w:t>4</w:t>
      </w:r>
      <w:r>
        <w:rPr>
          <w:color w:val="000000"/>
          <w:sz w:val="24"/>
        </w:rPr>
        <w:t>.2.4.1预测噪声源强</w:t>
      </w:r>
    </w:p>
    <w:p>
      <w:pPr>
        <w:adjustRightInd w:val="0"/>
        <w:snapToGrid w:val="0"/>
        <w:spacing w:line="500" w:lineRule="exact"/>
        <w:ind w:firstLine="435"/>
        <w:rPr>
          <w:color w:val="000000"/>
          <w:sz w:val="24"/>
        </w:rPr>
      </w:pPr>
      <w:r>
        <w:rPr>
          <w:bCs/>
          <w:color w:val="000000"/>
          <w:sz w:val="24"/>
        </w:rPr>
        <w:t>噪声主要为猪叫声、猪舍降温配套负压风机、粪污处理设施等设备运行时产生的噪声，根据类比调查，其源强为70～85dB(A)。</w:t>
      </w:r>
      <w:r>
        <w:rPr>
          <w:color w:val="000000"/>
          <w:sz w:val="24"/>
        </w:rPr>
        <w:t>各噪声采取基础减振、隔声等措施，项目主要噪声源采取相应降噪措施后各噪声值如表</w:t>
      </w:r>
      <w:r>
        <w:rPr>
          <w:rFonts w:hint="eastAsia"/>
          <w:color w:val="000000"/>
          <w:sz w:val="24"/>
          <w:lang w:val="en-US" w:eastAsia="zh-CN"/>
        </w:rPr>
        <w:t>4.2-15</w:t>
      </w:r>
      <w:r>
        <w:rPr>
          <w:color w:val="000000"/>
          <w:sz w:val="24"/>
        </w:rPr>
        <w:t>所示。</w:t>
      </w:r>
    </w:p>
    <w:p>
      <w:pPr>
        <w:adjustRightInd w:val="0"/>
        <w:snapToGrid w:val="0"/>
        <w:spacing w:beforeLines="50" w:afterLines="50"/>
        <w:ind w:firstLine="437"/>
        <w:jc w:val="center"/>
        <w:rPr>
          <w:b/>
          <w:bCs/>
          <w:color w:val="000000"/>
          <w:szCs w:val="21"/>
        </w:rPr>
      </w:pPr>
      <w:r>
        <w:rPr>
          <w:b/>
          <w:color w:val="000000"/>
          <w:szCs w:val="21"/>
        </w:rPr>
        <w:t>表</w:t>
      </w:r>
      <w:r>
        <w:rPr>
          <w:rFonts w:hint="eastAsia"/>
          <w:b/>
          <w:color w:val="000000"/>
          <w:szCs w:val="21"/>
          <w:lang w:val="en-US" w:eastAsia="zh-CN"/>
        </w:rPr>
        <w:t>4.2-15</w:t>
      </w:r>
      <w:r>
        <w:rPr>
          <w:b/>
          <w:color w:val="000000"/>
          <w:szCs w:val="21"/>
        </w:rPr>
        <w:t xml:space="preserve">   项目噪声源强采取降噪措施后的噪声值一览表   单位：</w:t>
      </w:r>
      <w:r>
        <w:rPr>
          <w:b/>
          <w:bCs/>
          <w:color w:val="000000"/>
          <w:szCs w:val="21"/>
        </w:rPr>
        <w:t>dB(A)</w:t>
      </w:r>
    </w:p>
    <w:tbl>
      <w:tblPr>
        <w:tblStyle w:val="45"/>
        <w:tblW w:w="91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38"/>
        <w:gridCol w:w="1220"/>
        <w:gridCol w:w="1222"/>
        <w:gridCol w:w="909"/>
        <w:gridCol w:w="661"/>
        <w:gridCol w:w="2871"/>
        <w:gridCol w:w="1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blHeader/>
        </w:trPr>
        <w:tc>
          <w:tcPr>
            <w:tcW w:w="2258" w:type="dxa"/>
            <w:gridSpan w:val="2"/>
            <w:vAlign w:val="center"/>
          </w:tcPr>
          <w:p>
            <w:pPr>
              <w:adjustRightInd w:val="0"/>
              <w:jc w:val="center"/>
              <w:rPr>
                <w:bCs/>
                <w:szCs w:val="21"/>
              </w:rPr>
            </w:pPr>
            <w:r>
              <w:rPr>
                <w:bCs/>
                <w:szCs w:val="21"/>
              </w:rPr>
              <w:t>噪声来源</w:t>
            </w:r>
          </w:p>
        </w:tc>
        <w:tc>
          <w:tcPr>
            <w:tcW w:w="1222" w:type="dxa"/>
            <w:vAlign w:val="center"/>
          </w:tcPr>
          <w:p>
            <w:pPr>
              <w:adjustRightInd w:val="0"/>
              <w:jc w:val="center"/>
              <w:rPr>
                <w:bCs/>
                <w:szCs w:val="21"/>
              </w:rPr>
            </w:pPr>
            <w:r>
              <w:rPr>
                <w:bCs/>
                <w:szCs w:val="21"/>
              </w:rPr>
              <w:t>种类</w:t>
            </w:r>
          </w:p>
        </w:tc>
        <w:tc>
          <w:tcPr>
            <w:tcW w:w="909" w:type="dxa"/>
            <w:vAlign w:val="center"/>
          </w:tcPr>
          <w:p>
            <w:pPr>
              <w:adjustRightInd w:val="0"/>
              <w:jc w:val="center"/>
              <w:rPr>
                <w:bCs/>
                <w:szCs w:val="21"/>
              </w:rPr>
            </w:pPr>
            <w:r>
              <w:rPr>
                <w:bCs/>
                <w:szCs w:val="21"/>
              </w:rPr>
              <w:t>产生</w:t>
            </w:r>
          </w:p>
          <w:p>
            <w:pPr>
              <w:adjustRightInd w:val="0"/>
              <w:jc w:val="center"/>
              <w:rPr>
                <w:bCs/>
                <w:szCs w:val="21"/>
              </w:rPr>
            </w:pPr>
            <w:r>
              <w:rPr>
                <w:bCs/>
                <w:szCs w:val="21"/>
              </w:rPr>
              <w:t>方式</w:t>
            </w:r>
          </w:p>
        </w:tc>
        <w:tc>
          <w:tcPr>
            <w:tcW w:w="661" w:type="dxa"/>
            <w:vAlign w:val="center"/>
          </w:tcPr>
          <w:p>
            <w:pPr>
              <w:adjustRightInd w:val="0"/>
              <w:jc w:val="center"/>
              <w:rPr>
                <w:bCs/>
                <w:szCs w:val="21"/>
              </w:rPr>
            </w:pPr>
            <w:r>
              <w:rPr>
                <w:bCs/>
                <w:szCs w:val="21"/>
              </w:rPr>
              <w:t>源强</w:t>
            </w:r>
          </w:p>
        </w:tc>
        <w:tc>
          <w:tcPr>
            <w:tcW w:w="2871" w:type="dxa"/>
            <w:vAlign w:val="center"/>
          </w:tcPr>
          <w:p>
            <w:pPr>
              <w:adjustRightInd w:val="0"/>
              <w:jc w:val="center"/>
              <w:rPr>
                <w:bCs/>
                <w:szCs w:val="21"/>
              </w:rPr>
            </w:pPr>
            <w:r>
              <w:rPr>
                <w:bCs/>
                <w:szCs w:val="21"/>
              </w:rPr>
              <w:t>治理措施</w:t>
            </w:r>
          </w:p>
        </w:tc>
        <w:tc>
          <w:tcPr>
            <w:tcW w:w="1264" w:type="dxa"/>
            <w:vAlign w:val="center"/>
          </w:tcPr>
          <w:p>
            <w:pPr>
              <w:adjustRightInd w:val="0"/>
              <w:jc w:val="center"/>
              <w:rPr>
                <w:bCs/>
                <w:szCs w:val="21"/>
              </w:rPr>
            </w:pPr>
            <w:r>
              <w:rPr>
                <w:bCs/>
                <w:szCs w:val="21"/>
              </w:rPr>
              <w:t>排放源强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1038" w:type="dxa"/>
            <w:vMerge w:val="restart"/>
            <w:vAlign w:val="center"/>
          </w:tcPr>
          <w:p>
            <w:pPr>
              <w:adjustRightInd w:val="0"/>
              <w:jc w:val="center"/>
              <w:rPr>
                <w:bCs/>
                <w:szCs w:val="21"/>
              </w:rPr>
            </w:pPr>
            <w:r>
              <w:rPr>
                <w:bCs/>
                <w:szCs w:val="21"/>
              </w:rPr>
              <w:t>养殖区</w:t>
            </w:r>
          </w:p>
        </w:tc>
        <w:tc>
          <w:tcPr>
            <w:tcW w:w="1220" w:type="dxa"/>
            <w:vMerge w:val="restart"/>
            <w:vAlign w:val="center"/>
          </w:tcPr>
          <w:p>
            <w:pPr>
              <w:adjustRightInd w:val="0"/>
              <w:jc w:val="center"/>
              <w:rPr>
                <w:bCs/>
                <w:szCs w:val="21"/>
              </w:rPr>
            </w:pPr>
            <w:r>
              <w:rPr>
                <w:bCs/>
                <w:szCs w:val="21"/>
              </w:rPr>
              <w:t>猪舍</w:t>
            </w:r>
          </w:p>
        </w:tc>
        <w:tc>
          <w:tcPr>
            <w:tcW w:w="1222" w:type="dxa"/>
            <w:vAlign w:val="center"/>
          </w:tcPr>
          <w:p>
            <w:pPr>
              <w:adjustRightInd w:val="0"/>
              <w:jc w:val="center"/>
              <w:rPr>
                <w:bCs/>
                <w:szCs w:val="21"/>
              </w:rPr>
            </w:pPr>
            <w:r>
              <w:rPr>
                <w:bCs/>
                <w:szCs w:val="21"/>
              </w:rPr>
              <w:t>猪叫</w:t>
            </w:r>
          </w:p>
        </w:tc>
        <w:tc>
          <w:tcPr>
            <w:tcW w:w="909" w:type="dxa"/>
            <w:vAlign w:val="center"/>
          </w:tcPr>
          <w:p>
            <w:pPr>
              <w:adjustRightInd w:val="0"/>
              <w:jc w:val="center"/>
              <w:rPr>
                <w:bCs/>
                <w:szCs w:val="21"/>
              </w:rPr>
            </w:pPr>
            <w:r>
              <w:rPr>
                <w:bCs/>
                <w:szCs w:val="21"/>
              </w:rPr>
              <w:t>间断</w:t>
            </w:r>
          </w:p>
        </w:tc>
        <w:tc>
          <w:tcPr>
            <w:tcW w:w="661" w:type="dxa"/>
            <w:vAlign w:val="center"/>
          </w:tcPr>
          <w:p>
            <w:pPr>
              <w:adjustRightInd w:val="0"/>
              <w:jc w:val="center"/>
              <w:rPr>
                <w:bCs/>
                <w:szCs w:val="21"/>
              </w:rPr>
            </w:pPr>
            <w:r>
              <w:rPr>
                <w:bCs/>
                <w:szCs w:val="21"/>
              </w:rPr>
              <w:t>70</w:t>
            </w:r>
          </w:p>
        </w:tc>
        <w:tc>
          <w:tcPr>
            <w:tcW w:w="2871" w:type="dxa"/>
            <w:vAlign w:val="center"/>
          </w:tcPr>
          <w:p>
            <w:pPr>
              <w:adjustRightInd w:val="0"/>
              <w:jc w:val="center"/>
              <w:rPr>
                <w:bCs/>
                <w:szCs w:val="21"/>
              </w:rPr>
            </w:pPr>
            <w:r>
              <w:rPr>
                <w:bCs/>
                <w:szCs w:val="21"/>
              </w:rPr>
              <w:t>隔声降噪</w:t>
            </w:r>
          </w:p>
        </w:tc>
        <w:tc>
          <w:tcPr>
            <w:tcW w:w="1264" w:type="dxa"/>
            <w:vAlign w:val="center"/>
          </w:tcPr>
          <w:p>
            <w:pPr>
              <w:adjustRightInd w:val="0"/>
              <w:jc w:val="center"/>
              <w:rPr>
                <w:bCs/>
                <w:szCs w:val="21"/>
              </w:rPr>
            </w:pPr>
            <w:r>
              <w:rPr>
                <w:bCs/>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1038" w:type="dxa"/>
            <w:vMerge w:val="continue"/>
            <w:vAlign w:val="center"/>
          </w:tcPr>
          <w:p>
            <w:pPr>
              <w:widowControl/>
              <w:jc w:val="left"/>
              <w:rPr>
                <w:bCs/>
                <w:szCs w:val="21"/>
              </w:rPr>
            </w:pPr>
          </w:p>
        </w:tc>
        <w:tc>
          <w:tcPr>
            <w:tcW w:w="1220" w:type="dxa"/>
            <w:vMerge w:val="continue"/>
            <w:vAlign w:val="center"/>
          </w:tcPr>
          <w:p>
            <w:pPr>
              <w:widowControl/>
              <w:jc w:val="left"/>
              <w:rPr>
                <w:bCs/>
                <w:szCs w:val="21"/>
              </w:rPr>
            </w:pPr>
          </w:p>
        </w:tc>
        <w:tc>
          <w:tcPr>
            <w:tcW w:w="1222" w:type="dxa"/>
            <w:vAlign w:val="center"/>
          </w:tcPr>
          <w:p>
            <w:pPr>
              <w:adjustRightInd w:val="0"/>
              <w:jc w:val="center"/>
              <w:rPr>
                <w:bCs/>
                <w:szCs w:val="21"/>
              </w:rPr>
            </w:pPr>
            <w:r>
              <w:rPr>
                <w:bCs/>
                <w:szCs w:val="21"/>
              </w:rPr>
              <w:t>风机</w:t>
            </w:r>
          </w:p>
        </w:tc>
        <w:tc>
          <w:tcPr>
            <w:tcW w:w="909" w:type="dxa"/>
            <w:vAlign w:val="center"/>
          </w:tcPr>
          <w:p>
            <w:pPr>
              <w:adjustRightInd w:val="0"/>
              <w:jc w:val="center"/>
              <w:rPr>
                <w:bCs/>
                <w:szCs w:val="21"/>
              </w:rPr>
            </w:pPr>
            <w:r>
              <w:rPr>
                <w:bCs/>
                <w:szCs w:val="21"/>
              </w:rPr>
              <w:t>连续</w:t>
            </w:r>
          </w:p>
        </w:tc>
        <w:tc>
          <w:tcPr>
            <w:tcW w:w="661" w:type="dxa"/>
            <w:vAlign w:val="center"/>
          </w:tcPr>
          <w:p>
            <w:pPr>
              <w:adjustRightInd w:val="0"/>
              <w:jc w:val="center"/>
              <w:rPr>
                <w:bCs/>
                <w:szCs w:val="21"/>
              </w:rPr>
            </w:pPr>
            <w:r>
              <w:rPr>
                <w:bCs/>
                <w:szCs w:val="21"/>
              </w:rPr>
              <w:t>85</w:t>
            </w:r>
          </w:p>
        </w:tc>
        <w:tc>
          <w:tcPr>
            <w:tcW w:w="2871" w:type="dxa"/>
            <w:vAlign w:val="center"/>
          </w:tcPr>
          <w:p>
            <w:pPr>
              <w:adjustRightInd w:val="0"/>
              <w:jc w:val="center"/>
              <w:rPr>
                <w:bCs/>
                <w:szCs w:val="21"/>
              </w:rPr>
            </w:pPr>
            <w:r>
              <w:rPr>
                <w:bCs/>
                <w:szCs w:val="21"/>
              </w:rPr>
              <w:t>厂房隔声</w:t>
            </w:r>
          </w:p>
        </w:tc>
        <w:tc>
          <w:tcPr>
            <w:tcW w:w="1264" w:type="dxa"/>
            <w:vAlign w:val="center"/>
          </w:tcPr>
          <w:p>
            <w:pPr>
              <w:adjustRightInd w:val="0"/>
              <w:jc w:val="center"/>
              <w:rPr>
                <w:bCs/>
                <w:szCs w:val="21"/>
              </w:rPr>
            </w:pPr>
            <w:r>
              <w:rPr>
                <w:bCs/>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1038" w:type="dxa"/>
            <w:vMerge w:val="continue"/>
            <w:vAlign w:val="center"/>
          </w:tcPr>
          <w:p>
            <w:pPr>
              <w:widowControl/>
              <w:jc w:val="left"/>
              <w:rPr>
                <w:bCs/>
                <w:szCs w:val="21"/>
              </w:rPr>
            </w:pPr>
          </w:p>
        </w:tc>
        <w:tc>
          <w:tcPr>
            <w:tcW w:w="1220" w:type="dxa"/>
            <w:vAlign w:val="center"/>
          </w:tcPr>
          <w:p>
            <w:pPr>
              <w:adjustRightInd w:val="0"/>
              <w:jc w:val="center"/>
              <w:rPr>
                <w:bCs/>
                <w:szCs w:val="21"/>
              </w:rPr>
            </w:pPr>
            <w:r>
              <w:rPr>
                <w:bCs/>
                <w:szCs w:val="21"/>
              </w:rPr>
              <w:t>固粪处理区</w:t>
            </w:r>
          </w:p>
        </w:tc>
        <w:tc>
          <w:tcPr>
            <w:tcW w:w="1222" w:type="dxa"/>
            <w:vAlign w:val="center"/>
          </w:tcPr>
          <w:p>
            <w:pPr>
              <w:adjustRightInd w:val="0"/>
              <w:jc w:val="center"/>
              <w:rPr>
                <w:bCs/>
                <w:szCs w:val="21"/>
              </w:rPr>
            </w:pPr>
            <w:r>
              <w:rPr>
                <w:bCs/>
                <w:szCs w:val="21"/>
              </w:rPr>
              <w:t>水泵</w:t>
            </w:r>
          </w:p>
        </w:tc>
        <w:tc>
          <w:tcPr>
            <w:tcW w:w="909" w:type="dxa"/>
            <w:vAlign w:val="center"/>
          </w:tcPr>
          <w:p>
            <w:pPr>
              <w:adjustRightInd w:val="0"/>
              <w:jc w:val="center"/>
              <w:rPr>
                <w:bCs/>
                <w:szCs w:val="21"/>
              </w:rPr>
            </w:pPr>
            <w:r>
              <w:rPr>
                <w:bCs/>
                <w:szCs w:val="21"/>
              </w:rPr>
              <w:t>连续</w:t>
            </w:r>
          </w:p>
        </w:tc>
        <w:tc>
          <w:tcPr>
            <w:tcW w:w="661" w:type="dxa"/>
            <w:vAlign w:val="center"/>
          </w:tcPr>
          <w:p>
            <w:pPr>
              <w:adjustRightInd w:val="0"/>
              <w:jc w:val="center"/>
              <w:rPr>
                <w:bCs/>
                <w:szCs w:val="21"/>
              </w:rPr>
            </w:pPr>
            <w:r>
              <w:rPr>
                <w:bCs/>
                <w:szCs w:val="21"/>
              </w:rPr>
              <w:t>85</w:t>
            </w:r>
          </w:p>
        </w:tc>
        <w:tc>
          <w:tcPr>
            <w:tcW w:w="2871" w:type="dxa"/>
            <w:vAlign w:val="center"/>
          </w:tcPr>
          <w:p>
            <w:pPr>
              <w:adjustRightInd w:val="0"/>
              <w:jc w:val="center"/>
              <w:rPr>
                <w:bCs/>
                <w:szCs w:val="21"/>
              </w:rPr>
            </w:pPr>
            <w:r>
              <w:rPr>
                <w:bCs/>
                <w:szCs w:val="21"/>
              </w:rPr>
              <w:t>选低噪声设备、隔声、减振</w:t>
            </w:r>
          </w:p>
        </w:tc>
        <w:tc>
          <w:tcPr>
            <w:tcW w:w="1264" w:type="dxa"/>
            <w:vAlign w:val="center"/>
          </w:tcPr>
          <w:p>
            <w:pPr>
              <w:adjustRightInd w:val="0"/>
              <w:jc w:val="center"/>
              <w:rPr>
                <w:bCs/>
                <w:szCs w:val="21"/>
              </w:rPr>
            </w:pPr>
            <w:r>
              <w:rPr>
                <w:bCs/>
                <w:szCs w:val="21"/>
              </w:rPr>
              <w:t>65</w:t>
            </w:r>
          </w:p>
        </w:tc>
      </w:tr>
    </w:tbl>
    <w:p>
      <w:pPr>
        <w:adjustRightInd w:val="0"/>
        <w:snapToGrid w:val="0"/>
        <w:rPr>
          <w:bCs/>
          <w:color w:val="000000"/>
          <w:sz w:val="18"/>
          <w:szCs w:val="18"/>
        </w:rPr>
      </w:pPr>
      <w:r>
        <w:rPr>
          <w:bCs/>
          <w:color w:val="000000"/>
          <w:sz w:val="18"/>
          <w:szCs w:val="18"/>
        </w:rPr>
        <w:t>注：噪声源强均取最大值进行预测。</w:t>
      </w:r>
    </w:p>
    <w:p>
      <w:pPr>
        <w:adjustRightInd w:val="0"/>
        <w:snapToGrid w:val="0"/>
        <w:spacing w:line="500" w:lineRule="exact"/>
        <w:rPr>
          <w:color w:val="000000"/>
          <w:sz w:val="24"/>
        </w:rPr>
      </w:pPr>
      <w:r>
        <w:rPr>
          <w:rFonts w:hint="eastAsia"/>
          <w:color w:val="000000"/>
          <w:sz w:val="24"/>
          <w:lang w:val="en-US" w:eastAsia="zh-CN"/>
        </w:rPr>
        <w:t>4</w:t>
      </w:r>
      <w:r>
        <w:rPr>
          <w:color w:val="000000"/>
          <w:sz w:val="24"/>
        </w:rPr>
        <w:t>.2.4.2场界噪声的预测</w:t>
      </w:r>
    </w:p>
    <w:p>
      <w:pPr>
        <w:adjustRightInd w:val="0"/>
        <w:snapToGrid w:val="0"/>
        <w:spacing w:line="500" w:lineRule="exact"/>
        <w:ind w:firstLine="435"/>
        <w:rPr>
          <w:bCs/>
          <w:color w:val="000000"/>
          <w:sz w:val="24"/>
        </w:rPr>
      </w:pPr>
      <w:r>
        <w:rPr>
          <w:bCs/>
          <w:color w:val="000000"/>
          <w:sz w:val="24"/>
        </w:rPr>
        <w:t>本项目猪舍、污水处理区高噪声设备预测模式采用点声源处于半自由空间的几何发散模式。</w:t>
      </w:r>
      <w:r>
        <w:rPr>
          <w:color w:val="000000"/>
          <w:sz w:val="24"/>
        </w:rPr>
        <w:t>然后，计算衰减至各场界的噪声贡献值。</w:t>
      </w:r>
    </w:p>
    <w:p>
      <w:pPr>
        <w:adjustRightInd w:val="0"/>
        <w:snapToGrid w:val="0"/>
        <w:spacing w:line="500" w:lineRule="exact"/>
        <w:ind w:firstLine="435"/>
        <w:rPr>
          <w:bCs/>
          <w:color w:val="000000"/>
          <w:sz w:val="24"/>
        </w:rPr>
      </w:pPr>
      <w:r>
        <w:rPr>
          <w:bCs/>
          <w:color w:val="000000"/>
          <w:sz w:val="24"/>
        </w:rPr>
        <w:t>预测模式采用：</w:t>
      </w:r>
    </w:p>
    <w:p>
      <w:pPr>
        <w:adjustRightInd w:val="0"/>
        <w:snapToGrid w:val="0"/>
        <w:spacing w:line="500" w:lineRule="exact"/>
        <w:ind w:firstLine="435"/>
        <w:rPr>
          <w:bCs/>
          <w:color w:val="000000"/>
          <w:sz w:val="24"/>
        </w:rPr>
      </w:pPr>
      <w:r>
        <w:rPr>
          <w:bCs/>
          <w:color w:val="000000"/>
          <w:sz w:val="24"/>
        </w:rPr>
        <w:fldChar w:fldCharType="begin"/>
      </w:r>
      <w:r>
        <w:rPr>
          <w:bCs/>
          <w:color w:val="000000"/>
          <w:sz w:val="24"/>
        </w:rPr>
        <w:instrText xml:space="preserve">= 1 \* GB3</w:instrText>
      </w:r>
      <w:r>
        <w:rPr>
          <w:bCs/>
          <w:color w:val="000000"/>
          <w:sz w:val="24"/>
        </w:rPr>
        <w:fldChar w:fldCharType="separate"/>
      </w:r>
      <w:r>
        <w:rPr>
          <w:rFonts w:hint="eastAsia" w:ascii="宋体" w:hAnsi="宋体" w:cs="宋体"/>
          <w:bCs/>
          <w:color w:val="000000"/>
          <w:sz w:val="24"/>
        </w:rPr>
        <w:t>①</w:t>
      </w:r>
      <w:r>
        <w:rPr>
          <w:color w:val="000000"/>
          <w:sz w:val="24"/>
        </w:rPr>
        <w:fldChar w:fldCharType="end"/>
      </w:r>
      <w:r>
        <w:rPr>
          <w:bCs/>
          <w:color w:val="000000"/>
          <w:sz w:val="24"/>
        </w:rPr>
        <w:t>点声源衰减模式</w:t>
      </w:r>
    </w:p>
    <w:p>
      <w:pPr>
        <w:adjustRightInd w:val="0"/>
        <w:snapToGrid w:val="0"/>
        <w:spacing w:line="500" w:lineRule="exact"/>
        <w:ind w:firstLine="435"/>
        <w:jc w:val="center"/>
        <w:rPr>
          <w:bCs/>
          <w:color w:val="000000"/>
          <w:sz w:val="24"/>
        </w:rPr>
      </w:pPr>
      <w:r>
        <w:rPr>
          <w:bCs/>
          <w:color w:val="000000"/>
          <w:position w:val="-12"/>
          <w:sz w:val="24"/>
        </w:rPr>
        <w:drawing>
          <wp:inline distT="0" distB="0" distL="0" distR="0">
            <wp:extent cx="1409700" cy="257175"/>
            <wp:effectExtent l="1905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noChangeArrowheads="1"/>
                    </pic:cNvPicPr>
                  </pic:nvPicPr>
                  <pic:blipFill>
                    <a:blip r:embed="rId22" cstate="print"/>
                    <a:srcRect/>
                    <a:stretch>
                      <a:fillRect/>
                    </a:stretch>
                  </pic:blipFill>
                  <pic:spPr>
                    <a:xfrm>
                      <a:off x="0" y="0"/>
                      <a:ext cx="1409700" cy="257175"/>
                    </a:xfrm>
                    <a:prstGeom prst="rect">
                      <a:avLst/>
                    </a:prstGeom>
                    <a:noFill/>
                    <a:ln w="9525">
                      <a:noFill/>
                      <a:miter lim="800000"/>
                      <a:headEnd/>
                      <a:tailEnd/>
                    </a:ln>
                  </pic:spPr>
                </pic:pic>
              </a:graphicData>
            </a:graphic>
          </wp:inline>
        </w:drawing>
      </w:r>
    </w:p>
    <w:p>
      <w:pPr>
        <w:adjustRightInd w:val="0"/>
        <w:snapToGrid w:val="0"/>
        <w:spacing w:line="500" w:lineRule="exact"/>
        <w:ind w:firstLine="435"/>
        <w:rPr>
          <w:bCs/>
          <w:color w:val="000000"/>
          <w:sz w:val="24"/>
        </w:rPr>
      </w:pPr>
      <w:r>
        <w:rPr>
          <w:bCs/>
          <w:color w:val="000000"/>
          <w:sz w:val="24"/>
        </w:rPr>
        <w:t xml:space="preserve">    式中：L</w:t>
      </w:r>
      <w:r>
        <w:rPr>
          <w:bCs/>
          <w:color w:val="000000"/>
          <w:sz w:val="24"/>
          <w:vertAlign w:val="subscript"/>
        </w:rPr>
        <w:t>r</w:t>
      </w:r>
      <w:r>
        <w:rPr>
          <w:bCs/>
          <w:color w:val="000000"/>
          <w:sz w:val="24"/>
        </w:rPr>
        <w:t>－距噪声源距离为r处的等效声级值，dB（A）；</w:t>
      </w:r>
    </w:p>
    <w:p>
      <w:pPr>
        <w:adjustRightInd w:val="0"/>
        <w:snapToGrid w:val="0"/>
        <w:spacing w:line="500" w:lineRule="exact"/>
        <w:ind w:firstLine="435"/>
        <w:rPr>
          <w:bCs/>
          <w:color w:val="000000"/>
          <w:sz w:val="24"/>
        </w:rPr>
      </w:pPr>
      <w:r>
        <w:rPr>
          <w:bCs/>
          <w:color w:val="000000"/>
          <w:sz w:val="24"/>
        </w:rPr>
        <w:t xml:space="preserve">          L</w:t>
      </w:r>
      <w:r>
        <w:rPr>
          <w:bCs/>
          <w:color w:val="000000"/>
          <w:sz w:val="24"/>
          <w:vertAlign w:val="subscript"/>
        </w:rPr>
        <w:t>o</w:t>
      </w:r>
      <w:r>
        <w:rPr>
          <w:bCs/>
          <w:color w:val="000000"/>
          <w:sz w:val="24"/>
        </w:rPr>
        <w:t>－噪声源等效声级值，dB（A）；</w:t>
      </w:r>
    </w:p>
    <w:p>
      <w:pPr>
        <w:adjustRightInd w:val="0"/>
        <w:snapToGrid w:val="0"/>
        <w:spacing w:line="500" w:lineRule="exact"/>
        <w:ind w:firstLine="435"/>
        <w:rPr>
          <w:bCs/>
          <w:color w:val="000000"/>
          <w:sz w:val="24"/>
        </w:rPr>
      </w:pPr>
      <w:r>
        <w:rPr>
          <w:bCs/>
          <w:color w:val="000000"/>
          <w:sz w:val="24"/>
        </w:rPr>
        <w:t xml:space="preserve">          r、r</w:t>
      </w:r>
      <w:r>
        <w:rPr>
          <w:bCs/>
          <w:color w:val="000000"/>
          <w:sz w:val="24"/>
          <w:vertAlign w:val="subscript"/>
        </w:rPr>
        <w:t>o</w:t>
      </w:r>
      <w:r>
        <w:rPr>
          <w:bCs/>
          <w:color w:val="000000"/>
          <w:sz w:val="24"/>
        </w:rPr>
        <w:t>－距噪声源距离，m。</w:t>
      </w:r>
    </w:p>
    <w:p>
      <w:pPr>
        <w:adjustRightInd w:val="0"/>
        <w:snapToGrid w:val="0"/>
        <w:spacing w:line="500" w:lineRule="exact"/>
        <w:ind w:firstLine="435"/>
        <w:rPr>
          <w:bCs/>
          <w:color w:val="000000"/>
          <w:sz w:val="24"/>
        </w:rPr>
      </w:pPr>
      <w:r>
        <w:rPr>
          <w:bCs/>
          <w:color w:val="000000"/>
          <w:sz w:val="24"/>
        </w:rPr>
        <w:fldChar w:fldCharType="begin"/>
      </w:r>
      <w:r>
        <w:rPr>
          <w:bCs/>
          <w:color w:val="000000"/>
          <w:sz w:val="24"/>
        </w:rPr>
        <w:instrText xml:space="preserve">= 2 \* GB3</w:instrText>
      </w:r>
      <w:r>
        <w:rPr>
          <w:bCs/>
          <w:color w:val="000000"/>
          <w:sz w:val="24"/>
        </w:rPr>
        <w:fldChar w:fldCharType="separate"/>
      </w:r>
      <w:r>
        <w:rPr>
          <w:rFonts w:hint="eastAsia" w:ascii="宋体" w:hAnsi="宋体" w:cs="宋体"/>
          <w:bCs/>
          <w:color w:val="000000"/>
          <w:sz w:val="24"/>
        </w:rPr>
        <w:t>②</w:t>
      </w:r>
      <w:r>
        <w:rPr>
          <w:color w:val="000000"/>
          <w:sz w:val="24"/>
        </w:rPr>
        <w:fldChar w:fldCharType="end"/>
      </w:r>
      <w:r>
        <w:rPr>
          <w:bCs/>
          <w:color w:val="000000"/>
          <w:sz w:val="24"/>
        </w:rPr>
        <w:t>多源叠加公式</w:t>
      </w:r>
    </w:p>
    <w:p>
      <w:pPr>
        <w:adjustRightInd w:val="0"/>
        <w:snapToGrid w:val="0"/>
        <w:spacing w:line="276" w:lineRule="auto"/>
        <w:ind w:firstLine="435"/>
        <w:jc w:val="center"/>
        <w:rPr>
          <w:bCs/>
          <w:color w:val="000000"/>
          <w:sz w:val="24"/>
        </w:rPr>
      </w:pPr>
      <w:r>
        <w:rPr>
          <w:bCs/>
          <w:color w:val="000000"/>
          <w:position w:val="-26"/>
          <w:sz w:val="24"/>
        </w:rPr>
        <w:drawing>
          <wp:inline distT="0" distB="0" distL="0" distR="0">
            <wp:extent cx="1419225" cy="485775"/>
            <wp:effectExtent l="0" t="0" r="952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23" cstate="print"/>
                    <a:srcRect/>
                    <a:stretch>
                      <a:fillRect/>
                    </a:stretch>
                  </pic:blipFill>
                  <pic:spPr>
                    <a:xfrm>
                      <a:off x="0" y="0"/>
                      <a:ext cx="1419225" cy="485775"/>
                    </a:xfrm>
                    <a:prstGeom prst="rect">
                      <a:avLst/>
                    </a:prstGeom>
                    <a:noFill/>
                    <a:ln w="9525">
                      <a:noFill/>
                      <a:miter lim="800000"/>
                      <a:headEnd/>
                      <a:tailEnd/>
                    </a:ln>
                  </pic:spPr>
                </pic:pic>
              </a:graphicData>
            </a:graphic>
          </wp:inline>
        </w:drawing>
      </w:r>
    </w:p>
    <w:p>
      <w:pPr>
        <w:adjustRightInd w:val="0"/>
        <w:snapToGrid w:val="0"/>
        <w:spacing w:line="500" w:lineRule="exact"/>
        <w:ind w:firstLine="435"/>
        <w:rPr>
          <w:bCs/>
          <w:color w:val="000000"/>
          <w:sz w:val="24"/>
        </w:rPr>
      </w:pPr>
      <w:r>
        <w:rPr>
          <w:bCs/>
          <w:color w:val="000000"/>
          <w:sz w:val="24"/>
        </w:rPr>
        <w:t xml:space="preserve">     式中：L－总等声级，dB（A）；</w:t>
      </w:r>
    </w:p>
    <w:p>
      <w:pPr>
        <w:adjustRightInd w:val="0"/>
        <w:snapToGrid w:val="0"/>
        <w:spacing w:line="500" w:lineRule="exact"/>
        <w:ind w:firstLine="435"/>
        <w:rPr>
          <w:bCs/>
          <w:color w:val="000000"/>
          <w:sz w:val="24"/>
        </w:rPr>
      </w:pPr>
      <w:r>
        <w:rPr>
          <w:bCs/>
          <w:color w:val="000000"/>
          <w:sz w:val="24"/>
        </w:rPr>
        <w:t xml:space="preserve">           n－声源数量；</w:t>
      </w:r>
    </w:p>
    <w:p>
      <w:pPr>
        <w:adjustRightInd w:val="0"/>
        <w:snapToGrid w:val="0"/>
        <w:spacing w:line="500" w:lineRule="exact"/>
        <w:ind w:firstLine="435"/>
        <w:rPr>
          <w:bCs/>
          <w:color w:val="000000"/>
          <w:sz w:val="24"/>
        </w:rPr>
      </w:pPr>
      <w:r>
        <w:rPr>
          <w:bCs/>
          <w:color w:val="000000"/>
          <w:sz w:val="24"/>
        </w:rPr>
        <w:t xml:space="preserve">           L</w:t>
      </w:r>
      <w:r>
        <w:rPr>
          <w:bCs/>
          <w:color w:val="000000"/>
          <w:sz w:val="24"/>
          <w:vertAlign w:val="subscript"/>
        </w:rPr>
        <w:t>i</w:t>
      </w:r>
      <w:r>
        <w:rPr>
          <w:bCs/>
          <w:color w:val="000000"/>
          <w:sz w:val="24"/>
        </w:rPr>
        <w:t>－第i个声源对受声点的声压级，dB（A）。</w:t>
      </w:r>
    </w:p>
    <w:p>
      <w:pPr>
        <w:adjustRightInd w:val="0"/>
        <w:snapToGrid w:val="0"/>
        <w:spacing w:line="500" w:lineRule="exact"/>
        <w:ind w:firstLine="435"/>
        <w:rPr>
          <w:bCs/>
          <w:color w:val="000000"/>
          <w:sz w:val="24"/>
        </w:rPr>
      </w:pPr>
      <w:r>
        <w:rPr>
          <w:rFonts w:hint="eastAsia" w:ascii="宋体" w:hAnsi="宋体" w:cs="宋体"/>
          <w:bCs/>
          <w:color w:val="000000"/>
          <w:sz w:val="24"/>
        </w:rPr>
        <w:t>③</w:t>
      </w:r>
      <w:r>
        <w:rPr>
          <w:bCs/>
          <w:color w:val="000000"/>
          <w:sz w:val="24"/>
        </w:rPr>
        <w:t>面声源影响预测公式</w:t>
      </w:r>
    </w:p>
    <w:p>
      <w:pPr>
        <w:adjustRightInd w:val="0"/>
        <w:snapToGrid w:val="0"/>
        <w:spacing w:line="500" w:lineRule="exact"/>
        <w:ind w:firstLine="435"/>
        <w:jc w:val="center"/>
        <w:rPr>
          <w:bCs/>
          <w:color w:val="000000"/>
          <w:sz w:val="24"/>
        </w:rPr>
      </w:pPr>
      <w:r>
        <w:rPr>
          <w:bCs/>
          <w:color w:val="000000"/>
          <w:sz w:val="24"/>
        </w:rPr>
        <w:drawing>
          <wp:inline distT="0" distB="0" distL="0" distR="0">
            <wp:extent cx="1438275" cy="257175"/>
            <wp:effectExtent l="0" t="0" r="9525"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24" cstate="print"/>
                    <a:srcRect/>
                    <a:stretch>
                      <a:fillRect/>
                    </a:stretch>
                  </pic:blipFill>
                  <pic:spPr>
                    <a:xfrm>
                      <a:off x="0" y="0"/>
                      <a:ext cx="1438275" cy="257175"/>
                    </a:xfrm>
                    <a:prstGeom prst="rect">
                      <a:avLst/>
                    </a:prstGeom>
                    <a:noFill/>
                    <a:ln w="9525">
                      <a:noFill/>
                      <a:miter lim="800000"/>
                      <a:headEnd/>
                      <a:tailEnd/>
                    </a:ln>
                  </pic:spPr>
                </pic:pic>
              </a:graphicData>
            </a:graphic>
          </wp:inline>
        </w:drawing>
      </w:r>
    </w:p>
    <w:p>
      <w:pPr>
        <w:adjustRightInd w:val="0"/>
        <w:snapToGrid w:val="0"/>
        <w:spacing w:line="500" w:lineRule="exact"/>
        <w:ind w:firstLine="435"/>
        <w:rPr>
          <w:bCs/>
          <w:color w:val="000000"/>
          <w:sz w:val="24"/>
        </w:rPr>
      </w:pPr>
      <w:r>
        <w:rPr>
          <w:bCs/>
          <w:color w:val="000000"/>
          <w:sz w:val="24"/>
        </w:rPr>
        <w:t>当r＜a/π时，A</w:t>
      </w:r>
      <w:r>
        <w:rPr>
          <w:bCs/>
          <w:color w:val="000000"/>
          <w:sz w:val="24"/>
          <w:vertAlign w:val="subscript"/>
        </w:rPr>
        <w:t>div</w:t>
      </w:r>
      <w:r>
        <w:rPr>
          <w:bCs/>
          <w:color w:val="000000"/>
          <w:sz w:val="24"/>
        </w:rPr>
        <w:t>≈0；当a/π＜r＜b/π，A</w:t>
      </w:r>
      <w:r>
        <w:rPr>
          <w:bCs/>
          <w:color w:val="000000"/>
          <w:sz w:val="24"/>
          <w:vertAlign w:val="subscript"/>
        </w:rPr>
        <w:t>div</w:t>
      </w:r>
      <w:r>
        <w:rPr>
          <w:bCs/>
          <w:color w:val="000000"/>
          <w:sz w:val="24"/>
        </w:rPr>
        <w:t>≈10lg（r/r</w:t>
      </w:r>
      <w:r>
        <w:rPr>
          <w:bCs/>
          <w:color w:val="000000"/>
          <w:sz w:val="24"/>
          <w:vertAlign w:val="subscript"/>
        </w:rPr>
        <w:t>0</w:t>
      </w:r>
      <w:r>
        <w:rPr>
          <w:bCs/>
          <w:color w:val="000000"/>
          <w:sz w:val="24"/>
        </w:rPr>
        <w:t>）；当r＞b/π时，A</w:t>
      </w:r>
      <w:r>
        <w:rPr>
          <w:bCs/>
          <w:color w:val="000000"/>
          <w:sz w:val="24"/>
          <w:vertAlign w:val="subscript"/>
        </w:rPr>
        <w:t>div</w:t>
      </w:r>
      <w:r>
        <w:rPr>
          <w:bCs/>
          <w:color w:val="000000"/>
          <w:sz w:val="24"/>
        </w:rPr>
        <w:t>≈20lg（r/r</w:t>
      </w:r>
      <w:r>
        <w:rPr>
          <w:bCs/>
          <w:color w:val="000000"/>
          <w:sz w:val="24"/>
          <w:vertAlign w:val="subscript"/>
        </w:rPr>
        <w:t>0</w:t>
      </w:r>
      <w:r>
        <w:rPr>
          <w:bCs/>
          <w:color w:val="000000"/>
          <w:sz w:val="24"/>
        </w:rPr>
        <w:t>）</w:t>
      </w:r>
    </w:p>
    <w:p>
      <w:pPr>
        <w:adjustRightInd w:val="0"/>
        <w:snapToGrid w:val="0"/>
        <w:spacing w:line="500" w:lineRule="exact"/>
        <w:ind w:firstLine="435"/>
        <w:rPr>
          <w:bCs/>
          <w:color w:val="000000"/>
          <w:sz w:val="24"/>
        </w:rPr>
      </w:pPr>
      <w:r>
        <w:rPr>
          <w:bCs/>
          <w:color w:val="000000"/>
          <w:sz w:val="24"/>
        </w:rPr>
        <w:t>式中：L</w:t>
      </w:r>
      <w:r>
        <w:rPr>
          <w:bCs/>
          <w:color w:val="000000"/>
          <w:sz w:val="24"/>
          <w:vertAlign w:val="subscript"/>
        </w:rPr>
        <w:t>i</w:t>
      </w:r>
      <w:r>
        <w:rPr>
          <w:bCs/>
          <w:color w:val="000000"/>
          <w:sz w:val="24"/>
        </w:rPr>
        <w:t>——第i个声源用于预测点的噪声值dB(A)；</w:t>
      </w:r>
    </w:p>
    <w:p>
      <w:pPr>
        <w:adjustRightInd w:val="0"/>
        <w:snapToGrid w:val="0"/>
        <w:spacing w:line="500" w:lineRule="exact"/>
        <w:ind w:firstLine="1152" w:firstLineChars="480"/>
        <w:rPr>
          <w:bCs/>
          <w:color w:val="000000"/>
          <w:sz w:val="24"/>
        </w:rPr>
      </w:pPr>
      <w:r>
        <w:rPr>
          <w:bCs/>
          <w:color w:val="000000"/>
          <w:sz w:val="24"/>
        </w:rPr>
        <w:t>L</w:t>
      </w:r>
      <w:r>
        <w:rPr>
          <w:bCs/>
          <w:color w:val="000000"/>
          <w:sz w:val="24"/>
          <w:vertAlign w:val="subscript"/>
        </w:rPr>
        <w:t>Aeq总</w:t>
      </w:r>
      <w:r>
        <w:rPr>
          <w:bCs/>
          <w:color w:val="000000"/>
          <w:sz w:val="24"/>
        </w:rPr>
        <w:t>——预测点总等效声级dB(A)；</w:t>
      </w:r>
    </w:p>
    <w:p>
      <w:pPr>
        <w:adjustRightInd w:val="0"/>
        <w:snapToGrid w:val="0"/>
        <w:spacing w:line="500" w:lineRule="exact"/>
        <w:ind w:firstLine="1152" w:firstLineChars="480"/>
        <w:rPr>
          <w:bCs/>
          <w:color w:val="000000"/>
          <w:sz w:val="24"/>
        </w:rPr>
      </w:pPr>
      <w:r>
        <w:rPr>
          <w:bCs/>
          <w:i/>
          <w:color w:val="000000"/>
          <w:sz w:val="24"/>
        </w:rPr>
        <w:t>L</w:t>
      </w:r>
      <w:r>
        <w:rPr>
          <w:bCs/>
          <w:i/>
          <w:color w:val="000000"/>
          <w:sz w:val="24"/>
          <w:vertAlign w:val="subscript"/>
        </w:rPr>
        <w:t>(r0)</w:t>
      </w:r>
      <w:r>
        <w:rPr>
          <w:bCs/>
          <w:color w:val="000000"/>
          <w:sz w:val="24"/>
        </w:rPr>
        <w:t>——距离噪声源r</w:t>
      </w:r>
      <w:r>
        <w:rPr>
          <w:bCs/>
          <w:color w:val="000000"/>
          <w:sz w:val="24"/>
          <w:vertAlign w:val="subscript"/>
        </w:rPr>
        <w:t>0</w:t>
      </w:r>
      <w:r>
        <w:rPr>
          <w:bCs/>
          <w:color w:val="000000"/>
          <w:sz w:val="24"/>
        </w:rPr>
        <w:t>处的等效A声级值，dB(A)；</w:t>
      </w:r>
    </w:p>
    <w:p>
      <w:pPr>
        <w:adjustRightInd w:val="0"/>
        <w:snapToGrid w:val="0"/>
        <w:spacing w:line="500" w:lineRule="exact"/>
        <w:ind w:firstLine="1152" w:firstLineChars="480"/>
        <w:rPr>
          <w:bCs/>
          <w:color w:val="000000"/>
          <w:sz w:val="24"/>
        </w:rPr>
      </w:pPr>
      <w:r>
        <w:rPr>
          <w:bCs/>
          <w:i/>
          <w:color w:val="000000"/>
          <w:sz w:val="24"/>
        </w:rPr>
        <w:t>r</w:t>
      </w:r>
      <w:r>
        <w:rPr>
          <w:bCs/>
          <w:color w:val="000000"/>
          <w:sz w:val="24"/>
        </w:rPr>
        <w:t>——预测点距噪声源距离，m；</w:t>
      </w:r>
    </w:p>
    <w:p>
      <w:pPr>
        <w:adjustRightInd w:val="0"/>
        <w:snapToGrid w:val="0"/>
        <w:spacing w:line="500" w:lineRule="exact"/>
        <w:ind w:firstLine="1152" w:firstLineChars="480"/>
        <w:rPr>
          <w:bCs/>
          <w:color w:val="000000"/>
          <w:sz w:val="24"/>
        </w:rPr>
      </w:pPr>
      <w:r>
        <w:rPr>
          <w:bCs/>
          <w:i/>
          <w:color w:val="000000"/>
          <w:sz w:val="24"/>
        </w:rPr>
        <w:t>r</w:t>
      </w:r>
      <w:r>
        <w:rPr>
          <w:bCs/>
          <w:i/>
          <w:color w:val="000000"/>
          <w:sz w:val="24"/>
          <w:vertAlign w:val="subscript"/>
        </w:rPr>
        <w:t>0</w:t>
      </w:r>
      <w:r>
        <w:rPr>
          <w:bCs/>
          <w:color w:val="000000"/>
          <w:sz w:val="24"/>
        </w:rPr>
        <w:t>——源强外1m处；</w:t>
      </w:r>
    </w:p>
    <w:p>
      <w:pPr>
        <w:adjustRightInd w:val="0"/>
        <w:snapToGrid w:val="0"/>
        <w:spacing w:line="500" w:lineRule="exact"/>
        <w:ind w:firstLine="1032" w:firstLineChars="430"/>
        <w:rPr>
          <w:bCs/>
          <w:color w:val="000000"/>
          <w:sz w:val="24"/>
        </w:rPr>
      </w:pPr>
      <w:r>
        <w:rPr>
          <w:rFonts w:ascii="Cambria Math" w:hAnsi="Cambria Math" w:cs="Cambria Math"/>
          <w:bCs/>
          <w:color w:val="000000"/>
          <w:sz w:val="24"/>
        </w:rPr>
        <w:t>△</w:t>
      </w:r>
      <w:r>
        <w:rPr>
          <w:bCs/>
          <w:color w:val="000000"/>
          <w:sz w:val="24"/>
        </w:rPr>
        <w:t>L——其它各种因素引起的附加衰减量（包括遮挡物、空气吸收、地面效应等引起的衰减量），dB(A)；</w:t>
      </w:r>
    </w:p>
    <w:p>
      <w:pPr>
        <w:adjustRightInd w:val="0"/>
        <w:snapToGrid w:val="0"/>
        <w:spacing w:line="500" w:lineRule="exact"/>
        <w:ind w:firstLine="1032" w:firstLineChars="430"/>
        <w:rPr>
          <w:bCs/>
          <w:color w:val="000000"/>
          <w:sz w:val="24"/>
        </w:rPr>
      </w:pPr>
      <w:r>
        <w:rPr>
          <w:bCs/>
          <w:i/>
          <w:color w:val="000000"/>
          <w:sz w:val="24"/>
        </w:rPr>
        <w:t>n</w:t>
      </w:r>
      <w:r>
        <w:rPr>
          <w:bCs/>
          <w:color w:val="000000"/>
          <w:sz w:val="24"/>
        </w:rPr>
        <w:t>——声源数量。</w:t>
      </w:r>
    </w:p>
    <w:p>
      <w:pPr>
        <w:adjustRightInd w:val="0"/>
        <w:snapToGrid w:val="0"/>
        <w:spacing w:line="500" w:lineRule="exact"/>
        <w:ind w:firstLine="435"/>
        <w:rPr>
          <w:bCs/>
          <w:color w:val="000000"/>
          <w:sz w:val="24"/>
        </w:rPr>
      </w:pPr>
      <w:r>
        <w:rPr>
          <w:bCs/>
          <w:color w:val="000000"/>
          <w:sz w:val="24"/>
        </w:rPr>
        <w:t>作为一个整体的的长方形面声源（b＞a），中心轴线上的几何发散声衰减可近似如下：预测点和面声源中心距离r＜a/π时，几何发散衰减A</w:t>
      </w:r>
      <w:r>
        <w:rPr>
          <w:bCs/>
          <w:color w:val="000000"/>
          <w:sz w:val="24"/>
          <w:vertAlign w:val="subscript"/>
        </w:rPr>
        <w:t>div</w:t>
      </w:r>
      <w:r>
        <w:rPr>
          <w:bCs/>
          <w:color w:val="000000"/>
          <w:sz w:val="24"/>
        </w:rPr>
        <w:t>≈0；当a/π＜r＜b/π，距离加倍衰减3dB左右，类似线声源，A</w:t>
      </w:r>
      <w:r>
        <w:rPr>
          <w:bCs/>
          <w:color w:val="000000"/>
          <w:sz w:val="24"/>
          <w:vertAlign w:val="subscript"/>
        </w:rPr>
        <w:t>div</w:t>
      </w:r>
      <w:r>
        <w:rPr>
          <w:bCs/>
          <w:color w:val="000000"/>
          <w:sz w:val="24"/>
        </w:rPr>
        <w:t>≈10lg（r/r</w:t>
      </w:r>
      <w:r>
        <w:rPr>
          <w:bCs/>
          <w:color w:val="000000"/>
          <w:sz w:val="24"/>
          <w:vertAlign w:val="subscript"/>
        </w:rPr>
        <w:t>0</w:t>
      </w:r>
      <w:r>
        <w:rPr>
          <w:bCs/>
          <w:color w:val="000000"/>
          <w:sz w:val="24"/>
        </w:rPr>
        <w:t>）；当r＞b/π时，距离加倍衰减趋近于6dB，类似点声源衰减，A</w:t>
      </w:r>
      <w:r>
        <w:rPr>
          <w:bCs/>
          <w:color w:val="000000"/>
          <w:sz w:val="24"/>
          <w:vertAlign w:val="subscript"/>
        </w:rPr>
        <w:t>div</w:t>
      </w:r>
      <w:r>
        <w:rPr>
          <w:bCs/>
          <w:color w:val="000000"/>
          <w:sz w:val="24"/>
        </w:rPr>
        <w:t>≈20lg（r/r</w:t>
      </w:r>
      <w:r>
        <w:rPr>
          <w:bCs/>
          <w:color w:val="000000"/>
          <w:sz w:val="24"/>
          <w:vertAlign w:val="subscript"/>
        </w:rPr>
        <w:t>0</w:t>
      </w:r>
      <w:r>
        <w:rPr>
          <w:bCs/>
          <w:color w:val="000000"/>
          <w:sz w:val="24"/>
        </w:rPr>
        <w:t>）。</w:t>
      </w:r>
    </w:p>
    <w:p>
      <w:pPr>
        <w:adjustRightInd w:val="0"/>
        <w:snapToGrid w:val="0"/>
        <w:spacing w:line="500" w:lineRule="exact"/>
        <w:ind w:firstLine="435"/>
        <w:rPr>
          <w:color w:val="000000"/>
          <w:sz w:val="24"/>
        </w:rPr>
      </w:pPr>
      <w:r>
        <w:rPr>
          <w:color w:val="000000"/>
          <w:sz w:val="24"/>
        </w:rPr>
        <w:t>根据公司提供的场区平面布置图，则项目各场界噪声预测结果见表</w:t>
      </w:r>
      <w:r>
        <w:rPr>
          <w:rFonts w:hint="eastAsia"/>
          <w:color w:val="000000"/>
          <w:sz w:val="24"/>
          <w:lang w:val="en-US" w:eastAsia="zh-CN"/>
        </w:rPr>
        <w:t>4.2-16</w:t>
      </w:r>
      <w:r>
        <w:rPr>
          <w:color w:val="000000"/>
          <w:sz w:val="24"/>
        </w:rPr>
        <w:t>。</w:t>
      </w:r>
    </w:p>
    <w:p>
      <w:pPr>
        <w:adjustRightInd w:val="0"/>
        <w:snapToGrid w:val="0"/>
        <w:spacing w:beforeLines="50" w:afterLines="50"/>
        <w:jc w:val="center"/>
        <w:rPr>
          <w:b/>
          <w:color w:val="000000"/>
          <w:szCs w:val="21"/>
        </w:rPr>
      </w:pPr>
      <w:r>
        <w:rPr>
          <w:b/>
          <w:color w:val="000000"/>
          <w:szCs w:val="21"/>
        </w:rPr>
        <w:t>表</w:t>
      </w:r>
      <w:r>
        <w:rPr>
          <w:rFonts w:hint="eastAsia"/>
          <w:b/>
          <w:color w:val="000000"/>
          <w:szCs w:val="21"/>
          <w:lang w:val="en-US" w:eastAsia="zh-CN"/>
        </w:rPr>
        <w:t>4.2-16</w:t>
      </w:r>
      <w:r>
        <w:rPr>
          <w:b/>
          <w:color w:val="000000"/>
          <w:szCs w:val="21"/>
        </w:rPr>
        <w:t xml:space="preserve">   项目场界噪声贡献值</w:t>
      </w:r>
    </w:p>
    <w:tbl>
      <w:tblPr>
        <w:tblStyle w:val="45"/>
        <w:tblW w:w="8440" w:type="dxa"/>
        <w:tblInd w:w="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800"/>
        <w:gridCol w:w="1880"/>
        <w:gridCol w:w="1900"/>
        <w:gridCol w:w="1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trPr>
        <w:tc>
          <w:tcPr>
            <w:tcW w:w="1080" w:type="dxa"/>
            <w:tcBorders>
              <w:tl2br w:val="nil"/>
              <w:tr2bl w:val="nil"/>
            </w:tcBorders>
            <w:shd w:val="clear" w:color="auto" w:fill="auto"/>
            <w:vAlign w:val="center"/>
          </w:tcPr>
          <w:p>
            <w:pPr>
              <w:widowControl/>
              <w:jc w:val="center"/>
              <w:rPr>
                <w:bCs/>
                <w:color w:val="000000"/>
                <w:kern w:val="0"/>
                <w:szCs w:val="21"/>
              </w:rPr>
            </w:pPr>
            <w:r>
              <w:rPr>
                <w:bCs/>
                <w:color w:val="000000"/>
                <w:kern w:val="0"/>
                <w:szCs w:val="21"/>
              </w:rPr>
              <w:t>预测点</w:t>
            </w:r>
          </w:p>
        </w:tc>
        <w:tc>
          <w:tcPr>
            <w:tcW w:w="1800" w:type="dxa"/>
            <w:tcBorders>
              <w:tl2br w:val="nil"/>
              <w:tr2bl w:val="nil"/>
            </w:tcBorders>
            <w:shd w:val="clear" w:color="auto" w:fill="auto"/>
            <w:vAlign w:val="center"/>
          </w:tcPr>
          <w:p>
            <w:pPr>
              <w:widowControl/>
              <w:jc w:val="center"/>
              <w:rPr>
                <w:bCs/>
                <w:color w:val="000000"/>
                <w:kern w:val="0"/>
                <w:szCs w:val="21"/>
              </w:rPr>
            </w:pPr>
            <w:r>
              <w:rPr>
                <w:bCs/>
                <w:color w:val="000000"/>
                <w:kern w:val="0"/>
                <w:szCs w:val="21"/>
              </w:rPr>
              <w:t>噪声源</w:t>
            </w:r>
          </w:p>
        </w:tc>
        <w:tc>
          <w:tcPr>
            <w:tcW w:w="1880" w:type="dxa"/>
            <w:tcBorders>
              <w:tl2br w:val="nil"/>
              <w:tr2bl w:val="nil"/>
            </w:tcBorders>
            <w:shd w:val="clear" w:color="auto" w:fill="auto"/>
            <w:vAlign w:val="center"/>
          </w:tcPr>
          <w:p>
            <w:pPr>
              <w:widowControl/>
              <w:jc w:val="center"/>
              <w:rPr>
                <w:bCs/>
                <w:color w:val="000000"/>
                <w:kern w:val="0"/>
                <w:szCs w:val="21"/>
              </w:rPr>
            </w:pPr>
            <w:r>
              <w:rPr>
                <w:bCs/>
                <w:color w:val="000000"/>
                <w:kern w:val="0"/>
                <w:szCs w:val="21"/>
              </w:rPr>
              <w:t>预测点距离噪声源距离</w:t>
            </w:r>
          </w:p>
        </w:tc>
        <w:tc>
          <w:tcPr>
            <w:tcW w:w="1900" w:type="dxa"/>
            <w:tcBorders>
              <w:tl2br w:val="nil"/>
              <w:tr2bl w:val="nil"/>
            </w:tcBorders>
            <w:shd w:val="clear" w:color="auto" w:fill="auto"/>
            <w:vAlign w:val="center"/>
          </w:tcPr>
          <w:p>
            <w:pPr>
              <w:widowControl/>
              <w:jc w:val="center"/>
              <w:rPr>
                <w:bCs/>
                <w:color w:val="000000"/>
                <w:kern w:val="0"/>
                <w:szCs w:val="21"/>
              </w:rPr>
            </w:pPr>
            <w:r>
              <w:rPr>
                <w:bCs/>
                <w:color w:val="000000"/>
                <w:kern w:val="0"/>
                <w:szCs w:val="21"/>
              </w:rPr>
              <w:t>对预测点噪声贡献值（dB(A)）</w:t>
            </w:r>
          </w:p>
        </w:tc>
        <w:tc>
          <w:tcPr>
            <w:tcW w:w="1780" w:type="dxa"/>
            <w:tcBorders>
              <w:tl2br w:val="nil"/>
              <w:tr2bl w:val="nil"/>
            </w:tcBorders>
            <w:shd w:val="clear" w:color="auto" w:fill="auto"/>
            <w:vAlign w:val="center"/>
          </w:tcPr>
          <w:p>
            <w:pPr>
              <w:widowControl/>
              <w:jc w:val="center"/>
              <w:rPr>
                <w:bCs/>
                <w:color w:val="000000"/>
                <w:kern w:val="0"/>
                <w:szCs w:val="21"/>
              </w:rPr>
            </w:pPr>
            <w:r>
              <w:rPr>
                <w:bCs/>
                <w:color w:val="000000"/>
                <w:kern w:val="0"/>
                <w:szCs w:val="21"/>
              </w:rPr>
              <w:t>对预测点噪声贡献值叠加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东场界</w:t>
            </w: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猪叫</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8.15</w:t>
            </w:r>
          </w:p>
        </w:tc>
        <w:tc>
          <w:tcPr>
            <w:tcW w:w="17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36.49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风机</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23</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水泵</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00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18.9</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固液分离机</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26</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翻抛机</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50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26</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西场界</w:t>
            </w: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猪叫</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28.9</w:t>
            </w:r>
          </w:p>
        </w:tc>
        <w:tc>
          <w:tcPr>
            <w:tcW w:w="17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41.35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风机</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25</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42</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水泵</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38.9</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固液分离机</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100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22.5</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翻抛机</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33.9</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北场界</w:t>
            </w: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猪叫</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100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15</w:t>
            </w:r>
          </w:p>
        </w:tc>
        <w:tc>
          <w:tcPr>
            <w:tcW w:w="17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31.6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风机</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00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12</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水泵</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06</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11</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固液分离机</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00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11</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翻抛机</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50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3.7</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南场界</w:t>
            </w: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猪叫</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40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22.9</w:t>
            </w:r>
          </w:p>
        </w:tc>
        <w:tc>
          <w:tcPr>
            <w:tcW w:w="1780" w:type="dxa"/>
            <w:vMerge w:val="restart"/>
            <w:tcBorders>
              <w:tl2br w:val="nil"/>
              <w:tr2bl w:val="nil"/>
            </w:tcBorders>
            <w:shd w:val="clear" w:color="auto" w:fill="auto"/>
            <w:vAlign w:val="center"/>
          </w:tcPr>
          <w:p>
            <w:pPr>
              <w:widowControl/>
              <w:jc w:val="center"/>
              <w:rPr>
                <w:color w:val="000000"/>
                <w:kern w:val="0"/>
                <w:szCs w:val="21"/>
              </w:rPr>
            </w:pPr>
            <w:r>
              <w:rPr>
                <w:color w:val="000000"/>
                <w:kern w:val="0"/>
                <w:szCs w:val="21"/>
              </w:rPr>
              <w:t>36.14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风机</w:t>
            </w:r>
          </w:p>
        </w:tc>
        <w:tc>
          <w:tcPr>
            <w:tcW w:w="1880" w:type="dxa"/>
            <w:tcBorders>
              <w:tl2br w:val="nil"/>
              <w:tr2bl w:val="nil"/>
            </w:tcBorders>
            <w:shd w:val="clear" w:color="auto" w:fill="auto"/>
            <w:vAlign w:val="center"/>
          </w:tcPr>
          <w:p>
            <w:pPr>
              <w:widowControl/>
              <w:jc w:val="center"/>
              <w:rPr>
                <w:color w:val="000000"/>
                <w:kern w:val="0"/>
                <w:szCs w:val="21"/>
              </w:rPr>
            </w:pPr>
            <w:r>
              <w:rPr>
                <w:color w:val="000000"/>
                <w:kern w:val="0"/>
                <w:szCs w:val="21"/>
              </w:rPr>
              <w:t>45</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25.6</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水泵</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30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18</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固液分离机</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60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16.7</w:t>
            </w:r>
          </w:p>
        </w:tc>
        <w:tc>
          <w:tcPr>
            <w:tcW w:w="1780" w:type="dxa"/>
            <w:vMerge w:val="continue"/>
            <w:tcBorders>
              <w:tl2br w:val="nil"/>
              <w:tr2bl w:val="nil"/>
            </w:tcBorders>
            <w:vAlign w:val="center"/>
          </w:tcPr>
          <w:p>
            <w:pPr>
              <w:widowControl/>
              <w:jc w:val="left"/>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080" w:type="dxa"/>
            <w:vMerge w:val="continue"/>
            <w:tcBorders>
              <w:tl2br w:val="nil"/>
              <w:tr2bl w:val="nil"/>
            </w:tcBorders>
            <w:vAlign w:val="center"/>
          </w:tcPr>
          <w:p>
            <w:pPr>
              <w:widowControl/>
              <w:jc w:val="left"/>
              <w:rPr>
                <w:color w:val="000000"/>
                <w:kern w:val="0"/>
                <w:szCs w:val="21"/>
              </w:rPr>
            </w:pPr>
          </w:p>
        </w:tc>
        <w:tc>
          <w:tcPr>
            <w:tcW w:w="1800" w:type="dxa"/>
            <w:tcBorders>
              <w:tl2br w:val="nil"/>
              <w:tr2bl w:val="nil"/>
            </w:tcBorders>
            <w:shd w:val="clear" w:color="auto" w:fill="auto"/>
            <w:vAlign w:val="center"/>
          </w:tcPr>
          <w:p>
            <w:pPr>
              <w:widowControl/>
              <w:jc w:val="center"/>
              <w:rPr>
                <w:color w:val="000000"/>
                <w:kern w:val="0"/>
                <w:szCs w:val="21"/>
              </w:rPr>
            </w:pPr>
            <w:r>
              <w:rPr>
                <w:color w:val="000000"/>
                <w:kern w:val="0"/>
                <w:szCs w:val="21"/>
              </w:rPr>
              <w:t>翻抛机</w:t>
            </w:r>
          </w:p>
        </w:tc>
        <w:tc>
          <w:tcPr>
            <w:tcW w:w="1880" w:type="dxa"/>
            <w:tcBorders>
              <w:tl2br w:val="nil"/>
              <w:tr2bl w:val="nil"/>
            </w:tcBorders>
            <w:shd w:val="clear" w:color="auto" w:fill="auto"/>
            <w:vAlign w:val="center"/>
          </w:tcPr>
          <w:p>
            <w:pPr>
              <w:widowControl/>
              <w:jc w:val="center"/>
              <w:rPr>
                <w:color w:val="000000"/>
                <w:kern w:val="0"/>
                <w:szCs w:val="21"/>
              </w:rPr>
            </w:pPr>
            <w:r>
              <w:rPr>
                <w:rFonts w:hint="eastAsia"/>
                <w:color w:val="000000"/>
                <w:kern w:val="0"/>
                <w:szCs w:val="21"/>
                <w:lang w:val="en-US" w:eastAsia="zh-CN"/>
              </w:rPr>
              <w:t>1</w:t>
            </w:r>
            <w:r>
              <w:rPr>
                <w:color w:val="000000"/>
                <w:kern w:val="0"/>
                <w:szCs w:val="21"/>
              </w:rPr>
              <w:t>20</w:t>
            </w:r>
          </w:p>
        </w:tc>
        <w:tc>
          <w:tcPr>
            <w:tcW w:w="1900" w:type="dxa"/>
            <w:tcBorders>
              <w:tl2br w:val="nil"/>
              <w:tr2bl w:val="nil"/>
            </w:tcBorders>
            <w:shd w:val="clear" w:color="auto" w:fill="auto"/>
            <w:vAlign w:val="center"/>
          </w:tcPr>
          <w:p>
            <w:pPr>
              <w:widowControl/>
              <w:jc w:val="center"/>
              <w:rPr>
                <w:color w:val="000000"/>
                <w:kern w:val="0"/>
                <w:szCs w:val="21"/>
              </w:rPr>
            </w:pPr>
            <w:r>
              <w:rPr>
                <w:color w:val="000000"/>
                <w:kern w:val="0"/>
                <w:szCs w:val="21"/>
              </w:rPr>
              <w:t>13</w:t>
            </w:r>
          </w:p>
        </w:tc>
        <w:tc>
          <w:tcPr>
            <w:tcW w:w="1780" w:type="dxa"/>
            <w:vMerge w:val="continue"/>
            <w:tcBorders>
              <w:tl2br w:val="nil"/>
              <w:tr2bl w:val="nil"/>
            </w:tcBorders>
            <w:vAlign w:val="center"/>
          </w:tcPr>
          <w:p>
            <w:pPr>
              <w:widowControl/>
              <w:jc w:val="left"/>
              <w:rPr>
                <w:color w:val="000000"/>
                <w:kern w:val="0"/>
                <w:szCs w:val="21"/>
              </w:rPr>
            </w:pPr>
          </w:p>
        </w:tc>
      </w:tr>
    </w:tbl>
    <w:p>
      <w:pPr>
        <w:adjustRightInd w:val="0"/>
        <w:snapToGrid w:val="0"/>
        <w:spacing w:line="500" w:lineRule="exact"/>
        <w:ind w:firstLine="435"/>
        <w:rPr>
          <w:color w:val="000000"/>
          <w:sz w:val="24"/>
        </w:rPr>
      </w:pPr>
      <w:r>
        <w:rPr>
          <w:color w:val="000000"/>
          <w:sz w:val="24"/>
        </w:rPr>
        <w:t>由以上分析知：项目主要噪声源经采取隔声、基础减振及场区绿化等降噪措施，并经一定距离衰减后，噪声贡献值较小，各场界均能够满足《工业企业厂界环境噪声排放标准》（GB12348-2008）</w:t>
      </w:r>
      <w:r>
        <w:rPr>
          <w:rFonts w:hint="eastAsia"/>
          <w:color w:val="000000"/>
          <w:sz w:val="24"/>
          <w:lang w:val="en-US" w:eastAsia="zh-CN"/>
        </w:rPr>
        <w:t>2</w:t>
      </w:r>
      <w:r>
        <w:rPr>
          <w:color w:val="000000"/>
          <w:sz w:val="24"/>
        </w:rPr>
        <w:t>类标准要求。</w:t>
      </w:r>
    </w:p>
    <w:p>
      <w:pPr>
        <w:spacing w:line="600" w:lineRule="exact"/>
        <w:outlineLvl w:val="2"/>
        <w:rPr>
          <w:b/>
          <w:color w:val="000000"/>
          <w:sz w:val="24"/>
        </w:rPr>
      </w:pPr>
      <w:r>
        <w:rPr>
          <w:rFonts w:hint="eastAsia"/>
          <w:b/>
          <w:color w:val="000000"/>
          <w:sz w:val="24"/>
          <w:lang w:val="en-US" w:eastAsia="zh-CN"/>
        </w:rPr>
        <w:t>4</w:t>
      </w:r>
      <w:r>
        <w:rPr>
          <w:b/>
          <w:color w:val="000000"/>
          <w:sz w:val="24"/>
        </w:rPr>
        <w:t>.2.5 固体废物对环境的影响分析</w:t>
      </w:r>
    </w:p>
    <w:p>
      <w:pPr>
        <w:spacing w:line="500" w:lineRule="exact"/>
        <w:rPr>
          <w:color w:val="000000"/>
          <w:sz w:val="24"/>
        </w:rPr>
      </w:pPr>
      <w:r>
        <w:rPr>
          <w:rFonts w:hint="eastAsia"/>
          <w:color w:val="000000"/>
          <w:sz w:val="24"/>
          <w:lang w:val="en-US" w:eastAsia="zh-CN"/>
        </w:rPr>
        <w:t>4</w:t>
      </w:r>
      <w:r>
        <w:rPr>
          <w:color w:val="000000"/>
          <w:sz w:val="24"/>
        </w:rPr>
        <w:t>.2.5.1项目固体废物产生情况及处置措施</w:t>
      </w:r>
    </w:p>
    <w:p>
      <w:pPr>
        <w:topLinePunct/>
        <w:adjustRightInd w:val="0"/>
        <w:snapToGrid w:val="0"/>
        <w:spacing w:line="520" w:lineRule="exact"/>
        <w:ind w:firstLine="480" w:firstLineChars="200"/>
        <w:rPr>
          <w:bCs/>
          <w:color w:val="000000"/>
          <w:sz w:val="24"/>
        </w:rPr>
      </w:pPr>
      <w:r>
        <w:rPr>
          <w:color w:val="000000"/>
          <w:sz w:val="24"/>
        </w:rPr>
        <w:t>根据工程分析可知，项目营运期产生的固废主要</w:t>
      </w:r>
      <w:r>
        <w:rPr>
          <w:bCs/>
          <w:color w:val="000000"/>
          <w:sz w:val="24"/>
        </w:rPr>
        <w:t>包括猪粪固形物、沼渣、养殖过程产生的少量病死猪尸及疾病防疫产生的医疗废物。</w:t>
      </w:r>
      <w:r>
        <w:rPr>
          <w:color w:val="000000"/>
          <w:sz w:val="24"/>
        </w:rPr>
        <w:t>项目营运期固体废物产生情况及处置措施见表</w:t>
      </w:r>
      <w:r>
        <w:rPr>
          <w:rFonts w:hint="eastAsia"/>
          <w:color w:val="000000"/>
          <w:sz w:val="24"/>
          <w:lang w:val="en-US" w:eastAsia="zh-CN"/>
        </w:rPr>
        <w:t>4.2-17</w:t>
      </w:r>
      <w:r>
        <w:rPr>
          <w:bCs/>
          <w:color w:val="000000"/>
          <w:sz w:val="24"/>
        </w:rPr>
        <w:t>。</w:t>
      </w:r>
    </w:p>
    <w:p>
      <w:pPr>
        <w:topLinePunct/>
        <w:adjustRightInd w:val="0"/>
        <w:snapToGrid w:val="0"/>
        <w:spacing w:line="500" w:lineRule="exact"/>
        <w:jc w:val="center"/>
        <w:rPr>
          <w:b/>
          <w:bCs/>
          <w:color w:val="000000"/>
          <w:szCs w:val="21"/>
        </w:rPr>
      </w:pPr>
      <w:r>
        <w:rPr>
          <w:b/>
          <w:bCs/>
          <w:color w:val="000000"/>
          <w:szCs w:val="21"/>
        </w:rPr>
        <w:t>表</w:t>
      </w:r>
      <w:r>
        <w:rPr>
          <w:rFonts w:hint="eastAsia"/>
          <w:b/>
          <w:bCs/>
          <w:color w:val="000000"/>
          <w:szCs w:val="21"/>
          <w:lang w:val="en-US" w:eastAsia="zh-CN"/>
        </w:rPr>
        <w:t>4.2-17</w:t>
      </w:r>
      <w:r>
        <w:rPr>
          <w:b/>
          <w:bCs/>
          <w:color w:val="000000"/>
          <w:szCs w:val="21"/>
        </w:rPr>
        <w:t xml:space="preserve">   项目固体废物产排情况一览表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66"/>
        <w:gridCol w:w="1276"/>
        <w:gridCol w:w="1274"/>
        <w:gridCol w:w="993"/>
        <w:gridCol w:w="2614"/>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7" w:type="dxa"/>
            <w:tcMar>
              <w:top w:w="0" w:type="dxa"/>
              <w:left w:w="28" w:type="dxa"/>
              <w:bottom w:w="0" w:type="dxa"/>
              <w:right w:w="28" w:type="dxa"/>
            </w:tcMar>
            <w:vAlign w:val="center"/>
          </w:tcPr>
          <w:p>
            <w:pPr>
              <w:jc w:val="center"/>
              <w:rPr>
                <w:b/>
                <w:bCs/>
                <w:szCs w:val="21"/>
              </w:rPr>
            </w:pPr>
            <w:r>
              <w:rPr>
                <w:b/>
                <w:bCs/>
                <w:szCs w:val="21"/>
              </w:rPr>
              <w:t>序号</w:t>
            </w:r>
          </w:p>
        </w:tc>
        <w:tc>
          <w:tcPr>
            <w:tcW w:w="1566" w:type="dxa"/>
            <w:tcMar>
              <w:top w:w="0" w:type="dxa"/>
              <w:left w:w="28" w:type="dxa"/>
              <w:bottom w:w="0" w:type="dxa"/>
              <w:right w:w="28" w:type="dxa"/>
            </w:tcMar>
            <w:vAlign w:val="center"/>
          </w:tcPr>
          <w:p>
            <w:pPr>
              <w:jc w:val="center"/>
              <w:rPr>
                <w:b/>
                <w:bCs/>
                <w:szCs w:val="21"/>
              </w:rPr>
            </w:pPr>
            <w:r>
              <w:rPr>
                <w:b/>
                <w:bCs/>
                <w:szCs w:val="21"/>
              </w:rPr>
              <w:t>产生环节</w:t>
            </w:r>
          </w:p>
        </w:tc>
        <w:tc>
          <w:tcPr>
            <w:tcW w:w="1276" w:type="dxa"/>
            <w:tcMar>
              <w:top w:w="0" w:type="dxa"/>
              <w:left w:w="28" w:type="dxa"/>
              <w:bottom w:w="0" w:type="dxa"/>
              <w:right w:w="28" w:type="dxa"/>
            </w:tcMar>
            <w:vAlign w:val="center"/>
          </w:tcPr>
          <w:p>
            <w:pPr>
              <w:jc w:val="center"/>
              <w:rPr>
                <w:b/>
                <w:bCs/>
                <w:szCs w:val="21"/>
              </w:rPr>
            </w:pPr>
            <w:r>
              <w:rPr>
                <w:b/>
                <w:bCs/>
                <w:szCs w:val="21"/>
              </w:rPr>
              <w:t>名称</w:t>
            </w:r>
          </w:p>
        </w:tc>
        <w:tc>
          <w:tcPr>
            <w:tcW w:w="1274" w:type="dxa"/>
            <w:tcMar>
              <w:top w:w="0" w:type="dxa"/>
              <w:left w:w="28" w:type="dxa"/>
              <w:bottom w:w="0" w:type="dxa"/>
              <w:right w:w="28" w:type="dxa"/>
            </w:tcMar>
            <w:vAlign w:val="center"/>
          </w:tcPr>
          <w:p>
            <w:pPr>
              <w:jc w:val="center"/>
              <w:rPr>
                <w:b/>
                <w:bCs/>
                <w:szCs w:val="21"/>
              </w:rPr>
            </w:pPr>
            <w:r>
              <w:rPr>
                <w:b/>
                <w:bCs/>
                <w:szCs w:val="21"/>
              </w:rPr>
              <w:t>固废性质</w:t>
            </w:r>
          </w:p>
        </w:tc>
        <w:tc>
          <w:tcPr>
            <w:tcW w:w="993"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产生量（t/a）</w:t>
            </w:r>
          </w:p>
        </w:tc>
        <w:tc>
          <w:tcPr>
            <w:tcW w:w="2614"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处置措施</w:t>
            </w:r>
          </w:p>
        </w:tc>
        <w:tc>
          <w:tcPr>
            <w:tcW w:w="696"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27" w:type="dxa"/>
            <w:tcMar>
              <w:top w:w="0" w:type="dxa"/>
              <w:left w:w="28" w:type="dxa"/>
              <w:bottom w:w="0" w:type="dxa"/>
              <w:right w:w="28" w:type="dxa"/>
            </w:tcMar>
            <w:vAlign w:val="center"/>
          </w:tcPr>
          <w:p>
            <w:pPr>
              <w:jc w:val="center"/>
              <w:rPr>
                <w:bCs/>
                <w:szCs w:val="21"/>
              </w:rPr>
            </w:pPr>
            <w:r>
              <w:rPr>
                <w:bCs/>
                <w:szCs w:val="21"/>
              </w:rPr>
              <w:t>1</w:t>
            </w:r>
          </w:p>
        </w:tc>
        <w:tc>
          <w:tcPr>
            <w:tcW w:w="1566" w:type="dxa"/>
            <w:tcMar>
              <w:top w:w="0" w:type="dxa"/>
              <w:left w:w="28" w:type="dxa"/>
              <w:bottom w:w="0" w:type="dxa"/>
              <w:right w:w="28" w:type="dxa"/>
            </w:tcMar>
            <w:vAlign w:val="center"/>
          </w:tcPr>
          <w:p>
            <w:pPr>
              <w:jc w:val="center"/>
              <w:rPr>
                <w:bCs/>
                <w:szCs w:val="21"/>
              </w:rPr>
            </w:pPr>
            <w:r>
              <w:rPr>
                <w:bCs/>
                <w:szCs w:val="21"/>
              </w:rPr>
              <w:t>猪舍</w:t>
            </w:r>
          </w:p>
        </w:tc>
        <w:tc>
          <w:tcPr>
            <w:tcW w:w="1276" w:type="dxa"/>
            <w:tcMar>
              <w:top w:w="0" w:type="dxa"/>
              <w:left w:w="28" w:type="dxa"/>
              <w:bottom w:w="0" w:type="dxa"/>
              <w:right w:w="28" w:type="dxa"/>
            </w:tcMar>
            <w:vAlign w:val="center"/>
          </w:tcPr>
          <w:p>
            <w:pPr>
              <w:jc w:val="center"/>
              <w:rPr>
                <w:bCs/>
                <w:szCs w:val="21"/>
              </w:rPr>
            </w:pPr>
            <w:r>
              <w:rPr>
                <w:szCs w:val="21"/>
              </w:rPr>
              <w:t>猪粪固形物</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bCs/>
                <w:sz w:val="18"/>
                <w:szCs w:val="18"/>
                <w:lang w:val="en-US" w:eastAsia="zh-CN"/>
              </w:rPr>
            </w:pPr>
            <w:r>
              <w:rPr>
                <w:rFonts w:hint="eastAsia"/>
                <w:bCs/>
                <w:sz w:val="18"/>
                <w:szCs w:val="18"/>
                <w:lang w:val="en-US" w:eastAsia="zh-CN"/>
              </w:rPr>
              <w:t>1477.7</w:t>
            </w:r>
          </w:p>
        </w:tc>
        <w:tc>
          <w:tcPr>
            <w:tcW w:w="2614" w:type="dxa"/>
            <w:tcMar>
              <w:top w:w="0" w:type="dxa"/>
              <w:left w:w="28" w:type="dxa"/>
              <w:bottom w:w="0" w:type="dxa"/>
              <w:right w:w="28" w:type="dxa"/>
            </w:tcMar>
            <w:vAlign w:val="center"/>
          </w:tcPr>
          <w:p>
            <w:pPr>
              <w:jc w:val="center"/>
              <w:rPr>
                <w:bCs/>
                <w:szCs w:val="21"/>
              </w:rPr>
            </w:pPr>
            <w:r>
              <w:rPr>
                <w:bCs/>
                <w:szCs w:val="21"/>
              </w:rPr>
              <w:t>生产有机肥基肥</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27" w:type="dxa"/>
            <w:tcMar>
              <w:top w:w="0" w:type="dxa"/>
              <w:left w:w="28" w:type="dxa"/>
              <w:bottom w:w="0" w:type="dxa"/>
              <w:right w:w="28" w:type="dxa"/>
            </w:tcMar>
            <w:vAlign w:val="center"/>
          </w:tcPr>
          <w:p>
            <w:pPr>
              <w:jc w:val="center"/>
              <w:rPr>
                <w:bCs/>
                <w:szCs w:val="21"/>
              </w:rPr>
            </w:pPr>
            <w:r>
              <w:rPr>
                <w:bCs/>
                <w:szCs w:val="21"/>
              </w:rPr>
              <w:t>2</w:t>
            </w:r>
          </w:p>
        </w:tc>
        <w:tc>
          <w:tcPr>
            <w:tcW w:w="1566" w:type="dxa"/>
            <w:tcMar>
              <w:top w:w="0" w:type="dxa"/>
              <w:left w:w="28" w:type="dxa"/>
              <w:bottom w:w="0" w:type="dxa"/>
              <w:right w:w="28" w:type="dxa"/>
            </w:tcMar>
            <w:vAlign w:val="center"/>
          </w:tcPr>
          <w:p>
            <w:pPr>
              <w:jc w:val="center"/>
              <w:rPr>
                <w:szCs w:val="21"/>
              </w:rPr>
            </w:pPr>
            <w:r>
              <w:rPr>
                <w:rFonts w:hint="eastAsia"/>
                <w:szCs w:val="21"/>
                <w:lang w:eastAsia="zh-CN"/>
              </w:rPr>
              <w:t>黑膜</w:t>
            </w:r>
            <w:r>
              <w:rPr>
                <w:szCs w:val="21"/>
              </w:rPr>
              <w:t>沼气池</w:t>
            </w:r>
          </w:p>
        </w:tc>
        <w:tc>
          <w:tcPr>
            <w:tcW w:w="1276" w:type="dxa"/>
            <w:tcMar>
              <w:top w:w="0" w:type="dxa"/>
              <w:left w:w="28" w:type="dxa"/>
              <w:bottom w:w="0" w:type="dxa"/>
              <w:right w:w="28" w:type="dxa"/>
            </w:tcMar>
            <w:vAlign w:val="center"/>
          </w:tcPr>
          <w:p>
            <w:pPr>
              <w:jc w:val="center"/>
              <w:rPr>
                <w:szCs w:val="21"/>
              </w:rPr>
            </w:pPr>
            <w:r>
              <w:rPr>
                <w:szCs w:val="21"/>
              </w:rPr>
              <w:t>沼渣</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bCs/>
                <w:szCs w:val="21"/>
                <w:lang w:val="en-US" w:eastAsia="zh-CN"/>
              </w:rPr>
              <w:t>44.33</w:t>
            </w:r>
          </w:p>
        </w:tc>
        <w:tc>
          <w:tcPr>
            <w:tcW w:w="2614" w:type="dxa"/>
            <w:tcMar>
              <w:top w:w="0" w:type="dxa"/>
              <w:left w:w="28" w:type="dxa"/>
              <w:bottom w:w="0" w:type="dxa"/>
              <w:right w:w="28" w:type="dxa"/>
            </w:tcMar>
            <w:vAlign w:val="center"/>
          </w:tcPr>
          <w:p>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3</w:t>
            </w:r>
          </w:p>
        </w:tc>
        <w:tc>
          <w:tcPr>
            <w:tcW w:w="1566" w:type="dxa"/>
            <w:tcMar>
              <w:top w:w="0" w:type="dxa"/>
              <w:left w:w="28" w:type="dxa"/>
              <w:bottom w:w="0" w:type="dxa"/>
              <w:right w:w="28" w:type="dxa"/>
            </w:tcMar>
            <w:vAlign w:val="center"/>
          </w:tcPr>
          <w:p>
            <w:pPr>
              <w:jc w:val="center"/>
              <w:rPr>
                <w:szCs w:val="21"/>
              </w:rPr>
            </w:pPr>
            <w:r>
              <w:rPr>
                <w:szCs w:val="21"/>
              </w:rPr>
              <w:t>养殖过程</w:t>
            </w:r>
          </w:p>
        </w:tc>
        <w:tc>
          <w:tcPr>
            <w:tcW w:w="1276" w:type="dxa"/>
            <w:tcMar>
              <w:top w:w="0" w:type="dxa"/>
              <w:left w:w="28" w:type="dxa"/>
              <w:bottom w:w="0" w:type="dxa"/>
              <w:right w:w="28" w:type="dxa"/>
            </w:tcMar>
            <w:vAlign w:val="center"/>
          </w:tcPr>
          <w:p>
            <w:pPr>
              <w:jc w:val="center"/>
              <w:rPr>
                <w:szCs w:val="21"/>
              </w:rPr>
            </w:pPr>
            <w:r>
              <w:rPr>
                <w:szCs w:val="21"/>
              </w:rPr>
              <w:t>病死猪</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bCs/>
                <w:szCs w:val="21"/>
                <w:lang w:val="en-US" w:eastAsia="zh-CN"/>
              </w:rPr>
            </w:pPr>
            <w:r>
              <w:rPr>
                <w:rFonts w:hint="eastAsia"/>
                <w:szCs w:val="21"/>
                <w:lang w:val="en-US" w:eastAsia="zh-CN"/>
              </w:rPr>
              <w:t>7.2</w:t>
            </w:r>
          </w:p>
        </w:tc>
        <w:tc>
          <w:tcPr>
            <w:tcW w:w="2614" w:type="dxa"/>
            <w:tcMar>
              <w:top w:w="0" w:type="dxa"/>
              <w:left w:w="28" w:type="dxa"/>
              <w:bottom w:w="0" w:type="dxa"/>
              <w:right w:w="28" w:type="dxa"/>
            </w:tcMar>
            <w:vAlign w:val="center"/>
          </w:tcPr>
          <w:p>
            <w:pPr>
              <w:jc w:val="center"/>
              <w:rPr>
                <w:bCs/>
                <w:szCs w:val="21"/>
              </w:rPr>
            </w:pPr>
            <w:r>
              <w:rPr>
                <w:rFonts w:hint="eastAsia"/>
                <w:bCs/>
                <w:szCs w:val="21"/>
                <w:lang w:val="en-US" w:eastAsia="zh-CN"/>
              </w:rPr>
              <w:t>委托正阳县畜禽</w:t>
            </w:r>
            <w:r>
              <w:rPr>
                <w:bCs/>
                <w:szCs w:val="21"/>
              </w:rPr>
              <w:t>无害化处理中心处置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4</w:t>
            </w:r>
          </w:p>
        </w:tc>
        <w:tc>
          <w:tcPr>
            <w:tcW w:w="1566" w:type="dxa"/>
            <w:tcMar>
              <w:top w:w="0" w:type="dxa"/>
              <w:left w:w="28" w:type="dxa"/>
              <w:bottom w:w="0" w:type="dxa"/>
              <w:right w:w="28" w:type="dxa"/>
            </w:tcMar>
            <w:vAlign w:val="center"/>
          </w:tcPr>
          <w:p>
            <w:pPr>
              <w:jc w:val="center"/>
              <w:rPr>
                <w:szCs w:val="21"/>
              </w:rPr>
            </w:pPr>
            <w:r>
              <w:rPr>
                <w:szCs w:val="21"/>
              </w:rPr>
              <w:t>防疫</w:t>
            </w:r>
          </w:p>
        </w:tc>
        <w:tc>
          <w:tcPr>
            <w:tcW w:w="1276" w:type="dxa"/>
            <w:tcMar>
              <w:top w:w="0" w:type="dxa"/>
              <w:left w:w="28" w:type="dxa"/>
              <w:bottom w:w="0" w:type="dxa"/>
              <w:right w:w="28" w:type="dxa"/>
            </w:tcMar>
            <w:vAlign w:val="center"/>
          </w:tcPr>
          <w:p>
            <w:pPr>
              <w:jc w:val="center"/>
              <w:rPr>
                <w:szCs w:val="21"/>
              </w:rPr>
            </w:pPr>
            <w:r>
              <w:rPr>
                <w:szCs w:val="21"/>
              </w:rPr>
              <w:t>医疗固废</w:t>
            </w:r>
          </w:p>
        </w:tc>
        <w:tc>
          <w:tcPr>
            <w:tcW w:w="1274" w:type="dxa"/>
            <w:tcMar>
              <w:top w:w="0" w:type="dxa"/>
              <w:left w:w="28" w:type="dxa"/>
              <w:bottom w:w="0" w:type="dxa"/>
              <w:right w:w="28" w:type="dxa"/>
            </w:tcMar>
            <w:vAlign w:val="center"/>
          </w:tcPr>
          <w:p>
            <w:pPr>
              <w:jc w:val="center"/>
              <w:rPr>
                <w:szCs w:val="21"/>
              </w:rPr>
            </w:pPr>
            <w:r>
              <w:rPr>
                <w:szCs w:val="21"/>
              </w:rPr>
              <w:t>危险废物</w:t>
            </w:r>
          </w:p>
          <w:p>
            <w:pPr>
              <w:jc w:val="center"/>
              <w:rPr>
                <w:szCs w:val="21"/>
              </w:rPr>
            </w:pPr>
            <w:r>
              <w:rPr>
                <w:szCs w:val="21"/>
              </w:rPr>
              <w:t>（HW01）</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0.025</w:t>
            </w:r>
          </w:p>
        </w:tc>
        <w:tc>
          <w:tcPr>
            <w:tcW w:w="2614" w:type="dxa"/>
            <w:tcMar>
              <w:top w:w="0" w:type="dxa"/>
              <w:left w:w="28" w:type="dxa"/>
              <w:bottom w:w="0" w:type="dxa"/>
              <w:right w:w="28" w:type="dxa"/>
            </w:tcMar>
            <w:vAlign w:val="center"/>
          </w:tcPr>
          <w:p>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5</w:t>
            </w:r>
          </w:p>
        </w:tc>
        <w:tc>
          <w:tcPr>
            <w:tcW w:w="1566" w:type="dxa"/>
            <w:tcMar>
              <w:top w:w="0" w:type="dxa"/>
              <w:left w:w="28" w:type="dxa"/>
              <w:bottom w:w="0" w:type="dxa"/>
              <w:right w:w="28" w:type="dxa"/>
            </w:tcMar>
            <w:vAlign w:val="center"/>
          </w:tcPr>
          <w:p>
            <w:pPr>
              <w:jc w:val="center"/>
              <w:rPr>
                <w:szCs w:val="21"/>
              </w:rPr>
            </w:pPr>
            <w:r>
              <w:rPr>
                <w:szCs w:val="21"/>
              </w:rPr>
              <w:t>职工生活</w:t>
            </w:r>
          </w:p>
        </w:tc>
        <w:tc>
          <w:tcPr>
            <w:tcW w:w="1276" w:type="dxa"/>
            <w:tcMar>
              <w:top w:w="0" w:type="dxa"/>
              <w:left w:w="28" w:type="dxa"/>
              <w:bottom w:w="0" w:type="dxa"/>
              <w:right w:w="28" w:type="dxa"/>
            </w:tcMar>
            <w:vAlign w:val="center"/>
          </w:tcPr>
          <w:p>
            <w:pPr>
              <w:jc w:val="center"/>
              <w:rPr>
                <w:szCs w:val="21"/>
              </w:rPr>
            </w:pPr>
            <w:r>
              <w:rPr>
                <w:szCs w:val="21"/>
              </w:rPr>
              <w:t>生活垃圾</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9.125</w:t>
            </w:r>
          </w:p>
        </w:tc>
        <w:tc>
          <w:tcPr>
            <w:tcW w:w="2614" w:type="dxa"/>
            <w:tcMar>
              <w:top w:w="0" w:type="dxa"/>
              <w:left w:w="28" w:type="dxa"/>
              <w:bottom w:w="0" w:type="dxa"/>
              <w:right w:w="28" w:type="dxa"/>
            </w:tcMar>
            <w:vAlign w:val="center"/>
          </w:tcPr>
          <w:p>
            <w:pPr>
              <w:jc w:val="center"/>
              <w:rPr>
                <w:szCs w:val="21"/>
              </w:rPr>
            </w:pPr>
            <w:r>
              <w:rPr>
                <w:szCs w:val="21"/>
              </w:rPr>
              <w:t>送交环卫部门处理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6</w:t>
            </w:r>
          </w:p>
        </w:tc>
        <w:tc>
          <w:tcPr>
            <w:tcW w:w="1566" w:type="dxa"/>
            <w:tcMar>
              <w:top w:w="0" w:type="dxa"/>
              <w:left w:w="28" w:type="dxa"/>
              <w:bottom w:w="0" w:type="dxa"/>
              <w:right w:w="28" w:type="dxa"/>
            </w:tcMar>
            <w:vAlign w:val="center"/>
          </w:tcPr>
          <w:p>
            <w:pPr>
              <w:jc w:val="center"/>
              <w:rPr>
                <w:szCs w:val="21"/>
              </w:rPr>
            </w:pPr>
            <w:r>
              <w:rPr>
                <w:szCs w:val="21"/>
              </w:rPr>
              <w:t>沼气脱硫装置</w:t>
            </w:r>
          </w:p>
        </w:tc>
        <w:tc>
          <w:tcPr>
            <w:tcW w:w="1276" w:type="dxa"/>
            <w:tcMar>
              <w:top w:w="0" w:type="dxa"/>
              <w:left w:w="28" w:type="dxa"/>
              <w:bottom w:w="0" w:type="dxa"/>
              <w:right w:w="28" w:type="dxa"/>
            </w:tcMar>
            <w:vAlign w:val="center"/>
          </w:tcPr>
          <w:p>
            <w:pPr>
              <w:jc w:val="center"/>
              <w:rPr>
                <w:szCs w:val="21"/>
              </w:rPr>
            </w:pPr>
            <w:r>
              <w:rPr>
                <w:szCs w:val="21"/>
              </w:rPr>
              <w:t>废脱硫剂</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0.14</w:t>
            </w:r>
          </w:p>
        </w:tc>
        <w:tc>
          <w:tcPr>
            <w:tcW w:w="2614" w:type="dxa"/>
            <w:tcMar>
              <w:top w:w="0" w:type="dxa"/>
              <w:left w:w="28" w:type="dxa"/>
              <w:bottom w:w="0" w:type="dxa"/>
              <w:right w:w="28" w:type="dxa"/>
            </w:tcMar>
            <w:vAlign w:val="center"/>
          </w:tcPr>
          <w:p>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3" w:type="dxa"/>
            <w:gridSpan w:val="4"/>
            <w:tcMar>
              <w:top w:w="0" w:type="dxa"/>
              <w:left w:w="28" w:type="dxa"/>
              <w:bottom w:w="0" w:type="dxa"/>
              <w:right w:w="28" w:type="dxa"/>
            </w:tcMar>
            <w:vAlign w:val="center"/>
          </w:tcPr>
          <w:p>
            <w:pPr>
              <w:jc w:val="center"/>
              <w:rPr>
                <w:szCs w:val="21"/>
              </w:rPr>
            </w:pPr>
            <w:r>
              <w:rPr>
                <w:szCs w:val="21"/>
              </w:rPr>
              <w:t>合计</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1538.52</w:t>
            </w:r>
          </w:p>
        </w:tc>
        <w:tc>
          <w:tcPr>
            <w:tcW w:w="2614" w:type="dxa"/>
            <w:tcMar>
              <w:top w:w="0" w:type="dxa"/>
              <w:left w:w="28" w:type="dxa"/>
              <w:bottom w:w="0" w:type="dxa"/>
              <w:right w:w="28" w:type="dxa"/>
            </w:tcMar>
            <w:vAlign w:val="center"/>
          </w:tcPr>
          <w:p>
            <w:pPr>
              <w:jc w:val="center"/>
              <w:rPr>
                <w:szCs w:val="21"/>
              </w:rPr>
            </w:pPr>
            <w:r>
              <w:rPr>
                <w:szCs w:val="21"/>
              </w:rPr>
              <w:t>/</w:t>
            </w:r>
          </w:p>
        </w:tc>
        <w:tc>
          <w:tcPr>
            <w:tcW w:w="696" w:type="dxa"/>
            <w:tcMar>
              <w:top w:w="0" w:type="dxa"/>
              <w:left w:w="28" w:type="dxa"/>
              <w:bottom w:w="0" w:type="dxa"/>
              <w:right w:w="28" w:type="dxa"/>
            </w:tcMar>
            <w:vAlign w:val="center"/>
          </w:tcPr>
          <w:p>
            <w:pPr>
              <w:jc w:val="center"/>
              <w:rPr>
                <w:szCs w:val="21"/>
              </w:rPr>
            </w:pPr>
            <w:r>
              <w:rPr>
                <w:szCs w:val="21"/>
              </w:rPr>
              <w:t>/</w:t>
            </w:r>
          </w:p>
        </w:tc>
      </w:tr>
    </w:tbl>
    <w:p>
      <w:pPr>
        <w:spacing w:line="500" w:lineRule="exact"/>
        <w:rPr>
          <w:color w:val="000000"/>
          <w:sz w:val="24"/>
        </w:rPr>
      </w:pPr>
      <w:r>
        <w:rPr>
          <w:rFonts w:hint="eastAsia"/>
          <w:color w:val="000000"/>
          <w:sz w:val="24"/>
          <w:lang w:val="en-US" w:eastAsia="zh-CN"/>
        </w:rPr>
        <w:t>4</w:t>
      </w:r>
      <w:r>
        <w:rPr>
          <w:color w:val="000000"/>
          <w:sz w:val="24"/>
        </w:rPr>
        <w:t>.2.5.2固体废物环境影响分析</w:t>
      </w:r>
    </w:p>
    <w:p>
      <w:pPr>
        <w:spacing w:line="500" w:lineRule="exact"/>
        <w:ind w:firstLine="480" w:firstLineChars="200"/>
        <w:rPr>
          <w:color w:val="000000"/>
          <w:sz w:val="24"/>
        </w:rPr>
      </w:pPr>
      <w:r>
        <w:rPr>
          <w:color w:val="000000"/>
          <w:sz w:val="24"/>
        </w:rPr>
        <w:t>项目营运过程中产生的固体废物均得到妥善处理，处理率达到100%，并充分回收利用有价值的物质，做到减量化、无害化，对环境无影响。</w:t>
      </w:r>
    </w:p>
    <w:p>
      <w:pPr>
        <w:spacing w:line="600" w:lineRule="exact"/>
        <w:outlineLvl w:val="2"/>
        <w:rPr>
          <w:b/>
          <w:color w:val="000000"/>
          <w:sz w:val="24"/>
        </w:rPr>
      </w:pPr>
      <w:r>
        <w:rPr>
          <w:rFonts w:hint="eastAsia"/>
          <w:b/>
          <w:color w:val="000000"/>
          <w:sz w:val="24"/>
          <w:lang w:val="en-US" w:eastAsia="zh-CN"/>
        </w:rPr>
        <w:t>4</w:t>
      </w:r>
      <w:r>
        <w:rPr>
          <w:b/>
          <w:color w:val="000000"/>
          <w:sz w:val="24"/>
        </w:rPr>
        <w:t>.2.6 土壤环境影响分析</w:t>
      </w:r>
    </w:p>
    <w:p>
      <w:pPr>
        <w:spacing w:line="500" w:lineRule="exact"/>
        <w:ind w:firstLine="480" w:firstLineChars="200"/>
        <w:rPr>
          <w:color w:val="000000"/>
        </w:rPr>
      </w:pPr>
      <w:r>
        <w:rPr>
          <w:color w:val="000000"/>
          <w:sz w:val="24"/>
        </w:rPr>
        <w:t>项目沼液在场区内暂存后，施肥期用于周边</w:t>
      </w:r>
      <w:r>
        <w:rPr>
          <w:rFonts w:hint="eastAsia"/>
          <w:color w:val="000000"/>
          <w:sz w:val="24"/>
          <w:lang w:val="en-US" w:eastAsia="zh-CN"/>
        </w:rPr>
        <w:t>林地</w:t>
      </w:r>
      <w:r>
        <w:rPr>
          <w:color w:val="000000"/>
          <w:sz w:val="24"/>
        </w:rPr>
        <w:t>施肥，沼液施用于土壤，存在污染土壤的风险。</w:t>
      </w:r>
      <w:r>
        <w:rPr>
          <w:rFonts w:hint="eastAsia"/>
          <w:color w:val="000000"/>
          <w:sz w:val="24"/>
          <w:lang w:val="en-US" w:eastAsia="zh-CN"/>
        </w:rPr>
        <w:t>类比同类</w:t>
      </w:r>
      <w:r>
        <w:rPr>
          <w:color w:val="000000"/>
          <w:sz w:val="24"/>
        </w:rPr>
        <w:t>建设项目的验收监测数据，沼液消纳区土壤的2个监测点位的监测因子浓度为：pH7.12-7.2、铜25-28mg/kg、砷未检出、锌32-48.2mg/kg、汞未检出，能够满足</w:t>
      </w:r>
      <w:r>
        <w:rPr>
          <w:sz w:val="24"/>
        </w:rPr>
        <w:t>《土壤环境质量农用地土壤污染风险管控标准》</w:t>
      </w:r>
      <w:r>
        <w:rPr>
          <w:color w:val="000000"/>
          <w:sz w:val="24"/>
        </w:rPr>
        <w:t>（GB15618-2018）二级标准要求</w:t>
      </w:r>
      <w:r>
        <w:rPr>
          <w:rFonts w:hint="eastAsia"/>
          <w:color w:val="000000"/>
          <w:sz w:val="24"/>
          <w:lang w:eastAsia="zh-CN"/>
        </w:rPr>
        <w:t>，</w:t>
      </w:r>
      <w:r>
        <w:rPr>
          <w:color w:val="000000"/>
          <w:sz w:val="24"/>
        </w:rPr>
        <w:t>本项目沼液利用对土壤的影响较小。</w:t>
      </w:r>
    </w:p>
    <w:p>
      <w:pPr>
        <w:spacing w:line="600" w:lineRule="exact"/>
        <w:outlineLvl w:val="2"/>
        <w:rPr>
          <w:b/>
          <w:color w:val="000000"/>
          <w:sz w:val="24"/>
        </w:rPr>
      </w:pPr>
      <w:r>
        <w:rPr>
          <w:rFonts w:hint="eastAsia"/>
          <w:b/>
          <w:color w:val="000000"/>
          <w:sz w:val="24"/>
          <w:lang w:val="en-US" w:eastAsia="zh-CN"/>
        </w:rPr>
        <w:t>4</w:t>
      </w:r>
      <w:r>
        <w:rPr>
          <w:b/>
          <w:color w:val="000000"/>
          <w:sz w:val="24"/>
        </w:rPr>
        <w:t>.2.7 环境风险评价</w:t>
      </w:r>
    </w:p>
    <w:p>
      <w:pPr>
        <w:spacing w:line="500" w:lineRule="exact"/>
        <w:ind w:firstLine="480" w:firstLineChars="200"/>
        <w:rPr>
          <w:b w:val="0"/>
          <w:bCs/>
          <w:color w:val="000000"/>
          <w:sz w:val="24"/>
          <w:u w:val="none"/>
        </w:rPr>
      </w:pPr>
      <w:r>
        <w:rPr>
          <w:rFonts w:hint="eastAsia"/>
          <w:b w:val="0"/>
          <w:bCs/>
          <w:color w:val="000000"/>
          <w:sz w:val="24"/>
          <w:u w:val="none"/>
        </w:rPr>
        <w:t>环境风险是指突发性灾难事故造成重大环境污染的事件，它具有危害性大、影响范围广等特点，同时风险发生的概率又有很大的不确定性，倘若一旦发生，其破坏性极强，对生态环境会产生严重破坏。</w:t>
      </w:r>
    </w:p>
    <w:p>
      <w:pPr>
        <w:spacing w:line="500" w:lineRule="exact"/>
        <w:ind w:firstLine="480" w:firstLineChars="200"/>
        <w:rPr>
          <w:b w:val="0"/>
          <w:bCs/>
          <w:color w:val="000000"/>
          <w:sz w:val="24"/>
          <w:u w:val="none"/>
        </w:rPr>
      </w:pPr>
      <w:r>
        <w:rPr>
          <w:rFonts w:hint="eastAsia"/>
          <w:b w:val="0"/>
          <w:bCs/>
          <w:color w:val="000000"/>
          <w:sz w:val="24"/>
          <w:u w:val="none"/>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r>
        <w:rPr>
          <w:b w:val="0"/>
          <w:bCs/>
          <w:color w:val="000000"/>
          <w:sz w:val="24"/>
          <w:u w:val="none"/>
        </w:rPr>
        <w:t>、损失和环境影响达到可接受水平。</w:t>
      </w:r>
    </w:p>
    <w:p>
      <w:pPr>
        <w:spacing w:line="500" w:lineRule="exact"/>
        <w:rPr>
          <w:b w:val="0"/>
          <w:bCs/>
          <w:color w:val="000000"/>
          <w:sz w:val="24"/>
          <w:u w:val="none"/>
        </w:rPr>
      </w:pPr>
      <w:r>
        <w:rPr>
          <w:rFonts w:hint="eastAsia"/>
          <w:b w:val="0"/>
          <w:bCs/>
          <w:color w:val="000000"/>
          <w:sz w:val="24"/>
          <w:u w:val="none"/>
          <w:lang w:val="en-US" w:eastAsia="zh-CN"/>
        </w:rPr>
        <w:t>4</w:t>
      </w:r>
      <w:r>
        <w:rPr>
          <w:rFonts w:hint="eastAsia"/>
          <w:b w:val="0"/>
          <w:bCs/>
          <w:color w:val="000000"/>
          <w:sz w:val="24"/>
          <w:u w:val="none"/>
        </w:rPr>
        <w:t>.2.7.1评价依据</w:t>
      </w:r>
    </w:p>
    <w:p>
      <w:pPr>
        <w:spacing w:line="500" w:lineRule="exact"/>
        <w:rPr>
          <w:b w:val="0"/>
          <w:bCs/>
          <w:color w:val="000000"/>
          <w:sz w:val="24"/>
          <w:u w:val="none"/>
        </w:rPr>
      </w:pPr>
      <w:r>
        <w:rPr>
          <w:rFonts w:hint="eastAsia"/>
          <w:b w:val="0"/>
          <w:bCs/>
          <w:color w:val="000000"/>
          <w:sz w:val="24"/>
          <w:u w:val="none"/>
        </w:rPr>
        <w:t>a风险调查</w:t>
      </w:r>
    </w:p>
    <w:p>
      <w:pPr>
        <w:pStyle w:val="99"/>
        <w:spacing w:line="500" w:lineRule="exact"/>
        <w:ind w:firstLine="482"/>
        <w:rPr>
          <w:b w:val="0"/>
          <w:bCs/>
          <w:snapToGrid w:val="0"/>
          <w:kern w:val="0"/>
          <w:u w:val="none"/>
        </w:rPr>
      </w:pPr>
      <w:r>
        <w:rPr>
          <w:rFonts w:hint="eastAsia"/>
          <w:b w:val="0"/>
          <w:bCs/>
          <w:snapToGrid w:val="0"/>
          <w:kern w:val="0"/>
          <w:u w:val="none"/>
        </w:rPr>
        <w:t>（1）评价原则</w:t>
      </w:r>
    </w:p>
    <w:p>
      <w:pPr>
        <w:pStyle w:val="99"/>
        <w:spacing w:line="500" w:lineRule="exact"/>
        <w:ind w:firstLine="482"/>
        <w:rPr>
          <w:b w:val="0"/>
          <w:bCs/>
          <w:snapToGrid w:val="0"/>
          <w:kern w:val="0"/>
          <w:u w:val="none"/>
        </w:rPr>
      </w:pPr>
      <w:r>
        <w:rPr>
          <w:rFonts w:hint="eastAsia"/>
          <w:b w:val="0"/>
          <w:bCs/>
          <w:snapToGrid w:val="0"/>
          <w:kern w:val="0"/>
          <w:u w:val="none"/>
        </w:rPr>
        <w:t>按照《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pStyle w:val="99"/>
        <w:spacing w:line="500" w:lineRule="exact"/>
        <w:ind w:firstLine="482"/>
        <w:rPr>
          <w:b w:val="0"/>
          <w:bCs/>
          <w:snapToGrid w:val="0"/>
          <w:kern w:val="0"/>
          <w:u w:val="none"/>
        </w:rPr>
      </w:pPr>
      <w:r>
        <w:rPr>
          <w:rFonts w:hint="eastAsia"/>
          <w:b w:val="0"/>
          <w:bCs/>
          <w:snapToGrid w:val="0"/>
          <w:kern w:val="0"/>
          <w:u w:val="none"/>
        </w:rPr>
        <w:t>（2）评价工作程序</w:t>
      </w:r>
    </w:p>
    <w:p>
      <w:pPr>
        <w:ind w:firstLine="480"/>
        <w:rPr>
          <w:rFonts w:hint="eastAsia"/>
          <w:b w:val="0"/>
          <w:bCs/>
          <w:sz w:val="24"/>
          <w:u w:val="none"/>
        </w:rPr>
      </w:pPr>
      <w:r>
        <w:rPr>
          <w:rFonts w:hint="eastAsia"/>
          <w:b w:val="0"/>
          <w:bCs/>
          <w:sz w:val="24"/>
          <w:u w:val="none"/>
        </w:rPr>
        <w:t>评价工作程序见下图。</w:t>
      </w:r>
    </w:p>
    <w:p>
      <w:pPr>
        <w:pStyle w:val="14"/>
        <w:rPr>
          <w:rFonts w:hint="eastAsia"/>
          <w:b w:val="0"/>
          <w:bCs/>
          <w:sz w:val="24"/>
          <w:u w:val="none"/>
        </w:rPr>
      </w:pPr>
    </w:p>
    <w:p>
      <w:pPr>
        <w:pStyle w:val="14"/>
        <w:rPr>
          <w:rFonts w:hint="eastAsia"/>
          <w:b w:val="0"/>
          <w:bCs/>
          <w:sz w:val="24"/>
          <w:u w:val="none"/>
        </w:rPr>
      </w:pPr>
    </w:p>
    <w:p>
      <w:pPr>
        <w:pStyle w:val="14"/>
        <w:rPr>
          <w:rFonts w:hint="eastAsia"/>
          <w:b w:val="0"/>
          <w:bCs/>
          <w:sz w:val="24"/>
          <w:u w:val="none"/>
        </w:rPr>
      </w:pPr>
    </w:p>
    <w:p>
      <w:pPr>
        <w:ind w:firstLine="482"/>
        <w:rPr>
          <w:rFonts w:eastAsia="仿宋"/>
          <w:b/>
          <w:u w:val="single"/>
        </w:rPr>
      </w:pPr>
      <w:r>
        <w:rPr>
          <w:rFonts w:eastAsia="仿宋"/>
          <w:b/>
          <w:u w:val="single"/>
        </w:rPr>
        <w:drawing>
          <wp:anchor distT="0" distB="0" distL="114300" distR="114300" simplePos="0" relativeHeight="251762688" behindDoc="0" locked="0" layoutInCell="1" allowOverlap="1">
            <wp:simplePos x="0" y="0"/>
            <wp:positionH relativeFrom="column">
              <wp:posOffset>343535</wp:posOffset>
            </wp:positionH>
            <wp:positionV relativeFrom="paragraph">
              <wp:posOffset>142240</wp:posOffset>
            </wp:positionV>
            <wp:extent cx="4498340" cy="4395470"/>
            <wp:effectExtent l="19050" t="0" r="0" b="0"/>
            <wp:wrapNone/>
            <wp:docPr id="2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图片 1"/>
                    <pic:cNvPicPr>
                      <a:picLocks noChangeAspect="1" noChangeArrowheads="1"/>
                    </pic:cNvPicPr>
                  </pic:nvPicPr>
                  <pic:blipFill>
                    <a:blip r:embed="rId25" cstate="print"/>
                    <a:srcRect/>
                    <a:stretch>
                      <a:fillRect/>
                    </a:stretch>
                  </pic:blipFill>
                  <pic:spPr>
                    <a:xfrm>
                      <a:off x="0" y="0"/>
                      <a:ext cx="4498340" cy="4395470"/>
                    </a:xfrm>
                    <a:prstGeom prst="rect">
                      <a:avLst/>
                    </a:prstGeom>
                    <a:noFill/>
                    <a:ln w="9525">
                      <a:noFill/>
                      <a:miter lim="800000"/>
                      <a:headEnd/>
                      <a:tailEnd/>
                    </a:ln>
                  </pic:spPr>
                </pic:pic>
              </a:graphicData>
            </a:graphic>
          </wp:anchor>
        </w:drawing>
      </w:r>
    </w:p>
    <w:p>
      <w:pPr>
        <w:pStyle w:val="14"/>
      </w:pPr>
    </w:p>
    <w:p>
      <w:pPr>
        <w:ind w:firstLine="482"/>
        <w:rPr>
          <w:b/>
          <w:bCs/>
          <w:u w:val="single"/>
        </w:rPr>
      </w:pPr>
    </w:p>
    <w:p>
      <w:pPr>
        <w:ind w:firstLine="482"/>
        <w:rPr>
          <w:b/>
          <w:bCs/>
          <w:u w:val="single"/>
        </w:rPr>
      </w:pPr>
    </w:p>
    <w:p>
      <w:pPr>
        <w:ind w:firstLine="482"/>
        <w:rPr>
          <w:b/>
          <w:bCs/>
          <w:u w:val="single"/>
        </w:rPr>
      </w:pPr>
    </w:p>
    <w:p>
      <w:pPr>
        <w:ind w:firstLine="482"/>
        <w:rPr>
          <w:b/>
          <w:bCs/>
          <w:u w:val="single"/>
        </w:rPr>
      </w:pPr>
    </w:p>
    <w:p>
      <w:pPr>
        <w:pStyle w:val="99"/>
        <w:spacing w:line="500" w:lineRule="exact"/>
        <w:ind w:firstLine="0" w:firstLineChars="0"/>
        <w:rPr>
          <w:b/>
          <w:snapToGrid w:val="0"/>
          <w:kern w:val="0"/>
          <w:u w:val="single"/>
        </w:rPr>
      </w:pPr>
    </w:p>
    <w:p>
      <w:pPr>
        <w:spacing w:line="520" w:lineRule="exact"/>
        <w:jc w:val="center"/>
        <w:rPr>
          <w:rFonts w:eastAsia="黑体"/>
          <w:b/>
          <w:bCs/>
          <w:sz w:val="24"/>
          <w:u w:val="single"/>
        </w:rPr>
      </w:pPr>
    </w:p>
    <w:p>
      <w:pPr>
        <w:spacing w:line="520" w:lineRule="exact"/>
        <w:jc w:val="center"/>
        <w:rPr>
          <w:rFonts w:eastAsia="黑体"/>
          <w:b/>
          <w:bCs/>
          <w:sz w:val="24"/>
          <w:u w:val="single"/>
        </w:rPr>
      </w:pPr>
    </w:p>
    <w:p>
      <w:pPr>
        <w:spacing w:line="520" w:lineRule="exact"/>
        <w:jc w:val="center"/>
        <w:rPr>
          <w:rFonts w:eastAsia="黑体"/>
          <w:b/>
          <w:bCs/>
          <w:sz w:val="24"/>
          <w:u w:val="single"/>
        </w:rPr>
      </w:pPr>
    </w:p>
    <w:p>
      <w:pPr>
        <w:spacing w:line="520" w:lineRule="exact"/>
        <w:jc w:val="center"/>
        <w:rPr>
          <w:rFonts w:eastAsia="黑体"/>
          <w:b/>
          <w:bCs/>
          <w:sz w:val="24"/>
          <w:u w:val="single"/>
        </w:rPr>
      </w:pPr>
    </w:p>
    <w:p>
      <w:pPr>
        <w:spacing w:line="520" w:lineRule="exact"/>
        <w:jc w:val="center"/>
        <w:rPr>
          <w:rFonts w:eastAsia="黑体"/>
          <w:b/>
          <w:bCs/>
          <w:sz w:val="24"/>
          <w:u w:val="single"/>
        </w:rPr>
      </w:pPr>
    </w:p>
    <w:p>
      <w:pPr>
        <w:pStyle w:val="14"/>
        <w:ind w:firstLine="402"/>
        <w:rPr>
          <w:b/>
          <w:u w:val="single"/>
        </w:rPr>
      </w:pPr>
    </w:p>
    <w:p>
      <w:pPr>
        <w:pStyle w:val="14"/>
        <w:ind w:firstLine="402"/>
        <w:rPr>
          <w:b/>
          <w:u w:val="single"/>
        </w:rPr>
      </w:pPr>
    </w:p>
    <w:p>
      <w:pPr>
        <w:spacing w:line="520" w:lineRule="exact"/>
        <w:jc w:val="center"/>
        <w:rPr>
          <w:rFonts w:eastAsia="黑体"/>
          <w:b/>
          <w:bCs/>
          <w:sz w:val="24"/>
          <w:u w:val="single"/>
        </w:rPr>
      </w:pPr>
    </w:p>
    <w:p>
      <w:pPr>
        <w:spacing w:line="520" w:lineRule="exact"/>
        <w:jc w:val="center"/>
        <w:rPr>
          <w:rFonts w:eastAsia="黑体"/>
          <w:b/>
          <w:bCs/>
          <w:sz w:val="24"/>
          <w:u w:val="single"/>
        </w:rPr>
      </w:pPr>
      <w:r>
        <w:rPr>
          <w:rFonts w:hint="eastAsia" w:eastAsia="黑体"/>
          <w:b/>
          <w:bCs/>
          <w:sz w:val="24"/>
          <w:u w:val="single"/>
        </w:rPr>
        <w:t>图4-2</w:t>
      </w:r>
      <w:r>
        <w:rPr>
          <w:rFonts w:eastAsia="黑体"/>
          <w:b/>
          <w:bCs/>
          <w:sz w:val="24"/>
          <w:u w:val="single"/>
        </w:rPr>
        <w:t>评价工作程序</w:t>
      </w:r>
    </w:p>
    <w:p>
      <w:pPr>
        <w:pStyle w:val="99"/>
        <w:spacing w:line="500" w:lineRule="exact"/>
        <w:ind w:firstLine="482"/>
        <w:rPr>
          <w:rFonts w:hint="eastAsia"/>
          <w:b w:val="0"/>
          <w:bCs/>
          <w:snapToGrid w:val="0"/>
          <w:kern w:val="0"/>
          <w:u w:val="none"/>
          <w:lang w:val="en-US" w:eastAsia="zh-CN"/>
        </w:rPr>
      </w:pPr>
      <w:r>
        <w:rPr>
          <w:rFonts w:hint="eastAsia"/>
          <w:b w:val="0"/>
          <w:bCs/>
          <w:snapToGrid w:val="0"/>
          <w:kern w:val="0"/>
          <w:u w:val="none"/>
          <w:lang w:val="en-US" w:eastAsia="zh-CN"/>
        </w:rPr>
        <w:t>b风险潜势初判</w:t>
      </w:r>
    </w:p>
    <w:p>
      <w:pPr>
        <w:pStyle w:val="99"/>
        <w:spacing w:line="500" w:lineRule="exact"/>
        <w:ind w:firstLine="482"/>
        <w:rPr>
          <w:rFonts w:hint="eastAsia"/>
          <w:b w:val="0"/>
          <w:bCs/>
          <w:snapToGrid w:val="0"/>
          <w:kern w:val="0"/>
          <w:u w:val="none"/>
        </w:rPr>
      </w:pPr>
      <w:r>
        <w:rPr>
          <w:rFonts w:hint="eastAsia"/>
          <w:b w:val="0"/>
          <w:bCs/>
          <w:snapToGrid w:val="0"/>
          <w:kern w:val="0"/>
          <w:u w:val="none"/>
        </w:rPr>
        <w:t>危险物质及工艺系统危害性P的确定</w:t>
      </w:r>
    </w:p>
    <w:p>
      <w:pPr>
        <w:pStyle w:val="99"/>
        <w:spacing w:line="500" w:lineRule="exact"/>
        <w:ind w:firstLine="482"/>
        <w:rPr>
          <w:rFonts w:hint="eastAsia"/>
          <w:b w:val="0"/>
          <w:bCs/>
          <w:snapToGrid w:val="0"/>
          <w:kern w:val="0"/>
          <w:u w:val="none"/>
        </w:rPr>
      </w:pPr>
      <w:r>
        <w:rPr>
          <w:rFonts w:hint="eastAsia"/>
          <w:b w:val="0"/>
          <w:bCs/>
          <w:snapToGrid w:val="0"/>
          <w:kern w:val="0"/>
          <w:u w:val="none"/>
        </w:rPr>
        <w:t>根据《建设项目环境风险评价技术导则》（HJ/T169－2018），危险物质及工艺系统危害性（P）应根据危险物质数量与临界量的比值（Q）和行业及生产工艺（M）确定。</w:t>
      </w:r>
    </w:p>
    <w:p>
      <w:pPr>
        <w:pStyle w:val="99"/>
        <w:spacing w:line="500" w:lineRule="exact"/>
        <w:ind w:firstLine="482"/>
        <w:rPr>
          <w:b w:val="0"/>
          <w:bCs/>
          <w:snapToGrid w:val="0"/>
          <w:kern w:val="0"/>
          <w:u w:val="none"/>
        </w:rPr>
      </w:pPr>
      <w:r>
        <w:rPr>
          <w:rFonts w:hint="eastAsia"/>
          <w:b w:val="0"/>
          <w:bCs/>
          <w:snapToGrid w:val="0"/>
          <w:kern w:val="0"/>
          <w:u w:val="none"/>
        </w:rPr>
        <w:t>Q值根据《建设项目环境风险评价技术导则》（HJ/T169－2018）附录C，Q 按下</w:t>
      </w:r>
    </w:p>
    <w:p>
      <w:pPr>
        <w:pStyle w:val="99"/>
        <w:spacing w:line="500" w:lineRule="exact"/>
        <w:ind w:firstLine="482"/>
        <w:rPr>
          <w:b w:val="0"/>
          <w:bCs/>
          <w:snapToGrid w:val="0"/>
          <w:kern w:val="0"/>
          <w:u w:val="none"/>
        </w:rPr>
      </w:pPr>
      <w:r>
        <w:rPr>
          <w:rFonts w:hint="eastAsia"/>
          <w:b w:val="0"/>
          <w:bCs/>
          <w:snapToGrid w:val="0"/>
          <w:kern w:val="0"/>
          <w:u w:val="none"/>
        </w:rPr>
        <w:t>式进行计算：</w:t>
      </w:r>
    </w:p>
    <w:p>
      <w:pPr>
        <w:pStyle w:val="99"/>
        <w:spacing w:line="700" w:lineRule="exact"/>
        <w:ind w:firstLine="482"/>
        <w:rPr>
          <w:b w:val="0"/>
          <w:bCs/>
          <w:snapToGrid w:val="0"/>
          <w:kern w:val="0"/>
          <w:u w:val="none"/>
        </w:rPr>
      </w:pPr>
      <w:r>
        <w:rPr>
          <w:rFonts w:hint="eastAsia"/>
          <w:b w:val="0"/>
          <w:bCs/>
          <w:snapToGrid w:val="0"/>
          <w:kern w:val="0"/>
          <w:u w:val="none"/>
        </w:rPr>
        <w:object>
          <v:shape id="_x0000_i1025" o:spt="75" type="#_x0000_t75" style="height:31.5pt;width:94.5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5" r:id="rId26">
            <o:LockedField>false</o:LockedField>
          </o:OLEObject>
        </w:object>
      </w:r>
    </w:p>
    <w:p>
      <w:pPr>
        <w:pStyle w:val="99"/>
        <w:spacing w:line="500" w:lineRule="exact"/>
        <w:ind w:firstLine="482"/>
        <w:rPr>
          <w:b w:val="0"/>
          <w:bCs/>
          <w:snapToGrid w:val="0"/>
          <w:kern w:val="0"/>
          <w:u w:val="none"/>
        </w:rPr>
      </w:pPr>
      <w:r>
        <w:rPr>
          <w:b w:val="0"/>
          <w:bCs/>
          <w:snapToGrid w:val="0"/>
          <w:kern w:val="0"/>
          <w:u w:val="none"/>
        </w:rPr>
        <w:t>式中：q1，q2……qn—每种危险物质的最大存在量，t；</w:t>
      </w:r>
    </w:p>
    <w:p>
      <w:pPr>
        <w:spacing w:line="500" w:lineRule="exact"/>
        <w:ind w:firstLine="480" w:firstLineChars="200"/>
        <w:rPr>
          <w:b w:val="0"/>
          <w:bCs/>
          <w:color w:val="000000"/>
          <w:sz w:val="24"/>
          <w:u w:val="none"/>
        </w:rPr>
      </w:pPr>
      <w:r>
        <w:rPr>
          <w:b w:val="0"/>
          <w:bCs/>
          <w:color w:val="000000"/>
          <w:sz w:val="24"/>
          <w:u w:val="none"/>
        </w:rPr>
        <w:t>Q1，Q2…Qn—每种危险物质的临界量，t。</w:t>
      </w:r>
    </w:p>
    <w:p>
      <w:pPr>
        <w:spacing w:line="500" w:lineRule="exact"/>
        <w:ind w:firstLine="480" w:firstLineChars="200"/>
        <w:rPr>
          <w:b w:val="0"/>
          <w:bCs/>
          <w:color w:val="000000"/>
          <w:sz w:val="24"/>
          <w:u w:val="none"/>
        </w:rPr>
      </w:pPr>
      <w:r>
        <w:rPr>
          <w:b w:val="0"/>
          <w:bCs/>
          <w:color w:val="000000"/>
          <w:sz w:val="24"/>
          <w:u w:val="none"/>
        </w:rPr>
        <w:t>当Q＜1 时，该项目环境风险潜势为I。</w:t>
      </w:r>
    </w:p>
    <w:p>
      <w:pPr>
        <w:spacing w:line="500" w:lineRule="exact"/>
        <w:ind w:firstLine="480" w:firstLineChars="200"/>
        <w:rPr>
          <w:b w:val="0"/>
          <w:bCs/>
          <w:color w:val="000000"/>
          <w:sz w:val="24"/>
          <w:u w:val="none"/>
        </w:rPr>
      </w:pPr>
      <w:r>
        <w:rPr>
          <w:b w:val="0"/>
          <w:bCs/>
          <w:color w:val="000000"/>
          <w:sz w:val="24"/>
          <w:u w:val="none"/>
        </w:rPr>
        <w:t>当Q≥1 时，将Q 值划分为：（1）1≤Q＜10；（2）10≤Q＜100；（3）Q≥</w:t>
      </w:r>
    </w:p>
    <w:p>
      <w:pPr>
        <w:spacing w:line="500" w:lineRule="exact"/>
        <w:ind w:firstLine="480" w:firstLineChars="200"/>
        <w:rPr>
          <w:b w:val="0"/>
          <w:bCs/>
          <w:color w:val="000000"/>
          <w:sz w:val="24"/>
          <w:u w:val="none"/>
        </w:rPr>
      </w:pPr>
      <w:r>
        <w:rPr>
          <w:b w:val="0"/>
          <w:bCs/>
          <w:color w:val="000000"/>
          <w:sz w:val="24"/>
          <w:u w:val="none"/>
        </w:rPr>
        <w:t>100。</w:t>
      </w:r>
    </w:p>
    <w:p>
      <w:pPr>
        <w:spacing w:line="500" w:lineRule="exact"/>
        <w:ind w:firstLine="480" w:firstLineChars="200"/>
        <w:rPr>
          <w:b w:val="0"/>
          <w:bCs/>
          <w:color w:val="000000"/>
          <w:sz w:val="24"/>
          <w:u w:val="none"/>
        </w:rPr>
      </w:pPr>
      <w:r>
        <w:rPr>
          <w:rFonts w:hint="eastAsia"/>
          <w:b w:val="0"/>
          <w:bCs/>
          <w:color w:val="000000"/>
          <w:sz w:val="24"/>
          <w:u w:val="none"/>
        </w:rPr>
        <w:t>Q的确定见下表。</w:t>
      </w:r>
    </w:p>
    <w:p>
      <w:pPr>
        <w:adjustRightInd w:val="0"/>
        <w:snapToGrid w:val="0"/>
        <w:spacing w:afterLines="30" w:line="500" w:lineRule="exact"/>
        <w:jc w:val="center"/>
        <w:rPr>
          <w:b w:val="0"/>
          <w:bCs/>
          <w:sz w:val="24"/>
          <w:u w:val="none"/>
        </w:rPr>
      </w:pPr>
      <w:r>
        <w:rPr>
          <w:b w:val="0"/>
          <w:bCs/>
          <w:color w:val="000000"/>
          <w:sz w:val="24"/>
          <w:u w:val="none"/>
        </w:rPr>
        <w:t>表</w:t>
      </w:r>
      <w:r>
        <w:rPr>
          <w:rFonts w:hint="eastAsia"/>
          <w:b w:val="0"/>
          <w:bCs/>
          <w:color w:val="000000"/>
          <w:sz w:val="24"/>
          <w:u w:val="none"/>
          <w:lang w:val="en-US" w:eastAsia="zh-CN"/>
        </w:rPr>
        <w:t>4.2-18</w:t>
      </w:r>
      <w:r>
        <w:rPr>
          <w:rFonts w:hint="eastAsia"/>
          <w:b w:val="0"/>
          <w:bCs/>
          <w:color w:val="000000"/>
          <w:sz w:val="24"/>
          <w:u w:val="none"/>
        </w:rPr>
        <w:t xml:space="preserve"> </w:t>
      </w:r>
      <w:r>
        <w:rPr>
          <w:rFonts w:hint="eastAsia"/>
          <w:b w:val="0"/>
          <w:bCs/>
          <w:color w:val="000000"/>
          <w:szCs w:val="21"/>
          <w:u w:val="none"/>
        </w:rPr>
        <w:t xml:space="preserve">  </w:t>
      </w:r>
      <w:r>
        <w:rPr>
          <w:b w:val="0"/>
          <w:bCs/>
          <w:sz w:val="24"/>
          <w:u w:val="none"/>
        </w:rPr>
        <w:t>建设项目Q</w:t>
      </w:r>
      <w:r>
        <w:rPr>
          <w:rFonts w:hint="eastAsia"/>
          <w:b w:val="0"/>
          <w:bCs/>
          <w:sz w:val="24"/>
          <w:u w:val="none"/>
        </w:rPr>
        <w:t>值</w:t>
      </w:r>
      <w:r>
        <w:rPr>
          <w:b w:val="0"/>
          <w:bCs/>
          <w:sz w:val="24"/>
          <w:u w:val="none"/>
        </w:rPr>
        <w:t>确定表</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912"/>
        <w:gridCol w:w="2552"/>
        <w:gridCol w:w="2268"/>
        <w:gridCol w:w="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44"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序号</w:t>
            </w:r>
          </w:p>
        </w:tc>
        <w:tc>
          <w:tcPr>
            <w:tcW w:w="1080"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类别</w:t>
            </w:r>
          </w:p>
        </w:tc>
        <w:tc>
          <w:tcPr>
            <w:tcW w:w="912"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物质</w:t>
            </w:r>
          </w:p>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名称</w:t>
            </w:r>
          </w:p>
        </w:tc>
        <w:tc>
          <w:tcPr>
            <w:tcW w:w="2552"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临界量（</w:t>
            </w:r>
            <w:r>
              <w:rPr>
                <w:b w:val="0"/>
                <w:bCs/>
                <w:snapToGrid w:val="0"/>
                <w:kern w:val="0"/>
                <w:sz w:val="21"/>
                <w:szCs w:val="21"/>
                <w:u w:val="none"/>
              </w:rPr>
              <w:t>t</w:t>
            </w:r>
            <w:r>
              <w:rPr>
                <w:rFonts w:hAnsi="宋体"/>
                <w:b w:val="0"/>
                <w:bCs/>
                <w:snapToGrid w:val="0"/>
                <w:kern w:val="0"/>
                <w:sz w:val="21"/>
                <w:szCs w:val="21"/>
                <w:u w:val="none"/>
              </w:rPr>
              <w:t>）《建设项目环境风险评价技术导则》（</w:t>
            </w:r>
            <w:r>
              <w:rPr>
                <w:b w:val="0"/>
                <w:bCs/>
                <w:snapToGrid w:val="0"/>
                <w:kern w:val="0"/>
                <w:sz w:val="21"/>
                <w:szCs w:val="21"/>
                <w:u w:val="none"/>
              </w:rPr>
              <w:t>HJ/T169</w:t>
            </w:r>
            <w:r>
              <w:rPr>
                <w:rFonts w:hAnsi="宋体"/>
                <w:b w:val="0"/>
                <w:bCs/>
                <w:snapToGrid w:val="0"/>
                <w:kern w:val="0"/>
                <w:sz w:val="21"/>
                <w:szCs w:val="21"/>
                <w:u w:val="none"/>
              </w:rPr>
              <w:t>－</w:t>
            </w:r>
            <w:r>
              <w:rPr>
                <w:b w:val="0"/>
                <w:bCs/>
                <w:snapToGrid w:val="0"/>
                <w:kern w:val="0"/>
                <w:sz w:val="21"/>
                <w:szCs w:val="21"/>
                <w:u w:val="none"/>
              </w:rPr>
              <w:t>2018</w:t>
            </w:r>
            <w:r>
              <w:rPr>
                <w:rFonts w:hAnsi="宋体"/>
                <w:b w:val="0"/>
                <w:bCs/>
                <w:snapToGrid w:val="0"/>
                <w:kern w:val="0"/>
                <w:sz w:val="21"/>
                <w:szCs w:val="21"/>
                <w:u w:val="none"/>
              </w:rPr>
              <w:t>）附录</w:t>
            </w:r>
            <w:r>
              <w:rPr>
                <w:b w:val="0"/>
                <w:bCs/>
                <w:snapToGrid w:val="0"/>
                <w:kern w:val="0"/>
                <w:sz w:val="21"/>
                <w:szCs w:val="21"/>
                <w:u w:val="none"/>
              </w:rPr>
              <w:t>B</w:t>
            </w:r>
          </w:p>
        </w:tc>
        <w:tc>
          <w:tcPr>
            <w:tcW w:w="2268"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实际最大存储量（</w:t>
            </w:r>
            <w:r>
              <w:rPr>
                <w:b w:val="0"/>
                <w:bCs/>
                <w:snapToGrid w:val="0"/>
                <w:kern w:val="0"/>
                <w:sz w:val="21"/>
                <w:szCs w:val="21"/>
                <w:u w:val="none"/>
              </w:rPr>
              <w:t>t</w:t>
            </w:r>
            <w:r>
              <w:rPr>
                <w:rFonts w:hAnsi="宋体"/>
                <w:b w:val="0"/>
                <w:bCs/>
                <w:snapToGrid w:val="0"/>
                <w:kern w:val="0"/>
                <w:sz w:val="21"/>
                <w:szCs w:val="21"/>
                <w:u w:val="none"/>
              </w:rPr>
              <w:t>）</w:t>
            </w:r>
          </w:p>
        </w:tc>
        <w:tc>
          <w:tcPr>
            <w:tcW w:w="976" w:type="dxa"/>
            <w:noWrap/>
            <w:vAlign w:val="center"/>
          </w:tcPr>
          <w:p>
            <w:pPr>
              <w:pStyle w:val="99"/>
              <w:spacing w:line="240" w:lineRule="exact"/>
              <w:ind w:firstLine="0" w:firstLineChars="0"/>
              <w:jc w:val="center"/>
              <w:rPr>
                <w:b w:val="0"/>
                <w:bCs/>
                <w:snapToGrid w:val="0"/>
                <w:kern w:val="0"/>
                <w:sz w:val="21"/>
                <w:szCs w:val="21"/>
                <w:u w:val="none"/>
              </w:rPr>
            </w:pPr>
            <w:r>
              <w:rPr>
                <w:b w:val="0"/>
                <w:bCs/>
                <w:snapToGrid w:val="0"/>
                <w:kern w:val="0"/>
                <w:sz w:val="21"/>
                <w:szCs w:val="21"/>
                <w:u w:val="none"/>
              </w:rPr>
              <w:t>Q</w:t>
            </w:r>
            <w:r>
              <w:rPr>
                <w:rFonts w:hAnsi="宋体"/>
                <w:b w:val="0"/>
                <w:bCs/>
                <w:snapToGrid w:val="0"/>
                <w:kern w:val="0"/>
                <w:sz w:val="21"/>
                <w:szCs w:val="21"/>
                <w:u w:val="none"/>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44" w:type="dxa"/>
            <w:noWrap/>
            <w:vAlign w:val="center"/>
          </w:tcPr>
          <w:p>
            <w:pPr>
              <w:pStyle w:val="99"/>
              <w:spacing w:line="240" w:lineRule="exact"/>
              <w:ind w:firstLine="0" w:firstLineChars="0"/>
              <w:jc w:val="center"/>
              <w:rPr>
                <w:b w:val="0"/>
                <w:bCs/>
                <w:snapToGrid w:val="0"/>
                <w:kern w:val="0"/>
                <w:sz w:val="21"/>
                <w:szCs w:val="21"/>
                <w:u w:val="none"/>
              </w:rPr>
            </w:pPr>
            <w:r>
              <w:rPr>
                <w:b w:val="0"/>
                <w:bCs/>
                <w:snapToGrid w:val="0"/>
                <w:kern w:val="0"/>
                <w:sz w:val="21"/>
                <w:szCs w:val="21"/>
                <w:u w:val="none"/>
              </w:rPr>
              <w:t>1</w:t>
            </w:r>
          </w:p>
        </w:tc>
        <w:tc>
          <w:tcPr>
            <w:tcW w:w="1080"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易燃气体</w:t>
            </w:r>
          </w:p>
        </w:tc>
        <w:tc>
          <w:tcPr>
            <w:tcW w:w="912" w:type="dxa"/>
            <w:noWrap/>
            <w:vAlign w:val="center"/>
          </w:tcPr>
          <w:p>
            <w:pPr>
              <w:pStyle w:val="99"/>
              <w:spacing w:line="240" w:lineRule="exact"/>
              <w:ind w:firstLine="0" w:firstLineChars="0"/>
              <w:jc w:val="center"/>
              <w:rPr>
                <w:b w:val="0"/>
                <w:bCs/>
                <w:snapToGrid w:val="0"/>
                <w:kern w:val="0"/>
                <w:sz w:val="21"/>
                <w:szCs w:val="21"/>
                <w:u w:val="none"/>
              </w:rPr>
            </w:pPr>
            <w:r>
              <w:rPr>
                <w:rFonts w:hAnsi="宋体"/>
                <w:b w:val="0"/>
                <w:bCs/>
                <w:snapToGrid w:val="0"/>
                <w:kern w:val="0"/>
                <w:sz w:val="21"/>
                <w:szCs w:val="21"/>
                <w:u w:val="none"/>
              </w:rPr>
              <w:t>甲烷</w:t>
            </w:r>
          </w:p>
        </w:tc>
        <w:tc>
          <w:tcPr>
            <w:tcW w:w="2552" w:type="dxa"/>
            <w:noWrap/>
            <w:vAlign w:val="center"/>
          </w:tcPr>
          <w:p>
            <w:pPr>
              <w:pStyle w:val="99"/>
              <w:spacing w:line="240" w:lineRule="exact"/>
              <w:ind w:firstLine="0" w:firstLineChars="0"/>
              <w:jc w:val="center"/>
              <w:rPr>
                <w:b w:val="0"/>
                <w:bCs/>
                <w:snapToGrid w:val="0"/>
                <w:kern w:val="0"/>
                <w:sz w:val="21"/>
                <w:szCs w:val="21"/>
                <w:u w:val="none"/>
              </w:rPr>
            </w:pPr>
            <w:r>
              <w:rPr>
                <w:b w:val="0"/>
                <w:bCs/>
                <w:snapToGrid w:val="0"/>
                <w:kern w:val="0"/>
                <w:sz w:val="21"/>
                <w:szCs w:val="21"/>
                <w:u w:val="none"/>
              </w:rPr>
              <w:t>10t</w:t>
            </w:r>
          </w:p>
        </w:tc>
        <w:tc>
          <w:tcPr>
            <w:tcW w:w="2268" w:type="dxa"/>
            <w:noWrap/>
            <w:vAlign w:val="center"/>
          </w:tcPr>
          <w:p>
            <w:pPr>
              <w:pStyle w:val="99"/>
              <w:spacing w:line="240" w:lineRule="exact"/>
              <w:ind w:firstLine="0" w:firstLineChars="0"/>
              <w:jc w:val="center"/>
              <w:rPr>
                <w:rFonts w:hint="default" w:eastAsia="宋体"/>
                <w:b w:val="0"/>
                <w:bCs/>
                <w:snapToGrid w:val="0"/>
                <w:color w:val="FF0000"/>
                <w:kern w:val="0"/>
                <w:sz w:val="21"/>
                <w:szCs w:val="21"/>
                <w:u w:val="none"/>
                <w:lang w:val="en-US" w:eastAsia="zh-CN"/>
              </w:rPr>
            </w:pPr>
            <w:r>
              <w:rPr>
                <w:rFonts w:hint="eastAsia"/>
                <w:b w:val="0"/>
                <w:bCs/>
                <w:snapToGrid w:val="0"/>
                <w:kern w:val="0"/>
                <w:sz w:val="21"/>
                <w:szCs w:val="21"/>
                <w:u w:val="none"/>
                <w:lang w:val="en-US" w:eastAsia="zh-CN"/>
              </w:rPr>
              <w:t>0.5</w:t>
            </w:r>
          </w:p>
        </w:tc>
        <w:tc>
          <w:tcPr>
            <w:tcW w:w="976" w:type="dxa"/>
            <w:noWrap/>
            <w:vAlign w:val="center"/>
          </w:tcPr>
          <w:p>
            <w:pPr>
              <w:pStyle w:val="99"/>
              <w:spacing w:line="240" w:lineRule="exact"/>
              <w:ind w:firstLine="0" w:firstLineChars="0"/>
              <w:jc w:val="center"/>
              <w:rPr>
                <w:rFonts w:hint="default" w:eastAsia="宋体"/>
                <w:b w:val="0"/>
                <w:bCs/>
                <w:snapToGrid w:val="0"/>
                <w:kern w:val="0"/>
                <w:sz w:val="21"/>
                <w:szCs w:val="21"/>
                <w:u w:val="none"/>
                <w:lang w:val="en-US" w:eastAsia="zh-CN"/>
              </w:rPr>
            </w:pPr>
            <w:r>
              <w:rPr>
                <w:b w:val="0"/>
                <w:bCs/>
                <w:snapToGrid w:val="0"/>
                <w:kern w:val="0"/>
                <w:sz w:val="21"/>
                <w:szCs w:val="21"/>
                <w:u w:val="none"/>
              </w:rPr>
              <w:t>0.</w:t>
            </w:r>
            <w:r>
              <w:rPr>
                <w:rFonts w:hint="eastAsia"/>
                <w:b w:val="0"/>
                <w:bCs/>
                <w:snapToGrid w:val="0"/>
                <w:kern w:val="0"/>
                <w:sz w:val="21"/>
                <w:szCs w:val="21"/>
                <w:u w:val="none"/>
                <w:lang w:val="en-US" w:eastAsia="zh-CN"/>
              </w:rPr>
              <w:t>05</w:t>
            </w:r>
          </w:p>
        </w:tc>
      </w:tr>
    </w:tbl>
    <w:p>
      <w:pPr>
        <w:spacing w:line="500" w:lineRule="exact"/>
        <w:ind w:firstLine="480" w:firstLineChars="200"/>
        <w:rPr>
          <w:b w:val="0"/>
          <w:bCs/>
          <w:color w:val="000000"/>
          <w:sz w:val="24"/>
          <w:u w:val="none"/>
        </w:rPr>
      </w:pPr>
      <w:r>
        <w:rPr>
          <w:rFonts w:hint="eastAsia"/>
          <w:b w:val="0"/>
          <w:bCs/>
          <w:color w:val="000000"/>
          <w:sz w:val="24"/>
          <w:u w:val="none"/>
        </w:rPr>
        <w:t>本项目厂区设置一个</w:t>
      </w:r>
      <w:r>
        <w:rPr>
          <w:rFonts w:hint="eastAsia"/>
          <w:b w:val="0"/>
          <w:bCs/>
          <w:color w:val="000000"/>
          <w:sz w:val="24"/>
          <w:u w:val="none"/>
          <w:lang w:eastAsia="zh-CN"/>
        </w:rPr>
        <w:t>黑膜</w:t>
      </w:r>
      <w:r>
        <w:rPr>
          <w:b w:val="0"/>
          <w:bCs/>
          <w:color w:val="000000"/>
          <w:sz w:val="24"/>
          <w:u w:val="none"/>
        </w:rPr>
        <w:t>沼气池</w:t>
      </w:r>
      <w:r>
        <w:rPr>
          <w:rFonts w:hint="eastAsia"/>
          <w:b w:val="0"/>
          <w:bCs/>
          <w:color w:val="000000"/>
          <w:sz w:val="24"/>
          <w:u w:val="none"/>
        </w:rPr>
        <w:t>，容积</w:t>
      </w:r>
      <w:r>
        <w:rPr>
          <w:b w:val="0"/>
          <w:bCs/>
          <w:color w:val="000000"/>
          <w:sz w:val="24"/>
          <w:u w:val="none"/>
        </w:rPr>
        <w:t>为</w:t>
      </w:r>
      <w:r>
        <w:rPr>
          <w:rFonts w:hint="eastAsia"/>
          <w:b w:val="0"/>
          <w:bCs/>
          <w:color w:val="000000"/>
          <w:sz w:val="24"/>
          <w:u w:val="none"/>
          <w:lang w:val="en-US" w:eastAsia="zh-CN"/>
        </w:rPr>
        <w:t>10</w:t>
      </w:r>
      <w:r>
        <w:rPr>
          <w:b w:val="0"/>
          <w:bCs/>
          <w:color w:val="000000"/>
          <w:sz w:val="24"/>
          <w:u w:val="none"/>
        </w:rPr>
        <w:t>00</w:t>
      </w:r>
      <w:r>
        <w:rPr>
          <w:rFonts w:hint="eastAsia"/>
          <w:b w:val="0"/>
          <w:bCs/>
          <w:color w:val="000000"/>
          <w:sz w:val="24"/>
          <w:u w:val="none"/>
        </w:rPr>
        <w:t>m</w:t>
      </w:r>
      <w:r>
        <w:rPr>
          <w:rFonts w:hint="eastAsia"/>
          <w:b w:val="0"/>
          <w:bCs/>
          <w:color w:val="000000"/>
          <w:sz w:val="24"/>
          <w:u w:val="none"/>
          <w:vertAlign w:val="superscript"/>
        </w:rPr>
        <w:t>3</w:t>
      </w:r>
      <w:r>
        <w:rPr>
          <w:rFonts w:hint="eastAsia"/>
          <w:b w:val="0"/>
          <w:bCs/>
          <w:color w:val="000000"/>
          <w:sz w:val="24"/>
          <w:u w:val="none"/>
        </w:rPr>
        <w:t>，其中甲烷含量约为55%--70%，本项目甲烷含量按照70%计算，贮存甲烷约为</w:t>
      </w:r>
      <w:r>
        <w:rPr>
          <w:rFonts w:hint="eastAsia"/>
          <w:b w:val="0"/>
          <w:bCs/>
          <w:color w:val="000000"/>
          <w:sz w:val="24"/>
          <w:u w:val="none"/>
          <w:lang w:val="en-US" w:eastAsia="zh-CN"/>
        </w:rPr>
        <w:t>0.5</w:t>
      </w:r>
      <w:r>
        <w:rPr>
          <w:rFonts w:hint="eastAsia"/>
          <w:b w:val="0"/>
          <w:bCs/>
          <w:color w:val="000000"/>
          <w:sz w:val="24"/>
          <w:u w:val="none"/>
        </w:rPr>
        <w:t>t。经计算，本项目Q﹤1（0.</w:t>
      </w:r>
      <w:r>
        <w:rPr>
          <w:rFonts w:hint="eastAsia"/>
          <w:b w:val="0"/>
          <w:bCs/>
          <w:color w:val="000000"/>
          <w:sz w:val="24"/>
          <w:u w:val="none"/>
          <w:lang w:val="en-US" w:eastAsia="zh-CN"/>
        </w:rPr>
        <w:t>05</w:t>
      </w:r>
      <w:r>
        <w:rPr>
          <w:rFonts w:hint="eastAsia"/>
          <w:b w:val="0"/>
          <w:bCs/>
          <w:color w:val="000000"/>
          <w:sz w:val="24"/>
          <w:u w:val="none"/>
        </w:rPr>
        <w:t>）。该项目环境风险潜势为Ⅰ。</w:t>
      </w:r>
    </w:p>
    <w:p>
      <w:pPr>
        <w:tabs>
          <w:tab w:val="right" w:leader="dot" w:pos="8647"/>
        </w:tabs>
        <w:adjustRightInd w:val="0"/>
        <w:snapToGrid w:val="0"/>
        <w:spacing w:line="500" w:lineRule="exact"/>
        <w:rPr>
          <w:b w:val="0"/>
          <w:bCs/>
          <w:color w:val="000000"/>
          <w:sz w:val="24"/>
          <w:u w:val="none"/>
        </w:rPr>
      </w:pPr>
      <w:r>
        <w:rPr>
          <w:rFonts w:hint="eastAsia"/>
          <w:b w:val="0"/>
          <w:bCs/>
          <w:color w:val="000000"/>
          <w:sz w:val="24"/>
          <w:u w:val="none"/>
          <w:lang w:val="en-US" w:eastAsia="zh-CN"/>
        </w:rPr>
        <w:t>5</w:t>
      </w:r>
      <w:r>
        <w:rPr>
          <w:b w:val="0"/>
          <w:bCs/>
          <w:color w:val="000000"/>
          <w:sz w:val="24"/>
          <w:u w:val="none"/>
        </w:rPr>
        <w:t>.2.7.</w:t>
      </w:r>
      <w:r>
        <w:rPr>
          <w:rFonts w:hint="eastAsia"/>
          <w:b w:val="0"/>
          <w:bCs/>
          <w:color w:val="000000"/>
          <w:sz w:val="24"/>
          <w:u w:val="none"/>
        </w:rPr>
        <w:t>2</w:t>
      </w:r>
      <w:r>
        <w:rPr>
          <w:b w:val="0"/>
          <w:bCs/>
          <w:color w:val="000000"/>
          <w:sz w:val="24"/>
          <w:u w:val="none"/>
        </w:rPr>
        <w:t>风险识别及评价等级确定</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1、</w:t>
      </w:r>
      <w:r>
        <w:rPr>
          <w:b w:val="0"/>
          <w:bCs/>
          <w:color w:val="000000"/>
          <w:sz w:val="24"/>
          <w:u w:val="none"/>
        </w:rPr>
        <w:t>物质风险识别</w:t>
      </w:r>
    </w:p>
    <w:p>
      <w:pPr>
        <w:pStyle w:val="99"/>
        <w:spacing w:line="500" w:lineRule="exact"/>
        <w:ind w:firstLine="482"/>
        <w:rPr>
          <w:b w:val="0"/>
          <w:bCs/>
          <w:snapToGrid w:val="0"/>
          <w:kern w:val="0"/>
          <w:u w:val="none"/>
        </w:rPr>
      </w:pPr>
      <w:r>
        <w:rPr>
          <w:b w:val="0"/>
          <w:bCs/>
          <w:snapToGrid w:val="0"/>
          <w:kern w:val="0"/>
          <w:u w:val="none"/>
        </w:rPr>
        <w:t>（1）病原菌</w:t>
      </w:r>
    </w:p>
    <w:p>
      <w:pPr>
        <w:pStyle w:val="99"/>
        <w:spacing w:line="500" w:lineRule="exact"/>
        <w:ind w:firstLine="482"/>
        <w:rPr>
          <w:b w:val="0"/>
          <w:bCs/>
          <w:snapToGrid w:val="0"/>
          <w:kern w:val="0"/>
          <w:u w:val="none"/>
        </w:rPr>
      </w:pPr>
      <w:r>
        <w:rPr>
          <w:b w:val="0"/>
          <w:bCs/>
          <w:snapToGrid w:val="0"/>
          <w:kern w:val="0"/>
          <w:u w:val="none"/>
        </w:rPr>
        <w:t>项目为养殖项目，涉及的物料主要饲料、水、疫苗、脱硫剂及除臭剂等，原料中无可燃、易燃或有毒的物质，但建设单位在猪只的养殖过程中产生的猪粪如未处理得当可能产生诱发传染病，主要有以下危害特性：病猪产生的粪尿和尸体中含有病原菌会产生水污染，引起疾病的传播和流行，造成猪群死亡，并且传染给其他禽畜和人；常见的猪群传染病为口蹄疫、猪流感等。</w:t>
      </w:r>
    </w:p>
    <w:p>
      <w:pPr>
        <w:spacing w:line="500" w:lineRule="exact"/>
        <w:ind w:firstLine="480" w:firstLineChars="200"/>
        <w:rPr>
          <w:b w:val="0"/>
          <w:bCs/>
          <w:sz w:val="24"/>
          <w:u w:val="none"/>
        </w:rPr>
      </w:pPr>
      <w:r>
        <w:rPr>
          <w:b w:val="0"/>
          <w:bCs/>
          <w:sz w:val="24"/>
          <w:u w:val="none"/>
        </w:rPr>
        <w:t>（2）沼气</w:t>
      </w:r>
    </w:p>
    <w:p>
      <w:pPr>
        <w:spacing w:line="500" w:lineRule="exact"/>
        <w:ind w:firstLine="480" w:firstLineChars="200"/>
        <w:rPr>
          <w:b w:val="0"/>
          <w:bCs/>
          <w:sz w:val="24"/>
          <w:u w:val="none"/>
        </w:rPr>
      </w:pPr>
      <w:r>
        <w:rPr>
          <w:b w:val="0"/>
          <w:bCs/>
          <w:sz w:val="24"/>
          <w:u w:val="none"/>
        </w:rPr>
        <w:t>沼气是一种混合气体，它的主要成分是CH</w:t>
      </w:r>
      <w:r>
        <w:rPr>
          <w:b w:val="0"/>
          <w:bCs/>
          <w:sz w:val="24"/>
          <w:u w:val="none"/>
          <w:vertAlign w:val="subscript"/>
        </w:rPr>
        <w:t>4</w:t>
      </w:r>
      <w:r>
        <w:rPr>
          <w:b w:val="0"/>
          <w:bCs/>
          <w:sz w:val="24"/>
          <w:u w:val="none"/>
        </w:rPr>
        <w:t>，其次有CO</w:t>
      </w:r>
      <w:r>
        <w:rPr>
          <w:b w:val="0"/>
          <w:bCs/>
          <w:sz w:val="24"/>
          <w:u w:val="none"/>
          <w:vertAlign w:val="subscript"/>
        </w:rPr>
        <w:t>2</w:t>
      </w:r>
      <w:r>
        <w:rPr>
          <w:b w:val="0"/>
          <w:bCs/>
          <w:sz w:val="24"/>
          <w:u w:val="none"/>
        </w:rPr>
        <w:t>、H</w:t>
      </w:r>
      <w:r>
        <w:rPr>
          <w:b w:val="0"/>
          <w:bCs/>
          <w:sz w:val="24"/>
          <w:u w:val="none"/>
          <w:vertAlign w:val="subscript"/>
        </w:rPr>
        <w:t>2</w:t>
      </w:r>
      <w:r>
        <w:rPr>
          <w:b w:val="0"/>
          <w:bCs/>
          <w:sz w:val="24"/>
          <w:u w:val="none"/>
        </w:rPr>
        <w:t>S、氮及其他一些成分。沼气的组成中，可燃成分包括CH</w:t>
      </w:r>
      <w:r>
        <w:rPr>
          <w:b w:val="0"/>
          <w:bCs/>
          <w:sz w:val="24"/>
          <w:u w:val="none"/>
          <w:vertAlign w:val="subscript"/>
        </w:rPr>
        <w:t>4</w:t>
      </w:r>
      <w:r>
        <w:rPr>
          <w:b w:val="0"/>
          <w:bCs/>
          <w:sz w:val="24"/>
          <w:u w:val="none"/>
        </w:rPr>
        <w:t>、H</w:t>
      </w:r>
      <w:r>
        <w:rPr>
          <w:b w:val="0"/>
          <w:bCs/>
          <w:sz w:val="24"/>
          <w:u w:val="none"/>
          <w:vertAlign w:val="subscript"/>
        </w:rPr>
        <w:t>2</w:t>
      </w:r>
      <w:r>
        <w:rPr>
          <w:b w:val="0"/>
          <w:bCs/>
          <w:sz w:val="24"/>
          <w:u w:val="none"/>
        </w:rPr>
        <w:t>S、CO和重烃等气体；不可燃成分包括CO</w:t>
      </w:r>
      <w:r>
        <w:rPr>
          <w:b w:val="0"/>
          <w:bCs/>
          <w:sz w:val="24"/>
          <w:u w:val="none"/>
          <w:vertAlign w:val="subscript"/>
        </w:rPr>
        <w:t>2</w:t>
      </w:r>
      <w:r>
        <w:rPr>
          <w:b w:val="0"/>
          <w:bCs/>
          <w:sz w:val="24"/>
          <w:u w:val="none"/>
        </w:rPr>
        <w:t>、氮和氨等气体。在沼气成分中CH</w:t>
      </w:r>
      <w:r>
        <w:rPr>
          <w:b w:val="0"/>
          <w:bCs/>
          <w:sz w:val="24"/>
          <w:u w:val="none"/>
          <w:vertAlign w:val="subscript"/>
        </w:rPr>
        <w:t>4</w:t>
      </w:r>
      <w:r>
        <w:rPr>
          <w:b w:val="0"/>
          <w:bCs/>
          <w:sz w:val="24"/>
          <w:u w:val="none"/>
        </w:rPr>
        <w:t>含量为55%～70%、CO</w:t>
      </w:r>
      <w:r>
        <w:rPr>
          <w:b w:val="0"/>
          <w:bCs/>
          <w:sz w:val="24"/>
          <w:u w:val="none"/>
          <w:vertAlign w:val="subscript"/>
        </w:rPr>
        <w:t>2</w:t>
      </w:r>
      <w:r>
        <w:rPr>
          <w:b w:val="0"/>
          <w:bCs/>
          <w:sz w:val="24"/>
          <w:u w:val="none"/>
        </w:rPr>
        <w:t>含量为28%～44%、H</w:t>
      </w:r>
      <w:r>
        <w:rPr>
          <w:b w:val="0"/>
          <w:bCs/>
          <w:sz w:val="24"/>
          <w:u w:val="none"/>
          <w:vertAlign w:val="subscript"/>
        </w:rPr>
        <w:t>2</w:t>
      </w:r>
      <w:r>
        <w:rPr>
          <w:b w:val="0"/>
          <w:bCs/>
          <w:sz w:val="24"/>
          <w:u w:val="none"/>
        </w:rPr>
        <w:t>S平均含量为0.034%。</w:t>
      </w:r>
    </w:p>
    <w:p>
      <w:pPr>
        <w:spacing w:line="500" w:lineRule="exact"/>
        <w:ind w:firstLine="480" w:firstLineChars="200"/>
        <w:rPr>
          <w:b w:val="0"/>
          <w:bCs/>
          <w:sz w:val="24"/>
          <w:u w:val="none"/>
        </w:rPr>
      </w:pPr>
      <w:r>
        <w:rPr>
          <w:b w:val="0"/>
          <w:bCs/>
          <w:sz w:val="24"/>
          <w:u w:val="none"/>
        </w:rPr>
        <w:t>甲烷的主要危险特性和理化性质见表</w:t>
      </w:r>
      <w:r>
        <w:rPr>
          <w:rFonts w:hint="eastAsia"/>
          <w:b w:val="0"/>
          <w:bCs/>
          <w:sz w:val="24"/>
          <w:u w:val="none"/>
          <w:lang w:val="en-US" w:eastAsia="zh-CN"/>
        </w:rPr>
        <w:t>4.2-19</w:t>
      </w:r>
      <w:r>
        <w:rPr>
          <w:b w:val="0"/>
          <w:bCs/>
          <w:sz w:val="24"/>
          <w:u w:val="none"/>
        </w:rPr>
        <w:t>。</w:t>
      </w:r>
    </w:p>
    <w:p>
      <w:pPr>
        <w:adjustRightInd w:val="0"/>
        <w:snapToGrid w:val="0"/>
        <w:spacing w:afterLines="30" w:line="500" w:lineRule="exact"/>
        <w:jc w:val="center"/>
        <w:rPr>
          <w:b/>
          <w:bCs w:val="0"/>
          <w:sz w:val="24"/>
          <w:u w:val="none"/>
        </w:rPr>
      </w:pPr>
      <w:r>
        <w:rPr>
          <w:b/>
          <w:bCs w:val="0"/>
          <w:sz w:val="24"/>
          <w:u w:val="none"/>
        </w:rPr>
        <w:t>表</w:t>
      </w:r>
      <w:r>
        <w:rPr>
          <w:rFonts w:hint="eastAsia"/>
          <w:b/>
          <w:bCs w:val="0"/>
          <w:sz w:val="24"/>
          <w:u w:val="none"/>
          <w:lang w:val="en-US" w:eastAsia="zh-CN"/>
        </w:rPr>
        <w:t>4.2-19</w:t>
      </w:r>
      <w:r>
        <w:rPr>
          <w:b/>
          <w:bCs w:val="0"/>
          <w:sz w:val="24"/>
          <w:u w:val="none"/>
        </w:rPr>
        <w:t xml:space="preserve">  甲烷的理化性质和危险特性</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9"/>
        <w:gridCol w:w="2871"/>
        <w:gridCol w:w="2401"/>
        <w:gridCol w:w="20"/>
        <w:gridCol w:w="21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 w:val="0"/>
                <w:bCs/>
                <w:szCs w:val="21"/>
                <w:u w:val="none"/>
              </w:rPr>
            </w:pPr>
            <w:r>
              <w:rPr>
                <w:b w:val="0"/>
                <w:bCs/>
                <w:szCs w:val="21"/>
                <w:u w:val="none"/>
              </w:rPr>
              <w:t>第一部分    危险性概述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危险性类别：</w:t>
            </w:r>
          </w:p>
        </w:tc>
        <w:tc>
          <w:tcPr>
            <w:tcW w:w="2871" w:type="dxa"/>
            <w:vAlign w:val="center"/>
          </w:tcPr>
          <w:p>
            <w:pPr>
              <w:spacing w:line="360" w:lineRule="exact"/>
              <w:rPr>
                <w:b w:val="0"/>
                <w:bCs/>
                <w:szCs w:val="21"/>
                <w:u w:val="none"/>
              </w:rPr>
            </w:pPr>
            <w:r>
              <w:rPr>
                <w:b w:val="0"/>
                <w:bCs/>
                <w:szCs w:val="21"/>
                <w:u w:val="none"/>
              </w:rPr>
              <w:t>4（易燃气体）。</w:t>
            </w:r>
          </w:p>
        </w:tc>
        <w:tc>
          <w:tcPr>
            <w:tcW w:w="2401" w:type="dxa"/>
            <w:vAlign w:val="center"/>
          </w:tcPr>
          <w:p>
            <w:pPr>
              <w:spacing w:line="360" w:lineRule="exact"/>
              <w:rPr>
                <w:b w:val="0"/>
                <w:bCs/>
                <w:szCs w:val="21"/>
                <w:u w:val="none"/>
              </w:rPr>
            </w:pPr>
            <w:r>
              <w:rPr>
                <w:b w:val="0"/>
                <w:bCs/>
                <w:szCs w:val="21"/>
                <w:u w:val="none"/>
              </w:rPr>
              <w:t>燃爆危险：</w:t>
            </w:r>
          </w:p>
        </w:tc>
        <w:tc>
          <w:tcPr>
            <w:tcW w:w="2173" w:type="dxa"/>
            <w:gridSpan w:val="2"/>
            <w:vAlign w:val="center"/>
          </w:tcPr>
          <w:p>
            <w:pPr>
              <w:spacing w:line="360" w:lineRule="exact"/>
              <w:rPr>
                <w:b w:val="0"/>
                <w:bCs/>
                <w:szCs w:val="21"/>
                <w:u w:val="none"/>
              </w:rPr>
            </w:pPr>
            <w:r>
              <w:rPr>
                <w:b w:val="0"/>
                <w:bCs/>
                <w:szCs w:val="21"/>
                <w:u w:val="none"/>
              </w:rPr>
              <w:t>易燃。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侵入途径：</w:t>
            </w:r>
          </w:p>
        </w:tc>
        <w:tc>
          <w:tcPr>
            <w:tcW w:w="2871" w:type="dxa"/>
            <w:vAlign w:val="center"/>
          </w:tcPr>
          <w:p>
            <w:pPr>
              <w:spacing w:line="360" w:lineRule="exact"/>
              <w:rPr>
                <w:b w:val="0"/>
                <w:bCs/>
                <w:szCs w:val="21"/>
                <w:u w:val="none"/>
              </w:rPr>
            </w:pPr>
            <w:r>
              <w:rPr>
                <w:b w:val="0"/>
                <w:bCs/>
                <w:szCs w:val="21"/>
                <w:u w:val="none"/>
              </w:rPr>
              <w:t>吸入</w:t>
            </w:r>
          </w:p>
        </w:tc>
        <w:tc>
          <w:tcPr>
            <w:tcW w:w="2401" w:type="dxa"/>
            <w:vAlign w:val="center"/>
          </w:tcPr>
          <w:p>
            <w:pPr>
              <w:spacing w:line="360" w:lineRule="exact"/>
              <w:rPr>
                <w:b w:val="0"/>
                <w:bCs/>
                <w:szCs w:val="21"/>
                <w:u w:val="none"/>
              </w:rPr>
            </w:pPr>
            <w:r>
              <w:rPr>
                <w:b w:val="0"/>
                <w:bCs/>
                <w:szCs w:val="21"/>
                <w:u w:val="none"/>
              </w:rPr>
              <w:t>有害燃烧产物：</w:t>
            </w:r>
          </w:p>
        </w:tc>
        <w:tc>
          <w:tcPr>
            <w:tcW w:w="2173" w:type="dxa"/>
            <w:gridSpan w:val="2"/>
            <w:vAlign w:val="center"/>
          </w:tcPr>
          <w:p>
            <w:pPr>
              <w:spacing w:line="360" w:lineRule="exact"/>
              <w:rPr>
                <w:b w:val="0"/>
                <w:bCs/>
                <w:szCs w:val="21"/>
                <w:u w:val="none"/>
              </w:rPr>
            </w:pPr>
            <w:r>
              <w:rPr>
                <w:b w:val="0"/>
                <w:bCs/>
                <w:szCs w:val="21"/>
                <w:u w:val="none"/>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健康危害：</w:t>
            </w:r>
          </w:p>
        </w:tc>
        <w:tc>
          <w:tcPr>
            <w:tcW w:w="7445" w:type="dxa"/>
            <w:gridSpan w:val="4"/>
            <w:vAlign w:val="center"/>
          </w:tcPr>
          <w:p>
            <w:pPr>
              <w:spacing w:line="360" w:lineRule="exact"/>
              <w:rPr>
                <w:b w:val="0"/>
                <w:bCs/>
                <w:szCs w:val="21"/>
                <w:u w:val="none"/>
              </w:rPr>
            </w:pPr>
            <w:r>
              <w:rPr>
                <w:b w:val="0"/>
                <w:bCs/>
                <w:szCs w:val="21"/>
                <w:u w:val="none"/>
              </w:rPr>
              <w:t>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 w:val="0"/>
                <w:bCs/>
                <w:szCs w:val="21"/>
                <w:u w:val="none"/>
              </w:rPr>
            </w:pPr>
            <w:r>
              <w:rPr>
                <w:b w:val="0"/>
                <w:bCs/>
                <w:szCs w:val="21"/>
                <w:u w:val="none"/>
              </w:rPr>
              <w:t>第二部分   理化特性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外观及性状：</w:t>
            </w:r>
          </w:p>
        </w:tc>
        <w:tc>
          <w:tcPr>
            <w:tcW w:w="7445" w:type="dxa"/>
            <w:gridSpan w:val="4"/>
            <w:vAlign w:val="center"/>
          </w:tcPr>
          <w:p>
            <w:pPr>
              <w:spacing w:line="360" w:lineRule="exact"/>
              <w:rPr>
                <w:b w:val="0"/>
                <w:bCs/>
                <w:szCs w:val="21"/>
                <w:u w:val="none"/>
              </w:rPr>
            </w:pPr>
            <w:r>
              <w:rPr>
                <w:b w:val="0"/>
                <w:bCs/>
                <w:szCs w:val="21"/>
                <w:u w:val="none"/>
              </w:rPr>
              <w:t>无色无臭气体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熔点（</w:t>
            </w:r>
            <w:r>
              <w:rPr>
                <w:rFonts w:hint="eastAsia" w:ascii="宋体" w:hAnsi="宋体" w:cs="宋体"/>
                <w:b w:val="0"/>
                <w:bCs/>
                <w:szCs w:val="21"/>
                <w:u w:val="none"/>
              </w:rPr>
              <w:t>℃</w:t>
            </w:r>
            <w:r>
              <w:rPr>
                <w:b w:val="0"/>
                <w:bCs/>
                <w:szCs w:val="21"/>
                <w:u w:val="none"/>
              </w:rPr>
              <w:t>）：</w:t>
            </w:r>
          </w:p>
        </w:tc>
        <w:tc>
          <w:tcPr>
            <w:tcW w:w="2871" w:type="dxa"/>
            <w:vAlign w:val="center"/>
          </w:tcPr>
          <w:p>
            <w:pPr>
              <w:spacing w:line="360" w:lineRule="exact"/>
              <w:rPr>
                <w:b w:val="0"/>
                <w:bCs/>
                <w:szCs w:val="21"/>
                <w:u w:val="none"/>
              </w:rPr>
            </w:pPr>
            <w:r>
              <w:rPr>
                <w:b w:val="0"/>
                <w:bCs/>
                <w:szCs w:val="21"/>
                <w:u w:val="none"/>
              </w:rPr>
              <w:t>&lt;-182.5</w:t>
            </w:r>
            <w:r>
              <w:rPr>
                <w:b w:val="0"/>
                <w:bCs/>
                <w:szCs w:val="21"/>
                <w:u w:val="none"/>
                <w:vertAlign w:val="superscript"/>
              </w:rPr>
              <w:t>0</w:t>
            </w:r>
            <w:r>
              <w:rPr>
                <w:b w:val="0"/>
                <w:bCs/>
                <w:szCs w:val="21"/>
                <w:u w:val="none"/>
              </w:rPr>
              <w:t>C</w:t>
            </w:r>
          </w:p>
        </w:tc>
        <w:tc>
          <w:tcPr>
            <w:tcW w:w="2401" w:type="dxa"/>
            <w:vAlign w:val="center"/>
          </w:tcPr>
          <w:p>
            <w:pPr>
              <w:spacing w:line="360" w:lineRule="exact"/>
              <w:rPr>
                <w:b w:val="0"/>
                <w:bCs/>
                <w:szCs w:val="21"/>
                <w:u w:val="none"/>
              </w:rPr>
            </w:pPr>
            <w:r>
              <w:rPr>
                <w:b w:val="0"/>
                <w:bCs/>
                <w:szCs w:val="21"/>
                <w:u w:val="none"/>
              </w:rPr>
              <w:t>相对密度（水＝1）</w:t>
            </w:r>
          </w:p>
        </w:tc>
        <w:tc>
          <w:tcPr>
            <w:tcW w:w="2173" w:type="dxa"/>
            <w:gridSpan w:val="2"/>
            <w:vAlign w:val="center"/>
          </w:tcPr>
          <w:p>
            <w:pPr>
              <w:spacing w:line="360" w:lineRule="exact"/>
              <w:rPr>
                <w:b w:val="0"/>
                <w:bCs/>
                <w:szCs w:val="21"/>
                <w:u w:val="none"/>
              </w:rPr>
            </w:pPr>
            <w:r>
              <w:rPr>
                <w:b w:val="0"/>
                <w:bCs/>
                <w:szCs w:val="21"/>
                <w:u w:val="none"/>
              </w:rPr>
              <w:t>0.42（-164</w:t>
            </w:r>
            <w:r>
              <w:rPr>
                <w:b w:val="0"/>
                <w:bCs/>
                <w:szCs w:val="21"/>
                <w:u w:val="none"/>
                <w:vertAlign w:val="superscript"/>
              </w:rPr>
              <w:t>0</w:t>
            </w:r>
            <w:r>
              <w:rPr>
                <w:b w:val="0"/>
                <w:bCs/>
                <w:szCs w:val="21"/>
                <w:u w:val="none"/>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闪点（</w:t>
            </w:r>
            <w:r>
              <w:rPr>
                <w:rFonts w:hint="eastAsia" w:ascii="宋体" w:hAnsi="宋体" w:cs="宋体"/>
                <w:b w:val="0"/>
                <w:bCs/>
                <w:szCs w:val="21"/>
                <w:u w:val="none"/>
              </w:rPr>
              <w:t>℃</w:t>
            </w:r>
            <w:r>
              <w:rPr>
                <w:b w:val="0"/>
                <w:bCs/>
                <w:szCs w:val="21"/>
                <w:u w:val="none"/>
              </w:rPr>
              <w:t>）：</w:t>
            </w:r>
          </w:p>
        </w:tc>
        <w:tc>
          <w:tcPr>
            <w:tcW w:w="2871" w:type="dxa"/>
            <w:vAlign w:val="center"/>
          </w:tcPr>
          <w:p>
            <w:pPr>
              <w:spacing w:line="360" w:lineRule="exact"/>
              <w:rPr>
                <w:b w:val="0"/>
                <w:bCs/>
                <w:szCs w:val="21"/>
                <w:u w:val="none"/>
              </w:rPr>
            </w:pPr>
            <w:r>
              <w:rPr>
                <w:b w:val="0"/>
                <w:bCs/>
                <w:szCs w:val="21"/>
                <w:u w:val="none"/>
              </w:rPr>
              <w:t>-18842%浓度×60分钟</w:t>
            </w:r>
          </w:p>
        </w:tc>
        <w:tc>
          <w:tcPr>
            <w:tcW w:w="2401" w:type="dxa"/>
            <w:vAlign w:val="center"/>
          </w:tcPr>
          <w:p>
            <w:pPr>
              <w:spacing w:line="360" w:lineRule="exact"/>
              <w:rPr>
                <w:b w:val="0"/>
                <w:bCs/>
                <w:szCs w:val="21"/>
                <w:u w:val="none"/>
              </w:rPr>
            </w:pPr>
            <w:r>
              <w:rPr>
                <w:b w:val="0"/>
                <w:bCs/>
                <w:szCs w:val="21"/>
                <w:u w:val="none"/>
              </w:rPr>
              <w:t>相对密度（空气=1）</w:t>
            </w:r>
          </w:p>
        </w:tc>
        <w:tc>
          <w:tcPr>
            <w:tcW w:w="2173" w:type="dxa"/>
            <w:gridSpan w:val="2"/>
            <w:vAlign w:val="center"/>
          </w:tcPr>
          <w:p>
            <w:pPr>
              <w:spacing w:line="360" w:lineRule="exact"/>
              <w:rPr>
                <w:b w:val="0"/>
                <w:bCs/>
                <w:szCs w:val="21"/>
                <w:u w:val="none"/>
              </w:rPr>
            </w:pPr>
            <w:r>
              <w:rPr>
                <w:b w:val="0"/>
                <w:bCs/>
                <w:szCs w:val="21"/>
                <w:u w:val="none"/>
              </w:rPr>
              <w:t>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最低点火能量</w:t>
            </w:r>
          </w:p>
        </w:tc>
        <w:tc>
          <w:tcPr>
            <w:tcW w:w="2871" w:type="dxa"/>
            <w:vAlign w:val="center"/>
          </w:tcPr>
          <w:p>
            <w:pPr>
              <w:spacing w:line="360" w:lineRule="exact"/>
              <w:rPr>
                <w:b w:val="0"/>
                <w:bCs/>
                <w:szCs w:val="21"/>
                <w:u w:val="none"/>
              </w:rPr>
            </w:pPr>
            <w:r>
              <w:rPr>
                <w:b w:val="0"/>
                <w:bCs/>
                <w:szCs w:val="21"/>
                <w:u w:val="none"/>
              </w:rPr>
              <w:t>0.28mj</w:t>
            </w:r>
          </w:p>
        </w:tc>
        <w:tc>
          <w:tcPr>
            <w:tcW w:w="2401" w:type="dxa"/>
            <w:vAlign w:val="center"/>
          </w:tcPr>
          <w:p>
            <w:pPr>
              <w:spacing w:line="360" w:lineRule="exact"/>
              <w:rPr>
                <w:b w:val="0"/>
                <w:bCs/>
                <w:szCs w:val="21"/>
                <w:u w:val="none"/>
              </w:rPr>
            </w:pPr>
            <w:r>
              <w:rPr>
                <w:b w:val="0"/>
                <w:bCs/>
                <w:szCs w:val="21"/>
                <w:u w:val="none"/>
              </w:rPr>
              <w:t>爆炸上限％（V/V）：</w:t>
            </w:r>
          </w:p>
        </w:tc>
        <w:tc>
          <w:tcPr>
            <w:tcW w:w="2173" w:type="dxa"/>
            <w:gridSpan w:val="2"/>
            <w:vAlign w:val="center"/>
          </w:tcPr>
          <w:p>
            <w:pPr>
              <w:spacing w:line="360" w:lineRule="exact"/>
              <w:rPr>
                <w:b w:val="0"/>
                <w:bCs/>
                <w:szCs w:val="21"/>
                <w:u w:val="none"/>
              </w:rPr>
            </w:pPr>
            <w:r>
              <w:rPr>
                <w:b w:val="0"/>
                <w:bCs/>
                <w:szCs w:val="21"/>
                <w:u w:val="none"/>
              </w:rPr>
              <w:t>15%（体积百分比）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沸点（</w:t>
            </w:r>
            <w:r>
              <w:rPr>
                <w:rFonts w:hint="eastAsia" w:ascii="宋体" w:hAnsi="宋体" w:cs="宋体"/>
                <w:b w:val="0"/>
                <w:bCs/>
                <w:szCs w:val="21"/>
                <w:u w:val="none"/>
              </w:rPr>
              <w:t>℃</w:t>
            </w:r>
            <w:r>
              <w:rPr>
                <w:b w:val="0"/>
                <w:bCs/>
                <w:szCs w:val="21"/>
                <w:u w:val="none"/>
              </w:rPr>
              <w:t>）：</w:t>
            </w:r>
          </w:p>
        </w:tc>
        <w:tc>
          <w:tcPr>
            <w:tcW w:w="2871" w:type="dxa"/>
            <w:vAlign w:val="center"/>
          </w:tcPr>
          <w:p>
            <w:pPr>
              <w:spacing w:line="360" w:lineRule="exact"/>
              <w:rPr>
                <w:b w:val="0"/>
                <w:bCs/>
                <w:szCs w:val="21"/>
                <w:u w:val="none"/>
              </w:rPr>
            </w:pPr>
            <w:r>
              <w:rPr>
                <w:b w:val="0"/>
                <w:bCs/>
                <w:szCs w:val="21"/>
                <w:u w:val="none"/>
              </w:rPr>
              <w:t>-161.5</w:t>
            </w:r>
            <w:r>
              <w:rPr>
                <w:b w:val="0"/>
                <w:bCs/>
                <w:szCs w:val="21"/>
                <w:u w:val="none"/>
                <w:vertAlign w:val="superscript"/>
              </w:rPr>
              <w:t>0</w:t>
            </w:r>
            <w:r>
              <w:rPr>
                <w:b w:val="0"/>
                <w:bCs/>
                <w:szCs w:val="21"/>
                <w:u w:val="none"/>
              </w:rPr>
              <w:t>C</w:t>
            </w:r>
          </w:p>
        </w:tc>
        <w:tc>
          <w:tcPr>
            <w:tcW w:w="2401" w:type="dxa"/>
            <w:vAlign w:val="center"/>
          </w:tcPr>
          <w:p>
            <w:pPr>
              <w:spacing w:line="360" w:lineRule="exact"/>
              <w:rPr>
                <w:b w:val="0"/>
                <w:bCs/>
                <w:szCs w:val="21"/>
                <w:u w:val="none"/>
              </w:rPr>
            </w:pPr>
            <w:r>
              <w:rPr>
                <w:b w:val="0"/>
                <w:bCs/>
                <w:szCs w:val="21"/>
                <w:u w:val="none"/>
              </w:rPr>
              <w:t>爆炸下限％（V/V）：</w:t>
            </w:r>
          </w:p>
        </w:tc>
        <w:tc>
          <w:tcPr>
            <w:tcW w:w="2173" w:type="dxa"/>
            <w:gridSpan w:val="2"/>
            <w:vAlign w:val="center"/>
          </w:tcPr>
          <w:p>
            <w:pPr>
              <w:spacing w:line="360" w:lineRule="exact"/>
              <w:rPr>
                <w:b w:val="0"/>
                <w:bCs/>
                <w:szCs w:val="21"/>
                <w:u w:val="none"/>
              </w:rPr>
            </w:pPr>
            <w:r>
              <w:rPr>
                <w:b w:val="0"/>
                <w:bCs/>
                <w:szCs w:val="21"/>
                <w:u w:val="none"/>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溶解性：</w:t>
            </w:r>
          </w:p>
        </w:tc>
        <w:tc>
          <w:tcPr>
            <w:tcW w:w="7445" w:type="dxa"/>
            <w:gridSpan w:val="4"/>
            <w:vAlign w:val="center"/>
          </w:tcPr>
          <w:p>
            <w:pPr>
              <w:spacing w:line="360" w:lineRule="exact"/>
              <w:rPr>
                <w:b w:val="0"/>
                <w:bCs/>
                <w:szCs w:val="21"/>
                <w:u w:val="none"/>
              </w:rPr>
            </w:pPr>
            <w:r>
              <w:rPr>
                <w:b w:val="0"/>
                <w:bCs/>
                <w:szCs w:val="21"/>
                <w:u w:val="none"/>
              </w:rPr>
              <w:t>微溶于水、溶于醇、乙醚。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主要用途：</w:t>
            </w:r>
          </w:p>
        </w:tc>
        <w:tc>
          <w:tcPr>
            <w:tcW w:w="7445" w:type="dxa"/>
            <w:gridSpan w:val="4"/>
            <w:vAlign w:val="center"/>
          </w:tcPr>
          <w:p>
            <w:pPr>
              <w:spacing w:line="360" w:lineRule="exact"/>
              <w:rPr>
                <w:b w:val="0"/>
                <w:bCs/>
                <w:szCs w:val="21"/>
                <w:u w:val="none"/>
              </w:rPr>
            </w:pPr>
            <w:r>
              <w:rPr>
                <w:b w:val="0"/>
                <w:bCs/>
                <w:szCs w:val="21"/>
                <w:u w:val="none"/>
              </w:rPr>
              <w:t>主要用作燃料和用于炭黑、氢、乙炔、甲醛等的制造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 w:val="0"/>
                <w:bCs/>
                <w:szCs w:val="21"/>
                <w:u w:val="none"/>
              </w:rPr>
            </w:pPr>
            <w:r>
              <w:rPr>
                <w:b w:val="0"/>
                <w:bCs/>
                <w:szCs w:val="21"/>
                <w:u w:val="none"/>
              </w:rPr>
              <w:t>第三部分   稳定性及化学活性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稳定性：</w:t>
            </w:r>
          </w:p>
        </w:tc>
        <w:tc>
          <w:tcPr>
            <w:tcW w:w="2871" w:type="dxa"/>
            <w:vAlign w:val="center"/>
          </w:tcPr>
          <w:p>
            <w:pPr>
              <w:spacing w:line="360" w:lineRule="exact"/>
              <w:rPr>
                <w:b w:val="0"/>
                <w:bCs/>
                <w:szCs w:val="21"/>
                <w:u w:val="none"/>
              </w:rPr>
            </w:pPr>
            <w:r>
              <w:rPr>
                <w:b w:val="0"/>
                <w:bCs/>
                <w:szCs w:val="21"/>
                <w:u w:val="none"/>
              </w:rPr>
              <w:t>稳定</w:t>
            </w:r>
          </w:p>
        </w:tc>
        <w:tc>
          <w:tcPr>
            <w:tcW w:w="2421" w:type="dxa"/>
            <w:gridSpan w:val="2"/>
            <w:vAlign w:val="center"/>
          </w:tcPr>
          <w:p>
            <w:pPr>
              <w:spacing w:line="360" w:lineRule="exact"/>
              <w:rPr>
                <w:b w:val="0"/>
                <w:bCs/>
                <w:szCs w:val="21"/>
                <w:u w:val="none"/>
              </w:rPr>
            </w:pPr>
            <w:r>
              <w:rPr>
                <w:b w:val="0"/>
                <w:bCs/>
                <w:szCs w:val="21"/>
                <w:u w:val="none"/>
              </w:rPr>
              <w:t>避免接触的条件：</w:t>
            </w:r>
          </w:p>
        </w:tc>
        <w:tc>
          <w:tcPr>
            <w:tcW w:w="2153" w:type="dxa"/>
            <w:vAlign w:val="center"/>
          </w:tcPr>
          <w:p>
            <w:pPr>
              <w:spacing w:line="360" w:lineRule="exact"/>
              <w:rPr>
                <w:b w:val="0"/>
                <w:bCs/>
                <w:szCs w:val="21"/>
                <w:u w:val="none"/>
              </w:rPr>
            </w:pPr>
            <w:r>
              <w:rPr>
                <w:b w:val="0"/>
                <w:bCs/>
                <w:szCs w:val="21"/>
                <w:u w:val="none"/>
              </w:rPr>
              <w:t>明火、高热。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禁配物：</w:t>
            </w:r>
          </w:p>
        </w:tc>
        <w:tc>
          <w:tcPr>
            <w:tcW w:w="2871" w:type="dxa"/>
            <w:vAlign w:val="center"/>
          </w:tcPr>
          <w:p>
            <w:pPr>
              <w:spacing w:line="360" w:lineRule="exact"/>
              <w:rPr>
                <w:b w:val="0"/>
                <w:bCs/>
                <w:szCs w:val="21"/>
                <w:u w:val="none"/>
              </w:rPr>
            </w:pPr>
            <w:r>
              <w:rPr>
                <w:b w:val="0"/>
                <w:bCs/>
                <w:szCs w:val="21"/>
                <w:u w:val="none"/>
              </w:rPr>
              <w:t>强氧化剂</w:t>
            </w:r>
          </w:p>
        </w:tc>
        <w:tc>
          <w:tcPr>
            <w:tcW w:w="2421" w:type="dxa"/>
            <w:gridSpan w:val="2"/>
            <w:vAlign w:val="center"/>
          </w:tcPr>
          <w:p>
            <w:pPr>
              <w:spacing w:line="360" w:lineRule="exact"/>
              <w:rPr>
                <w:b w:val="0"/>
                <w:bCs/>
                <w:szCs w:val="21"/>
                <w:u w:val="none"/>
              </w:rPr>
            </w:pPr>
            <w:r>
              <w:rPr>
                <w:b w:val="0"/>
                <w:bCs/>
                <w:szCs w:val="21"/>
                <w:u w:val="none"/>
              </w:rPr>
              <w:t>聚合危害：</w:t>
            </w:r>
          </w:p>
        </w:tc>
        <w:tc>
          <w:tcPr>
            <w:tcW w:w="2153" w:type="dxa"/>
            <w:vAlign w:val="center"/>
          </w:tcPr>
          <w:p>
            <w:pPr>
              <w:spacing w:line="360" w:lineRule="exact"/>
              <w:rPr>
                <w:b w:val="0"/>
                <w:bCs/>
                <w:szCs w:val="21"/>
                <w:u w:val="none"/>
              </w:rPr>
            </w:pPr>
            <w:r>
              <w:rPr>
                <w:b w:val="0"/>
                <w:bCs/>
                <w:szCs w:val="21"/>
                <w:u w:val="none"/>
              </w:rPr>
              <w:t>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分解产物：</w:t>
            </w:r>
          </w:p>
        </w:tc>
        <w:tc>
          <w:tcPr>
            <w:tcW w:w="7445" w:type="dxa"/>
            <w:gridSpan w:val="4"/>
            <w:vAlign w:val="center"/>
          </w:tcPr>
          <w:p>
            <w:pPr>
              <w:spacing w:line="360" w:lineRule="exact"/>
              <w:rPr>
                <w:b w:val="0"/>
                <w:bCs/>
                <w:szCs w:val="21"/>
                <w:u w:val="none"/>
              </w:rPr>
            </w:pPr>
            <w:r>
              <w:rPr>
                <w:b w:val="0"/>
                <w:bCs/>
                <w:szCs w:val="21"/>
                <w:u w:val="none"/>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 w:val="0"/>
                <w:bCs/>
                <w:szCs w:val="21"/>
                <w:u w:val="none"/>
              </w:rPr>
            </w:pPr>
            <w:r>
              <w:rPr>
                <w:b w:val="0"/>
                <w:bCs/>
                <w:szCs w:val="21"/>
                <w:u w:val="none"/>
              </w:rPr>
              <w:t>第四部分  毒理学资料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急性毒性：</w:t>
            </w:r>
          </w:p>
        </w:tc>
        <w:tc>
          <w:tcPr>
            <w:tcW w:w="7445" w:type="dxa"/>
            <w:gridSpan w:val="4"/>
            <w:vAlign w:val="center"/>
          </w:tcPr>
          <w:p>
            <w:pPr>
              <w:spacing w:line="360" w:lineRule="exact"/>
              <w:rPr>
                <w:b w:val="0"/>
                <w:bCs/>
                <w:szCs w:val="21"/>
                <w:u w:val="none"/>
              </w:rPr>
            </w:pPr>
            <w:r>
              <w:rPr>
                <w:b w:val="0"/>
                <w:bCs/>
                <w:szCs w:val="21"/>
                <w:u w:val="none"/>
              </w:rPr>
              <w:t>小鼠系入42%浓度×60分钟，麻醉作用；兔吸入42%浓度×60分钟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毒性：</w:t>
            </w:r>
          </w:p>
        </w:tc>
        <w:tc>
          <w:tcPr>
            <w:tcW w:w="7445" w:type="dxa"/>
            <w:gridSpan w:val="4"/>
            <w:vAlign w:val="center"/>
          </w:tcPr>
          <w:p>
            <w:pPr>
              <w:spacing w:line="360" w:lineRule="exact"/>
              <w:rPr>
                <w:b w:val="0"/>
                <w:bCs/>
                <w:szCs w:val="21"/>
                <w:u w:val="none"/>
              </w:rPr>
            </w:pPr>
            <w:r>
              <w:rPr>
                <w:b w:val="0"/>
                <w:bCs/>
                <w:szCs w:val="21"/>
                <w:u w:val="none"/>
              </w:rPr>
              <w:t>属微毒类。允许气体安全地扩散到大气中或当作燃料使用。有单纯性窒息作用，在高浓度时因缺氧窒息而引起中毒。空气中达到25%~30%出现头昏、呼吸加速、运动失调。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 w:val="0"/>
                <w:bCs/>
                <w:szCs w:val="21"/>
                <w:u w:val="none"/>
              </w:rPr>
            </w:pPr>
            <w:r>
              <w:rPr>
                <w:b w:val="0"/>
                <w:bCs/>
                <w:szCs w:val="21"/>
                <w:u w:val="none"/>
              </w:rPr>
              <w:t>最高容许浓度</w:t>
            </w:r>
          </w:p>
        </w:tc>
        <w:tc>
          <w:tcPr>
            <w:tcW w:w="7445" w:type="dxa"/>
            <w:gridSpan w:val="4"/>
            <w:vAlign w:val="center"/>
          </w:tcPr>
          <w:p>
            <w:pPr>
              <w:spacing w:line="360" w:lineRule="exact"/>
              <w:rPr>
                <w:b w:val="0"/>
                <w:bCs/>
                <w:szCs w:val="21"/>
                <w:u w:val="none"/>
              </w:rPr>
            </w:pPr>
            <w:r>
              <w:rPr>
                <w:b w:val="0"/>
                <w:bCs/>
                <w:szCs w:val="21"/>
                <w:u w:val="none"/>
              </w:rPr>
              <w:t>300mg/m</w:t>
            </w:r>
            <w:r>
              <w:rPr>
                <w:b w:val="0"/>
                <w:bCs/>
                <w:szCs w:val="21"/>
                <w:u w:val="none"/>
                <w:vertAlign w:val="superscript"/>
              </w:rPr>
              <w:t>3</w:t>
            </w:r>
          </w:p>
        </w:tc>
      </w:tr>
    </w:tbl>
    <w:p>
      <w:pPr>
        <w:spacing w:line="520" w:lineRule="exact"/>
        <w:ind w:firstLine="480" w:firstLineChars="200"/>
        <w:rPr>
          <w:b w:val="0"/>
          <w:bCs/>
          <w:sz w:val="24"/>
          <w:szCs w:val="28"/>
          <w:u w:val="none"/>
        </w:rPr>
      </w:pPr>
      <w:r>
        <w:rPr>
          <w:b w:val="0"/>
          <w:bCs/>
          <w:sz w:val="24"/>
          <w:szCs w:val="28"/>
          <w:u w:val="none"/>
        </w:rPr>
        <w:t>由上表可见，本工程所涉及的危险性物质主要危险特性为易燃、爆炸性。</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2、</w:t>
      </w:r>
      <w:r>
        <w:rPr>
          <w:b w:val="0"/>
          <w:bCs/>
          <w:color w:val="000000"/>
          <w:sz w:val="24"/>
          <w:u w:val="none"/>
        </w:rPr>
        <w:t>环境风险事故分析</w:t>
      </w:r>
    </w:p>
    <w:p>
      <w:pPr>
        <w:tabs>
          <w:tab w:val="left" w:pos="2709"/>
        </w:tabs>
        <w:spacing w:line="520" w:lineRule="exact"/>
        <w:ind w:firstLine="480" w:firstLineChars="200"/>
        <w:rPr>
          <w:b w:val="0"/>
          <w:bCs/>
          <w:sz w:val="24"/>
          <w:szCs w:val="28"/>
          <w:u w:val="none"/>
        </w:rPr>
      </w:pPr>
      <w:r>
        <w:rPr>
          <w:b w:val="0"/>
          <w:bCs/>
          <w:sz w:val="24"/>
          <w:szCs w:val="28"/>
          <w:u w:val="none"/>
        </w:rPr>
        <w:t>对关键单元的重点部位及其薄弱环节分析，见表</w:t>
      </w:r>
      <w:r>
        <w:rPr>
          <w:rFonts w:hint="eastAsia"/>
          <w:b w:val="0"/>
          <w:bCs/>
          <w:sz w:val="24"/>
          <w:szCs w:val="28"/>
          <w:u w:val="none"/>
          <w:lang w:val="en-US" w:eastAsia="zh-CN"/>
        </w:rPr>
        <w:t>4.2-20</w:t>
      </w:r>
      <w:r>
        <w:rPr>
          <w:b w:val="0"/>
          <w:bCs/>
          <w:sz w:val="24"/>
          <w:szCs w:val="28"/>
          <w:u w:val="none"/>
        </w:rPr>
        <w:t>。</w:t>
      </w:r>
    </w:p>
    <w:p>
      <w:pPr>
        <w:tabs>
          <w:tab w:val="left" w:pos="2709"/>
        </w:tabs>
        <w:spacing w:line="520" w:lineRule="exact"/>
        <w:jc w:val="center"/>
        <w:rPr>
          <w:b/>
          <w:bCs w:val="0"/>
          <w:sz w:val="24"/>
          <w:szCs w:val="28"/>
          <w:u w:val="none"/>
        </w:rPr>
      </w:pPr>
      <w:r>
        <w:rPr>
          <w:b/>
          <w:bCs w:val="0"/>
          <w:sz w:val="24"/>
          <w:szCs w:val="28"/>
          <w:u w:val="none"/>
        </w:rPr>
        <w:t>表</w:t>
      </w:r>
      <w:r>
        <w:rPr>
          <w:rFonts w:hint="eastAsia"/>
          <w:b/>
          <w:bCs w:val="0"/>
          <w:sz w:val="24"/>
          <w:szCs w:val="28"/>
          <w:u w:val="none"/>
          <w:lang w:val="en-US" w:eastAsia="zh-CN"/>
        </w:rPr>
        <w:t>4.2-20</w:t>
      </w:r>
      <w:r>
        <w:rPr>
          <w:b/>
          <w:bCs w:val="0"/>
          <w:sz w:val="24"/>
          <w:szCs w:val="28"/>
          <w:u w:val="none"/>
        </w:rPr>
        <w:t xml:space="preserve"> 重点部位及其薄弱环节</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277"/>
        <w:gridCol w:w="1707"/>
        <w:gridCol w:w="1277"/>
        <w:gridCol w:w="1764"/>
        <w:gridCol w:w="1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1" w:type="dxa"/>
            <w:vMerge w:val="restart"/>
            <w:vAlign w:val="center"/>
          </w:tcPr>
          <w:p>
            <w:pPr>
              <w:tabs>
                <w:tab w:val="left" w:pos="2709"/>
              </w:tabs>
              <w:jc w:val="center"/>
              <w:rPr>
                <w:b w:val="0"/>
                <w:bCs/>
                <w:sz w:val="21"/>
                <w:szCs w:val="21"/>
                <w:u w:val="none"/>
              </w:rPr>
            </w:pPr>
            <w:r>
              <w:rPr>
                <w:b w:val="0"/>
                <w:bCs/>
                <w:sz w:val="21"/>
                <w:szCs w:val="21"/>
                <w:u w:val="none"/>
              </w:rPr>
              <w:t>重点</w:t>
            </w:r>
          </w:p>
          <w:p>
            <w:pPr>
              <w:tabs>
                <w:tab w:val="left" w:pos="2709"/>
              </w:tabs>
              <w:jc w:val="center"/>
              <w:rPr>
                <w:b w:val="0"/>
                <w:bCs/>
                <w:sz w:val="21"/>
                <w:szCs w:val="21"/>
                <w:u w:val="none"/>
              </w:rPr>
            </w:pPr>
            <w:r>
              <w:rPr>
                <w:b w:val="0"/>
                <w:bCs/>
                <w:sz w:val="21"/>
                <w:szCs w:val="21"/>
                <w:u w:val="none"/>
              </w:rPr>
              <w:t>部位</w:t>
            </w:r>
          </w:p>
        </w:tc>
        <w:tc>
          <w:tcPr>
            <w:tcW w:w="1277" w:type="dxa"/>
            <w:vMerge w:val="restart"/>
            <w:vAlign w:val="center"/>
          </w:tcPr>
          <w:p>
            <w:pPr>
              <w:tabs>
                <w:tab w:val="left" w:pos="2709"/>
              </w:tabs>
              <w:jc w:val="center"/>
              <w:rPr>
                <w:b w:val="0"/>
                <w:bCs/>
                <w:sz w:val="21"/>
                <w:szCs w:val="21"/>
                <w:u w:val="none"/>
              </w:rPr>
            </w:pPr>
            <w:r>
              <w:rPr>
                <w:b w:val="0"/>
                <w:bCs/>
                <w:sz w:val="21"/>
                <w:szCs w:val="21"/>
                <w:u w:val="none"/>
              </w:rPr>
              <w:t>典型设备及特点</w:t>
            </w:r>
          </w:p>
        </w:tc>
        <w:tc>
          <w:tcPr>
            <w:tcW w:w="1707" w:type="dxa"/>
            <w:vMerge w:val="restart"/>
            <w:vAlign w:val="center"/>
          </w:tcPr>
          <w:p>
            <w:pPr>
              <w:tabs>
                <w:tab w:val="left" w:pos="2709"/>
              </w:tabs>
              <w:jc w:val="center"/>
              <w:rPr>
                <w:b w:val="0"/>
                <w:bCs/>
                <w:sz w:val="21"/>
                <w:szCs w:val="21"/>
                <w:u w:val="none"/>
              </w:rPr>
            </w:pPr>
            <w:r>
              <w:rPr>
                <w:b w:val="0"/>
                <w:bCs/>
                <w:sz w:val="21"/>
                <w:szCs w:val="21"/>
                <w:u w:val="none"/>
              </w:rPr>
              <w:t>薄弱环节</w:t>
            </w:r>
          </w:p>
        </w:tc>
        <w:tc>
          <w:tcPr>
            <w:tcW w:w="4991" w:type="dxa"/>
            <w:gridSpan w:val="3"/>
            <w:vAlign w:val="center"/>
          </w:tcPr>
          <w:p>
            <w:pPr>
              <w:tabs>
                <w:tab w:val="left" w:pos="2709"/>
              </w:tabs>
              <w:jc w:val="center"/>
              <w:rPr>
                <w:b w:val="0"/>
                <w:bCs/>
                <w:sz w:val="21"/>
                <w:szCs w:val="21"/>
                <w:u w:val="none"/>
              </w:rPr>
            </w:pPr>
            <w:r>
              <w:rPr>
                <w:b w:val="0"/>
                <w:bCs/>
                <w:sz w:val="21"/>
                <w:szCs w:val="21"/>
                <w:u w:val="none"/>
              </w:rPr>
              <w:t>可能发生的事故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1" w:type="dxa"/>
            <w:vMerge w:val="continue"/>
            <w:vAlign w:val="center"/>
          </w:tcPr>
          <w:p>
            <w:pPr>
              <w:tabs>
                <w:tab w:val="left" w:pos="2709"/>
              </w:tabs>
              <w:jc w:val="center"/>
              <w:rPr>
                <w:b w:val="0"/>
                <w:bCs/>
                <w:sz w:val="21"/>
                <w:szCs w:val="21"/>
                <w:u w:val="none"/>
              </w:rPr>
            </w:pPr>
          </w:p>
        </w:tc>
        <w:tc>
          <w:tcPr>
            <w:tcW w:w="1277" w:type="dxa"/>
            <w:vMerge w:val="continue"/>
            <w:vAlign w:val="center"/>
          </w:tcPr>
          <w:p>
            <w:pPr>
              <w:tabs>
                <w:tab w:val="left" w:pos="2709"/>
              </w:tabs>
              <w:jc w:val="center"/>
              <w:rPr>
                <w:b w:val="0"/>
                <w:bCs/>
                <w:sz w:val="21"/>
                <w:szCs w:val="21"/>
                <w:u w:val="none"/>
              </w:rPr>
            </w:pPr>
          </w:p>
        </w:tc>
        <w:tc>
          <w:tcPr>
            <w:tcW w:w="1707" w:type="dxa"/>
            <w:vMerge w:val="continue"/>
            <w:vAlign w:val="center"/>
          </w:tcPr>
          <w:p>
            <w:pPr>
              <w:tabs>
                <w:tab w:val="left" w:pos="2709"/>
              </w:tabs>
              <w:jc w:val="center"/>
              <w:rPr>
                <w:b w:val="0"/>
                <w:bCs/>
                <w:sz w:val="21"/>
                <w:szCs w:val="21"/>
                <w:u w:val="none"/>
              </w:rPr>
            </w:pPr>
          </w:p>
        </w:tc>
        <w:tc>
          <w:tcPr>
            <w:tcW w:w="1277" w:type="dxa"/>
            <w:vAlign w:val="center"/>
          </w:tcPr>
          <w:p>
            <w:pPr>
              <w:tabs>
                <w:tab w:val="left" w:pos="2709"/>
              </w:tabs>
              <w:jc w:val="center"/>
              <w:rPr>
                <w:b w:val="0"/>
                <w:bCs/>
                <w:sz w:val="21"/>
                <w:szCs w:val="21"/>
                <w:u w:val="none"/>
              </w:rPr>
            </w:pPr>
            <w:r>
              <w:rPr>
                <w:b w:val="0"/>
                <w:bCs/>
                <w:sz w:val="21"/>
                <w:szCs w:val="21"/>
                <w:u w:val="none"/>
              </w:rPr>
              <w:t>原因</w:t>
            </w:r>
          </w:p>
        </w:tc>
        <w:tc>
          <w:tcPr>
            <w:tcW w:w="1764" w:type="dxa"/>
            <w:vAlign w:val="center"/>
          </w:tcPr>
          <w:p>
            <w:pPr>
              <w:tabs>
                <w:tab w:val="left" w:pos="2709"/>
              </w:tabs>
              <w:jc w:val="center"/>
              <w:rPr>
                <w:b w:val="0"/>
                <w:bCs/>
                <w:sz w:val="21"/>
                <w:szCs w:val="21"/>
                <w:u w:val="none"/>
              </w:rPr>
            </w:pPr>
            <w:r>
              <w:rPr>
                <w:b w:val="0"/>
                <w:bCs/>
                <w:sz w:val="21"/>
                <w:szCs w:val="21"/>
                <w:u w:val="none"/>
              </w:rPr>
              <w:t>类型</w:t>
            </w:r>
          </w:p>
        </w:tc>
        <w:tc>
          <w:tcPr>
            <w:tcW w:w="1950" w:type="dxa"/>
            <w:vAlign w:val="center"/>
          </w:tcPr>
          <w:p>
            <w:pPr>
              <w:tabs>
                <w:tab w:val="left" w:pos="2709"/>
              </w:tabs>
              <w:jc w:val="center"/>
              <w:rPr>
                <w:b w:val="0"/>
                <w:bCs/>
                <w:sz w:val="21"/>
                <w:szCs w:val="21"/>
                <w:u w:val="none"/>
              </w:rPr>
            </w:pPr>
            <w:r>
              <w:rPr>
                <w:b w:val="0"/>
                <w:bCs/>
                <w:sz w:val="21"/>
                <w:szCs w:val="21"/>
                <w:u w:val="none"/>
              </w:rPr>
              <w:t>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tabs>
                <w:tab w:val="left" w:pos="2709"/>
              </w:tabs>
              <w:jc w:val="center"/>
              <w:rPr>
                <w:b w:val="0"/>
                <w:bCs/>
                <w:sz w:val="21"/>
                <w:szCs w:val="21"/>
                <w:u w:val="none"/>
              </w:rPr>
            </w:pPr>
            <w:r>
              <w:rPr>
                <w:b w:val="0"/>
                <w:bCs/>
                <w:sz w:val="21"/>
                <w:szCs w:val="21"/>
                <w:u w:val="none"/>
              </w:rPr>
              <w:t>发酵</w:t>
            </w:r>
          </w:p>
        </w:tc>
        <w:tc>
          <w:tcPr>
            <w:tcW w:w="1277" w:type="dxa"/>
            <w:vAlign w:val="center"/>
          </w:tcPr>
          <w:p>
            <w:pPr>
              <w:tabs>
                <w:tab w:val="left" w:pos="2709"/>
              </w:tabs>
              <w:jc w:val="center"/>
              <w:rPr>
                <w:b w:val="0"/>
                <w:bCs/>
                <w:sz w:val="21"/>
                <w:szCs w:val="21"/>
                <w:u w:val="none"/>
              </w:rPr>
            </w:pPr>
            <w:r>
              <w:rPr>
                <w:rFonts w:hint="eastAsia"/>
                <w:b w:val="0"/>
                <w:bCs/>
                <w:sz w:val="21"/>
                <w:szCs w:val="21"/>
                <w:u w:val="none"/>
                <w:lang w:eastAsia="zh-CN"/>
              </w:rPr>
              <w:t>黑膜</w:t>
            </w:r>
            <w:r>
              <w:rPr>
                <w:b w:val="0"/>
                <w:bCs/>
                <w:sz w:val="21"/>
                <w:szCs w:val="21"/>
                <w:u w:val="none"/>
              </w:rPr>
              <w:t>沼气池</w:t>
            </w:r>
          </w:p>
        </w:tc>
        <w:tc>
          <w:tcPr>
            <w:tcW w:w="1707" w:type="dxa"/>
            <w:vAlign w:val="center"/>
          </w:tcPr>
          <w:p>
            <w:pPr>
              <w:tabs>
                <w:tab w:val="left" w:pos="2709"/>
              </w:tabs>
              <w:jc w:val="center"/>
              <w:rPr>
                <w:b w:val="0"/>
                <w:bCs/>
                <w:sz w:val="21"/>
                <w:szCs w:val="21"/>
                <w:u w:val="none"/>
              </w:rPr>
            </w:pPr>
            <w:r>
              <w:rPr>
                <w:rFonts w:hint="eastAsia"/>
                <w:b w:val="0"/>
                <w:bCs/>
                <w:sz w:val="21"/>
                <w:szCs w:val="21"/>
                <w:u w:val="none"/>
                <w:lang w:eastAsia="zh-CN"/>
              </w:rPr>
              <w:t>黑膜</w:t>
            </w:r>
            <w:r>
              <w:rPr>
                <w:b w:val="0"/>
                <w:bCs/>
                <w:sz w:val="21"/>
                <w:szCs w:val="21"/>
                <w:u w:val="none"/>
              </w:rPr>
              <w:t>沼气池、管线</w:t>
            </w:r>
          </w:p>
        </w:tc>
        <w:tc>
          <w:tcPr>
            <w:tcW w:w="1277" w:type="dxa"/>
            <w:vAlign w:val="center"/>
          </w:tcPr>
          <w:p>
            <w:pPr>
              <w:tabs>
                <w:tab w:val="left" w:pos="2709"/>
              </w:tabs>
              <w:jc w:val="center"/>
              <w:rPr>
                <w:b w:val="0"/>
                <w:bCs/>
                <w:sz w:val="21"/>
                <w:szCs w:val="21"/>
                <w:u w:val="none"/>
              </w:rPr>
            </w:pPr>
            <w:r>
              <w:rPr>
                <w:b w:val="0"/>
                <w:bCs/>
                <w:sz w:val="21"/>
                <w:szCs w:val="21"/>
                <w:u w:val="none"/>
              </w:rPr>
              <w:t>维护保养不当</w:t>
            </w:r>
          </w:p>
        </w:tc>
        <w:tc>
          <w:tcPr>
            <w:tcW w:w="1764" w:type="dxa"/>
            <w:vAlign w:val="center"/>
          </w:tcPr>
          <w:p>
            <w:pPr>
              <w:tabs>
                <w:tab w:val="left" w:pos="2709"/>
              </w:tabs>
              <w:jc w:val="center"/>
              <w:rPr>
                <w:b w:val="0"/>
                <w:bCs/>
                <w:sz w:val="21"/>
                <w:szCs w:val="21"/>
                <w:u w:val="none"/>
              </w:rPr>
            </w:pPr>
            <w:r>
              <w:rPr>
                <w:rFonts w:hint="eastAsia"/>
                <w:b w:val="0"/>
                <w:bCs/>
                <w:sz w:val="21"/>
                <w:szCs w:val="21"/>
                <w:u w:val="none"/>
                <w:lang w:eastAsia="zh-CN"/>
              </w:rPr>
              <w:t>黑膜</w:t>
            </w:r>
            <w:r>
              <w:rPr>
                <w:b w:val="0"/>
                <w:bCs/>
                <w:sz w:val="21"/>
                <w:szCs w:val="21"/>
                <w:u w:val="none"/>
              </w:rPr>
              <w:t>沼气池破裂、管线损坏</w:t>
            </w:r>
          </w:p>
        </w:tc>
        <w:tc>
          <w:tcPr>
            <w:tcW w:w="1950" w:type="dxa"/>
            <w:vAlign w:val="center"/>
          </w:tcPr>
          <w:p>
            <w:pPr>
              <w:tabs>
                <w:tab w:val="left" w:pos="2709"/>
              </w:tabs>
              <w:jc w:val="center"/>
              <w:rPr>
                <w:b w:val="0"/>
                <w:bCs/>
                <w:sz w:val="21"/>
                <w:szCs w:val="21"/>
                <w:u w:val="none"/>
              </w:rPr>
            </w:pPr>
            <w:r>
              <w:rPr>
                <w:b w:val="0"/>
                <w:bCs/>
                <w:sz w:val="21"/>
                <w:szCs w:val="21"/>
                <w:u w:val="none"/>
              </w:rPr>
              <w:t>沼气泄漏，遇火源发生火灾、爆炸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tabs>
                <w:tab w:val="left" w:pos="2709"/>
              </w:tabs>
              <w:jc w:val="center"/>
              <w:rPr>
                <w:b w:val="0"/>
                <w:bCs/>
                <w:sz w:val="21"/>
                <w:szCs w:val="21"/>
                <w:u w:val="none"/>
              </w:rPr>
            </w:pPr>
            <w:r>
              <w:rPr>
                <w:b w:val="0"/>
                <w:bCs/>
                <w:sz w:val="21"/>
                <w:szCs w:val="21"/>
                <w:u w:val="none"/>
              </w:rPr>
              <w:t>运输</w:t>
            </w:r>
          </w:p>
        </w:tc>
        <w:tc>
          <w:tcPr>
            <w:tcW w:w="1277" w:type="dxa"/>
            <w:vAlign w:val="center"/>
          </w:tcPr>
          <w:p>
            <w:pPr>
              <w:tabs>
                <w:tab w:val="left" w:pos="2709"/>
              </w:tabs>
              <w:jc w:val="center"/>
              <w:rPr>
                <w:b w:val="0"/>
                <w:bCs/>
                <w:sz w:val="21"/>
                <w:szCs w:val="21"/>
                <w:u w:val="none"/>
              </w:rPr>
            </w:pPr>
            <w:r>
              <w:rPr>
                <w:b w:val="0"/>
                <w:bCs/>
                <w:sz w:val="21"/>
                <w:szCs w:val="21"/>
                <w:u w:val="none"/>
              </w:rPr>
              <w:t>管线</w:t>
            </w:r>
          </w:p>
        </w:tc>
        <w:tc>
          <w:tcPr>
            <w:tcW w:w="1707" w:type="dxa"/>
            <w:vAlign w:val="center"/>
          </w:tcPr>
          <w:p>
            <w:pPr>
              <w:tabs>
                <w:tab w:val="left" w:pos="2709"/>
              </w:tabs>
              <w:jc w:val="center"/>
              <w:rPr>
                <w:b w:val="0"/>
                <w:bCs/>
                <w:sz w:val="21"/>
                <w:szCs w:val="21"/>
                <w:u w:val="none"/>
              </w:rPr>
            </w:pPr>
            <w:r>
              <w:rPr>
                <w:b w:val="0"/>
                <w:bCs/>
                <w:sz w:val="21"/>
                <w:szCs w:val="21"/>
                <w:u w:val="none"/>
              </w:rPr>
              <w:t>管线</w:t>
            </w:r>
          </w:p>
        </w:tc>
        <w:tc>
          <w:tcPr>
            <w:tcW w:w="1277" w:type="dxa"/>
            <w:vAlign w:val="center"/>
          </w:tcPr>
          <w:p>
            <w:pPr>
              <w:tabs>
                <w:tab w:val="left" w:pos="2709"/>
              </w:tabs>
              <w:jc w:val="center"/>
              <w:rPr>
                <w:b w:val="0"/>
                <w:bCs/>
                <w:sz w:val="21"/>
                <w:szCs w:val="21"/>
                <w:u w:val="none"/>
              </w:rPr>
            </w:pPr>
            <w:r>
              <w:rPr>
                <w:b w:val="0"/>
                <w:bCs/>
                <w:sz w:val="21"/>
                <w:szCs w:val="21"/>
                <w:u w:val="none"/>
              </w:rPr>
              <w:t>维护保养不当</w:t>
            </w:r>
          </w:p>
        </w:tc>
        <w:tc>
          <w:tcPr>
            <w:tcW w:w="1764" w:type="dxa"/>
            <w:vAlign w:val="center"/>
          </w:tcPr>
          <w:p>
            <w:pPr>
              <w:tabs>
                <w:tab w:val="left" w:pos="2709"/>
              </w:tabs>
              <w:jc w:val="center"/>
              <w:rPr>
                <w:b w:val="0"/>
                <w:bCs/>
                <w:sz w:val="21"/>
                <w:szCs w:val="21"/>
                <w:u w:val="none"/>
              </w:rPr>
            </w:pPr>
            <w:r>
              <w:rPr>
                <w:b w:val="0"/>
                <w:bCs/>
                <w:sz w:val="21"/>
                <w:szCs w:val="21"/>
                <w:u w:val="none"/>
              </w:rPr>
              <w:t>管线损坏，接口不严</w:t>
            </w:r>
          </w:p>
        </w:tc>
        <w:tc>
          <w:tcPr>
            <w:tcW w:w="1950" w:type="dxa"/>
            <w:vAlign w:val="center"/>
          </w:tcPr>
          <w:p>
            <w:pPr>
              <w:tabs>
                <w:tab w:val="left" w:pos="2709"/>
              </w:tabs>
              <w:jc w:val="center"/>
              <w:rPr>
                <w:b w:val="0"/>
                <w:bCs/>
                <w:sz w:val="21"/>
                <w:szCs w:val="21"/>
                <w:u w:val="none"/>
              </w:rPr>
            </w:pPr>
            <w:r>
              <w:rPr>
                <w:b w:val="0"/>
                <w:bCs/>
                <w:sz w:val="21"/>
                <w:szCs w:val="21"/>
                <w:u w:val="none"/>
              </w:rPr>
              <w:t>沼气泄漏，遇火源发生火灾、爆炸</w:t>
            </w:r>
          </w:p>
        </w:tc>
      </w:tr>
    </w:tbl>
    <w:p>
      <w:pPr>
        <w:tabs>
          <w:tab w:val="left" w:pos="2709"/>
        </w:tabs>
        <w:spacing w:line="520" w:lineRule="exact"/>
        <w:ind w:firstLine="480" w:firstLineChars="200"/>
        <w:rPr>
          <w:b w:val="0"/>
          <w:bCs/>
          <w:sz w:val="24"/>
          <w:u w:val="none"/>
        </w:rPr>
      </w:pPr>
      <w:r>
        <w:rPr>
          <w:b w:val="0"/>
          <w:bCs/>
          <w:sz w:val="24"/>
          <w:u w:val="none"/>
        </w:rPr>
        <w:t>火灾爆炸事故的主要原因：制度不健全或者不执行；工艺设计和技术缺陷；设备缺陷；违反操作规程或者违章指挥；缺乏安全意识和防火防爆技术知识；缺乏检查和维修保养；引火源控制不当；沼气使用不当。</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3、</w:t>
      </w:r>
      <w:r>
        <w:rPr>
          <w:b w:val="0"/>
          <w:bCs/>
          <w:color w:val="000000"/>
          <w:sz w:val="24"/>
          <w:u w:val="none"/>
        </w:rPr>
        <w:t>环境风险评价等级</w:t>
      </w:r>
    </w:p>
    <w:p>
      <w:pPr>
        <w:tabs>
          <w:tab w:val="left" w:pos="2709"/>
        </w:tabs>
        <w:spacing w:line="520" w:lineRule="exact"/>
        <w:ind w:firstLine="480" w:firstLineChars="200"/>
        <w:rPr>
          <w:b w:val="0"/>
          <w:bCs/>
          <w:sz w:val="24"/>
          <w:u w:val="none"/>
        </w:rPr>
      </w:pPr>
      <w:r>
        <w:rPr>
          <w:b w:val="0"/>
          <w:bCs/>
          <w:sz w:val="24"/>
          <w:u w:val="none"/>
        </w:rPr>
        <w:t>根据《建设项目环境风险评价技术导则》（HJ169-20</w:t>
      </w:r>
      <w:r>
        <w:rPr>
          <w:rFonts w:hint="eastAsia"/>
          <w:b w:val="0"/>
          <w:bCs/>
          <w:sz w:val="24"/>
          <w:u w:val="none"/>
        </w:rPr>
        <w:t>18</w:t>
      </w:r>
      <w:r>
        <w:rPr>
          <w:b w:val="0"/>
          <w:bCs/>
          <w:sz w:val="24"/>
          <w:u w:val="none"/>
        </w:rPr>
        <w:t>），环境风险评价工作等级划分为一级、二级、三级。根据建设项目涉及的物质及工艺系统危险性和所在地的环境敏感性确定环境风险潜势，按照表1确定评价工作等级。风险潜势为</w:t>
      </w:r>
      <w:r>
        <w:rPr>
          <w:rFonts w:hint="eastAsia"/>
          <w:b w:val="0"/>
          <w:bCs/>
          <w:sz w:val="24"/>
          <w:u w:val="none"/>
        </w:rPr>
        <w:t>Ⅳ</w:t>
      </w:r>
      <w:r>
        <w:rPr>
          <w:b w:val="0"/>
          <w:bCs/>
          <w:sz w:val="24"/>
          <w:u w:val="none"/>
        </w:rPr>
        <w:t>及以上，进行一级评价；风险潜势为</w:t>
      </w:r>
      <w:r>
        <w:rPr>
          <w:rFonts w:hint="eastAsia"/>
          <w:b w:val="0"/>
          <w:bCs/>
          <w:sz w:val="24"/>
          <w:u w:val="none"/>
        </w:rPr>
        <w:t>Ⅲ</w:t>
      </w:r>
      <w:r>
        <w:rPr>
          <w:b w:val="0"/>
          <w:bCs/>
          <w:sz w:val="24"/>
          <w:u w:val="none"/>
        </w:rPr>
        <w:t>，进行二级评价；风险潜势为</w:t>
      </w:r>
      <w:r>
        <w:rPr>
          <w:rFonts w:hint="eastAsia"/>
          <w:b w:val="0"/>
          <w:bCs/>
          <w:sz w:val="24"/>
          <w:u w:val="none"/>
        </w:rPr>
        <w:t>Ⅱ</w:t>
      </w:r>
      <w:r>
        <w:rPr>
          <w:b w:val="0"/>
          <w:bCs/>
          <w:sz w:val="24"/>
          <w:u w:val="none"/>
        </w:rPr>
        <w:t>，进行三级评价；风险潜 势为</w:t>
      </w:r>
      <w:r>
        <w:rPr>
          <w:rFonts w:hint="eastAsia"/>
          <w:b w:val="0"/>
          <w:bCs/>
          <w:sz w:val="24"/>
          <w:u w:val="none"/>
        </w:rPr>
        <w:t>Ⅰ，</w:t>
      </w:r>
      <w:r>
        <w:rPr>
          <w:b w:val="0"/>
          <w:bCs/>
          <w:sz w:val="24"/>
          <w:u w:val="none"/>
        </w:rPr>
        <w:t>可开展简单分析。评价级别见下表</w:t>
      </w:r>
      <w:r>
        <w:rPr>
          <w:rFonts w:hint="eastAsia"/>
          <w:b w:val="0"/>
          <w:bCs/>
          <w:sz w:val="24"/>
          <w:u w:val="none"/>
          <w:lang w:val="en-US" w:eastAsia="zh-CN"/>
        </w:rPr>
        <w:t>4.2-21</w:t>
      </w:r>
      <w:r>
        <w:rPr>
          <w:b w:val="0"/>
          <w:bCs/>
          <w:sz w:val="24"/>
          <w:u w:val="none"/>
        </w:rPr>
        <w:t>。</w:t>
      </w:r>
    </w:p>
    <w:p>
      <w:pPr>
        <w:adjustRightInd w:val="0"/>
        <w:snapToGrid w:val="0"/>
        <w:spacing w:line="520" w:lineRule="exact"/>
        <w:jc w:val="center"/>
        <w:rPr>
          <w:b w:val="0"/>
          <w:bCs/>
          <w:sz w:val="24"/>
          <w:u w:val="none"/>
        </w:rPr>
      </w:pPr>
      <w:r>
        <w:rPr>
          <w:b w:val="0"/>
          <w:bCs/>
          <w:sz w:val="24"/>
          <w:u w:val="none"/>
        </w:rPr>
        <w:t>表</w:t>
      </w:r>
      <w:r>
        <w:rPr>
          <w:rFonts w:hint="eastAsia"/>
          <w:b w:val="0"/>
          <w:bCs/>
          <w:sz w:val="24"/>
          <w:u w:val="none"/>
          <w:lang w:val="en-US" w:eastAsia="zh-CN"/>
        </w:rPr>
        <w:t>4.2-21</w:t>
      </w:r>
      <w:r>
        <w:rPr>
          <w:b w:val="0"/>
          <w:bCs/>
          <w:sz w:val="24"/>
          <w:u w:val="none"/>
        </w:rPr>
        <w:t xml:space="preserve">  评价工作</w:t>
      </w:r>
      <w:r>
        <w:rPr>
          <w:rFonts w:hint="eastAsia"/>
          <w:b w:val="0"/>
          <w:bCs/>
          <w:sz w:val="24"/>
          <w:u w:val="none"/>
        </w:rPr>
        <w:t>等级划分</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1568"/>
        <w:gridCol w:w="1546"/>
        <w:gridCol w:w="2063"/>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8" w:type="dxa"/>
            <w:tcBorders>
              <w:top w:val="single" w:color="auto" w:sz="4" w:space="0"/>
              <w:left w:val="single" w:color="auto" w:sz="12" w:space="0"/>
              <w:bottom w:val="single" w:color="auto" w:sz="4" w:space="0"/>
            </w:tcBorders>
            <w:vAlign w:val="center"/>
          </w:tcPr>
          <w:p>
            <w:pPr>
              <w:pStyle w:val="24"/>
              <w:snapToGrid w:val="0"/>
              <w:jc w:val="center"/>
              <w:rPr>
                <w:rFonts w:hAnsi="宋体"/>
                <w:b w:val="0"/>
                <w:bCs/>
                <w:u w:val="none"/>
              </w:rPr>
            </w:pPr>
            <w:r>
              <w:rPr>
                <w:rFonts w:hint="eastAsia" w:hAnsi="宋体"/>
                <w:b w:val="0"/>
                <w:bCs/>
                <w:u w:val="none"/>
              </w:rPr>
              <w:t>环境风险潜势</w:t>
            </w:r>
          </w:p>
        </w:tc>
        <w:tc>
          <w:tcPr>
            <w:tcW w:w="1568" w:type="dxa"/>
            <w:tcBorders>
              <w:top w:val="single" w:color="auto" w:sz="4" w:space="0"/>
              <w:bottom w:val="single" w:color="auto" w:sz="4" w:space="0"/>
            </w:tcBorders>
            <w:vAlign w:val="center"/>
          </w:tcPr>
          <w:p>
            <w:pPr>
              <w:pStyle w:val="24"/>
              <w:snapToGrid w:val="0"/>
              <w:jc w:val="center"/>
              <w:rPr>
                <w:rFonts w:ascii="Times New Roman" w:hAnsi="Times New Roman"/>
                <w:b w:val="0"/>
                <w:bCs/>
                <w:u w:val="none"/>
              </w:rPr>
            </w:pPr>
            <w:r>
              <w:rPr>
                <w:rFonts w:hint="eastAsia" w:hAnsi="宋体" w:cs="宋体"/>
                <w:b w:val="0"/>
                <w:bCs/>
                <w:u w:val="none"/>
              </w:rPr>
              <w:t>Ⅳ</w:t>
            </w:r>
            <w:r>
              <w:rPr>
                <w:b w:val="0"/>
                <w:bCs/>
                <w:u w:val="none"/>
              </w:rPr>
              <w:t>、</w:t>
            </w:r>
            <w:r>
              <w:rPr>
                <w:rFonts w:hint="eastAsia" w:hAnsi="宋体" w:cs="宋体"/>
                <w:b w:val="0"/>
                <w:bCs/>
                <w:u w:val="none"/>
              </w:rPr>
              <w:t>Ⅳ</w:t>
            </w:r>
            <w:r>
              <w:rPr>
                <w:b w:val="0"/>
                <w:bCs/>
                <w:u w:val="none"/>
              </w:rPr>
              <w:t>+</w:t>
            </w:r>
          </w:p>
        </w:tc>
        <w:tc>
          <w:tcPr>
            <w:tcW w:w="1546" w:type="dxa"/>
            <w:tcBorders>
              <w:top w:val="single" w:color="auto" w:sz="4" w:space="0"/>
              <w:bottom w:val="single" w:color="auto" w:sz="4" w:space="0"/>
            </w:tcBorders>
            <w:vAlign w:val="center"/>
          </w:tcPr>
          <w:p>
            <w:pPr>
              <w:pStyle w:val="24"/>
              <w:snapToGrid w:val="0"/>
              <w:jc w:val="center"/>
              <w:rPr>
                <w:rFonts w:ascii="Times New Roman" w:hAnsi="Times New Roman"/>
                <w:b w:val="0"/>
                <w:bCs/>
                <w:u w:val="none"/>
              </w:rPr>
            </w:pPr>
            <w:r>
              <w:rPr>
                <w:rFonts w:hint="eastAsia" w:hAnsi="宋体" w:cs="宋体"/>
                <w:b w:val="0"/>
                <w:bCs/>
                <w:u w:val="none"/>
              </w:rPr>
              <w:t>Ⅲ</w:t>
            </w:r>
          </w:p>
        </w:tc>
        <w:tc>
          <w:tcPr>
            <w:tcW w:w="2063" w:type="dxa"/>
            <w:tcBorders>
              <w:top w:val="single" w:color="auto" w:sz="4" w:space="0"/>
              <w:bottom w:val="single" w:color="auto" w:sz="4" w:space="0"/>
            </w:tcBorders>
            <w:vAlign w:val="center"/>
          </w:tcPr>
          <w:p>
            <w:pPr>
              <w:pStyle w:val="24"/>
              <w:snapToGrid w:val="0"/>
              <w:jc w:val="center"/>
              <w:rPr>
                <w:rFonts w:ascii="Times New Roman" w:hAnsi="Times New Roman"/>
                <w:b w:val="0"/>
                <w:bCs/>
                <w:u w:val="none"/>
              </w:rPr>
            </w:pPr>
            <w:r>
              <w:rPr>
                <w:rFonts w:hint="eastAsia" w:hAnsi="宋体" w:cs="宋体"/>
                <w:b w:val="0"/>
                <w:bCs/>
                <w:u w:val="none"/>
              </w:rPr>
              <w:t>Ⅱ</w:t>
            </w:r>
          </w:p>
        </w:tc>
        <w:tc>
          <w:tcPr>
            <w:tcW w:w="1380" w:type="dxa"/>
            <w:tcBorders>
              <w:top w:val="single" w:color="auto" w:sz="4" w:space="0"/>
              <w:bottom w:val="single" w:color="auto" w:sz="4" w:space="0"/>
              <w:right w:val="single" w:color="auto" w:sz="12" w:space="0"/>
            </w:tcBorders>
            <w:vAlign w:val="center"/>
          </w:tcPr>
          <w:p>
            <w:pPr>
              <w:pStyle w:val="24"/>
              <w:snapToGrid w:val="0"/>
              <w:jc w:val="center"/>
              <w:rPr>
                <w:rFonts w:ascii="Times New Roman" w:hAnsi="Times New Roman"/>
                <w:b w:val="0"/>
                <w:bCs/>
                <w:u w:val="none"/>
              </w:rPr>
            </w:pPr>
            <w:r>
              <w:rPr>
                <w:rFonts w:hint="eastAsia" w:hAnsi="宋体" w:cs="宋体"/>
                <w:b w:val="0"/>
                <w:bCs/>
                <w:u w:val="none"/>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8" w:type="dxa"/>
            <w:tcBorders>
              <w:top w:val="single" w:color="auto" w:sz="4" w:space="0"/>
              <w:left w:val="single" w:color="auto" w:sz="12" w:space="0"/>
              <w:bottom w:val="single" w:color="auto" w:sz="4" w:space="0"/>
            </w:tcBorders>
            <w:vAlign w:val="center"/>
          </w:tcPr>
          <w:p>
            <w:pPr>
              <w:pStyle w:val="24"/>
              <w:snapToGrid w:val="0"/>
              <w:jc w:val="center"/>
              <w:rPr>
                <w:rFonts w:hAnsi="宋体"/>
                <w:b w:val="0"/>
                <w:bCs/>
                <w:u w:val="none"/>
              </w:rPr>
            </w:pPr>
            <w:r>
              <w:rPr>
                <w:rFonts w:hint="eastAsia" w:hAnsi="宋体"/>
                <w:b w:val="0"/>
                <w:bCs/>
                <w:u w:val="none"/>
              </w:rPr>
              <w:t>评价等级</w:t>
            </w:r>
          </w:p>
        </w:tc>
        <w:tc>
          <w:tcPr>
            <w:tcW w:w="1568" w:type="dxa"/>
            <w:tcBorders>
              <w:top w:val="single" w:color="auto" w:sz="4" w:space="0"/>
              <w:bottom w:val="single" w:color="auto" w:sz="4" w:space="0"/>
            </w:tcBorders>
            <w:vAlign w:val="center"/>
          </w:tcPr>
          <w:p>
            <w:pPr>
              <w:pStyle w:val="24"/>
              <w:snapToGrid w:val="0"/>
              <w:jc w:val="center"/>
              <w:rPr>
                <w:rFonts w:ascii="Times New Roman" w:hAnsi="Times New Roman"/>
                <w:b w:val="0"/>
                <w:bCs/>
                <w:u w:val="none"/>
              </w:rPr>
            </w:pPr>
            <w:r>
              <w:rPr>
                <w:rFonts w:hint="eastAsia" w:ascii="Times New Roman" w:hAnsi="Times New Roman"/>
                <w:b w:val="0"/>
                <w:bCs/>
                <w:u w:val="none"/>
              </w:rPr>
              <w:t>一</w:t>
            </w:r>
          </w:p>
        </w:tc>
        <w:tc>
          <w:tcPr>
            <w:tcW w:w="1546" w:type="dxa"/>
            <w:tcBorders>
              <w:top w:val="single" w:color="auto" w:sz="4" w:space="0"/>
              <w:bottom w:val="single" w:color="auto" w:sz="4" w:space="0"/>
            </w:tcBorders>
            <w:vAlign w:val="center"/>
          </w:tcPr>
          <w:p>
            <w:pPr>
              <w:pStyle w:val="24"/>
              <w:snapToGrid w:val="0"/>
              <w:jc w:val="center"/>
              <w:rPr>
                <w:rFonts w:ascii="Times New Roman" w:hAnsi="Times New Roman"/>
                <w:b w:val="0"/>
                <w:bCs/>
                <w:u w:val="none"/>
              </w:rPr>
            </w:pPr>
            <w:r>
              <w:rPr>
                <w:rFonts w:ascii="Times New Roman" w:hAnsi="Times New Roman"/>
                <w:b w:val="0"/>
                <w:bCs/>
                <w:u w:val="none"/>
              </w:rPr>
              <w:t>二</w:t>
            </w:r>
          </w:p>
        </w:tc>
        <w:tc>
          <w:tcPr>
            <w:tcW w:w="2063" w:type="dxa"/>
            <w:tcBorders>
              <w:top w:val="single" w:color="auto" w:sz="4" w:space="0"/>
              <w:bottom w:val="single" w:color="auto" w:sz="4" w:space="0"/>
            </w:tcBorders>
            <w:vAlign w:val="center"/>
          </w:tcPr>
          <w:p>
            <w:pPr>
              <w:pStyle w:val="24"/>
              <w:snapToGrid w:val="0"/>
              <w:jc w:val="center"/>
              <w:rPr>
                <w:rFonts w:ascii="Times New Roman" w:hAnsi="Times New Roman"/>
                <w:b w:val="0"/>
                <w:bCs/>
                <w:u w:val="none"/>
              </w:rPr>
            </w:pPr>
            <w:r>
              <w:rPr>
                <w:rFonts w:hint="eastAsia" w:ascii="Times New Roman" w:hAnsi="Times New Roman"/>
                <w:b w:val="0"/>
                <w:bCs/>
                <w:u w:val="none"/>
              </w:rPr>
              <w:t>三</w:t>
            </w:r>
          </w:p>
        </w:tc>
        <w:tc>
          <w:tcPr>
            <w:tcW w:w="1380" w:type="dxa"/>
            <w:tcBorders>
              <w:top w:val="single" w:color="auto" w:sz="4" w:space="0"/>
              <w:bottom w:val="single" w:color="auto" w:sz="4" w:space="0"/>
              <w:right w:val="single" w:color="auto" w:sz="12" w:space="0"/>
            </w:tcBorders>
            <w:vAlign w:val="center"/>
          </w:tcPr>
          <w:p>
            <w:pPr>
              <w:pStyle w:val="24"/>
              <w:snapToGrid w:val="0"/>
              <w:jc w:val="center"/>
              <w:rPr>
                <w:rFonts w:ascii="Times New Roman" w:hAnsi="Times New Roman"/>
                <w:b w:val="0"/>
                <w:bCs/>
                <w:u w:val="none"/>
              </w:rPr>
            </w:pPr>
            <w:r>
              <w:rPr>
                <w:rFonts w:hint="eastAsia" w:ascii="Times New Roman" w:hAnsi="Times New Roman"/>
                <w:b w:val="0"/>
                <w:bCs/>
                <w:u w:val="none"/>
              </w:rPr>
              <w:t>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5" w:type="dxa"/>
            <w:gridSpan w:val="5"/>
            <w:tcBorders>
              <w:top w:val="single" w:color="auto" w:sz="4" w:space="0"/>
              <w:left w:val="single" w:color="auto" w:sz="12" w:space="0"/>
              <w:bottom w:val="single" w:color="auto" w:sz="12" w:space="0"/>
            </w:tcBorders>
            <w:vAlign w:val="center"/>
          </w:tcPr>
          <w:p>
            <w:pPr>
              <w:pStyle w:val="24"/>
              <w:snapToGrid w:val="0"/>
              <w:jc w:val="center"/>
              <w:rPr>
                <w:rFonts w:hAnsi="宋体"/>
                <w:b w:val="0"/>
                <w:bCs/>
                <w:u w:val="none"/>
              </w:rPr>
            </w:pPr>
            <w:r>
              <w:rPr>
                <w:rFonts w:hAnsi="宋体"/>
                <w:b w:val="0"/>
                <w:bCs/>
                <w:u w:val="none"/>
              </w:rPr>
              <w:t>是相对于详细评价工作内容而言，在描述危险物质、环境影响途径、环境危害后果、风险防范措施等方面给 出定性的说明。见附录 A。</w:t>
            </w:r>
          </w:p>
        </w:tc>
      </w:tr>
    </w:tbl>
    <w:p>
      <w:pPr>
        <w:tabs>
          <w:tab w:val="left" w:pos="2709"/>
        </w:tabs>
        <w:spacing w:line="520" w:lineRule="exact"/>
        <w:ind w:firstLine="480" w:firstLineChars="200"/>
        <w:rPr>
          <w:b w:val="0"/>
          <w:bCs/>
          <w:sz w:val="24"/>
          <w:u w:val="none"/>
        </w:rPr>
      </w:pPr>
      <w:r>
        <w:rPr>
          <w:rFonts w:hint="eastAsia"/>
          <w:b w:val="0"/>
          <w:bCs/>
          <w:sz w:val="24"/>
          <w:u w:val="none"/>
        </w:rPr>
        <w:t>本项目危险物质在事故情形下的环境影响途径主要为大气和地表水，风险潜势为Ⅰ，根据《建设项目环境风险评价技术导则》（HJ/T169－2018）评价工作等级划分要求，确定本项目评价工作等级为简单分析。项目周围500m范围内无村庄环境敏感目标。</w:t>
      </w:r>
    </w:p>
    <w:p>
      <w:pPr>
        <w:tabs>
          <w:tab w:val="right" w:leader="dot" w:pos="8647"/>
        </w:tabs>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.2.7.</w:t>
      </w:r>
      <w:r>
        <w:rPr>
          <w:rFonts w:hint="eastAsia"/>
          <w:b w:val="0"/>
          <w:bCs/>
          <w:color w:val="000000"/>
          <w:sz w:val="24"/>
          <w:u w:val="none"/>
        </w:rPr>
        <w:t>3</w:t>
      </w:r>
      <w:r>
        <w:rPr>
          <w:b w:val="0"/>
          <w:bCs/>
          <w:color w:val="000000"/>
          <w:sz w:val="24"/>
          <w:u w:val="none"/>
        </w:rPr>
        <w:t>源项分析</w:t>
      </w:r>
    </w:p>
    <w:p>
      <w:pPr>
        <w:tabs>
          <w:tab w:val="left" w:pos="2709"/>
        </w:tabs>
        <w:spacing w:line="520" w:lineRule="exact"/>
        <w:ind w:firstLine="480" w:firstLineChars="200"/>
        <w:rPr>
          <w:b w:val="0"/>
          <w:bCs/>
          <w:sz w:val="24"/>
          <w:u w:val="none"/>
        </w:rPr>
      </w:pPr>
      <w:r>
        <w:rPr>
          <w:b w:val="0"/>
          <w:bCs/>
          <w:sz w:val="24"/>
          <w:u w:val="none"/>
        </w:rPr>
        <w:t>风险源项分析的主要目的是确定最大可信事故的发生概率，确定危险化学品的泄漏量，一般采取类比调查、概率法或指数确定，本评价以类比调查结合《环境风险评价实用技术和方法》推荐的方法进行分析。</w:t>
      </w:r>
    </w:p>
    <w:p>
      <w:pPr>
        <w:tabs>
          <w:tab w:val="left" w:pos="2709"/>
        </w:tabs>
        <w:spacing w:line="520" w:lineRule="exact"/>
        <w:ind w:firstLine="480" w:firstLineChars="200"/>
        <w:rPr>
          <w:b w:val="0"/>
          <w:bCs/>
          <w:sz w:val="24"/>
          <w:u w:val="none"/>
        </w:rPr>
      </w:pPr>
      <w:r>
        <w:rPr>
          <w:b w:val="0"/>
          <w:bCs/>
          <w:sz w:val="24"/>
          <w:u w:val="none"/>
        </w:rPr>
        <w:t>不同事故其引发因素、伤害机制、危害时间及空间尺度上有很大区别，并相互作用和影响。由上述事故统计和风险识别可知，本项目主要危害物质具有燃烧爆炸的特性，从而决定了项目的主要危险事故为火灾、爆炸。</w:t>
      </w:r>
    </w:p>
    <w:p>
      <w:pPr>
        <w:spacing w:line="520" w:lineRule="exact"/>
        <w:ind w:firstLine="480" w:firstLineChars="200"/>
        <w:rPr>
          <w:b w:val="0"/>
          <w:bCs/>
          <w:sz w:val="24"/>
          <w:u w:val="none"/>
        </w:rPr>
      </w:pPr>
      <w:r>
        <w:rPr>
          <w:b w:val="0"/>
          <w:bCs/>
          <w:sz w:val="24"/>
          <w:u w:val="none"/>
        </w:rPr>
        <w:t>1、火灾</w:t>
      </w:r>
    </w:p>
    <w:p>
      <w:pPr>
        <w:spacing w:line="520" w:lineRule="exact"/>
        <w:ind w:firstLine="480" w:firstLineChars="200"/>
        <w:rPr>
          <w:b w:val="0"/>
          <w:bCs/>
          <w:sz w:val="24"/>
          <w:u w:val="none"/>
        </w:rPr>
      </w:pPr>
      <w:r>
        <w:rPr>
          <w:b w:val="0"/>
          <w:bCs/>
          <w:sz w:val="24"/>
          <w:u w:val="none"/>
        </w:rPr>
        <w:t>经类比，项目火灾危害级别对应的距离见表</w:t>
      </w:r>
      <w:r>
        <w:rPr>
          <w:rFonts w:hint="eastAsia"/>
          <w:b w:val="0"/>
          <w:bCs/>
          <w:sz w:val="24"/>
          <w:u w:val="none"/>
          <w:lang w:val="en-US" w:eastAsia="zh-CN"/>
        </w:rPr>
        <w:t>4.2-22</w:t>
      </w:r>
      <w:r>
        <w:rPr>
          <w:b w:val="0"/>
          <w:bCs/>
          <w:sz w:val="24"/>
          <w:u w:val="none"/>
        </w:rPr>
        <w:t>。</w:t>
      </w:r>
    </w:p>
    <w:p>
      <w:pPr>
        <w:adjustRightInd w:val="0"/>
        <w:snapToGrid w:val="0"/>
        <w:spacing w:line="520" w:lineRule="exact"/>
        <w:jc w:val="center"/>
        <w:rPr>
          <w:b/>
          <w:bCs w:val="0"/>
          <w:sz w:val="24"/>
          <w:u w:val="none"/>
        </w:rPr>
      </w:pPr>
      <w:r>
        <w:rPr>
          <w:b/>
          <w:bCs w:val="0"/>
          <w:sz w:val="24"/>
          <w:u w:val="none"/>
        </w:rPr>
        <w:t>表</w:t>
      </w:r>
      <w:r>
        <w:rPr>
          <w:rFonts w:hint="eastAsia"/>
          <w:b/>
          <w:bCs w:val="0"/>
          <w:sz w:val="24"/>
          <w:u w:val="none"/>
          <w:lang w:val="en-US" w:eastAsia="zh-CN"/>
        </w:rPr>
        <w:t>4.2-22</w:t>
      </w:r>
      <w:r>
        <w:rPr>
          <w:b/>
          <w:bCs w:val="0"/>
          <w:sz w:val="24"/>
          <w:u w:val="none"/>
        </w:rPr>
        <w:t xml:space="preserve">  危害级别对应的距离</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200"/>
        <w:gridCol w:w="3410"/>
        <w:gridCol w:w="2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 w:val="0"/>
                <w:bCs/>
                <w:szCs w:val="21"/>
                <w:u w:val="none"/>
              </w:rPr>
            </w:pPr>
            <w:r>
              <w:rPr>
                <w:b w:val="0"/>
                <w:bCs/>
                <w:szCs w:val="21"/>
                <w:u w:val="none"/>
              </w:rPr>
              <w:t>危害级别</w:t>
            </w:r>
          </w:p>
        </w:tc>
        <w:tc>
          <w:tcPr>
            <w:tcW w:w="1200" w:type="dxa"/>
            <w:vAlign w:val="center"/>
          </w:tcPr>
          <w:p>
            <w:pPr>
              <w:adjustRightInd w:val="0"/>
              <w:snapToGrid w:val="0"/>
              <w:jc w:val="center"/>
              <w:rPr>
                <w:b w:val="0"/>
                <w:bCs/>
                <w:szCs w:val="21"/>
                <w:u w:val="none"/>
              </w:rPr>
            </w:pPr>
            <w:r>
              <w:rPr>
                <w:b w:val="0"/>
                <w:bCs/>
                <w:szCs w:val="21"/>
                <w:u w:val="none"/>
              </w:rPr>
              <w:t>距离（m）</w:t>
            </w:r>
          </w:p>
        </w:tc>
        <w:tc>
          <w:tcPr>
            <w:tcW w:w="3410" w:type="dxa"/>
            <w:vAlign w:val="center"/>
          </w:tcPr>
          <w:p>
            <w:pPr>
              <w:adjustRightInd w:val="0"/>
              <w:snapToGrid w:val="0"/>
              <w:jc w:val="center"/>
              <w:rPr>
                <w:b w:val="0"/>
                <w:bCs/>
                <w:szCs w:val="21"/>
                <w:u w:val="none"/>
              </w:rPr>
            </w:pPr>
            <w:r>
              <w:rPr>
                <w:b w:val="0"/>
                <w:bCs/>
                <w:szCs w:val="21"/>
                <w:u w:val="none"/>
              </w:rPr>
              <w:t>对设备的损害</w:t>
            </w:r>
          </w:p>
        </w:tc>
        <w:tc>
          <w:tcPr>
            <w:tcW w:w="2837" w:type="dxa"/>
            <w:vAlign w:val="center"/>
          </w:tcPr>
          <w:p>
            <w:pPr>
              <w:adjustRightInd w:val="0"/>
              <w:snapToGrid w:val="0"/>
              <w:jc w:val="center"/>
              <w:rPr>
                <w:b w:val="0"/>
                <w:bCs/>
                <w:szCs w:val="21"/>
                <w:u w:val="none"/>
              </w:rPr>
            </w:pPr>
            <w:r>
              <w:rPr>
                <w:b w:val="0"/>
                <w:bCs/>
                <w:szCs w:val="21"/>
                <w:u w:val="none"/>
              </w:rPr>
              <w:t>对人的损害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 w:val="0"/>
                <w:bCs/>
                <w:szCs w:val="21"/>
                <w:u w:val="none"/>
              </w:rPr>
            </w:pPr>
            <w:r>
              <w:rPr>
                <w:b w:val="0"/>
                <w:bCs/>
                <w:szCs w:val="21"/>
                <w:u w:val="none"/>
              </w:rPr>
              <w:t>A</w:t>
            </w:r>
          </w:p>
        </w:tc>
        <w:tc>
          <w:tcPr>
            <w:tcW w:w="1200" w:type="dxa"/>
            <w:vAlign w:val="center"/>
          </w:tcPr>
          <w:p>
            <w:pPr>
              <w:adjustRightInd w:val="0"/>
              <w:snapToGrid w:val="0"/>
              <w:jc w:val="center"/>
              <w:rPr>
                <w:b w:val="0"/>
                <w:bCs/>
                <w:szCs w:val="21"/>
                <w:u w:val="none"/>
              </w:rPr>
            </w:pPr>
            <w:r>
              <w:rPr>
                <w:b w:val="0"/>
                <w:bCs/>
                <w:szCs w:val="21"/>
                <w:u w:val="none"/>
              </w:rPr>
              <w:t>32.6</w:t>
            </w:r>
          </w:p>
        </w:tc>
        <w:tc>
          <w:tcPr>
            <w:tcW w:w="3410" w:type="dxa"/>
            <w:vAlign w:val="center"/>
          </w:tcPr>
          <w:p>
            <w:pPr>
              <w:adjustRightInd w:val="0"/>
              <w:snapToGrid w:val="0"/>
              <w:jc w:val="center"/>
              <w:rPr>
                <w:b w:val="0"/>
                <w:bCs/>
                <w:szCs w:val="21"/>
                <w:u w:val="none"/>
              </w:rPr>
            </w:pPr>
            <w:r>
              <w:rPr>
                <w:b w:val="0"/>
                <w:bCs/>
                <w:szCs w:val="21"/>
                <w:u w:val="none"/>
              </w:rPr>
              <w:t>操作设备全部损坏</w:t>
            </w:r>
          </w:p>
        </w:tc>
        <w:tc>
          <w:tcPr>
            <w:tcW w:w="2837" w:type="dxa"/>
            <w:vAlign w:val="center"/>
          </w:tcPr>
          <w:p>
            <w:pPr>
              <w:adjustRightInd w:val="0"/>
              <w:snapToGrid w:val="0"/>
              <w:jc w:val="center"/>
              <w:rPr>
                <w:b w:val="0"/>
                <w:bCs/>
                <w:szCs w:val="21"/>
                <w:u w:val="none"/>
              </w:rPr>
            </w:pPr>
            <w:r>
              <w:rPr>
                <w:b w:val="0"/>
                <w:bCs/>
                <w:szCs w:val="21"/>
                <w:u w:val="none"/>
              </w:rPr>
              <w:t>1%死亡/10秒</w:t>
            </w:r>
          </w:p>
          <w:p>
            <w:pPr>
              <w:adjustRightInd w:val="0"/>
              <w:snapToGrid w:val="0"/>
              <w:jc w:val="center"/>
              <w:rPr>
                <w:b w:val="0"/>
                <w:bCs/>
                <w:szCs w:val="21"/>
                <w:u w:val="none"/>
              </w:rPr>
            </w:pPr>
            <w:r>
              <w:rPr>
                <w:b w:val="0"/>
                <w:bCs/>
                <w:szCs w:val="21"/>
                <w:u w:val="none"/>
              </w:rPr>
              <w:t>100%死亡/1分钟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 w:val="0"/>
                <w:bCs/>
                <w:szCs w:val="21"/>
                <w:u w:val="none"/>
              </w:rPr>
            </w:pPr>
            <w:r>
              <w:rPr>
                <w:b w:val="0"/>
                <w:bCs/>
                <w:szCs w:val="21"/>
                <w:u w:val="none"/>
              </w:rPr>
              <w:t>B</w:t>
            </w:r>
          </w:p>
        </w:tc>
        <w:tc>
          <w:tcPr>
            <w:tcW w:w="1200" w:type="dxa"/>
            <w:vAlign w:val="center"/>
          </w:tcPr>
          <w:p>
            <w:pPr>
              <w:adjustRightInd w:val="0"/>
              <w:snapToGrid w:val="0"/>
              <w:jc w:val="center"/>
              <w:rPr>
                <w:b w:val="0"/>
                <w:bCs/>
                <w:szCs w:val="21"/>
                <w:u w:val="none"/>
              </w:rPr>
            </w:pPr>
            <w:r>
              <w:rPr>
                <w:b w:val="0"/>
                <w:bCs/>
                <w:szCs w:val="21"/>
                <w:u w:val="none"/>
              </w:rPr>
              <w:t>39.9</w:t>
            </w:r>
          </w:p>
        </w:tc>
        <w:tc>
          <w:tcPr>
            <w:tcW w:w="3410" w:type="dxa"/>
            <w:vAlign w:val="center"/>
          </w:tcPr>
          <w:p>
            <w:pPr>
              <w:adjustRightInd w:val="0"/>
              <w:snapToGrid w:val="0"/>
              <w:jc w:val="center"/>
              <w:rPr>
                <w:b w:val="0"/>
                <w:bCs/>
                <w:szCs w:val="21"/>
                <w:u w:val="none"/>
              </w:rPr>
            </w:pPr>
            <w:r>
              <w:rPr>
                <w:b w:val="0"/>
                <w:bCs/>
                <w:szCs w:val="21"/>
                <w:u w:val="none"/>
              </w:rPr>
              <w:t>在无火焰，长时间辐射下木材燃烧的最小能量</w:t>
            </w:r>
          </w:p>
        </w:tc>
        <w:tc>
          <w:tcPr>
            <w:tcW w:w="2837" w:type="dxa"/>
            <w:vAlign w:val="center"/>
          </w:tcPr>
          <w:p>
            <w:pPr>
              <w:adjustRightInd w:val="0"/>
              <w:snapToGrid w:val="0"/>
              <w:jc w:val="center"/>
              <w:rPr>
                <w:b w:val="0"/>
                <w:bCs/>
                <w:szCs w:val="21"/>
                <w:u w:val="none"/>
              </w:rPr>
            </w:pPr>
            <w:r>
              <w:rPr>
                <w:b w:val="0"/>
                <w:bCs/>
                <w:szCs w:val="21"/>
                <w:u w:val="none"/>
              </w:rPr>
              <w:t>重大损伤亡/10秒100%死亡/1分钟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 w:val="0"/>
                <w:bCs/>
                <w:szCs w:val="21"/>
                <w:u w:val="none"/>
              </w:rPr>
            </w:pPr>
            <w:r>
              <w:rPr>
                <w:b w:val="0"/>
                <w:bCs/>
                <w:szCs w:val="21"/>
                <w:u w:val="none"/>
              </w:rPr>
              <w:t>C</w:t>
            </w:r>
          </w:p>
        </w:tc>
        <w:tc>
          <w:tcPr>
            <w:tcW w:w="1200" w:type="dxa"/>
            <w:vAlign w:val="center"/>
          </w:tcPr>
          <w:p>
            <w:pPr>
              <w:adjustRightInd w:val="0"/>
              <w:snapToGrid w:val="0"/>
              <w:jc w:val="center"/>
              <w:rPr>
                <w:b w:val="0"/>
                <w:bCs/>
                <w:szCs w:val="21"/>
                <w:u w:val="none"/>
              </w:rPr>
            </w:pPr>
            <w:r>
              <w:rPr>
                <w:b w:val="0"/>
                <w:bCs/>
                <w:szCs w:val="21"/>
                <w:u w:val="none"/>
              </w:rPr>
              <w:t>56.4</w:t>
            </w:r>
          </w:p>
        </w:tc>
        <w:tc>
          <w:tcPr>
            <w:tcW w:w="3410" w:type="dxa"/>
            <w:vAlign w:val="center"/>
          </w:tcPr>
          <w:p>
            <w:pPr>
              <w:adjustRightInd w:val="0"/>
              <w:snapToGrid w:val="0"/>
              <w:jc w:val="center"/>
              <w:rPr>
                <w:b w:val="0"/>
                <w:bCs/>
                <w:szCs w:val="21"/>
                <w:u w:val="none"/>
              </w:rPr>
            </w:pPr>
            <w:r>
              <w:rPr>
                <w:b w:val="0"/>
                <w:bCs/>
                <w:szCs w:val="21"/>
                <w:u w:val="none"/>
              </w:rPr>
              <w:t>在无火焰，木材燃烧，塑料熔化的最低能量</w:t>
            </w:r>
          </w:p>
        </w:tc>
        <w:tc>
          <w:tcPr>
            <w:tcW w:w="2837" w:type="dxa"/>
            <w:vAlign w:val="center"/>
          </w:tcPr>
          <w:p>
            <w:pPr>
              <w:adjustRightInd w:val="0"/>
              <w:snapToGrid w:val="0"/>
              <w:jc w:val="center"/>
              <w:rPr>
                <w:b w:val="0"/>
                <w:bCs/>
                <w:szCs w:val="21"/>
                <w:u w:val="none"/>
              </w:rPr>
            </w:pPr>
            <w:r>
              <w:rPr>
                <w:b w:val="0"/>
                <w:bCs/>
                <w:szCs w:val="21"/>
                <w:u w:val="none"/>
              </w:rPr>
              <w:t>1度烧伤/10秒</w:t>
            </w:r>
          </w:p>
          <w:p>
            <w:pPr>
              <w:adjustRightInd w:val="0"/>
              <w:snapToGrid w:val="0"/>
              <w:jc w:val="center"/>
              <w:rPr>
                <w:b w:val="0"/>
                <w:bCs/>
                <w:szCs w:val="21"/>
                <w:u w:val="none"/>
              </w:rPr>
            </w:pPr>
            <w:r>
              <w:rPr>
                <w:b w:val="0"/>
                <w:bCs/>
                <w:szCs w:val="21"/>
                <w:u w:val="none"/>
              </w:rPr>
              <w:t>1%死亡/1分钟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 w:val="0"/>
                <w:bCs/>
                <w:szCs w:val="21"/>
                <w:u w:val="none"/>
              </w:rPr>
            </w:pPr>
            <w:r>
              <w:rPr>
                <w:b w:val="0"/>
                <w:bCs/>
                <w:szCs w:val="21"/>
                <w:u w:val="none"/>
              </w:rPr>
              <w:t>D</w:t>
            </w:r>
          </w:p>
        </w:tc>
        <w:tc>
          <w:tcPr>
            <w:tcW w:w="1200" w:type="dxa"/>
            <w:vAlign w:val="center"/>
          </w:tcPr>
          <w:p>
            <w:pPr>
              <w:adjustRightInd w:val="0"/>
              <w:snapToGrid w:val="0"/>
              <w:jc w:val="center"/>
              <w:rPr>
                <w:b w:val="0"/>
                <w:bCs/>
                <w:szCs w:val="21"/>
                <w:u w:val="none"/>
              </w:rPr>
            </w:pPr>
            <w:r>
              <w:rPr>
                <w:b w:val="0"/>
                <w:bCs/>
                <w:szCs w:val="21"/>
                <w:u w:val="none"/>
              </w:rPr>
              <w:t>99.7</w:t>
            </w:r>
          </w:p>
        </w:tc>
        <w:tc>
          <w:tcPr>
            <w:tcW w:w="3410" w:type="dxa"/>
            <w:vMerge w:val="restart"/>
            <w:vAlign w:val="center"/>
          </w:tcPr>
          <w:p>
            <w:pPr>
              <w:adjustRightInd w:val="0"/>
              <w:snapToGrid w:val="0"/>
              <w:jc w:val="center"/>
              <w:rPr>
                <w:b w:val="0"/>
                <w:bCs/>
                <w:szCs w:val="21"/>
                <w:u w:val="none"/>
              </w:rPr>
            </w:pPr>
            <w:r>
              <w:rPr>
                <w:b w:val="0"/>
                <w:bCs/>
                <w:szCs w:val="21"/>
                <w:u w:val="none"/>
              </w:rPr>
              <w:t>没有什么损坏</w:t>
            </w:r>
          </w:p>
        </w:tc>
        <w:tc>
          <w:tcPr>
            <w:tcW w:w="2837" w:type="dxa"/>
            <w:vAlign w:val="center"/>
          </w:tcPr>
          <w:p>
            <w:pPr>
              <w:adjustRightInd w:val="0"/>
              <w:snapToGrid w:val="0"/>
              <w:jc w:val="center"/>
              <w:rPr>
                <w:b w:val="0"/>
                <w:bCs/>
                <w:szCs w:val="21"/>
                <w:u w:val="none"/>
              </w:rPr>
            </w:pPr>
            <w:r>
              <w:rPr>
                <w:b w:val="0"/>
                <w:bCs/>
                <w:szCs w:val="21"/>
                <w:u w:val="none"/>
              </w:rPr>
              <w:t>20秒以上感觉疼痛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 w:val="0"/>
                <w:bCs/>
                <w:szCs w:val="21"/>
                <w:u w:val="none"/>
              </w:rPr>
            </w:pPr>
            <w:r>
              <w:rPr>
                <w:b w:val="0"/>
                <w:bCs/>
                <w:szCs w:val="21"/>
                <w:u w:val="none"/>
              </w:rPr>
              <w:t>E</w:t>
            </w:r>
          </w:p>
        </w:tc>
        <w:tc>
          <w:tcPr>
            <w:tcW w:w="1200" w:type="dxa"/>
            <w:vAlign w:val="center"/>
          </w:tcPr>
          <w:p>
            <w:pPr>
              <w:adjustRightInd w:val="0"/>
              <w:snapToGrid w:val="0"/>
              <w:jc w:val="center"/>
              <w:rPr>
                <w:b w:val="0"/>
                <w:bCs/>
                <w:szCs w:val="21"/>
                <w:u w:val="none"/>
              </w:rPr>
            </w:pPr>
            <w:r>
              <w:rPr>
                <w:b w:val="0"/>
                <w:bCs/>
                <w:szCs w:val="21"/>
                <w:u w:val="none"/>
              </w:rPr>
              <w:t>157.7</w:t>
            </w:r>
          </w:p>
        </w:tc>
        <w:tc>
          <w:tcPr>
            <w:tcW w:w="3410" w:type="dxa"/>
            <w:vMerge w:val="continue"/>
            <w:vAlign w:val="center"/>
          </w:tcPr>
          <w:p>
            <w:pPr>
              <w:adjustRightInd w:val="0"/>
              <w:snapToGrid w:val="0"/>
              <w:jc w:val="center"/>
              <w:rPr>
                <w:b w:val="0"/>
                <w:bCs/>
                <w:szCs w:val="21"/>
                <w:u w:val="none"/>
              </w:rPr>
            </w:pPr>
          </w:p>
        </w:tc>
        <w:tc>
          <w:tcPr>
            <w:tcW w:w="2837" w:type="dxa"/>
            <w:vAlign w:val="center"/>
          </w:tcPr>
          <w:p>
            <w:pPr>
              <w:adjustRightInd w:val="0"/>
              <w:snapToGrid w:val="0"/>
              <w:jc w:val="center"/>
              <w:rPr>
                <w:b w:val="0"/>
                <w:bCs/>
                <w:szCs w:val="21"/>
                <w:u w:val="none"/>
              </w:rPr>
            </w:pPr>
            <w:r>
              <w:rPr>
                <w:b w:val="0"/>
                <w:bCs/>
                <w:szCs w:val="21"/>
                <w:u w:val="none"/>
              </w:rPr>
              <w:t>长期辐射，无不舒服感</w:t>
            </w:r>
          </w:p>
        </w:tc>
      </w:tr>
    </w:tbl>
    <w:p>
      <w:pPr>
        <w:spacing w:line="360" w:lineRule="auto"/>
        <w:ind w:firstLine="480" w:firstLineChars="200"/>
        <w:rPr>
          <w:b w:val="0"/>
          <w:bCs/>
          <w:sz w:val="24"/>
          <w:u w:val="none"/>
        </w:rPr>
      </w:pPr>
      <w:r>
        <w:rPr>
          <w:b w:val="0"/>
          <w:bCs/>
          <w:sz w:val="24"/>
          <w:u w:val="none"/>
        </w:rPr>
        <w:t>根据场区平面图可知，</w:t>
      </w:r>
      <w:r>
        <w:rPr>
          <w:rFonts w:hint="eastAsia"/>
          <w:b w:val="0"/>
          <w:bCs/>
          <w:sz w:val="24"/>
          <w:u w:val="none"/>
          <w:lang w:eastAsia="zh-CN"/>
        </w:rPr>
        <w:t>黑膜</w:t>
      </w:r>
      <w:r>
        <w:rPr>
          <w:b w:val="0"/>
          <w:bCs/>
          <w:sz w:val="24"/>
          <w:u w:val="none"/>
        </w:rPr>
        <w:t>沼气池与最近猪舍的距离为50m，因此沼气着火时对猪舍的影响危害等级介于B、C级之间，猪舍内猪死亡概率很低。此外，</w:t>
      </w:r>
      <w:r>
        <w:rPr>
          <w:rFonts w:hint="eastAsia"/>
          <w:b w:val="0"/>
          <w:bCs/>
          <w:sz w:val="24"/>
          <w:u w:val="none"/>
          <w:lang w:eastAsia="zh-CN"/>
        </w:rPr>
        <w:t>黑膜</w:t>
      </w:r>
      <w:r>
        <w:rPr>
          <w:b w:val="0"/>
          <w:bCs/>
          <w:sz w:val="24"/>
          <w:u w:val="none"/>
        </w:rPr>
        <w:t>沼气池与最近生活管理区相距为</w:t>
      </w:r>
      <w:r>
        <w:rPr>
          <w:rFonts w:hint="eastAsia"/>
          <w:b w:val="0"/>
          <w:bCs/>
          <w:sz w:val="24"/>
          <w:u w:val="none"/>
          <w:lang w:val="en-US" w:eastAsia="zh-CN"/>
        </w:rPr>
        <w:t>10</w:t>
      </w:r>
      <w:r>
        <w:rPr>
          <w:b w:val="0"/>
          <w:bCs/>
          <w:sz w:val="24"/>
          <w:u w:val="none"/>
        </w:rPr>
        <w:t>0m，对人不会造成伤害。</w:t>
      </w:r>
    </w:p>
    <w:p>
      <w:pPr>
        <w:spacing w:line="360" w:lineRule="auto"/>
        <w:ind w:firstLine="480" w:firstLineChars="200"/>
        <w:rPr>
          <w:b w:val="0"/>
          <w:bCs/>
          <w:sz w:val="24"/>
          <w:u w:val="none"/>
        </w:rPr>
      </w:pPr>
      <w:r>
        <w:rPr>
          <w:b w:val="0"/>
          <w:bCs/>
          <w:sz w:val="24"/>
          <w:u w:val="none"/>
        </w:rPr>
        <w:t>2、爆炸冲击波</w:t>
      </w:r>
    </w:p>
    <w:p>
      <w:pPr>
        <w:spacing w:line="360" w:lineRule="auto"/>
        <w:ind w:firstLine="480" w:firstLineChars="200"/>
        <w:rPr>
          <w:b w:val="0"/>
          <w:bCs/>
          <w:sz w:val="24"/>
          <w:u w:val="none"/>
        </w:rPr>
      </w:pPr>
      <w:r>
        <w:rPr>
          <w:b w:val="0"/>
          <w:bCs/>
          <w:sz w:val="24"/>
          <w:u w:val="none"/>
        </w:rPr>
        <w:t>冲击波损害等级对应距离见表</w:t>
      </w:r>
      <w:r>
        <w:rPr>
          <w:rFonts w:hint="eastAsia"/>
          <w:b w:val="0"/>
          <w:bCs/>
          <w:sz w:val="24"/>
          <w:u w:val="none"/>
          <w:lang w:val="en-US" w:eastAsia="zh-CN"/>
        </w:rPr>
        <w:t>4.2-23</w:t>
      </w:r>
      <w:r>
        <w:rPr>
          <w:b w:val="0"/>
          <w:bCs/>
          <w:sz w:val="24"/>
          <w:u w:val="none"/>
        </w:rPr>
        <w:t>。</w:t>
      </w:r>
    </w:p>
    <w:p>
      <w:pPr>
        <w:adjustRightInd w:val="0"/>
        <w:snapToGrid w:val="0"/>
        <w:spacing w:line="520" w:lineRule="exact"/>
        <w:jc w:val="center"/>
        <w:rPr>
          <w:b/>
          <w:bCs w:val="0"/>
          <w:sz w:val="24"/>
          <w:u w:val="none"/>
        </w:rPr>
      </w:pPr>
      <w:r>
        <w:rPr>
          <w:b/>
          <w:bCs w:val="0"/>
          <w:sz w:val="24"/>
          <w:u w:val="none"/>
        </w:rPr>
        <w:t>表</w:t>
      </w:r>
      <w:r>
        <w:rPr>
          <w:rFonts w:hint="eastAsia"/>
          <w:b/>
          <w:bCs w:val="0"/>
          <w:sz w:val="24"/>
          <w:u w:val="none"/>
          <w:lang w:val="en-US" w:eastAsia="zh-CN"/>
        </w:rPr>
        <w:t>4.2-23</w:t>
      </w:r>
      <w:r>
        <w:rPr>
          <w:b/>
          <w:bCs w:val="0"/>
          <w:sz w:val="24"/>
          <w:u w:val="none"/>
        </w:rPr>
        <w:t xml:space="preserve">   冲击波危害级别对应的距离</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34"/>
        <w:gridCol w:w="3368"/>
        <w:gridCol w:w="3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5" w:type="dxa"/>
            <w:vMerge w:val="restart"/>
            <w:vAlign w:val="center"/>
          </w:tcPr>
          <w:p>
            <w:pPr>
              <w:jc w:val="center"/>
              <w:rPr>
                <w:b w:val="0"/>
                <w:bCs/>
                <w:szCs w:val="21"/>
                <w:u w:val="none"/>
              </w:rPr>
            </w:pPr>
            <w:r>
              <w:rPr>
                <w:b w:val="0"/>
                <w:bCs/>
                <w:szCs w:val="21"/>
                <w:u w:val="none"/>
              </w:rPr>
              <w:t>损害</w:t>
            </w:r>
          </w:p>
          <w:p>
            <w:pPr>
              <w:jc w:val="center"/>
              <w:rPr>
                <w:b w:val="0"/>
                <w:bCs/>
                <w:szCs w:val="21"/>
                <w:u w:val="none"/>
              </w:rPr>
            </w:pPr>
            <w:r>
              <w:rPr>
                <w:b w:val="0"/>
                <w:bCs/>
                <w:szCs w:val="21"/>
                <w:u w:val="none"/>
              </w:rPr>
              <w:t>等级</w:t>
            </w:r>
          </w:p>
        </w:tc>
        <w:tc>
          <w:tcPr>
            <w:tcW w:w="1034" w:type="dxa"/>
            <w:vMerge w:val="restart"/>
            <w:vAlign w:val="center"/>
          </w:tcPr>
          <w:p>
            <w:pPr>
              <w:jc w:val="center"/>
              <w:rPr>
                <w:b w:val="0"/>
                <w:bCs/>
                <w:szCs w:val="21"/>
                <w:u w:val="none"/>
              </w:rPr>
            </w:pPr>
            <w:r>
              <w:rPr>
                <w:b w:val="0"/>
                <w:bCs/>
                <w:szCs w:val="21"/>
                <w:u w:val="none"/>
              </w:rPr>
              <w:t>距离（m）</w:t>
            </w:r>
          </w:p>
        </w:tc>
        <w:tc>
          <w:tcPr>
            <w:tcW w:w="6806" w:type="dxa"/>
            <w:gridSpan w:val="2"/>
            <w:vAlign w:val="center"/>
          </w:tcPr>
          <w:p>
            <w:pPr>
              <w:jc w:val="center"/>
              <w:rPr>
                <w:b w:val="0"/>
                <w:bCs/>
                <w:szCs w:val="21"/>
                <w:u w:val="none"/>
              </w:rPr>
            </w:pPr>
            <w:r>
              <w:rPr>
                <w:b w:val="0"/>
                <w:bCs/>
                <w:szCs w:val="21"/>
                <w:u w:val="none"/>
              </w:rPr>
              <w:t>爆炸损害特性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5" w:type="dxa"/>
            <w:vMerge w:val="continue"/>
            <w:vAlign w:val="center"/>
          </w:tcPr>
          <w:p>
            <w:pPr>
              <w:jc w:val="center"/>
              <w:rPr>
                <w:b w:val="0"/>
                <w:bCs/>
                <w:szCs w:val="21"/>
                <w:u w:val="none"/>
              </w:rPr>
            </w:pPr>
          </w:p>
        </w:tc>
        <w:tc>
          <w:tcPr>
            <w:tcW w:w="1034" w:type="dxa"/>
            <w:vMerge w:val="continue"/>
            <w:vAlign w:val="center"/>
          </w:tcPr>
          <w:p>
            <w:pPr>
              <w:jc w:val="center"/>
              <w:rPr>
                <w:b w:val="0"/>
                <w:bCs/>
                <w:szCs w:val="21"/>
                <w:u w:val="none"/>
              </w:rPr>
            </w:pPr>
          </w:p>
        </w:tc>
        <w:tc>
          <w:tcPr>
            <w:tcW w:w="3368" w:type="dxa"/>
            <w:vAlign w:val="center"/>
          </w:tcPr>
          <w:p>
            <w:pPr>
              <w:jc w:val="center"/>
              <w:rPr>
                <w:b w:val="0"/>
                <w:bCs/>
                <w:szCs w:val="21"/>
                <w:u w:val="none"/>
              </w:rPr>
            </w:pPr>
            <w:r>
              <w:rPr>
                <w:b w:val="0"/>
                <w:bCs/>
                <w:szCs w:val="21"/>
                <w:u w:val="none"/>
              </w:rPr>
              <w:t>对设备的损害</w:t>
            </w:r>
          </w:p>
        </w:tc>
        <w:tc>
          <w:tcPr>
            <w:tcW w:w="3438" w:type="dxa"/>
            <w:vAlign w:val="center"/>
          </w:tcPr>
          <w:p>
            <w:pPr>
              <w:jc w:val="center"/>
              <w:rPr>
                <w:b w:val="0"/>
                <w:bCs/>
                <w:szCs w:val="21"/>
                <w:u w:val="none"/>
              </w:rPr>
            </w:pPr>
            <w:r>
              <w:rPr>
                <w:b w:val="0"/>
                <w:bCs/>
                <w:szCs w:val="21"/>
                <w:u w:val="none"/>
              </w:rPr>
              <w:t>对人的损害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b w:val="0"/>
                <w:bCs/>
                <w:szCs w:val="21"/>
                <w:u w:val="none"/>
              </w:rPr>
            </w:pPr>
            <w:r>
              <w:rPr>
                <w:b w:val="0"/>
                <w:bCs/>
                <w:szCs w:val="21"/>
                <w:u w:val="none"/>
              </w:rPr>
              <w:t>A</w:t>
            </w:r>
          </w:p>
        </w:tc>
        <w:tc>
          <w:tcPr>
            <w:tcW w:w="1034" w:type="dxa"/>
            <w:vAlign w:val="center"/>
          </w:tcPr>
          <w:p>
            <w:pPr>
              <w:jc w:val="center"/>
              <w:rPr>
                <w:b w:val="0"/>
                <w:bCs/>
                <w:szCs w:val="21"/>
                <w:u w:val="none"/>
              </w:rPr>
            </w:pPr>
            <w:r>
              <w:rPr>
                <w:b w:val="0"/>
                <w:bCs/>
                <w:szCs w:val="21"/>
                <w:u w:val="none"/>
              </w:rPr>
              <w:t>17.2</w:t>
            </w:r>
          </w:p>
        </w:tc>
        <w:tc>
          <w:tcPr>
            <w:tcW w:w="3368" w:type="dxa"/>
            <w:vAlign w:val="center"/>
          </w:tcPr>
          <w:p>
            <w:pPr>
              <w:jc w:val="center"/>
              <w:rPr>
                <w:b w:val="0"/>
                <w:bCs/>
                <w:szCs w:val="21"/>
                <w:u w:val="none"/>
              </w:rPr>
            </w:pPr>
            <w:r>
              <w:rPr>
                <w:b w:val="0"/>
                <w:bCs/>
                <w:szCs w:val="21"/>
                <w:u w:val="none"/>
              </w:rPr>
              <w:t>重创建筑物和设备</w:t>
            </w:r>
          </w:p>
        </w:tc>
        <w:tc>
          <w:tcPr>
            <w:tcW w:w="3438" w:type="dxa"/>
            <w:vAlign w:val="center"/>
          </w:tcPr>
          <w:p>
            <w:pPr>
              <w:jc w:val="center"/>
              <w:rPr>
                <w:b w:val="0"/>
                <w:bCs/>
                <w:szCs w:val="21"/>
                <w:u w:val="none"/>
              </w:rPr>
            </w:pPr>
            <w:r>
              <w:rPr>
                <w:b w:val="0"/>
                <w:bCs/>
                <w:szCs w:val="21"/>
                <w:u w:val="none"/>
              </w:rPr>
              <w:t>1%死亡肺部损害</w:t>
            </w:r>
          </w:p>
          <w:p>
            <w:pPr>
              <w:jc w:val="center"/>
              <w:rPr>
                <w:b w:val="0"/>
                <w:bCs/>
                <w:szCs w:val="21"/>
                <w:u w:val="none"/>
              </w:rPr>
            </w:pPr>
            <w:r>
              <w:rPr>
                <w:b w:val="0"/>
                <w:bCs/>
                <w:szCs w:val="21"/>
                <w:u w:val="none"/>
              </w:rPr>
              <w:t>＞50%耳膜损害</w:t>
            </w:r>
          </w:p>
          <w:p>
            <w:pPr>
              <w:jc w:val="center"/>
              <w:rPr>
                <w:b w:val="0"/>
                <w:bCs/>
                <w:szCs w:val="21"/>
                <w:u w:val="none"/>
              </w:rPr>
            </w:pPr>
            <w:r>
              <w:rPr>
                <w:b w:val="0"/>
                <w:bCs/>
                <w:szCs w:val="21"/>
                <w:u w:val="none"/>
              </w:rPr>
              <w:t>＞50%被抛射物严重砸伤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b w:val="0"/>
                <w:bCs/>
                <w:szCs w:val="21"/>
                <w:u w:val="none"/>
              </w:rPr>
            </w:pPr>
            <w:r>
              <w:rPr>
                <w:b w:val="0"/>
                <w:bCs/>
                <w:szCs w:val="21"/>
                <w:u w:val="none"/>
              </w:rPr>
              <w:t>B</w:t>
            </w:r>
          </w:p>
        </w:tc>
        <w:tc>
          <w:tcPr>
            <w:tcW w:w="1034" w:type="dxa"/>
            <w:vAlign w:val="center"/>
          </w:tcPr>
          <w:p>
            <w:pPr>
              <w:jc w:val="center"/>
              <w:rPr>
                <w:b w:val="0"/>
                <w:bCs/>
                <w:szCs w:val="21"/>
                <w:u w:val="none"/>
              </w:rPr>
            </w:pPr>
            <w:r>
              <w:rPr>
                <w:b w:val="0"/>
                <w:bCs/>
                <w:szCs w:val="21"/>
                <w:u w:val="none"/>
              </w:rPr>
              <w:t>34.3</w:t>
            </w:r>
          </w:p>
        </w:tc>
        <w:tc>
          <w:tcPr>
            <w:tcW w:w="3368" w:type="dxa"/>
            <w:vAlign w:val="center"/>
          </w:tcPr>
          <w:p>
            <w:pPr>
              <w:jc w:val="center"/>
              <w:rPr>
                <w:b w:val="0"/>
                <w:bCs/>
                <w:szCs w:val="21"/>
                <w:u w:val="none"/>
              </w:rPr>
            </w:pPr>
            <w:r>
              <w:rPr>
                <w:b w:val="0"/>
                <w:bCs/>
                <w:szCs w:val="21"/>
                <w:u w:val="none"/>
              </w:rPr>
              <w:t>对建筑物造成外表性损伤或可修复破坏</w:t>
            </w:r>
          </w:p>
        </w:tc>
        <w:tc>
          <w:tcPr>
            <w:tcW w:w="3438" w:type="dxa"/>
            <w:vAlign w:val="center"/>
          </w:tcPr>
          <w:p>
            <w:pPr>
              <w:jc w:val="center"/>
              <w:rPr>
                <w:b w:val="0"/>
                <w:bCs/>
                <w:szCs w:val="21"/>
                <w:u w:val="none"/>
              </w:rPr>
            </w:pPr>
            <w:r>
              <w:rPr>
                <w:b w:val="0"/>
                <w:bCs/>
                <w:szCs w:val="21"/>
                <w:u w:val="none"/>
              </w:rPr>
              <w:t>1%耳膜损害</w:t>
            </w:r>
          </w:p>
          <w:p>
            <w:pPr>
              <w:jc w:val="center"/>
              <w:rPr>
                <w:b w:val="0"/>
                <w:bCs/>
                <w:szCs w:val="21"/>
                <w:u w:val="none"/>
              </w:rPr>
            </w:pPr>
            <w:r>
              <w:rPr>
                <w:b w:val="0"/>
                <w:bCs/>
                <w:szCs w:val="21"/>
                <w:u w:val="none"/>
              </w:rPr>
              <w:t>1%被抛射物严重砸伤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b w:val="0"/>
                <w:bCs/>
                <w:szCs w:val="21"/>
                <w:u w:val="none"/>
              </w:rPr>
            </w:pPr>
            <w:r>
              <w:rPr>
                <w:b w:val="0"/>
                <w:bCs/>
                <w:szCs w:val="21"/>
                <w:u w:val="none"/>
              </w:rPr>
              <w:t>C</w:t>
            </w:r>
          </w:p>
        </w:tc>
        <w:tc>
          <w:tcPr>
            <w:tcW w:w="1034" w:type="dxa"/>
            <w:vAlign w:val="center"/>
          </w:tcPr>
          <w:p>
            <w:pPr>
              <w:jc w:val="center"/>
              <w:rPr>
                <w:b w:val="0"/>
                <w:bCs/>
                <w:szCs w:val="21"/>
                <w:u w:val="none"/>
              </w:rPr>
            </w:pPr>
            <w:r>
              <w:rPr>
                <w:b w:val="0"/>
                <w:bCs/>
                <w:szCs w:val="21"/>
                <w:u w:val="none"/>
              </w:rPr>
              <w:t>85.9</w:t>
            </w:r>
          </w:p>
        </w:tc>
        <w:tc>
          <w:tcPr>
            <w:tcW w:w="3368" w:type="dxa"/>
            <w:vAlign w:val="center"/>
          </w:tcPr>
          <w:p>
            <w:pPr>
              <w:jc w:val="center"/>
              <w:rPr>
                <w:b w:val="0"/>
                <w:bCs/>
                <w:szCs w:val="21"/>
                <w:u w:val="none"/>
              </w:rPr>
            </w:pPr>
            <w:r>
              <w:rPr>
                <w:b w:val="0"/>
                <w:bCs/>
                <w:szCs w:val="21"/>
                <w:u w:val="none"/>
              </w:rPr>
              <w:t>玻璃大部分破碎</w:t>
            </w:r>
          </w:p>
        </w:tc>
        <w:tc>
          <w:tcPr>
            <w:tcW w:w="3438" w:type="dxa"/>
            <w:vAlign w:val="center"/>
          </w:tcPr>
          <w:p>
            <w:pPr>
              <w:jc w:val="center"/>
              <w:rPr>
                <w:b w:val="0"/>
                <w:bCs/>
                <w:szCs w:val="21"/>
                <w:u w:val="none"/>
              </w:rPr>
            </w:pPr>
            <w:r>
              <w:rPr>
                <w:b w:val="0"/>
                <w:bCs/>
                <w:szCs w:val="21"/>
                <w:u w:val="none"/>
              </w:rPr>
              <w:t>被飞溅玻璃划伤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b w:val="0"/>
                <w:bCs/>
                <w:szCs w:val="21"/>
                <w:u w:val="none"/>
              </w:rPr>
            </w:pPr>
            <w:r>
              <w:rPr>
                <w:b w:val="0"/>
                <w:bCs/>
                <w:szCs w:val="21"/>
                <w:u w:val="none"/>
              </w:rPr>
              <w:t>D</w:t>
            </w:r>
          </w:p>
        </w:tc>
        <w:tc>
          <w:tcPr>
            <w:tcW w:w="1034" w:type="dxa"/>
            <w:vAlign w:val="center"/>
          </w:tcPr>
          <w:p>
            <w:pPr>
              <w:jc w:val="center"/>
              <w:rPr>
                <w:b w:val="0"/>
                <w:bCs/>
                <w:szCs w:val="21"/>
                <w:u w:val="none"/>
              </w:rPr>
            </w:pPr>
            <w:r>
              <w:rPr>
                <w:b w:val="0"/>
                <w:bCs/>
                <w:szCs w:val="21"/>
                <w:u w:val="none"/>
              </w:rPr>
              <w:t>229</w:t>
            </w:r>
          </w:p>
        </w:tc>
        <w:tc>
          <w:tcPr>
            <w:tcW w:w="3368" w:type="dxa"/>
            <w:vAlign w:val="center"/>
          </w:tcPr>
          <w:p>
            <w:pPr>
              <w:jc w:val="center"/>
              <w:rPr>
                <w:b w:val="0"/>
                <w:bCs/>
                <w:szCs w:val="21"/>
                <w:u w:val="none"/>
              </w:rPr>
            </w:pPr>
            <w:r>
              <w:rPr>
                <w:b w:val="0"/>
                <w:bCs/>
                <w:szCs w:val="21"/>
                <w:u w:val="none"/>
              </w:rPr>
              <w:t>10%玻璃破碎</w:t>
            </w:r>
          </w:p>
        </w:tc>
        <w:tc>
          <w:tcPr>
            <w:tcW w:w="3438" w:type="dxa"/>
            <w:vAlign w:val="center"/>
          </w:tcPr>
          <w:p>
            <w:pPr>
              <w:jc w:val="center"/>
              <w:rPr>
                <w:b w:val="0"/>
                <w:bCs/>
                <w:szCs w:val="21"/>
                <w:u w:val="none"/>
              </w:rPr>
            </w:pPr>
          </w:p>
        </w:tc>
      </w:tr>
    </w:tbl>
    <w:p>
      <w:pPr>
        <w:spacing w:line="520" w:lineRule="exact"/>
        <w:ind w:firstLine="480" w:firstLineChars="200"/>
        <w:rPr>
          <w:b w:val="0"/>
          <w:bCs/>
          <w:sz w:val="24"/>
          <w:u w:val="none"/>
        </w:rPr>
      </w:pPr>
      <w:r>
        <w:rPr>
          <w:b w:val="0"/>
          <w:bCs/>
          <w:sz w:val="24"/>
          <w:u w:val="none"/>
        </w:rPr>
        <w:t>根据场区平面图可知，</w:t>
      </w:r>
      <w:r>
        <w:rPr>
          <w:rFonts w:hint="eastAsia"/>
          <w:b w:val="0"/>
          <w:bCs/>
          <w:sz w:val="24"/>
          <w:u w:val="none"/>
          <w:lang w:eastAsia="zh-CN"/>
        </w:rPr>
        <w:t>黑膜</w:t>
      </w:r>
      <w:r>
        <w:rPr>
          <w:b w:val="0"/>
          <w:bCs/>
          <w:sz w:val="24"/>
          <w:u w:val="none"/>
        </w:rPr>
        <w:t>沼气池与最近猪舍的距离为50m，因此沼气爆炸时对猪舍的影响危害等级处于A和B级之间因此沼气爆炸对猪舍的影响主要为对建筑物外表及部分设备造成破坏，对猪只的影响主要是巨大的爆炸声对猪只耳膜的损害及抛射物砸伤，而且猪只受到惊吓可能会引起相互踩踏至伤、至死。此外，</w:t>
      </w:r>
      <w:r>
        <w:rPr>
          <w:rFonts w:hint="eastAsia"/>
          <w:b w:val="0"/>
          <w:bCs/>
          <w:sz w:val="24"/>
          <w:u w:val="none"/>
          <w:lang w:eastAsia="zh-CN"/>
        </w:rPr>
        <w:t>黑膜</w:t>
      </w:r>
      <w:r>
        <w:rPr>
          <w:b w:val="0"/>
          <w:bCs/>
          <w:sz w:val="24"/>
          <w:u w:val="none"/>
        </w:rPr>
        <w:t>沼气池与最近生活管理区相距</w:t>
      </w:r>
      <w:r>
        <w:rPr>
          <w:rFonts w:hint="eastAsia"/>
          <w:b w:val="0"/>
          <w:bCs/>
          <w:sz w:val="24"/>
          <w:u w:val="none"/>
          <w:lang w:val="en-US" w:eastAsia="zh-CN"/>
        </w:rPr>
        <w:t>100</w:t>
      </w:r>
      <w:r>
        <w:rPr>
          <w:b w:val="0"/>
          <w:bCs/>
          <w:sz w:val="24"/>
          <w:u w:val="none"/>
        </w:rPr>
        <w:t>m，对人不会造成伤害。</w:t>
      </w:r>
    </w:p>
    <w:p>
      <w:pPr>
        <w:tabs>
          <w:tab w:val="right" w:leader="dot" w:pos="8647"/>
        </w:tabs>
        <w:adjustRightInd w:val="0"/>
        <w:snapToGrid w:val="0"/>
        <w:spacing w:line="500" w:lineRule="exact"/>
        <w:rPr>
          <w:b w:val="0"/>
          <w:bCs/>
          <w:kern w:val="0"/>
          <w:sz w:val="24"/>
          <w:u w:val="none"/>
        </w:rPr>
      </w:pPr>
      <w:r>
        <w:rPr>
          <w:rFonts w:hint="eastAsia"/>
          <w:b w:val="0"/>
          <w:bCs/>
          <w:color w:val="000000"/>
          <w:sz w:val="24"/>
          <w:u w:val="none"/>
          <w:lang w:val="en-US" w:eastAsia="zh-CN"/>
        </w:rPr>
        <w:t>4</w:t>
      </w:r>
      <w:r>
        <w:rPr>
          <w:b w:val="0"/>
          <w:bCs/>
          <w:color w:val="000000"/>
          <w:sz w:val="24"/>
          <w:u w:val="none"/>
        </w:rPr>
        <w:t>.2.7.</w:t>
      </w:r>
      <w:r>
        <w:rPr>
          <w:rFonts w:hint="eastAsia"/>
          <w:b w:val="0"/>
          <w:bCs/>
          <w:color w:val="000000"/>
          <w:sz w:val="24"/>
          <w:u w:val="none"/>
        </w:rPr>
        <w:t>4</w:t>
      </w:r>
      <w:r>
        <w:rPr>
          <w:b w:val="0"/>
          <w:bCs/>
          <w:color w:val="000000"/>
          <w:sz w:val="24"/>
          <w:u w:val="none"/>
        </w:rPr>
        <w:t>最大可信事故</w:t>
      </w:r>
    </w:p>
    <w:p>
      <w:pPr>
        <w:spacing w:line="520" w:lineRule="exact"/>
        <w:ind w:firstLine="480" w:firstLineChars="200"/>
        <w:rPr>
          <w:b w:val="0"/>
          <w:bCs/>
          <w:sz w:val="24"/>
          <w:u w:val="none"/>
        </w:rPr>
      </w:pPr>
      <w:r>
        <w:rPr>
          <w:b w:val="0"/>
          <w:bCs/>
          <w:sz w:val="24"/>
          <w:u w:val="none"/>
        </w:rPr>
        <w:t>本项目最大风险源为</w:t>
      </w:r>
      <w:r>
        <w:rPr>
          <w:rFonts w:hint="eastAsia"/>
          <w:b w:val="0"/>
          <w:bCs/>
          <w:sz w:val="24"/>
          <w:u w:val="none"/>
          <w:lang w:eastAsia="zh-CN"/>
        </w:rPr>
        <w:t>黑膜</w:t>
      </w:r>
      <w:r>
        <w:rPr>
          <w:b w:val="0"/>
          <w:bCs/>
          <w:sz w:val="24"/>
          <w:u w:val="none"/>
        </w:rPr>
        <w:t>沼气池、运输管线，最易燃易爆的物质是CH</w:t>
      </w:r>
      <w:r>
        <w:rPr>
          <w:b w:val="0"/>
          <w:bCs/>
          <w:sz w:val="24"/>
          <w:u w:val="none"/>
          <w:vertAlign w:val="subscript"/>
        </w:rPr>
        <w:t>4</w:t>
      </w:r>
      <w:r>
        <w:rPr>
          <w:b w:val="0"/>
          <w:bCs/>
          <w:sz w:val="24"/>
          <w:u w:val="none"/>
        </w:rPr>
        <w:t>，由于沼气中不含有毒有害物质，硫化氢含量经过脱硫</w:t>
      </w:r>
      <w:r>
        <w:rPr>
          <w:rFonts w:hint="eastAsia"/>
          <w:b w:val="0"/>
          <w:bCs/>
          <w:sz w:val="24"/>
          <w:u w:val="none"/>
        </w:rPr>
        <w:t>器</w:t>
      </w:r>
      <w:r>
        <w:rPr>
          <w:b w:val="0"/>
          <w:bCs/>
          <w:sz w:val="24"/>
          <w:u w:val="none"/>
        </w:rPr>
        <w:t>处理后，沼气燃烧后的主要产物为CO</w:t>
      </w:r>
      <w:r>
        <w:rPr>
          <w:b w:val="0"/>
          <w:bCs/>
          <w:sz w:val="24"/>
          <w:u w:val="none"/>
          <w:vertAlign w:val="subscript"/>
        </w:rPr>
        <w:t>2</w:t>
      </w:r>
      <w:r>
        <w:rPr>
          <w:b w:val="0"/>
          <w:bCs/>
          <w:sz w:val="24"/>
          <w:u w:val="none"/>
        </w:rPr>
        <w:t>，故主要风险类型为火灾、爆炸。因此本项目最大可信事故定为火灾和爆炸。</w:t>
      </w:r>
    </w:p>
    <w:p>
      <w:pPr>
        <w:spacing w:line="520" w:lineRule="exact"/>
        <w:ind w:firstLine="480" w:firstLineChars="200"/>
        <w:rPr>
          <w:b w:val="0"/>
          <w:bCs/>
          <w:sz w:val="24"/>
          <w:u w:val="none"/>
        </w:rPr>
      </w:pPr>
      <w:r>
        <w:rPr>
          <w:b w:val="0"/>
          <w:bCs/>
          <w:sz w:val="24"/>
          <w:u w:val="none"/>
        </w:rPr>
        <w:t>发生火灾、爆炸的原因及概率主要有以下几个方面：</w:t>
      </w:r>
    </w:p>
    <w:p>
      <w:pPr>
        <w:spacing w:line="520" w:lineRule="exact"/>
        <w:ind w:firstLine="480" w:firstLineChars="200"/>
        <w:rPr>
          <w:b w:val="0"/>
          <w:bCs/>
          <w:sz w:val="24"/>
          <w:u w:val="none"/>
        </w:rPr>
      </w:pPr>
      <w:r>
        <w:rPr>
          <w:b w:val="0"/>
          <w:bCs/>
          <w:sz w:val="24"/>
          <w:u w:val="none"/>
        </w:rPr>
        <w:t>（1）阀门、泵、仪表管道、</w:t>
      </w:r>
      <w:r>
        <w:rPr>
          <w:rFonts w:hint="eastAsia"/>
          <w:b w:val="0"/>
          <w:bCs/>
          <w:sz w:val="24"/>
          <w:u w:val="none"/>
          <w:lang w:eastAsia="zh-CN"/>
        </w:rPr>
        <w:t>黑膜</w:t>
      </w:r>
      <w:r>
        <w:rPr>
          <w:b w:val="0"/>
          <w:bCs/>
          <w:sz w:val="24"/>
          <w:u w:val="none"/>
        </w:rPr>
        <w:t>沼气池破裂、垫片、螺栓等的损坏引起物料泄漏，遇上明火而发生火灾爆炸，这类原因占火灾爆炸事故发生原因的66.0%；</w:t>
      </w:r>
    </w:p>
    <w:p>
      <w:pPr>
        <w:spacing w:line="520" w:lineRule="exact"/>
        <w:ind w:firstLine="480" w:firstLineChars="200"/>
        <w:rPr>
          <w:b w:val="0"/>
          <w:bCs/>
          <w:sz w:val="24"/>
          <w:u w:val="none"/>
        </w:rPr>
      </w:pPr>
      <w:r>
        <w:rPr>
          <w:b w:val="0"/>
          <w:bCs/>
          <w:sz w:val="24"/>
          <w:u w:val="none"/>
        </w:rPr>
        <w:t>（2）由于接地保护装置出现问题导致积累的静电荷不能释放而引起火灾爆炸，这类原因占火灾爆炸事故发生原因的8.0%；</w:t>
      </w:r>
    </w:p>
    <w:p>
      <w:pPr>
        <w:spacing w:line="520" w:lineRule="exact"/>
        <w:ind w:firstLine="480" w:firstLineChars="200"/>
        <w:rPr>
          <w:b w:val="0"/>
          <w:bCs/>
          <w:sz w:val="24"/>
          <w:u w:val="none"/>
        </w:rPr>
      </w:pPr>
      <w:r>
        <w:rPr>
          <w:b w:val="0"/>
          <w:bCs/>
          <w:sz w:val="24"/>
          <w:u w:val="none"/>
        </w:rPr>
        <w:t>（3）泵等设备在运行发生短路产生电火花，引起火灾爆炸，这类原因占火灾爆炸事故发生原因的13.0%；</w:t>
      </w:r>
    </w:p>
    <w:p>
      <w:pPr>
        <w:spacing w:line="520" w:lineRule="exact"/>
        <w:ind w:firstLine="480" w:firstLineChars="200"/>
        <w:rPr>
          <w:b w:val="0"/>
          <w:bCs/>
          <w:sz w:val="24"/>
          <w:u w:val="none"/>
        </w:rPr>
      </w:pPr>
      <w:r>
        <w:rPr>
          <w:b w:val="0"/>
          <w:bCs/>
          <w:sz w:val="24"/>
          <w:u w:val="none"/>
        </w:rPr>
        <w:t>（4）由于雷击而发生火灾爆炸，这类原因占火灾爆炸事故发生原因的4.0%；</w:t>
      </w:r>
    </w:p>
    <w:p>
      <w:pPr>
        <w:spacing w:line="520" w:lineRule="exact"/>
        <w:ind w:firstLine="480" w:firstLineChars="200"/>
        <w:rPr>
          <w:b w:val="0"/>
          <w:bCs/>
          <w:color w:val="000000"/>
          <w:sz w:val="24"/>
          <w:u w:val="none"/>
        </w:rPr>
      </w:pPr>
      <w:r>
        <w:rPr>
          <w:b w:val="0"/>
          <w:bCs/>
          <w:sz w:val="24"/>
          <w:u w:val="none"/>
        </w:rPr>
        <w:t>（5）由于其它原因而发生火灾爆炸，这类原因占火灾爆炸事故发生原因的9%。</w:t>
      </w:r>
    </w:p>
    <w:p>
      <w:pPr>
        <w:tabs>
          <w:tab w:val="right" w:leader="dot" w:pos="8647"/>
        </w:tabs>
        <w:adjustRightInd w:val="0"/>
        <w:snapToGrid w:val="0"/>
        <w:spacing w:line="500" w:lineRule="exact"/>
        <w:rPr>
          <w:b w:val="0"/>
          <w:bCs/>
          <w:color w:val="000000"/>
          <w:sz w:val="24"/>
          <w:u w:val="none"/>
        </w:rPr>
      </w:pPr>
      <w:bookmarkStart w:id="266" w:name="_Toc3704"/>
      <w:bookmarkStart w:id="267" w:name="_Toc802"/>
      <w:bookmarkStart w:id="268" w:name="_Toc445457746"/>
      <w:r>
        <w:rPr>
          <w:rFonts w:hint="eastAsia"/>
          <w:b w:val="0"/>
          <w:bCs/>
          <w:color w:val="000000"/>
          <w:sz w:val="24"/>
          <w:u w:val="none"/>
          <w:lang w:val="en-US" w:eastAsia="zh-CN"/>
        </w:rPr>
        <w:t>4</w:t>
      </w:r>
      <w:r>
        <w:rPr>
          <w:b w:val="0"/>
          <w:bCs/>
          <w:color w:val="000000"/>
          <w:sz w:val="24"/>
          <w:u w:val="none"/>
        </w:rPr>
        <w:t>.2.7.</w:t>
      </w:r>
      <w:r>
        <w:rPr>
          <w:rFonts w:hint="eastAsia"/>
          <w:b w:val="0"/>
          <w:bCs/>
          <w:color w:val="000000"/>
          <w:sz w:val="24"/>
          <w:u w:val="none"/>
        </w:rPr>
        <w:t>5</w:t>
      </w:r>
      <w:r>
        <w:rPr>
          <w:b w:val="0"/>
          <w:bCs/>
          <w:color w:val="000000"/>
          <w:sz w:val="24"/>
          <w:u w:val="none"/>
        </w:rPr>
        <w:t xml:space="preserve"> 环境敏感点调查</w:t>
      </w:r>
      <w:bookmarkEnd w:id="266"/>
      <w:bookmarkEnd w:id="267"/>
      <w:bookmarkEnd w:id="268"/>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1、</w:t>
      </w:r>
      <w:r>
        <w:rPr>
          <w:rFonts w:hint="eastAsia"/>
          <w:b w:val="0"/>
          <w:bCs/>
          <w:color w:val="000000"/>
          <w:sz w:val="24"/>
          <w:u w:val="none"/>
        </w:rPr>
        <w:t>大气环境风险评价范围</w:t>
      </w:r>
    </w:p>
    <w:p>
      <w:pPr>
        <w:spacing w:line="500" w:lineRule="exact"/>
        <w:ind w:firstLine="480" w:firstLineChars="200"/>
        <w:rPr>
          <w:b w:val="0"/>
          <w:bCs/>
          <w:color w:val="000000"/>
          <w:sz w:val="24"/>
          <w:u w:val="none"/>
        </w:rPr>
      </w:pPr>
      <w:r>
        <w:rPr>
          <w:rFonts w:hint="eastAsia"/>
          <w:b w:val="0"/>
          <w:bCs/>
          <w:sz w:val="24"/>
          <w:szCs w:val="28"/>
          <w:u w:val="none"/>
        </w:rPr>
        <w:t>根据本项目评价等级</w:t>
      </w:r>
      <w:r>
        <w:rPr>
          <w:b w:val="0"/>
          <w:bCs/>
          <w:sz w:val="24"/>
          <w:szCs w:val="28"/>
          <w:u w:val="none"/>
        </w:rPr>
        <w:t>确定本项目风险评价范围为距</w:t>
      </w:r>
      <w:r>
        <w:rPr>
          <w:rFonts w:hint="eastAsia"/>
          <w:b w:val="0"/>
          <w:bCs/>
          <w:sz w:val="24"/>
          <w:szCs w:val="28"/>
          <w:u w:val="none"/>
        </w:rPr>
        <w:t>建设项目边界</w:t>
      </w:r>
      <w:r>
        <w:rPr>
          <w:rFonts w:hint="eastAsia"/>
          <w:b w:val="0"/>
          <w:bCs/>
          <w:sz w:val="24"/>
          <w:szCs w:val="28"/>
          <w:u w:val="none"/>
          <w:lang w:val="en-US" w:eastAsia="zh-CN"/>
        </w:rPr>
        <w:t>5</w:t>
      </w:r>
      <w:r>
        <w:rPr>
          <w:rFonts w:hint="eastAsia"/>
          <w:b w:val="0"/>
          <w:bCs/>
          <w:sz w:val="24"/>
          <w:szCs w:val="28"/>
          <w:u w:val="none"/>
        </w:rPr>
        <w:t>km</w:t>
      </w:r>
      <w:r>
        <w:rPr>
          <w:b w:val="0"/>
          <w:bCs/>
          <w:sz w:val="24"/>
          <w:szCs w:val="28"/>
          <w:u w:val="none"/>
        </w:rPr>
        <w:t>区域范围，本项目周边</w:t>
      </w:r>
      <w:r>
        <w:rPr>
          <w:rFonts w:hint="eastAsia"/>
          <w:b w:val="0"/>
          <w:bCs/>
          <w:sz w:val="24"/>
          <w:szCs w:val="28"/>
          <w:u w:val="none"/>
        </w:rPr>
        <w:t>3</w:t>
      </w:r>
      <w:r>
        <w:rPr>
          <w:b w:val="0"/>
          <w:bCs/>
          <w:sz w:val="24"/>
          <w:szCs w:val="28"/>
          <w:u w:val="none"/>
        </w:rPr>
        <w:t>km 范围内环境敏感点情况见</w:t>
      </w:r>
      <w:r>
        <w:rPr>
          <w:rFonts w:hint="eastAsia"/>
          <w:b w:val="0"/>
          <w:bCs/>
          <w:sz w:val="24"/>
          <w:szCs w:val="28"/>
          <w:u w:val="none"/>
        </w:rPr>
        <w:t>表</w:t>
      </w:r>
      <w:r>
        <w:rPr>
          <w:rFonts w:hint="eastAsia"/>
          <w:b w:val="0"/>
          <w:bCs/>
          <w:sz w:val="24"/>
          <w:u w:val="none"/>
          <w:lang w:val="en-US" w:eastAsia="zh-CN"/>
        </w:rPr>
        <w:t>4.2-24</w:t>
      </w:r>
      <w:r>
        <w:rPr>
          <w:rFonts w:hint="eastAsia"/>
          <w:b w:val="0"/>
          <w:bCs/>
          <w:sz w:val="24"/>
          <w:u w:val="none"/>
        </w:rPr>
        <w:t>。</w:t>
      </w:r>
    </w:p>
    <w:p>
      <w:pPr>
        <w:topLinePunct/>
        <w:adjustRightInd w:val="0"/>
        <w:snapToGrid w:val="0"/>
        <w:spacing w:line="500" w:lineRule="exact"/>
        <w:jc w:val="center"/>
        <w:rPr>
          <w:b/>
          <w:bCs w:val="0"/>
          <w:color w:val="000000"/>
          <w:sz w:val="24"/>
          <w:szCs w:val="24"/>
          <w:u w:val="none"/>
        </w:rPr>
      </w:pPr>
      <w:r>
        <w:rPr>
          <w:b/>
          <w:bCs w:val="0"/>
          <w:color w:val="000000"/>
          <w:sz w:val="24"/>
          <w:szCs w:val="24"/>
          <w:u w:val="none"/>
        </w:rPr>
        <w:t>表</w:t>
      </w:r>
      <w:r>
        <w:rPr>
          <w:rFonts w:hint="eastAsia"/>
          <w:b/>
          <w:bCs w:val="0"/>
          <w:color w:val="000000"/>
          <w:sz w:val="24"/>
          <w:szCs w:val="24"/>
          <w:u w:val="none"/>
          <w:lang w:val="en-US" w:eastAsia="zh-CN"/>
        </w:rPr>
        <w:t>4.2-24</w:t>
      </w:r>
      <w:r>
        <w:rPr>
          <w:b/>
          <w:bCs w:val="0"/>
          <w:color w:val="000000"/>
          <w:sz w:val="24"/>
          <w:szCs w:val="24"/>
          <w:u w:val="none"/>
        </w:rPr>
        <w:t xml:space="preserve">   本项目周边</w:t>
      </w:r>
      <w:r>
        <w:rPr>
          <w:rFonts w:hint="eastAsia"/>
          <w:b/>
          <w:bCs w:val="0"/>
          <w:color w:val="000000"/>
          <w:sz w:val="24"/>
          <w:szCs w:val="24"/>
          <w:u w:val="none"/>
          <w:lang w:val="en-US" w:eastAsia="zh-CN"/>
        </w:rPr>
        <w:t>5</w:t>
      </w:r>
      <w:r>
        <w:rPr>
          <w:b/>
          <w:bCs w:val="0"/>
          <w:color w:val="000000"/>
          <w:sz w:val="24"/>
          <w:szCs w:val="24"/>
          <w:u w:val="none"/>
        </w:rPr>
        <w:t>km范围内环境敏感点情况调查表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700"/>
        <w:gridCol w:w="1737"/>
        <w:gridCol w:w="905"/>
        <w:gridCol w:w="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2700" w:type="dxa"/>
            <w:vAlign w:val="center"/>
          </w:tcPr>
          <w:p>
            <w:pPr>
              <w:spacing w:line="320" w:lineRule="exact"/>
              <w:jc w:val="center"/>
              <w:rPr>
                <w:b w:val="0"/>
                <w:bCs/>
                <w:szCs w:val="21"/>
                <w:u w:val="none"/>
              </w:rPr>
            </w:pPr>
            <w:r>
              <w:rPr>
                <w:b w:val="0"/>
                <w:bCs/>
                <w:szCs w:val="21"/>
                <w:u w:val="none"/>
              </w:rPr>
              <w:t>环境保护对象名称</w:t>
            </w:r>
          </w:p>
        </w:tc>
        <w:tc>
          <w:tcPr>
            <w:tcW w:w="2700" w:type="dxa"/>
            <w:vAlign w:val="center"/>
          </w:tcPr>
          <w:p>
            <w:pPr>
              <w:spacing w:line="320" w:lineRule="exact"/>
              <w:jc w:val="center"/>
              <w:rPr>
                <w:b w:val="0"/>
                <w:bCs/>
                <w:szCs w:val="21"/>
                <w:u w:val="none"/>
              </w:rPr>
            </w:pPr>
            <w:r>
              <w:rPr>
                <w:b w:val="0"/>
                <w:bCs/>
                <w:szCs w:val="21"/>
                <w:u w:val="none"/>
              </w:rPr>
              <w:t>与养殖场相对方位</w:t>
            </w:r>
          </w:p>
        </w:tc>
        <w:tc>
          <w:tcPr>
            <w:tcW w:w="1737" w:type="dxa"/>
            <w:vAlign w:val="center"/>
          </w:tcPr>
          <w:p>
            <w:pPr>
              <w:spacing w:line="320" w:lineRule="exact"/>
              <w:jc w:val="center"/>
              <w:rPr>
                <w:b w:val="0"/>
                <w:bCs/>
                <w:szCs w:val="21"/>
                <w:u w:val="none"/>
              </w:rPr>
            </w:pPr>
            <w:r>
              <w:rPr>
                <w:b w:val="0"/>
                <w:bCs/>
                <w:szCs w:val="21"/>
                <w:u w:val="none"/>
              </w:rPr>
              <w:t>距离（m）</w:t>
            </w:r>
          </w:p>
        </w:tc>
        <w:tc>
          <w:tcPr>
            <w:tcW w:w="905" w:type="dxa"/>
            <w:vAlign w:val="center"/>
          </w:tcPr>
          <w:p>
            <w:pPr>
              <w:spacing w:line="320" w:lineRule="exact"/>
              <w:jc w:val="center"/>
              <w:rPr>
                <w:b w:val="0"/>
                <w:bCs/>
                <w:szCs w:val="21"/>
                <w:u w:val="none"/>
              </w:rPr>
            </w:pPr>
            <w:r>
              <w:rPr>
                <w:b w:val="0"/>
                <w:bCs/>
                <w:szCs w:val="21"/>
                <w:u w:val="none"/>
              </w:rPr>
              <w:t>人口</w:t>
            </w:r>
          </w:p>
        </w:tc>
        <w:tc>
          <w:tcPr>
            <w:tcW w:w="904" w:type="dxa"/>
            <w:vAlign w:val="center"/>
          </w:tcPr>
          <w:p>
            <w:pPr>
              <w:spacing w:line="320" w:lineRule="exact"/>
              <w:jc w:val="center"/>
              <w:rPr>
                <w:b w:val="0"/>
                <w:bCs/>
                <w:szCs w:val="21"/>
                <w:u w:val="none"/>
              </w:rPr>
            </w:pPr>
            <w:r>
              <w:rPr>
                <w:b w:val="0"/>
                <w:bCs/>
                <w:szCs w:val="21"/>
                <w:u w:val="none"/>
              </w:rPr>
              <w:t>户数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姜庄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W</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620</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60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前周庄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E</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501</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70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西吴楼</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E</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1000</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35</w:t>
            </w:r>
          </w:p>
        </w:tc>
        <w:tc>
          <w:tcPr>
            <w:tcW w:w="904"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83"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新张庄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W</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1220</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40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小鲁庄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SW</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1252</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80</w:t>
            </w:r>
          </w:p>
        </w:tc>
        <w:tc>
          <w:tcPr>
            <w:tcW w:w="904"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后余庄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SW</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1030</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70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董庄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SE</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1397</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40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贺庄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N</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1377</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50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皮庄</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NW</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1750</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45</w:t>
            </w:r>
          </w:p>
        </w:tc>
        <w:tc>
          <w:tcPr>
            <w:tcW w:w="904"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段围孜</w:t>
            </w:r>
          </w:p>
        </w:tc>
        <w:tc>
          <w:tcPr>
            <w:tcW w:w="2700"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NW</w:t>
            </w:r>
          </w:p>
        </w:tc>
        <w:tc>
          <w:tcPr>
            <w:tcW w:w="1737" w:type="dxa"/>
            <w:vAlign w:val="center"/>
          </w:tcPr>
          <w:p>
            <w:pPr>
              <w:widowControl/>
              <w:spacing w:line="320" w:lineRule="exact"/>
              <w:jc w:val="center"/>
              <w:textAlignment w:val="center"/>
              <w:rPr>
                <w:b w:val="0"/>
                <w:bCs/>
                <w:color w:val="000000"/>
                <w:sz w:val="22"/>
                <w:szCs w:val="22"/>
                <w:u w:val="none"/>
              </w:rPr>
            </w:pPr>
            <w:r>
              <w:rPr>
                <w:rFonts w:hint="eastAsia"/>
                <w:b w:val="0"/>
                <w:bCs w:val="0"/>
                <w:color w:val="000000"/>
                <w:sz w:val="22"/>
                <w:szCs w:val="22"/>
                <w:u w:val="none"/>
                <w:lang w:val="en-US" w:eastAsia="zh-CN"/>
              </w:rPr>
              <w:t>1888</w:t>
            </w:r>
          </w:p>
        </w:tc>
        <w:tc>
          <w:tcPr>
            <w:tcW w:w="905"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100</w:t>
            </w:r>
          </w:p>
        </w:tc>
        <w:tc>
          <w:tcPr>
            <w:tcW w:w="904" w:type="dxa"/>
            <w:vAlign w:val="center"/>
          </w:tcPr>
          <w:p>
            <w:pPr>
              <w:widowControl/>
              <w:spacing w:line="320" w:lineRule="exact"/>
              <w:jc w:val="center"/>
              <w:textAlignment w:val="center"/>
              <w:rPr>
                <w:b w:val="0"/>
                <w:bCs/>
                <w:color w:val="000000"/>
                <w:szCs w:val="21"/>
                <w:u w:val="none"/>
              </w:rPr>
            </w:pPr>
            <w:r>
              <w:rPr>
                <w:rFonts w:hint="eastAsia"/>
                <w:b w:val="0"/>
                <w:bCs w:val="0"/>
                <w:color w:val="000000"/>
                <w:szCs w:val="21"/>
                <w:u w:val="none"/>
                <w:lang w:val="en-US" w:eastAsia="zh-CN"/>
              </w:rPr>
              <w:t>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老王庄村</w:t>
            </w:r>
          </w:p>
        </w:tc>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NW</w:t>
            </w:r>
          </w:p>
        </w:tc>
        <w:tc>
          <w:tcPr>
            <w:tcW w:w="1737"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3492</w:t>
            </w:r>
          </w:p>
        </w:tc>
        <w:tc>
          <w:tcPr>
            <w:tcW w:w="905"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80</w:t>
            </w:r>
          </w:p>
        </w:tc>
        <w:tc>
          <w:tcPr>
            <w:tcW w:w="904"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油坊店乡</w:t>
            </w:r>
          </w:p>
        </w:tc>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NE</w:t>
            </w:r>
          </w:p>
        </w:tc>
        <w:tc>
          <w:tcPr>
            <w:tcW w:w="1737"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4538</w:t>
            </w:r>
          </w:p>
        </w:tc>
        <w:tc>
          <w:tcPr>
            <w:tcW w:w="905"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1000</w:t>
            </w:r>
          </w:p>
        </w:tc>
        <w:tc>
          <w:tcPr>
            <w:tcW w:w="904"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北大张庄</w:t>
            </w:r>
          </w:p>
        </w:tc>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S</w:t>
            </w:r>
          </w:p>
        </w:tc>
        <w:tc>
          <w:tcPr>
            <w:tcW w:w="1737"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3600</w:t>
            </w:r>
          </w:p>
        </w:tc>
        <w:tc>
          <w:tcPr>
            <w:tcW w:w="905"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70</w:t>
            </w:r>
          </w:p>
        </w:tc>
        <w:tc>
          <w:tcPr>
            <w:tcW w:w="904"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熊李庄村</w:t>
            </w:r>
          </w:p>
        </w:tc>
        <w:tc>
          <w:tcPr>
            <w:tcW w:w="2700"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SW</w:t>
            </w:r>
          </w:p>
        </w:tc>
        <w:tc>
          <w:tcPr>
            <w:tcW w:w="1737"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 w:val="22"/>
                <w:szCs w:val="22"/>
                <w:u w:val="none"/>
                <w:lang w:val="en-US" w:eastAsia="zh-CN"/>
              </w:rPr>
              <w:t>3097</w:t>
            </w:r>
          </w:p>
        </w:tc>
        <w:tc>
          <w:tcPr>
            <w:tcW w:w="905"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60</w:t>
            </w:r>
          </w:p>
        </w:tc>
        <w:tc>
          <w:tcPr>
            <w:tcW w:w="904" w:type="dxa"/>
            <w:vAlign w:val="center"/>
          </w:tcPr>
          <w:p>
            <w:pPr>
              <w:widowControl/>
              <w:spacing w:line="320" w:lineRule="exact"/>
              <w:jc w:val="center"/>
              <w:textAlignment w:val="center"/>
              <w:rPr>
                <w:rFonts w:hint="eastAsia"/>
                <w:b w:val="0"/>
                <w:bCs w:val="0"/>
                <w:color w:val="000000"/>
                <w:sz w:val="21"/>
                <w:szCs w:val="21"/>
                <w:u w:val="none"/>
                <w:lang w:val="en-US" w:eastAsia="zh-CN"/>
              </w:rPr>
            </w:pPr>
            <w:r>
              <w:rPr>
                <w:rFonts w:hint="eastAsia"/>
                <w:b w:val="0"/>
                <w:bCs w:val="0"/>
                <w:color w:val="000000"/>
                <w:szCs w:val="21"/>
                <w:u w:val="none"/>
                <w:lang w:val="en-US" w:eastAsia="zh-CN"/>
              </w:rPr>
              <w:t>240</w:t>
            </w:r>
          </w:p>
        </w:tc>
      </w:tr>
    </w:tbl>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2、</w:t>
      </w:r>
      <w:r>
        <w:rPr>
          <w:rFonts w:hint="eastAsia"/>
          <w:b w:val="0"/>
          <w:bCs/>
          <w:color w:val="000000"/>
          <w:sz w:val="24"/>
          <w:u w:val="none"/>
        </w:rPr>
        <w:t>地表水环境风险评价范围</w:t>
      </w:r>
    </w:p>
    <w:p>
      <w:pPr>
        <w:spacing w:line="520" w:lineRule="exact"/>
        <w:ind w:firstLine="480" w:firstLineChars="200"/>
        <w:rPr>
          <w:b w:val="0"/>
          <w:bCs/>
          <w:sz w:val="24"/>
          <w:u w:val="none"/>
        </w:rPr>
      </w:pPr>
      <w:r>
        <w:rPr>
          <w:b w:val="0"/>
          <w:bCs/>
          <w:sz w:val="24"/>
          <w:u w:val="none"/>
        </w:rPr>
        <w:t>根据《环境影响评价技术导则—地表水环境》（HJ2.3-2018）表1中所列出的地面水环境影响评价分级判据标准，本项目地表水影响评价等级为三级B。重点针对污水处理综合利用的措施、途径及利用的可行性进行分析。</w:t>
      </w:r>
      <w:r>
        <w:rPr>
          <w:rFonts w:hint="eastAsia"/>
          <w:b w:val="0"/>
          <w:bCs/>
          <w:sz w:val="24"/>
          <w:u w:val="none"/>
        </w:rPr>
        <w:t>评价范围为应满足污水处理设施环境可行性分析的要求。</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3、</w:t>
      </w:r>
      <w:r>
        <w:rPr>
          <w:rFonts w:hint="eastAsia"/>
          <w:b w:val="0"/>
          <w:bCs/>
          <w:color w:val="000000"/>
          <w:sz w:val="24"/>
          <w:u w:val="none"/>
        </w:rPr>
        <w:t>地下水环境风险评价范围</w:t>
      </w:r>
    </w:p>
    <w:p>
      <w:pPr>
        <w:spacing w:line="520" w:lineRule="exact"/>
        <w:ind w:firstLine="480" w:firstLineChars="200"/>
        <w:rPr>
          <w:b w:val="0"/>
          <w:bCs/>
          <w:color w:val="000000"/>
          <w:sz w:val="24"/>
          <w:u w:val="none"/>
        </w:rPr>
      </w:pPr>
      <w:r>
        <w:rPr>
          <w:b w:val="0"/>
          <w:bCs/>
          <w:sz w:val="24"/>
          <w:u w:val="none"/>
        </w:rPr>
        <w:t>按照《环境影响评价技术导则—地下水环境》（HJ610-2016），确定评价等级为三级。</w:t>
      </w:r>
      <w:r>
        <w:rPr>
          <w:b w:val="0"/>
          <w:bCs/>
          <w:sz w:val="24"/>
          <w:u w:val="none"/>
          <w:lang w:val="zh-CN"/>
        </w:rPr>
        <w:t>本项目位于</w:t>
      </w:r>
      <w:r>
        <w:rPr>
          <w:rFonts w:hint="eastAsia"/>
          <w:b w:val="0"/>
          <w:bCs/>
          <w:color w:val="000000" w:themeColor="text1"/>
          <w:sz w:val="24"/>
          <w:u w:val="none"/>
          <w:lang w:val="zh-CN"/>
        </w:rPr>
        <w:t>正阳县</w:t>
      </w:r>
      <w:r>
        <w:rPr>
          <w:rFonts w:hint="eastAsia"/>
          <w:b w:val="0"/>
          <w:bCs/>
          <w:color w:val="000000" w:themeColor="text1"/>
          <w:sz w:val="24"/>
          <w:u w:val="none"/>
          <w:lang w:val="en-US" w:eastAsia="zh-CN"/>
        </w:rPr>
        <w:t>青年农场</w:t>
      </w:r>
      <w:r>
        <w:rPr>
          <w:b w:val="0"/>
          <w:bCs/>
          <w:sz w:val="24"/>
          <w:u w:val="none"/>
          <w:lang w:val="zh-CN"/>
        </w:rPr>
        <w:t>，地下水流向呈西</w:t>
      </w:r>
      <w:r>
        <w:rPr>
          <w:rFonts w:hint="eastAsia"/>
          <w:b w:val="0"/>
          <w:bCs/>
          <w:sz w:val="24"/>
          <w:u w:val="none"/>
          <w:lang w:val="en-US" w:eastAsia="zh-CN"/>
        </w:rPr>
        <w:t>北</w:t>
      </w:r>
      <w:r>
        <w:rPr>
          <w:b w:val="0"/>
          <w:bCs/>
          <w:sz w:val="24"/>
          <w:u w:val="none"/>
          <w:lang w:val="zh-CN"/>
        </w:rPr>
        <w:t>至东</w:t>
      </w:r>
      <w:r>
        <w:rPr>
          <w:rFonts w:hint="eastAsia"/>
          <w:b w:val="0"/>
          <w:bCs/>
          <w:sz w:val="24"/>
          <w:u w:val="none"/>
          <w:lang w:val="en-US" w:eastAsia="zh-CN"/>
        </w:rPr>
        <w:t>南</w:t>
      </w:r>
      <w:r>
        <w:rPr>
          <w:b w:val="0"/>
          <w:bCs/>
          <w:sz w:val="24"/>
          <w:u w:val="none"/>
          <w:lang w:val="zh-CN"/>
        </w:rPr>
        <w:t>方向。</w:t>
      </w:r>
      <w:r>
        <w:rPr>
          <w:b w:val="0"/>
          <w:bCs/>
          <w:sz w:val="24"/>
          <w:u w:val="none"/>
        </w:rPr>
        <w:t>补给形式包括降水入渗、地下水径流和地表水灌溉入渗等，以降水补给为主。深层地下水总体向南运移，补给形式主要接受区外径流补给。地下水类型为浅层含水层（赋存潜水）和深层含水层（赋存承压水</w:t>
      </w:r>
      <w:r>
        <w:rPr>
          <w:rFonts w:hint="eastAsia"/>
          <w:b w:val="0"/>
          <w:bCs/>
          <w:sz w:val="24"/>
          <w:u w:val="none"/>
        </w:rPr>
        <w:t>）。</w:t>
      </w:r>
    </w:p>
    <w:p>
      <w:pPr>
        <w:tabs>
          <w:tab w:val="right" w:leader="dot" w:pos="8647"/>
        </w:tabs>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.2.7.</w:t>
      </w:r>
      <w:r>
        <w:rPr>
          <w:rFonts w:hint="eastAsia"/>
          <w:b w:val="0"/>
          <w:bCs/>
          <w:color w:val="000000"/>
          <w:sz w:val="24"/>
          <w:u w:val="none"/>
        </w:rPr>
        <w:t>6</w:t>
      </w:r>
      <w:r>
        <w:rPr>
          <w:b w:val="0"/>
          <w:bCs/>
          <w:color w:val="000000"/>
          <w:sz w:val="24"/>
          <w:u w:val="none"/>
        </w:rPr>
        <w:t>环境风险防范措施及应急预案</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1、</w:t>
      </w:r>
      <w:r>
        <w:rPr>
          <w:b w:val="0"/>
          <w:bCs/>
          <w:color w:val="000000"/>
          <w:sz w:val="24"/>
          <w:u w:val="none"/>
        </w:rPr>
        <w:t>沼气泄漏预防</w:t>
      </w:r>
    </w:p>
    <w:p>
      <w:pPr>
        <w:spacing w:line="520" w:lineRule="exact"/>
        <w:ind w:firstLine="480" w:firstLineChars="200"/>
        <w:rPr>
          <w:b w:val="0"/>
          <w:bCs/>
          <w:sz w:val="24"/>
          <w:u w:val="none"/>
        </w:rPr>
      </w:pPr>
      <w:r>
        <w:rPr>
          <w:b w:val="0"/>
          <w:bCs/>
          <w:sz w:val="24"/>
          <w:u w:val="none"/>
        </w:rPr>
        <w:t>泄漏事故的防治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pPr>
        <w:spacing w:line="520" w:lineRule="exact"/>
        <w:ind w:firstLine="480" w:firstLineChars="200"/>
        <w:rPr>
          <w:b w:val="0"/>
          <w:bCs/>
          <w:sz w:val="24"/>
          <w:u w:val="none"/>
        </w:rPr>
      </w:pPr>
      <w:r>
        <w:rPr>
          <w:b w:val="0"/>
          <w:bCs/>
          <w:sz w:val="24"/>
          <w:u w:val="none"/>
        </w:rPr>
        <w:fldChar w:fldCharType="begin"/>
      </w:r>
      <w:r>
        <w:rPr>
          <w:b w:val="0"/>
          <w:bCs/>
          <w:sz w:val="24"/>
          <w:u w:val="none"/>
        </w:rPr>
        <w:instrText xml:space="preserve"> </w:instrText>
      </w:r>
      <w:r>
        <w:rPr>
          <w:rFonts w:hint="eastAsia"/>
          <w:b w:val="0"/>
          <w:bCs/>
          <w:sz w:val="24"/>
          <w:u w:val="none"/>
        </w:rPr>
        <w:instrText xml:space="preserve">= 1 \* GB3</w:instrText>
      </w:r>
      <w:r>
        <w:rPr>
          <w:b w:val="0"/>
          <w:bCs/>
          <w:sz w:val="24"/>
          <w:u w:val="none"/>
        </w:rPr>
        <w:instrText xml:space="preserve"> </w:instrText>
      </w:r>
      <w:r>
        <w:rPr>
          <w:b w:val="0"/>
          <w:bCs/>
          <w:sz w:val="24"/>
          <w:u w:val="none"/>
        </w:rPr>
        <w:fldChar w:fldCharType="separate"/>
      </w:r>
      <w:r>
        <w:rPr>
          <w:rFonts w:hint="eastAsia"/>
          <w:b w:val="0"/>
          <w:bCs/>
          <w:sz w:val="24"/>
          <w:u w:val="none"/>
        </w:rPr>
        <w:t>①</w:t>
      </w:r>
      <w:r>
        <w:rPr>
          <w:b w:val="0"/>
          <w:bCs/>
          <w:sz w:val="24"/>
          <w:u w:val="none"/>
        </w:rPr>
        <w:fldChar w:fldCharType="end"/>
      </w:r>
      <w:r>
        <w:rPr>
          <w:rFonts w:hint="eastAsia"/>
          <w:b w:val="0"/>
          <w:bCs/>
          <w:sz w:val="24"/>
          <w:u w:val="none"/>
          <w:lang w:eastAsia="zh-CN"/>
        </w:rPr>
        <w:t>黑膜</w:t>
      </w:r>
      <w:r>
        <w:rPr>
          <w:b w:val="0"/>
          <w:bCs/>
          <w:sz w:val="24"/>
          <w:u w:val="none"/>
        </w:rPr>
        <w:t>沼气池的检查</w:t>
      </w:r>
    </w:p>
    <w:p>
      <w:pPr>
        <w:spacing w:line="520" w:lineRule="exact"/>
        <w:ind w:firstLine="480" w:firstLineChars="200"/>
        <w:rPr>
          <w:b w:val="0"/>
          <w:bCs/>
          <w:sz w:val="24"/>
          <w:u w:val="none"/>
        </w:rPr>
      </w:pPr>
      <w:r>
        <w:rPr>
          <w:rFonts w:hint="eastAsia"/>
          <w:b w:val="0"/>
          <w:bCs/>
          <w:sz w:val="24"/>
          <w:u w:val="none"/>
          <w:lang w:eastAsia="zh-CN"/>
        </w:rPr>
        <w:t>黑膜</w:t>
      </w:r>
      <w:r>
        <w:rPr>
          <w:b w:val="0"/>
          <w:bCs/>
          <w:sz w:val="24"/>
          <w:u w:val="none"/>
        </w:rPr>
        <w:t>沼气池、管线进行适当的整体试验、外观检查或非破坏性的测厚检查、射线探伤，检查记录应存档备查。定期对</w:t>
      </w:r>
      <w:r>
        <w:rPr>
          <w:rFonts w:hint="eastAsia"/>
          <w:b w:val="0"/>
          <w:bCs/>
          <w:sz w:val="24"/>
          <w:u w:val="none"/>
          <w:lang w:eastAsia="zh-CN"/>
        </w:rPr>
        <w:t>黑膜</w:t>
      </w:r>
      <w:r>
        <w:rPr>
          <w:b w:val="0"/>
          <w:bCs/>
          <w:sz w:val="24"/>
          <w:u w:val="none"/>
        </w:rPr>
        <w:t>沼气池外部检查，及时发现破损和漏处。</w:t>
      </w:r>
    </w:p>
    <w:p>
      <w:pPr>
        <w:spacing w:line="520" w:lineRule="exact"/>
        <w:ind w:firstLine="480" w:firstLineChars="200"/>
        <w:rPr>
          <w:b w:val="0"/>
          <w:bCs/>
          <w:sz w:val="24"/>
          <w:u w:val="none"/>
        </w:rPr>
      </w:pPr>
      <w:r>
        <w:rPr>
          <w:rFonts w:ascii="宋体" w:hAnsi="宋体" w:cs="宋体"/>
          <w:b w:val="0"/>
          <w:bCs/>
          <w:sz w:val="24"/>
          <w:u w:val="none"/>
        </w:rPr>
        <w:fldChar w:fldCharType="begin"/>
      </w:r>
      <w:r>
        <w:rPr>
          <w:rFonts w:ascii="宋体" w:hAnsi="宋体" w:cs="宋体"/>
          <w:b w:val="0"/>
          <w:bCs/>
          <w:sz w:val="24"/>
          <w:u w:val="none"/>
        </w:rPr>
        <w:instrText xml:space="preserve"> </w:instrText>
      </w:r>
      <w:r>
        <w:rPr>
          <w:rFonts w:hint="eastAsia" w:ascii="宋体" w:hAnsi="宋体" w:cs="宋体"/>
          <w:b w:val="0"/>
          <w:bCs/>
          <w:sz w:val="24"/>
          <w:u w:val="none"/>
        </w:rPr>
        <w:instrText xml:space="preserve">= 2 \* GB3</w:instrText>
      </w:r>
      <w:r>
        <w:rPr>
          <w:rFonts w:ascii="宋体" w:hAnsi="宋体" w:cs="宋体"/>
          <w:b w:val="0"/>
          <w:bCs/>
          <w:sz w:val="24"/>
          <w:u w:val="none"/>
        </w:rPr>
        <w:instrText xml:space="preserve"> </w:instrText>
      </w:r>
      <w:r>
        <w:rPr>
          <w:rFonts w:ascii="宋体" w:hAnsi="宋体" w:cs="宋体"/>
          <w:b w:val="0"/>
          <w:bCs/>
          <w:sz w:val="24"/>
          <w:u w:val="none"/>
        </w:rPr>
        <w:fldChar w:fldCharType="separate"/>
      </w:r>
      <w:r>
        <w:rPr>
          <w:rFonts w:hint="eastAsia" w:ascii="宋体" w:hAnsi="宋体" w:cs="宋体"/>
          <w:b w:val="0"/>
          <w:bCs/>
          <w:sz w:val="24"/>
          <w:u w:val="none"/>
        </w:rPr>
        <w:t>②</w:t>
      </w:r>
      <w:r>
        <w:rPr>
          <w:rFonts w:ascii="宋体" w:hAnsi="宋体" w:cs="宋体"/>
          <w:b w:val="0"/>
          <w:bCs/>
          <w:sz w:val="24"/>
          <w:u w:val="none"/>
        </w:rPr>
        <w:fldChar w:fldCharType="end"/>
      </w:r>
      <w:r>
        <w:rPr>
          <w:b w:val="0"/>
          <w:bCs/>
          <w:sz w:val="24"/>
          <w:u w:val="none"/>
        </w:rPr>
        <w:t>防止管道的泄漏</w:t>
      </w:r>
    </w:p>
    <w:p>
      <w:pPr>
        <w:spacing w:line="520" w:lineRule="exact"/>
        <w:ind w:firstLine="480" w:firstLineChars="200"/>
        <w:rPr>
          <w:b w:val="0"/>
          <w:bCs/>
          <w:sz w:val="24"/>
          <w:u w:val="none"/>
        </w:rPr>
      </w:pPr>
      <w:r>
        <w:rPr>
          <w:b w:val="0"/>
          <w:bCs/>
          <w:sz w:val="24"/>
          <w:u w:val="none"/>
        </w:rPr>
        <w:t>经常检查管道，若地下管道应采用防腐蚀材料，并在埋设的地面作标记，以防开挖时破坏管道，地上管道应防止汽车碰撞，并控制管道支撑的磨损。定期系统试压、定期检漏。管道施工应按规范要求进行。</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2、</w:t>
      </w:r>
      <w:r>
        <w:rPr>
          <w:b w:val="0"/>
          <w:bCs/>
          <w:color w:val="000000"/>
          <w:sz w:val="24"/>
          <w:u w:val="none"/>
        </w:rPr>
        <w:t>火灾和爆炸的预防</w:t>
      </w:r>
    </w:p>
    <w:p>
      <w:pPr>
        <w:spacing w:line="520" w:lineRule="exact"/>
        <w:ind w:firstLine="480" w:firstLineChars="200"/>
        <w:rPr>
          <w:b w:val="0"/>
          <w:bCs/>
          <w:sz w:val="24"/>
          <w:u w:val="none"/>
        </w:rPr>
      </w:pPr>
      <w:r>
        <w:rPr>
          <w:rFonts w:hint="eastAsia" w:ascii="宋体" w:hAnsi="宋体" w:cs="宋体"/>
          <w:b w:val="0"/>
          <w:bCs/>
          <w:sz w:val="24"/>
          <w:u w:val="none"/>
        </w:rPr>
        <w:t>①</w:t>
      </w:r>
      <w:r>
        <w:rPr>
          <w:b w:val="0"/>
          <w:bCs/>
          <w:sz w:val="24"/>
          <w:u w:val="none"/>
        </w:rPr>
        <w:t>沼气在生产过程要密闭化、自动化，严防跑冒滴漏。</w:t>
      </w:r>
    </w:p>
    <w:p>
      <w:pPr>
        <w:spacing w:line="520" w:lineRule="exact"/>
        <w:ind w:firstLine="480" w:firstLineChars="200"/>
        <w:rPr>
          <w:b w:val="0"/>
          <w:bCs/>
          <w:sz w:val="24"/>
          <w:u w:val="none"/>
        </w:rPr>
      </w:pPr>
      <w:r>
        <w:rPr>
          <w:rFonts w:hint="eastAsia" w:ascii="宋体" w:hAnsi="宋体" w:cs="宋体"/>
          <w:b w:val="0"/>
          <w:bCs/>
          <w:sz w:val="24"/>
          <w:u w:val="none"/>
        </w:rPr>
        <w:t>②</w:t>
      </w:r>
      <w:r>
        <w:rPr>
          <w:b w:val="0"/>
          <w:bCs/>
          <w:sz w:val="24"/>
          <w:u w:val="none"/>
        </w:rPr>
        <w:t>设备的安全管理</w:t>
      </w:r>
    </w:p>
    <w:p>
      <w:pPr>
        <w:spacing w:line="520" w:lineRule="exact"/>
        <w:ind w:firstLine="480" w:firstLineChars="200"/>
        <w:rPr>
          <w:b w:val="0"/>
          <w:bCs/>
          <w:sz w:val="24"/>
          <w:u w:val="none"/>
        </w:rPr>
      </w:pPr>
      <w:r>
        <w:rPr>
          <w:b w:val="0"/>
          <w:bCs/>
          <w:sz w:val="24"/>
          <w:u w:val="none"/>
        </w:rPr>
        <w:t>定期对设备进行安全检测，检测内容、时间、人员应有记录保存，安全检测应根据设备的安全性、危险性设定检测频次。</w:t>
      </w:r>
    </w:p>
    <w:p>
      <w:pPr>
        <w:spacing w:line="520" w:lineRule="exact"/>
        <w:ind w:firstLine="480" w:firstLineChars="200"/>
        <w:rPr>
          <w:b w:val="0"/>
          <w:bCs/>
          <w:sz w:val="24"/>
          <w:u w:val="none"/>
        </w:rPr>
      </w:pPr>
      <w:r>
        <w:rPr>
          <w:rFonts w:hint="eastAsia" w:ascii="宋体" w:hAnsi="宋体" w:cs="宋体"/>
          <w:b w:val="0"/>
          <w:bCs/>
          <w:sz w:val="24"/>
          <w:u w:val="none"/>
        </w:rPr>
        <w:t>③</w:t>
      </w:r>
      <w:r>
        <w:rPr>
          <w:b w:val="0"/>
          <w:bCs/>
          <w:sz w:val="24"/>
          <w:u w:val="none"/>
        </w:rPr>
        <w:t>火源管理</w:t>
      </w:r>
    </w:p>
    <w:p>
      <w:pPr>
        <w:spacing w:line="520" w:lineRule="exact"/>
        <w:ind w:left="105" w:leftChars="50" w:firstLine="360" w:firstLineChars="150"/>
        <w:rPr>
          <w:b w:val="0"/>
          <w:bCs/>
          <w:sz w:val="24"/>
          <w:u w:val="none"/>
        </w:rPr>
      </w:pPr>
      <w:r>
        <w:rPr>
          <w:b w:val="0"/>
          <w:bCs/>
          <w:sz w:val="24"/>
          <w:u w:val="none"/>
        </w:rPr>
        <w:t>a、严禁火源进入治污区，对明火严格控制，在</w:t>
      </w:r>
      <w:r>
        <w:rPr>
          <w:rFonts w:hint="eastAsia"/>
          <w:b w:val="0"/>
          <w:bCs/>
          <w:sz w:val="24"/>
          <w:u w:val="none"/>
          <w:lang w:eastAsia="zh-CN"/>
        </w:rPr>
        <w:t>黑膜</w:t>
      </w:r>
      <w:r>
        <w:rPr>
          <w:b w:val="0"/>
          <w:bCs/>
          <w:sz w:val="24"/>
          <w:u w:val="none"/>
        </w:rPr>
        <w:t>沼气池附近20m内不准有明火；</w:t>
      </w:r>
    </w:p>
    <w:p>
      <w:pPr>
        <w:spacing w:line="520" w:lineRule="exact"/>
        <w:ind w:left="105" w:leftChars="50" w:firstLine="360" w:firstLineChars="150"/>
        <w:rPr>
          <w:b w:val="0"/>
          <w:bCs/>
          <w:sz w:val="24"/>
          <w:u w:val="none"/>
        </w:rPr>
      </w:pPr>
      <w:r>
        <w:rPr>
          <w:b w:val="0"/>
          <w:bCs/>
          <w:sz w:val="24"/>
          <w:u w:val="none"/>
        </w:rPr>
        <w:t>b、对设备维修检查，需进行维修焊接，应经安全部门确认、准许，并有记录在案；另外，在危险区作业是不能使用能产生撞击火花的金属物体，应用铜工具，如用钢工具，表面应涂黄油；</w:t>
      </w:r>
    </w:p>
    <w:p>
      <w:pPr>
        <w:spacing w:line="520" w:lineRule="exact"/>
        <w:ind w:firstLine="480" w:firstLineChars="200"/>
        <w:rPr>
          <w:b w:val="0"/>
          <w:bCs/>
          <w:sz w:val="24"/>
          <w:u w:val="none"/>
        </w:rPr>
      </w:pPr>
      <w:r>
        <w:rPr>
          <w:b w:val="0"/>
          <w:bCs/>
          <w:sz w:val="24"/>
          <w:u w:val="none"/>
        </w:rPr>
        <w:t>c、在</w:t>
      </w:r>
      <w:r>
        <w:rPr>
          <w:rFonts w:hint="eastAsia"/>
          <w:b w:val="0"/>
          <w:bCs/>
          <w:sz w:val="24"/>
          <w:u w:val="none"/>
          <w:lang w:eastAsia="zh-CN"/>
        </w:rPr>
        <w:t>黑膜</w:t>
      </w:r>
      <w:r>
        <w:rPr>
          <w:b w:val="0"/>
          <w:bCs/>
          <w:sz w:val="24"/>
          <w:u w:val="none"/>
        </w:rPr>
        <w:t>沼气池上设置永久性接地装置；</w:t>
      </w:r>
    </w:p>
    <w:p>
      <w:pPr>
        <w:spacing w:line="520" w:lineRule="exact"/>
        <w:ind w:firstLine="480" w:firstLineChars="200"/>
        <w:rPr>
          <w:b w:val="0"/>
          <w:bCs/>
          <w:sz w:val="24"/>
          <w:u w:val="none"/>
        </w:rPr>
      </w:pPr>
      <w:r>
        <w:rPr>
          <w:b w:val="0"/>
          <w:bCs/>
          <w:sz w:val="24"/>
          <w:u w:val="none"/>
        </w:rPr>
        <w:t>d、在装置区内的所有设备，电气装置都应满足防爆防火的要求。</w:t>
      </w:r>
    </w:p>
    <w:p>
      <w:pPr>
        <w:spacing w:line="520" w:lineRule="exact"/>
        <w:ind w:firstLine="480" w:firstLineChars="200"/>
        <w:rPr>
          <w:b w:val="0"/>
          <w:bCs/>
          <w:sz w:val="24"/>
          <w:u w:val="none"/>
        </w:rPr>
      </w:pPr>
      <w:r>
        <w:rPr>
          <w:rFonts w:hint="eastAsia" w:ascii="宋体" w:hAnsi="宋体" w:cs="宋体"/>
          <w:b w:val="0"/>
          <w:bCs/>
          <w:sz w:val="24"/>
          <w:u w:val="none"/>
        </w:rPr>
        <w:t>④</w:t>
      </w:r>
      <w:r>
        <w:rPr>
          <w:b w:val="0"/>
          <w:bCs/>
          <w:sz w:val="24"/>
          <w:u w:val="none"/>
        </w:rPr>
        <w:t>人员的管理</w:t>
      </w:r>
    </w:p>
    <w:p>
      <w:pPr>
        <w:spacing w:line="520" w:lineRule="exact"/>
        <w:ind w:firstLine="480" w:firstLineChars="200"/>
        <w:rPr>
          <w:b w:val="0"/>
          <w:bCs/>
          <w:sz w:val="24"/>
          <w:u w:val="none"/>
        </w:rPr>
      </w:pPr>
      <w:r>
        <w:rPr>
          <w:b w:val="0"/>
          <w:bCs/>
          <w:sz w:val="24"/>
          <w:u w:val="none"/>
        </w:rPr>
        <w:t>a、加强沼气安全知识的宣传，加强对有关人员的培训教育和考核；</w:t>
      </w:r>
    </w:p>
    <w:p>
      <w:pPr>
        <w:spacing w:line="520" w:lineRule="exact"/>
        <w:ind w:firstLine="480" w:firstLineChars="200"/>
        <w:rPr>
          <w:b w:val="0"/>
          <w:bCs/>
          <w:sz w:val="24"/>
          <w:u w:val="none"/>
        </w:rPr>
      </w:pPr>
      <w:r>
        <w:rPr>
          <w:b w:val="0"/>
          <w:bCs/>
          <w:sz w:val="24"/>
          <w:u w:val="none"/>
        </w:rPr>
        <w:t>b、严格规章制度和安全操作规程，强化安全监督检查和管理；</w:t>
      </w:r>
    </w:p>
    <w:p>
      <w:pPr>
        <w:spacing w:line="520" w:lineRule="exact"/>
        <w:ind w:firstLine="480" w:firstLineChars="200"/>
        <w:rPr>
          <w:b w:val="0"/>
          <w:bCs/>
          <w:sz w:val="24"/>
          <w:u w:val="none"/>
        </w:rPr>
      </w:pPr>
      <w:r>
        <w:rPr>
          <w:b w:val="0"/>
          <w:bCs/>
          <w:sz w:val="24"/>
          <w:u w:val="none"/>
        </w:rPr>
        <w:t>c、沼气工程外设专职人员进行监理和维护，严禁其他人员进入。</w:t>
      </w:r>
    </w:p>
    <w:p>
      <w:pPr>
        <w:tabs>
          <w:tab w:val="right" w:leader="dot" w:pos="8647"/>
        </w:tabs>
        <w:adjustRightInd w:val="0"/>
        <w:snapToGrid w:val="0"/>
        <w:spacing w:line="500" w:lineRule="exact"/>
        <w:ind w:firstLine="480" w:firstLineChars="200"/>
        <w:rPr>
          <w:b w:val="0"/>
          <w:bCs/>
          <w:color w:val="000000"/>
          <w:sz w:val="24"/>
          <w:u w:val="none"/>
        </w:rPr>
      </w:pPr>
      <w:r>
        <w:rPr>
          <w:rFonts w:hint="eastAsia"/>
          <w:b w:val="0"/>
          <w:bCs/>
          <w:color w:val="000000"/>
          <w:sz w:val="24"/>
          <w:u w:val="none"/>
          <w:lang w:val="en-US" w:eastAsia="zh-CN"/>
        </w:rPr>
        <w:t>3、</w:t>
      </w:r>
      <w:r>
        <w:rPr>
          <w:b w:val="0"/>
          <w:bCs/>
          <w:color w:val="000000"/>
          <w:sz w:val="24"/>
          <w:u w:val="none"/>
        </w:rPr>
        <w:t>动物疫情风险防范措施</w:t>
      </w:r>
    </w:p>
    <w:p>
      <w:pPr>
        <w:spacing w:line="500" w:lineRule="exact"/>
        <w:ind w:firstLine="480" w:firstLineChars="200"/>
        <w:rPr>
          <w:b w:val="0"/>
          <w:bCs/>
          <w:sz w:val="24"/>
          <w:u w:val="none"/>
        </w:rPr>
      </w:pPr>
      <w:r>
        <w:rPr>
          <w:b w:val="0"/>
          <w:bCs/>
          <w:sz w:val="24"/>
          <w:u w:val="none"/>
        </w:rPr>
        <w:t>饲养管理的动物卫生要求：</w:t>
      </w:r>
    </w:p>
    <w:p>
      <w:pPr>
        <w:spacing w:line="500" w:lineRule="exact"/>
        <w:ind w:firstLine="480" w:firstLineChars="200"/>
        <w:rPr>
          <w:b w:val="0"/>
          <w:bCs/>
          <w:sz w:val="24"/>
          <w:u w:val="none"/>
        </w:rPr>
      </w:pPr>
      <w:r>
        <w:rPr>
          <w:rFonts w:hint="eastAsia" w:ascii="宋体" w:hAnsi="宋体" w:cs="宋体"/>
          <w:b w:val="0"/>
          <w:bCs/>
          <w:sz w:val="24"/>
          <w:u w:val="none"/>
        </w:rPr>
        <w:t>①</w:t>
      </w:r>
      <w:r>
        <w:rPr>
          <w:b w:val="0"/>
          <w:bCs/>
          <w:sz w:val="24"/>
          <w:u w:val="none"/>
        </w:rPr>
        <w:t xml:space="preserve">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 </w:t>
      </w:r>
    </w:p>
    <w:p>
      <w:pPr>
        <w:spacing w:line="500" w:lineRule="exact"/>
        <w:ind w:firstLine="480" w:firstLineChars="200"/>
        <w:rPr>
          <w:b w:val="0"/>
          <w:bCs/>
          <w:sz w:val="24"/>
          <w:u w:val="none"/>
        </w:rPr>
      </w:pPr>
      <w:r>
        <w:rPr>
          <w:rFonts w:hint="eastAsia" w:ascii="宋体" w:hAnsi="宋体" w:cs="宋体"/>
          <w:b w:val="0"/>
          <w:bCs/>
          <w:sz w:val="24"/>
          <w:u w:val="none"/>
        </w:rPr>
        <w:t>②</w:t>
      </w:r>
      <w:r>
        <w:rPr>
          <w:b w:val="0"/>
          <w:bCs/>
          <w:sz w:val="24"/>
          <w:u w:val="none"/>
        </w:rPr>
        <w:t>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pPr>
        <w:spacing w:line="500" w:lineRule="exact"/>
        <w:ind w:firstLine="480" w:firstLineChars="200"/>
        <w:rPr>
          <w:b w:val="0"/>
          <w:bCs/>
          <w:sz w:val="24"/>
          <w:u w:val="none"/>
        </w:rPr>
      </w:pPr>
      <w:r>
        <w:rPr>
          <w:rFonts w:hint="eastAsia" w:ascii="宋体" w:hAnsi="宋体" w:cs="宋体"/>
          <w:b w:val="0"/>
          <w:bCs/>
          <w:sz w:val="24"/>
          <w:u w:val="none"/>
        </w:rPr>
        <w:t>③</w:t>
      </w:r>
      <w:r>
        <w:rPr>
          <w:b w:val="0"/>
          <w:bCs/>
          <w:sz w:val="24"/>
          <w:u w:val="none"/>
        </w:rPr>
        <w:t>根据《中华人民共和国动物防疫法》及其配套法规的要求，结合当地实际情况，选择合适的疫苗、免疫程序和免疫方法定期给猪只注射疫苗，兽用药品剂疫苗应统一购进和使用；</w:t>
      </w:r>
    </w:p>
    <w:p>
      <w:pPr>
        <w:spacing w:line="500" w:lineRule="exact"/>
        <w:ind w:firstLine="480" w:firstLineChars="200"/>
        <w:rPr>
          <w:b w:val="0"/>
          <w:bCs/>
          <w:sz w:val="24"/>
          <w:u w:val="none"/>
        </w:rPr>
      </w:pPr>
      <w:r>
        <w:rPr>
          <w:rFonts w:hint="eastAsia" w:ascii="宋体" w:hAnsi="宋体" w:cs="宋体"/>
          <w:b w:val="0"/>
          <w:bCs/>
          <w:sz w:val="24"/>
          <w:u w:val="none"/>
        </w:rPr>
        <w:t>④</w:t>
      </w:r>
      <w:r>
        <w:rPr>
          <w:b w:val="0"/>
          <w:bCs/>
          <w:sz w:val="24"/>
          <w:u w:val="none"/>
        </w:rPr>
        <w:t>养殖区内做好环境卫生和猪舍卫生的清洁工作，及时清扫粪便，其无害化处理应符合《畜禽养殖业污染排放标准》（GB18596-2001)；</w:t>
      </w:r>
    </w:p>
    <w:p>
      <w:pPr>
        <w:spacing w:line="500" w:lineRule="exact"/>
        <w:ind w:firstLine="480" w:firstLineChars="200"/>
        <w:rPr>
          <w:b w:val="0"/>
          <w:bCs/>
          <w:sz w:val="24"/>
          <w:u w:val="none"/>
        </w:rPr>
      </w:pPr>
      <w:r>
        <w:rPr>
          <w:rFonts w:hint="eastAsia" w:ascii="宋体" w:hAnsi="宋体" w:cs="宋体"/>
          <w:b w:val="0"/>
          <w:bCs/>
          <w:sz w:val="24"/>
          <w:u w:val="none"/>
        </w:rPr>
        <w:t>⑤</w:t>
      </w:r>
      <w:r>
        <w:rPr>
          <w:b w:val="0"/>
          <w:bCs/>
          <w:sz w:val="24"/>
          <w:u w:val="none"/>
        </w:rPr>
        <w:t>养殖区做好防鸟、杀虫、灭鼠工作，根据当地寄生虫、细菌性疾病的发生和危害情况，选择高效、低毒、无残留的药物，定期对养殖区进行驱虫和治疗，防止害虫孽生传播动物疫病。</w:t>
      </w:r>
    </w:p>
    <w:p>
      <w:pPr>
        <w:spacing w:line="500" w:lineRule="exact"/>
        <w:ind w:firstLine="480" w:firstLineChars="200"/>
        <w:rPr>
          <w:b w:val="0"/>
          <w:bCs/>
          <w:sz w:val="24"/>
          <w:u w:val="none"/>
        </w:rPr>
      </w:pPr>
      <w:r>
        <w:rPr>
          <w:b w:val="0"/>
          <w:bCs/>
          <w:sz w:val="24"/>
          <w:u w:val="none"/>
        </w:rPr>
        <w:t>项目区防疫制度：</w:t>
      </w:r>
    </w:p>
    <w:p>
      <w:pPr>
        <w:spacing w:line="500" w:lineRule="exact"/>
        <w:ind w:firstLine="480" w:firstLineChars="200"/>
        <w:rPr>
          <w:b w:val="0"/>
          <w:bCs/>
          <w:sz w:val="24"/>
          <w:u w:val="none"/>
        </w:rPr>
      </w:pPr>
      <w:r>
        <w:rPr>
          <w:rFonts w:hint="eastAsia" w:ascii="宋体" w:hAnsi="宋体" w:cs="宋体"/>
          <w:b w:val="0"/>
          <w:bCs/>
          <w:sz w:val="24"/>
          <w:u w:val="none"/>
        </w:rPr>
        <w:t>①</w:t>
      </w:r>
      <w:r>
        <w:rPr>
          <w:b w:val="0"/>
          <w:bCs/>
          <w:sz w:val="24"/>
          <w:u w:val="none"/>
        </w:rPr>
        <w:t>根据国家要求制定适合本项目的卫生防疫制度及应急响应预案；</w:t>
      </w:r>
    </w:p>
    <w:p>
      <w:pPr>
        <w:spacing w:line="500" w:lineRule="exact"/>
        <w:ind w:firstLine="480" w:firstLineChars="200"/>
        <w:rPr>
          <w:b w:val="0"/>
          <w:bCs/>
          <w:sz w:val="24"/>
          <w:u w:val="none"/>
        </w:rPr>
      </w:pPr>
      <w:r>
        <w:rPr>
          <w:rFonts w:hint="eastAsia" w:ascii="宋体" w:hAnsi="宋体" w:cs="宋体"/>
          <w:b w:val="0"/>
          <w:bCs/>
          <w:sz w:val="24"/>
          <w:u w:val="none"/>
        </w:rPr>
        <w:t>②</w:t>
      </w:r>
      <w:r>
        <w:rPr>
          <w:b w:val="0"/>
          <w:bCs/>
          <w:sz w:val="24"/>
          <w:u w:val="none"/>
        </w:rPr>
        <w:t>养殖场将生产区和生活区分开，生产区门口设置消毒池，各养殖区设置消毒池及消毒室；</w:t>
      </w:r>
    </w:p>
    <w:p>
      <w:pPr>
        <w:spacing w:line="500" w:lineRule="exact"/>
        <w:ind w:firstLine="480" w:firstLineChars="200"/>
        <w:rPr>
          <w:b w:val="0"/>
          <w:bCs/>
          <w:sz w:val="24"/>
          <w:u w:val="none"/>
        </w:rPr>
      </w:pPr>
      <w:r>
        <w:rPr>
          <w:rFonts w:hint="eastAsia" w:ascii="宋体" w:hAnsi="宋体" w:cs="宋体"/>
          <w:b w:val="0"/>
          <w:bCs/>
          <w:sz w:val="24"/>
          <w:u w:val="none"/>
        </w:rPr>
        <w:t>③</w:t>
      </w:r>
      <w:r>
        <w:rPr>
          <w:b w:val="0"/>
          <w:bCs/>
          <w:sz w:val="24"/>
          <w:u w:val="none"/>
        </w:rPr>
        <w:t>禁止无关人员进入生产区，确因工作需要必须进入场区的人员、车辆均进行严格的消毒；</w:t>
      </w:r>
    </w:p>
    <w:p>
      <w:pPr>
        <w:spacing w:line="500" w:lineRule="exact"/>
        <w:ind w:firstLine="480" w:firstLineChars="200"/>
        <w:rPr>
          <w:b w:val="0"/>
          <w:bCs/>
          <w:sz w:val="24"/>
          <w:u w:val="none"/>
        </w:rPr>
      </w:pPr>
      <w:r>
        <w:rPr>
          <w:rFonts w:hint="eastAsia" w:ascii="宋体" w:hAnsi="宋体" w:cs="宋体"/>
          <w:b w:val="0"/>
          <w:bCs/>
          <w:sz w:val="24"/>
          <w:u w:val="none"/>
        </w:rPr>
        <w:t>④</w:t>
      </w:r>
      <w:r>
        <w:rPr>
          <w:b w:val="0"/>
          <w:bCs/>
          <w:sz w:val="24"/>
          <w:u w:val="none"/>
        </w:rPr>
        <w:t>实行全进全出或实行分单元全进全出的饲养管理制度，一栋猪舍一个批次，每批猪只出栏后，圈舍应进行彻底的清洗、消毒，灭杀病原、防止连续感染和交叉感染；</w:t>
      </w:r>
    </w:p>
    <w:p>
      <w:pPr>
        <w:spacing w:line="500" w:lineRule="exact"/>
        <w:ind w:firstLine="480" w:firstLineChars="200"/>
        <w:rPr>
          <w:b w:val="0"/>
          <w:bCs/>
          <w:sz w:val="24"/>
          <w:u w:val="none"/>
        </w:rPr>
      </w:pPr>
      <w:r>
        <w:rPr>
          <w:rFonts w:hint="eastAsia" w:ascii="宋体" w:hAnsi="宋体" w:cs="宋体"/>
          <w:b w:val="0"/>
          <w:bCs/>
          <w:sz w:val="24"/>
          <w:u w:val="none"/>
        </w:rPr>
        <w:t>⑤</w:t>
      </w:r>
      <w:r>
        <w:rPr>
          <w:b w:val="0"/>
          <w:bCs/>
          <w:sz w:val="24"/>
          <w:u w:val="none"/>
        </w:rPr>
        <w:t>患病猪只应及时送入隔离舍进行隔离诊治；对易感染的动物进行监测，并根据需要实施紧急免疫接种。</w:t>
      </w:r>
    </w:p>
    <w:p>
      <w:pPr>
        <w:spacing w:line="500" w:lineRule="exact"/>
        <w:ind w:firstLine="480" w:firstLineChars="200"/>
        <w:rPr>
          <w:b w:val="0"/>
          <w:bCs/>
          <w:sz w:val="24"/>
          <w:u w:val="none"/>
        </w:rPr>
      </w:pPr>
      <w:r>
        <w:rPr>
          <w:b w:val="0"/>
          <w:bCs/>
          <w:sz w:val="24"/>
          <w:u w:val="none"/>
        </w:rPr>
        <w:t>如发生重大动物疫情应报县级以上人民政府处理，并积极配合政府工作。</w:t>
      </w:r>
    </w:p>
    <w:p>
      <w:pPr>
        <w:spacing w:line="500" w:lineRule="exact"/>
        <w:ind w:firstLine="480" w:firstLineChars="200"/>
        <w:rPr>
          <w:b w:val="0"/>
          <w:bCs/>
          <w:sz w:val="24"/>
          <w:u w:val="none"/>
        </w:rPr>
      </w:pPr>
      <w:r>
        <w:rPr>
          <w:b w:val="0"/>
          <w:bCs/>
          <w:sz w:val="24"/>
          <w:u w:val="none"/>
        </w:rPr>
        <w:t>个人防护措施：</w:t>
      </w:r>
    </w:p>
    <w:p>
      <w:pPr>
        <w:spacing w:line="500" w:lineRule="exact"/>
        <w:ind w:firstLine="480" w:firstLineChars="200"/>
        <w:rPr>
          <w:b w:val="0"/>
          <w:bCs/>
          <w:sz w:val="24"/>
          <w:u w:val="none"/>
        </w:rPr>
      </w:pPr>
      <w:r>
        <w:rPr>
          <w:b w:val="0"/>
          <w:bCs/>
          <w:sz w:val="24"/>
          <w:u w:val="none"/>
        </w:rPr>
        <w:t xml:space="preserve"> </w:t>
      </w:r>
      <w:r>
        <w:rPr>
          <w:rFonts w:hint="eastAsia" w:ascii="宋体" w:hAnsi="宋体" w:cs="宋体"/>
          <w:b w:val="0"/>
          <w:bCs/>
          <w:sz w:val="24"/>
          <w:u w:val="none"/>
        </w:rPr>
        <w:t>①</w:t>
      </w:r>
      <w:r>
        <w:rPr>
          <w:b w:val="0"/>
          <w:bCs/>
          <w:sz w:val="24"/>
          <w:u w:val="none"/>
        </w:rPr>
        <w:t>管理传染源：加强畜类疫情监测，对感染动物应立即销毁，对疫源地进行封锁，侧地消毒，患者应立即隔离治疗，运转时应佩戴口罩；</w:t>
      </w:r>
    </w:p>
    <w:p>
      <w:pPr>
        <w:spacing w:line="500" w:lineRule="exact"/>
        <w:ind w:firstLine="480" w:firstLineChars="200"/>
        <w:rPr>
          <w:b w:val="0"/>
          <w:bCs/>
          <w:sz w:val="24"/>
          <w:u w:val="none"/>
        </w:rPr>
      </w:pPr>
      <w:r>
        <w:rPr>
          <w:b w:val="0"/>
          <w:bCs/>
          <w:sz w:val="24"/>
          <w:u w:val="none"/>
        </w:rPr>
        <w:t xml:space="preserve"> </w:t>
      </w:r>
      <w:r>
        <w:rPr>
          <w:rFonts w:hint="eastAsia" w:ascii="宋体" w:hAnsi="宋体" w:cs="宋体"/>
          <w:b w:val="0"/>
          <w:bCs/>
          <w:sz w:val="24"/>
          <w:u w:val="none"/>
        </w:rPr>
        <w:t>②</w:t>
      </w:r>
      <w:r>
        <w:rPr>
          <w:b w:val="0"/>
          <w:bCs/>
          <w:sz w:val="24"/>
          <w:u w:val="none"/>
        </w:rPr>
        <w:t>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pPr>
        <w:spacing w:line="500" w:lineRule="exact"/>
        <w:ind w:firstLine="480" w:firstLineChars="200"/>
        <w:rPr>
          <w:b w:val="0"/>
          <w:bCs/>
          <w:sz w:val="24"/>
          <w:u w:val="none"/>
        </w:rPr>
      </w:pPr>
      <w:r>
        <w:rPr>
          <w:b w:val="0"/>
          <w:bCs/>
          <w:sz w:val="24"/>
          <w:u w:val="none"/>
        </w:rPr>
        <w:t xml:space="preserve"> </w:t>
      </w:r>
      <w:r>
        <w:rPr>
          <w:rFonts w:hint="eastAsia" w:ascii="宋体" w:hAnsi="宋体" w:cs="宋体"/>
          <w:b w:val="0"/>
          <w:bCs/>
          <w:sz w:val="24"/>
          <w:u w:val="none"/>
        </w:rPr>
        <w:t>③</w:t>
      </w:r>
      <w:r>
        <w:rPr>
          <w:b w:val="0"/>
          <w:bCs/>
          <w:sz w:val="24"/>
          <w:u w:val="none"/>
        </w:rPr>
        <w:t>日常防护：工人进入养殖场之前和之后，都应该换洗衣裳、洗澡、消毒搞好个人防护。</w:t>
      </w:r>
    </w:p>
    <w:p>
      <w:pPr>
        <w:tabs>
          <w:tab w:val="right" w:leader="dot" w:pos="8647"/>
        </w:tabs>
        <w:adjustRightInd w:val="0"/>
        <w:snapToGrid w:val="0"/>
        <w:spacing w:line="500" w:lineRule="exact"/>
        <w:rPr>
          <w:b w:val="0"/>
          <w:bCs/>
          <w:color w:val="000000"/>
          <w:sz w:val="24"/>
          <w:u w:val="none"/>
        </w:rPr>
      </w:pPr>
      <w:r>
        <w:rPr>
          <w:rFonts w:hint="eastAsia"/>
          <w:b w:val="0"/>
          <w:bCs/>
          <w:color w:val="000000"/>
          <w:sz w:val="24"/>
          <w:u w:val="none"/>
          <w:lang w:val="en-US" w:eastAsia="zh-CN"/>
        </w:rPr>
        <w:t>4</w:t>
      </w:r>
      <w:r>
        <w:rPr>
          <w:b w:val="0"/>
          <w:bCs/>
          <w:color w:val="000000"/>
          <w:sz w:val="24"/>
          <w:u w:val="none"/>
        </w:rPr>
        <w:t>.2.7.</w:t>
      </w:r>
      <w:r>
        <w:rPr>
          <w:rFonts w:hint="eastAsia"/>
          <w:b w:val="0"/>
          <w:bCs/>
          <w:color w:val="000000"/>
          <w:sz w:val="24"/>
          <w:u w:val="none"/>
        </w:rPr>
        <w:t>7</w:t>
      </w:r>
      <w:r>
        <w:rPr>
          <w:b w:val="0"/>
          <w:bCs/>
          <w:color w:val="000000"/>
          <w:sz w:val="24"/>
          <w:u w:val="none"/>
        </w:rPr>
        <w:t>环境风险应急预案</w:t>
      </w:r>
    </w:p>
    <w:p>
      <w:pPr>
        <w:spacing w:line="500" w:lineRule="exact"/>
        <w:ind w:firstLine="480" w:firstLineChars="200"/>
        <w:rPr>
          <w:b w:val="0"/>
          <w:bCs/>
          <w:sz w:val="24"/>
          <w:u w:val="none"/>
        </w:rPr>
      </w:pPr>
      <w:r>
        <w:rPr>
          <w:b w:val="0"/>
          <w:bCs/>
          <w:sz w:val="24"/>
          <w:u w:val="none"/>
        </w:rPr>
        <w:t>为保证企业及人民生命财产的安全，防止突发性重大化学事故发生，或在发生事故时，能迅速有序地开展救援工作，尽最大努力减少事故的危害和损失，根据《中华人民共和国安全生产法》，公司应制定企业级事故应急救援预案，成立以法人为总指挥，副厂长为副总指挥的事故应急救援队伍，指挥部下设办公室、工程抢险救援组、医疗救护组、后勤保障组。</w:t>
      </w:r>
    </w:p>
    <w:p>
      <w:pPr>
        <w:spacing w:line="500" w:lineRule="exact"/>
        <w:ind w:firstLine="480" w:firstLineChars="200"/>
        <w:rPr>
          <w:b w:val="0"/>
          <w:bCs/>
          <w:sz w:val="24"/>
          <w:u w:val="none"/>
        </w:rPr>
      </w:pPr>
      <w:r>
        <w:rPr>
          <w:b w:val="0"/>
          <w:bCs/>
          <w:sz w:val="24"/>
          <w:u w:val="none"/>
        </w:rPr>
        <w:t>根据项目特点，公司应对项目中可能造成环境风险的突发性事件制定应急预案，见表</w:t>
      </w:r>
      <w:r>
        <w:rPr>
          <w:rFonts w:hint="eastAsia"/>
          <w:b w:val="0"/>
          <w:bCs/>
          <w:sz w:val="24"/>
          <w:u w:val="none"/>
          <w:lang w:val="en-US" w:eastAsia="zh-CN"/>
        </w:rPr>
        <w:t>4.2-25</w:t>
      </w:r>
      <w:r>
        <w:rPr>
          <w:b w:val="0"/>
          <w:bCs/>
          <w:sz w:val="24"/>
          <w:u w:val="none"/>
        </w:rPr>
        <w:t>。</w:t>
      </w:r>
    </w:p>
    <w:p>
      <w:pPr>
        <w:adjustRightInd w:val="0"/>
        <w:snapToGrid w:val="0"/>
        <w:spacing w:line="500" w:lineRule="exact"/>
        <w:jc w:val="center"/>
        <w:rPr>
          <w:b/>
          <w:bCs w:val="0"/>
          <w:sz w:val="24"/>
          <w:u w:val="none"/>
        </w:rPr>
      </w:pPr>
      <w:r>
        <w:rPr>
          <w:b/>
          <w:bCs w:val="0"/>
          <w:sz w:val="24"/>
          <w:u w:val="none"/>
        </w:rPr>
        <w:t>表</w:t>
      </w:r>
      <w:r>
        <w:rPr>
          <w:rFonts w:hint="eastAsia"/>
          <w:b/>
          <w:bCs w:val="0"/>
          <w:sz w:val="24"/>
          <w:u w:val="none"/>
          <w:lang w:val="en-US" w:eastAsia="zh-CN"/>
        </w:rPr>
        <w:t xml:space="preserve">4.2-25 </w:t>
      </w:r>
      <w:r>
        <w:rPr>
          <w:b/>
          <w:bCs w:val="0"/>
          <w:sz w:val="24"/>
          <w:u w:val="none"/>
        </w:rPr>
        <w:t xml:space="preserve"> 项目应急预案一览表</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34"/>
        <w:gridCol w:w="6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序号</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项　目</w:t>
            </w:r>
          </w:p>
        </w:tc>
        <w:tc>
          <w:tcPr>
            <w:tcW w:w="643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内　容　及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总则</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简述生产过程中涉及物料性质及可能产生的突发事故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2</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危险源概况</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评述危险源类型，数量及其分布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3</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应急计划区</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养殖区、粪污处理区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4</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应急组织</w:t>
            </w:r>
          </w:p>
        </w:tc>
        <w:tc>
          <w:tcPr>
            <w:tcW w:w="6431" w:type="dxa"/>
            <w:tcMar>
              <w:top w:w="0" w:type="dxa"/>
              <w:left w:w="28" w:type="dxa"/>
              <w:bottom w:w="0" w:type="dxa"/>
              <w:right w:w="28" w:type="dxa"/>
            </w:tcMar>
            <w:vAlign w:val="center"/>
          </w:tcPr>
          <w:p>
            <w:pPr>
              <w:pStyle w:val="14"/>
              <w:adjustRightInd w:val="0"/>
              <w:snapToGrid w:val="0"/>
              <w:spacing w:line="360" w:lineRule="exact"/>
              <w:ind w:firstLine="0" w:firstLineChars="0"/>
              <w:rPr>
                <w:rFonts w:ascii="Times New Roman" w:hAnsi="Times New Roman" w:eastAsia="宋体" w:cs="Times New Roman"/>
                <w:b w:val="0"/>
                <w:bCs/>
                <w:kern w:val="2"/>
                <w:sz w:val="21"/>
                <w:szCs w:val="21"/>
                <w:u w:val="none"/>
                <w:lang w:val="en-US" w:eastAsia="zh-CN" w:bidi="ar-SA"/>
              </w:rPr>
            </w:pPr>
            <w:r>
              <w:rPr>
                <w:rFonts w:ascii="Times New Roman" w:hAnsi="Times New Roman" w:eastAsia="宋体" w:cs="Times New Roman"/>
                <w:b w:val="0"/>
                <w:bCs/>
                <w:kern w:val="2"/>
                <w:sz w:val="21"/>
                <w:szCs w:val="21"/>
                <w:u w:val="none"/>
                <w:lang w:val="en-US" w:eastAsia="zh-CN" w:bidi="ar-SA"/>
              </w:rPr>
              <w:t>场区：场内指挥部——负责现场全面指挥，如发生疫情应立即组成防疫小组，尽快做出确切的诊断，迅速向有关上级部门报告疫情；</w:t>
            </w:r>
          </w:p>
          <w:p>
            <w:pPr>
              <w:pStyle w:val="14"/>
              <w:adjustRightInd w:val="0"/>
              <w:snapToGrid w:val="0"/>
              <w:spacing w:line="360" w:lineRule="exact"/>
              <w:ind w:left="0" w:leftChars="0" w:firstLine="0" w:firstLineChars="0"/>
              <w:rPr>
                <w:rFonts w:ascii="Times New Roman" w:hAnsi="Times New Roman" w:eastAsia="宋体" w:cs="Times New Roman"/>
                <w:b w:val="0"/>
                <w:bCs/>
                <w:kern w:val="2"/>
                <w:sz w:val="21"/>
                <w:szCs w:val="21"/>
                <w:u w:val="none"/>
                <w:lang w:val="en-US" w:eastAsia="zh-CN" w:bidi="ar-SA"/>
              </w:rPr>
            </w:pPr>
            <w:r>
              <w:rPr>
                <w:rFonts w:ascii="Times New Roman" w:hAnsi="Times New Roman" w:eastAsia="宋体" w:cs="Times New Roman"/>
                <w:b w:val="0"/>
                <w:bCs/>
                <w:kern w:val="2"/>
                <w:sz w:val="21"/>
                <w:szCs w:val="21"/>
                <w:u w:val="none"/>
                <w:lang w:val="en-US" w:eastAsia="zh-CN" w:bidi="ar-SA"/>
              </w:rPr>
              <w:t>专业救援队伍——负责事故控制、救援、善后处理。</w:t>
            </w:r>
          </w:p>
          <w:p>
            <w:pPr>
              <w:pStyle w:val="14"/>
              <w:adjustRightInd w:val="0"/>
              <w:snapToGrid w:val="0"/>
              <w:spacing w:line="360" w:lineRule="exact"/>
              <w:ind w:left="632" w:hanging="630" w:hangingChars="300"/>
              <w:rPr>
                <w:b w:val="0"/>
                <w:bCs/>
                <w:szCs w:val="21"/>
                <w:u w:val="none"/>
              </w:rPr>
            </w:pPr>
            <w:r>
              <w:rPr>
                <w:rFonts w:ascii="Times New Roman" w:hAnsi="Times New Roman" w:eastAsia="宋体" w:cs="Times New Roman"/>
                <w:b w:val="0"/>
                <w:bCs/>
                <w:kern w:val="2"/>
                <w:sz w:val="21"/>
                <w:szCs w:val="21"/>
                <w:u w:val="none"/>
                <w:lang w:val="en-US" w:eastAsia="zh-CN" w:bidi="ar-SA"/>
              </w:rPr>
              <w:t>地区指挥部——负责项目附近地区全面指挥、救援、管制、疏散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5</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应急状态分类及应急响应程序</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规定事故的级别及相应的应急分类响应程序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6</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应急设施、设备与材料</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生产装置：</w:t>
            </w:r>
          </w:p>
          <w:p>
            <w:pPr>
              <w:adjustRightInd w:val="0"/>
              <w:snapToGrid w:val="0"/>
              <w:spacing w:line="360" w:lineRule="exact"/>
              <w:rPr>
                <w:b w:val="0"/>
                <w:bCs/>
                <w:szCs w:val="21"/>
                <w:u w:val="none"/>
              </w:rPr>
            </w:pPr>
            <w:r>
              <w:rPr>
                <w:b w:val="0"/>
                <w:bCs/>
                <w:szCs w:val="21"/>
                <w:u w:val="none"/>
              </w:rPr>
              <w:t>（1）防火灾、爆炸事故应急设施、设备与材料，主要为消防器材</w:t>
            </w:r>
          </w:p>
          <w:p>
            <w:pPr>
              <w:adjustRightInd w:val="0"/>
              <w:snapToGrid w:val="0"/>
              <w:spacing w:line="360" w:lineRule="exact"/>
              <w:rPr>
                <w:b w:val="0"/>
                <w:bCs/>
                <w:szCs w:val="21"/>
                <w:u w:val="none"/>
              </w:rPr>
            </w:pPr>
            <w:r>
              <w:rPr>
                <w:b w:val="0"/>
                <w:bCs/>
                <w:szCs w:val="21"/>
                <w:u w:val="none"/>
              </w:rPr>
              <w:t>（2）防止原辅料泄漏、外溢、扩散</w:t>
            </w:r>
          </w:p>
          <w:p>
            <w:pPr>
              <w:adjustRightInd w:val="0"/>
              <w:snapToGrid w:val="0"/>
              <w:spacing w:line="360" w:lineRule="exact"/>
              <w:rPr>
                <w:b w:val="0"/>
                <w:bCs/>
                <w:szCs w:val="21"/>
                <w:u w:val="none"/>
              </w:rPr>
            </w:pPr>
            <w:r>
              <w:rPr>
                <w:b w:val="0"/>
                <w:bCs/>
                <w:szCs w:val="21"/>
                <w:u w:val="none"/>
              </w:rPr>
              <w:t>（3）事故中使用的防毒设备与材料</w:t>
            </w:r>
          </w:p>
          <w:p>
            <w:pPr>
              <w:adjustRightInd w:val="0"/>
              <w:snapToGrid w:val="0"/>
              <w:spacing w:line="360" w:lineRule="exact"/>
              <w:rPr>
                <w:b w:val="0"/>
                <w:bCs/>
                <w:szCs w:val="21"/>
                <w:u w:val="none"/>
              </w:rPr>
            </w:pPr>
            <w:r>
              <w:rPr>
                <w:b w:val="0"/>
                <w:bCs/>
                <w:szCs w:val="21"/>
                <w:u w:val="none"/>
              </w:rPr>
              <w:t>贮存区：</w:t>
            </w:r>
          </w:p>
          <w:p>
            <w:pPr>
              <w:adjustRightInd w:val="0"/>
              <w:snapToGrid w:val="0"/>
              <w:spacing w:line="360" w:lineRule="exact"/>
              <w:rPr>
                <w:b w:val="0"/>
                <w:bCs/>
                <w:szCs w:val="21"/>
                <w:u w:val="none"/>
              </w:rPr>
            </w:pPr>
            <w:r>
              <w:rPr>
                <w:b w:val="0"/>
                <w:bCs/>
                <w:szCs w:val="21"/>
                <w:u w:val="none"/>
              </w:rPr>
              <w:t>（1）防火灾、爆炸事故应急设施、设备与材料，主要为消防器材</w:t>
            </w:r>
          </w:p>
          <w:p>
            <w:pPr>
              <w:adjustRightInd w:val="0"/>
              <w:snapToGrid w:val="0"/>
              <w:spacing w:line="360" w:lineRule="exact"/>
              <w:rPr>
                <w:b w:val="0"/>
                <w:bCs/>
                <w:szCs w:val="21"/>
                <w:u w:val="none"/>
              </w:rPr>
            </w:pPr>
            <w:r>
              <w:rPr>
                <w:b w:val="0"/>
                <w:bCs/>
                <w:szCs w:val="21"/>
                <w:u w:val="none"/>
              </w:rPr>
              <w:t>（2）防止原辅料泄漏、外溢、扩散</w:t>
            </w:r>
          </w:p>
          <w:p>
            <w:pPr>
              <w:adjustRightInd w:val="0"/>
              <w:snapToGrid w:val="0"/>
              <w:spacing w:line="360" w:lineRule="exact"/>
              <w:rPr>
                <w:b w:val="0"/>
                <w:bCs/>
                <w:szCs w:val="21"/>
                <w:u w:val="none"/>
              </w:rPr>
            </w:pPr>
            <w:r>
              <w:rPr>
                <w:b w:val="0"/>
                <w:bCs/>
                <w:szCs w:val="21"/>
                <w:u w:val="none"/>
              </w:rPr>
              <w:t>（3）事故中使用的防毒设备与材料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7</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应急通讯、通知与交通</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规定应急状态下的通讯方式、通知方式和交通保障、管制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8</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应急环境监测及事故后评估</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由专业队伍对事故现场进行侦察监测，对事故性质、参数与后果进行评估，为指挥部门提供决策依据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9</w:t>
            </w:r>
          </w:p>
        </w:tc>
        <w:tc>
          <w:tcPr>
            <w:tcW w:w="1634"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应急防护措施，消除泄漏方法和器材</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事故现场：控制事故、防止扩大、漫延及链锁反应、消除现场泄漏物、降低危害；相应的设施器材配备</w:t>
            </w:r>
          </w:p>
          <w:p>
            <w:pPr>
              <w:adjustRightInd w:val="0"/>
              <w:snapToGrid w:val="0"/>
              <w:spacing w:line="360" w:lineRule="exact"/>
              <w:rPr>
                <w:b w:val="0"/>
                <w:bCs/>
                <w:szCs w:val="21"/>
                <w:u w:val="none"/>
              </w:rPr>
            </w:pPr>
            <w:r>
              <w:rPr>
                <w:b w:val="0"/>
                <w:bCs/>
                <w:szCs w:val="21"/>
                <w:u w:val="none"/>
              </w:rPr>
              <w:t>邻近区域：控制事故影响范围，控制和消除污染措施及相应设备配备</w:t>
            </w:r>
          </w:p>
          <w:p>
            <w:pPr>
              <w:adjustRightInd w:val="0"/>
              <w:snapToGrid w:val="0"/>
              <w:spacing w:line="360" w:lineRule="exact"/>
              <w:rPr>
                <w:b w:val="0"/>
                <w:bCs/>
                <w:szCs w:val="21"/>
                <w:u w:val="none"/>
              </w:rPr>
            </w:pPr>
            <w:r>
              <w:rPr>
                <w:b w:val="0"/>
                <w:bCs/>
                <w:szCs w:val="21"/>
                <w:u w:val="none"/>
              </w:rPr>
              <w:t>一旦发现属于人畜共患病类传染疾病死因的病死猪，应立即报告有关部门，同时将整个种群隔离，限制人员流动，对病死猪类及其污染物进行焚烧处理。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10</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应急剂量控制、撤离组织计划、医疗救护与公众健康</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事故现场：事故处理人员对毒物的应急剂量控制规定，现场及邻近装置人员撤离组织计划及救护</w:t>
            </w:r>
          </w:p>
          <w:p>
            <w:pPr>
              <w:adjustRightInd w:val="0"/>
              <w:snapToGrid w:val="0"/>
              <w:spacing w:line="360" w:lineRule="exact"/>
              <w:rPr>
                <w:b w:val="0"/>
                <w:bCs/>
                <w:szCs w:val="21"/>
                <w:u w:val="none"/>
              </w:rPr>
            </w:pPr>
            <w:r>
              <w:rPr>
                <w:b w:val="0"/>
                <w:bCs/>
                <w:szCs w:val="21"/>
                <w:u w:val="none"/>
              </w:rPr>
              <w:t>工厂邻近区：受事故影响的邻近区域人员及公众对毒物应急剂量控制规定，撤离组织计划及救护方案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11</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事故状态终止与恢复措施</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规定应急状态终止程序：事故善后处理，恢复措施，邻近区域解除事故警戒及善后恢复措施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12</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人员培训与演练</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应急计划制定后，平时安排主要岗位人员进行安全教育培训与演练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13</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公众教育和信息</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加强公众宣传教育和培训，让公众和员工对主要化学化工原料、产品等有深刻的了解、认识和安全防患意识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14</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记录和报告</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设置应急事故专门记录，建立档案和专门报告制度，设专门部门并负责管理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15</w:t>
            </w:r>
          </w:p>
        </w:tc>
        <w:tc>
          <w:tcPr>
            <w:tcW w:w="1634" w:type="dxa"/>
            <w:tcMar>
              <w:top w:w="0" w:type="dxa"/>
              <w:left w:w="28" w:type="dxa"/>
              <w:bottom w:w="0" w:type="dxa"/>
              <w:right w:w="28" w:type="dxa"/>
            </w:tcMar>
            <w:vAlign w:val="center"/>
          </w:tcPr>
          <w:p>
            <w:pPr>
              <w:adjustRightInd w:val="0"/>
              <w:snapToGrid w:val="0"/>
              <w:spacing w:line="360" w:lineRule="exact"/>
              <w:jc w:val="center"/>
              <w:rPr>
                <w:b w:val="0"/>
                <w:bCs/>
                <w:szCs w:val="21"/>
                <w:u w:val="none"/>
              </w:rPr>
            </w:pPr>
            <w:r>
              <w:rPr>
                <w:b w:val="0"/>
                <w:bCs/>
                <w:szCs w:val="21"/>
                <w:u w:val="none"/>
              </w:rPr>
              <w:t>附件</w:t>
            </w:r>
          </w:p>
        </w:tc>
        <w:tc>
          <w:tcPr>
            <w:tcW w:w="6431" w:type="dxa"/>
            <w:tcMar>
              <w:top w:w="0" w:type="dxa"/>
              <w:left w:w="28" w:type="dxa"/>
              <w:bottom w:w="0" w:type="dxa"/>
              <w:right w:w="28" w:type="dxa"/>
            </w:tcMar>
            <w:vAlign w:val="center"/>
          </w:tcPr>
          <w:p>
            <w:pPr>
              <w:adjustRightInd w:val="0"/>
              <w:snapToGrid w:val="0"/>
              <w:spacing w:line="360" w:lineRule="exact"/>
              <w:rPr>
                <w:b w:val="0"/>
                <w:bCs/>
                <w:szCs w:val="21"/>
                <w:u w:val="none"/>
              </w:rPr>
            </w:pPr>
            <w:r>
              <w:rPr>
                <w:b w:val="0"/>
                <w:bCs/>
                <w:szCs w:val="21"/>
                <w:u w:val="none"/>
              </w:rPr>
              <w:t>与应急事故有关的多种附件材料的准备和形成</w:t>
            </w:r>
          </w:p>
        </w:tc>
      </w:tr>
    </w:tbl>
    <w:p>
      <w:pPr>
        <w:tabs>
          <w:tab w:val="right" w:leader="dot" w:pos="8647"/>
        </w:tabs>
        <w:adjustRightInd w:val="0"/>
        <w:snapToGrid w:val="0"/>
        <w:spacing w:line="500" w:lineRule="exact"/>
        <w:rPr>
          <w:b w:val="0"/>
          <w:bCs/>
          <w:color w:val="000000"/>
          <w:sz w:val="24"/>
          <w:u w:val="none"/>
        </w:rPr>
      </w:pPr>
      <w:bookmarkStart w:id="269" w:name="_Toc17342"/>
      <w:bookmarkStart w:id="270" w:name="_Toc445457750"/>
      <w:bookmarkStart w:id="271" w:name="_Toc11975"/>
      <w:r>
        <w:rPr>
          <w:rFonts w:hint="eastAsia"/>
          <w:b w:val="0"/>
          <w:bCs/>
          <w:color w:val="000000"/>
          <w:sz w:val="24"/>
          <w:u w:val="none"/>
          <w:lang w:val="en-US" w:eastAsia="zh-CN"/>
        </w:rPr>
        <w:t>4</w:t>
      </w:r>
      <w:r>
        <w:rPr>
          <w:b w:val="0"/>
          <w:bCs/>
          <w:color w:val="000000"/>
          <w:sz w:val="24"/>
          <w:u w:val="none"/>
        </w:rPr>
        <w:t>.2.7.</w:t>
      </w:r>
      <w:r>
        <w:rPr>
          <w:rFonts w:hint="eastAsia"/>
          <w:b w:val="0"/>
          <w:bCs/>
          <w:color w:val="000000"/>
          <w:sz w:val="24"/>
          <w:u w:val="none"/>
        </w:rPr>
        <w:t>8</w:t>
      </w:r>
      <w:r>
        <w:rPr>
          <w:b w:val="0"/>
          <w:bCs/>
          <w:color w:val="000000"/>
          <w:sz w:val="24"/>
          <w:u w:val="none"/>
        </w:rPr>
        <w:t xml:space="preserve"> 风险评价结论</w:t>
      </w:r>
      <w:bookmarkEnd w:id="269"/>
      <w:bookmarkEnd w:id="270"/>
      <w:bookmarkEnd w:id="271"/>
    </w:p>
    <w:p>
      <w:pPr>
        <w:spacing w:line="500" w:lineRule="exact"/>
        <w:ind w:firstLine="480" w:firstLineChars="200"/>
        <w:rPr>
          <w:b w:val="0"/>
          <w:bCs/>
          <w:color w:val="000000"/>
          <w:sz w:val="24"/>
          <w:u w:val="none"/>
        </w:rPr>
      </w:pPr>
      <w:r>
        <w:rPr>
          <w:b w:val="0"/>
          <w:bCs/>
          <w:color w:val="000000"/>
          <w:sz w:val="24"/>
          <w:u w:val="none"/>
        </w:rPr>
        <w:t>本项目所涉及物质沼气（甲烷）具有易燃易爆的危险性质，因此存在发生沼气泄漏并引发火灾、爆炸等事故的风险。本项目各个厂界距离敏感点村庄的距离均在500m以上，均在本项目爆炸影响范围之外，本项目</w:t>
      </w:r>
      <w:r>
        <w:rPr>
          <w:rFonts w:hint="eastAsia"/>
          <w:b w:val="0"/>
          <w:bCs/>
          <w:color w:val="000000"/>
          <w:sz w:val="24"/>
          <w:u w:val="none"/>
          <w:lang w:eastAsia="zh-CN"/>
        </w:rPr>
        <w:t>黑膜</w:t>
      </w:r>
      <w:r>
        <w:rPr>
          <w:b w:val="0"/>
          <w:bCs/>
          <w:color w:val="000000"/>
          <w:sz w:val="24"/>
          <w:u w:val="none"/>
        </w:rPr>
        <w:t>沼气池发生爆炸不会对周围村庄造成较大影响。</w:t>
      </w:r>
    </w:p>
    <w:p>
      <w:pPr>
        <w:spacing w:line="500" w:lineRule="exact"/>
        <w:ind w:firstLine="480" w:firstLineChars="200"/>
        <w:rPr>
          <w:b w:val="0"/>
          <w:bCs/>
          <w:color w:val="000000"/>
          <w:sz w:val="24"/>
          <w:u w:val="none"/>
        </w:rPr>
      </w:pPr>
      <w:r>
        <w:rPr>
          <w:b w:val="0"/>
          <w:bCs/>
          <w:color w:val="000000"/>
          <w:sz w:val="24"/>
          <w:u w:val="none"/>
        </w:rPr>
        <w:t>当前我国猪群中危害严重的传染病较多，但大部分传染病只会在猪群内传播，不会给人类带来较大的危害，但建设单位仍需做好猪群疫病的防御及监控工作，建立疫病监测监控制度，及时掌握疫情动态，以便做好疫情预警预测工作，发现问题及时采取有力措施将损失控制到最小限度，确保人群及猪群的健康。</w:t>
      </w:r>
    </w:p>
    <w:p>
      <w:pPr>
        <w:spacing w:line="500" w:lineRule="exact"/>
        <w:ind w:firstLine="480" w:firstLineChars="200"/>
        <w:rPr>
          <w:b w:val="0"/>
          <w:bCs/>
          <w:color w:val="000000"/>
          <w:sz w:val="24"/>
          <w:u w:val="none"/>
        </w:rPr>
      </w:pPr>
      <w:r>
        <w:rPr>
          <w:b w:val="0"/>
          <w:bCs/>
          <w:color w:val="000000"/>
          <w:sz w:val="24"/>
          <w:u w:val="none"/>
        </w:rPr>
        <w:t>在严格落实本环评提出的各项风险防范措施和事故应急预案后，该项目发生风险事故的可能进一步降低，其潜在的环境风险是可以接受的。</w:t>
      </w:r>
    </w:p>
    <w:p>
      <w:pPr>
        <w:spacing w:line="600" w:lineRule="exact"/>
        <w:outlineLvl w:val="2"/>
        <w:rPr>
          <w:b/>
          <w:color w:val="000000"/>
          <w:sz w:val="24"/>
        </w:rPr>
      </w:pPr>
      <w:bookmarkStart w:id="272" w:name="_Toc368100497"/>
      <w:bookmarkStart w:id="273" w:name="_Toc383761380"/>
      <w:bookmarkStart w:id="274" w:name="_Toc304530615"/>
      <w:bookmarkStart w:id="275" w:name="_Toc481736756"/>
      <w:r>
        <w:rPr>
          <w:rFonts w:hint="eastAsia"/>
          <w:b/>
          <w:color w:val="000000"/>
          <w:sz w:val="24"/>
          <w:lang w:val="en-US" w:eastAsia="zh-CN"/>
        </w:rPr>
        <w:t>4</w:t>
      </w:r>
      <w:r>
        <w:rPr>
          <w:b/>
          <w:color w:val="000000"/>
          <w:sz w:val="24"/>
        </w:rPr>
        <w:t>.2.8 总量控制</w:t>
      </w:r>
      <w:bookmarkEnd w:id="272"/>
      <w:bookmarkEnd w:id="273"/>
      <w:bookmarkEnd w:id="274"/>
      <w:r>
        <w:rPr>
          <w:b/>
          <w:color w:val="000000"/>
          <w:sz w:val="24"/>
        </w:rPr>
        <w:t>分析</w:t>
      </w:r>
      <w:bookmarkEnd w:id="275"/>
    </w:p>
    <w:p>
      <w:pPr>
        <w:spacing w:line="500" w:lineRule="exact"/>
        <w:ind w:firstLine="480" w:firstLineChars="200"/>
        <w:rPr>
          <w:color w:val="000000"/>
          <w:sz w:val="24"/>
        </w:rPr>
      </w:pPr>
      <w:r>
        <w:rPr>
          <w:color w:val="000000"/>
          <w:sz w:val="24"/>
        </w:rPr>
        <w:t>根据《河南省主要污染物排放总量预算管理办法（试行）实施细则》（豫环文【2012】42号）及全国主要污染物排放总量控制项目有关要求，总量控制指标为：水污染物——COD、氨氮；大气污染物——SO</w:t>
      </w:r>
      <w:r>
        <w:rPr>
          <w:color w:val="000000"/>
          <w:sz w:val="24"/>
          <w:vertAlign w:val="subscript"/>
        </w:rPr>
        <w:t>2</w:t>
      </w:r>
      <w:r>
        <w:rPr>
          <w:color w:val="000000"/>
          <w:sz w:val="24"/>
        </w:rPr>
        <w:t>、NOx。</w:t>
      </w:r>
    </w:p>
    <w:p>
      <w:pPr>
        <w:spacing w:line="500" w:lineRule="exact"/>
        <w:ind w:firstLine="480" w:firstLineChars="200"/>
        <w:rPr>
          <w:color w:val="000000"/>
          <w:sz w:val="24"/>
        </w:rPr>
      </w:pPr>
      <w:r>
        <w:rPr>
          <w:bCs/>
          <w:color w:val="000000"/>
          <w:sz w:val="24"/>
        </w:rPr>
        <w:t>废气：项目涉及总量控制指标的是沼气</w:t>
      </w:r>
      <w:r>
        <w:rPr>
          <w:rFonts w:hint="eastAsia"/>
          <w:bCs/>
          <w:color w:val="000000"/>
          <w:sz w:val="24"/>
          <w:lang w:val="en-US" w:eastAsia="zh-CN"/>
        </w:rPr>
        <w:t>燃烧</w:t>
      </w:r>
      <w:r>
        <w:rPr>
          <w:bCs/>
          <w:color w:val="000000"/>
          <w:sz w:val="24"/>
        </w:rPr>
        <w:t>废气中的</w:t>
      </w:r>
      <w:r>
        <w:rPr>
          <w:color w:val="000000"/>
          <w:sz w:val="24"/>
        </w:rPr>
        <w:t>SO</w:t>
      </w:r>
      <w:r>
        <w:rPr>
          <w:color w:val="000000"/>
          <w:sz w:val="24"/>
          <w:vertAlign w:val="subscript"/>
        </w:rPr>
        <w:t>2</w:t>
      </w:r>
      <w:r>
        <w:rPr>
          <w:bCs/>
          <w:color w:val="000000"/>
          <w:sz w:val="24"/>
        </w:rPr>
        <w:t>及</w:t>
      </w:r>
      <w:r>
        <w:rPr>
          <w:iCs/>
          <w:color w:val="000000"/>
          <w:sz w:val="24"/>
        </w:rPr>
        <w:t>NO</w:t>
      </w:r>
      <w:r>
        <w:rPr>
          <w:iCs/>
          <w:color w:val="000000"/>
          <w:sz w:val="24"/>
          <w:vertAlign w:val="subscript"/>
        </w:rPr>
        <w:t>X</w:t>
      </w:r>
      <w:r>
        <w:rPr>
          <w:bCs/>
          <w:color w:val="000000"/>
          <w:sz w:val="24"/>
        </w:rPr>
        <w:t>，</w:t>
      </w:r>
      <w:r>
        <w:rPr>
          <w:color w:val="000000"/>
          <w:sz w:val="24"/>
        </w:rPr>
        <w:t>经工程分析可知，项目全年燃烧沼气量共计</w:t>
      </w:r>
      <w:r>
        <w:rPr>
          <w:rFonts w:hint="eastAsia"/>
          <w:sz w:val="24"/>
          <w:szCs w:val="24"/>
          <w:lang w:val="en-US" w:eastAsia="zh-CN"/>
        </w:rPr>
        <w:t>24500</w:t>
      </w:r>
      <w:r>
        <w:rPr>
          <w:color w:val="000000"/>
          <w:sz w:val="24"/>
        </w:rPr>
        <w:t>m</w:t>
      </w:r>
      <w:r>
        <w:rPr>
          <w:color w:val="000000"/>
          <w:sz w:val="24"/>
          <w:vertAlign w:val="superscript"/>
        </w:rPr>
        <w:t>3</w:t>
      </w:r>
      <w:r>
        <w:rPr>
          <w:color w:val="000000"/>
          <w:sz w:val="24"/>
        </w:rPr>
        <w:t>，脱硫后的沼气燃烧废气中SO</w:t>
      </w:r>
      <w:r>
        <w:rPr>
          <w:color w:val="000000"/>
          <w:sz w:val="24"/>
          <w:vertAlign w:val="subscript"/>
        </w:rPr>
        <w:t>2</w:t>
      </w:r>
      <w:r>
        <w:rPr>
          <w:color w:val="000000"/>
          <w:sz w:val="24"/>
        </w:rPr>
        <w:t>排放量为</w:t>
      </w:r>
      <w:r>
        <w:rPr>
          <w:sz w:val="24"/>
        </w:rPr>
        <w:t>0.00</w:t>
      </w:r>
      <w:r>
        <w:rPr>
          <w:rFonts w:hint="eastAsia"/>
          <w:sz w:val="24"/>
          <w:lang w:val="en-US" w:eastAsia="zh-CN"/>
        </w:rPr>
        <w:t>07</w:t>
      </w:r>
      <w:r>
        <w:rPr>
          <w:color w:val="000000"/>
          <w:sz w:val="24"/>
        </w:rPr>
        <w:t>/a，</w:t>
      </w:r>
      <w:r>
        <w:rPr>
          <w:iCs/>
          <w:color w:val="000000"/>
          <w:sz w:val="24"/>
        </w:rPr>
        <w:t>NO</w:t>
      </w:r>
      <w:r>
        <w:rPr>
          <w:iCs/>
          <w:color w:val="000000"/>
          <w:sz w:val="24"/>
          <w:vertAlign w:val="subscript"/>
        </w:rPr>
        <w:t>X</w:t>
      </w:r>
      <w:r>
        <w:rPr>
          <w:iCs/>
          <w:color w:val="000000"/>
          <w:sz w:val="24"/>
        </w:rPr>
        <w:t>排放量为</w:t>
      </w:r>
      <w:r>
        <w:rPr>
          <w:sz w:val="24"/>
        </w:rPr>
        <w:t>0.0</w:t>
      </w:r>
      <w:r>
        <w:rPr>
          <w:rFonts w:hint="eastAsia"/>
          <w:sz w:val="24"/>
          <w:lang w:val="en-US" w:eastAsia="zh-CN"/>
        </w:rPr>
        <w:t>26</w:t>
      </w:r>
      <w:r>
        <w:rPr>
          <w:iCs/>
          <w:color w:val="000000"/>
          <w:sz w:val="24"/>
        </w:rPr>
        <w:t>t/a。</w:t>
      </w:r>
      <w:r>
        <w:rPr>
          <w:color w:val="000000"/>
          <w:sz w:val="24"/>
        </w:rPr>
        <w:t>建议项目总量控制指标为SO</w:t>
      </w:r>
      <w:r>
        <w:rPr>
          <w:color w:val="000000"/>
          <w:sz w:val="24"/>
          <w:vertAlign w:val="subscript"/>
        </w:rPr>
        <w:t>2</w:t>
      </w:r>
      <w:r>
        <w:rPr>
          <w:color w:val="000000"/>
          <w:sz w:val="24"/>
        </w:rPr>
        <w:t>：</w:t>
      </w:r>
      <w:r>
        <w:rPr>
          <w:sz w:val="24"/>
        </w:rPr>
        <w:t>0.00</w:t>
      </w:r>
      <w:r>
        <w:rPr>
          <w:rFonts w:hint="eastAsia"/>
          <w:sz w:val="24"/>
          <w:lang w:val="en-US" w:eastAsia="zh-CN"/>
        </w:rPr>
        <w:t>07</w:t>
      </w:r>
      <w:r>
        <w:rPr>
          <w:color w:val="000000"/>
          <w:sz w:val="24"/>
        </w:rPr>
        <w:t>t/a、NOx：</w:t>
      </w:r>
      <w:r>
        <w:rPr>
          <w:sz w:val="24"/>
        </w:rPr>
        <w:t>0.0</w:t>
      </w:r>
      <w:r>
        <w:rPr>
          <w:rFonts w:hint="eastAsia"/>
          <w:sz w:val="24"/>
          <w:lang w:val="en-US" w:eastAsia="zh-CN"/>
        </w:rPr>
        <w:t>26</w:t>
      </w:r>
      <w:r>
        <w:rPr>
          <w:color w:val="000000"/>
          <w:sz w:val="24"/>
        </w:rPr>
        <w:t>t/a。</w:t>
      </w:r>
    </w:p>
    <w:p>
      <w:pPr>
        <w:spacing w:line="500" w:lineRule="exact"/>
        <w:ind w:firstLine="480" w:firstLineChars="200"/>
        <w:rPr>
          <w:color w:val="000000"/>
          <w:sz w:val="24"/>
        </w:rPr>
      </w:pPr>
      <w:r>
        <w:rPr>
          <w:color w:val="000000"/>
          <w:sz w:val="24"/>
        </w:rPr>
        <w:t>废水：项目废水经沼气化处理后，沼液用于农田施肥，全部综合利用、不外排，无废水总量控制指标。</w:t>
      </w:r>
    </w:p>
    <w:p>
      <w:pPr>
        <w:spacing w:line="500" w:lineRule="exact"/>
        <w:ind w:firstLine="480" w:firstLineChars="200"/>
        <w:rPr>
          <w:color w:val="000000"/>
          <w:sz w:val="24"/>
        </w:rPr>
      </w:pPr>
      <w:r>
        <w:rPr>
          <w:color w:val="000000"/>
          <w:sz w:val="24"/>
        </w:rPr>
        <w:t>综上，本项目设置的总量控制指标为：SO</w:t>
      </w:r>
      <w:r>
        <w:rPr>
          <w:color w:val="000000"/>
          <w:sz w:val="24"/>
          <w:vertAlign w:val="subscript"/>
        </w:rPr>
        <w:t>2</w:t>
      </w:r>
      <w:r>
        <w:rPr>
          <w:color w:val="000000"/>
          <w:sz w:val="24"/>
        </w:rPr>
        <w:t>：</w:t>
      </w:r>
      <w:r>
        <w:rPr>
          <w:sz w:val="24"/>
        </w:rPr>
        <w:t>0.00</w:t>
      </w:r>
      <w:r>
        <w:rPr>
          <w:rFonts w:hint="eastAsia"/>
          <w:sz w:val="24"/>
          <w:lang w:val="en-US" w:eastAsia="zh-CN"/>
        </w:rPr>
        <w:t>07</w:t>
      </w:r>
      <w:r>
        <w:rPr>
          <w:color w:val="000000"/>
          <w:sz w:val="24"/>
        </w:rPr>
        <w:t>t/a、NOx：</w:t>
      </w:r>
      <w:r>
        <w:rPr>
          <w:sz w:val="24"/>
        </w:rPr>
        <w:t>0.0</w:t>
      </w:r>
      <w:r>
        <w:rPr>
          <w:rFonts w:hint="eastAsia"/>
          <w:sz w:val="24"/>
          <w:lang w:val="en-US" w:eastAsia="zh-CN"/>
        </w:rPr>
        <w:t>26</w:t>
      </w:r>
      <w:r>
        <w:rPr>
          <w:color w:val="000000"/>
          <w:sz w:val="24"/>
        </w:rPr>
        <w:t>t/a。</w:t>
      </w:r>
    </w:p>
    <w:p>
      <w:pPr>
        <w:rPr>
          <w:b/>
          <w:sz w:val="44"/>
          <w:szCs w:val="44"/>
        </w:rPr>
      </w:pPr>
      <w:bookmarkStart w:id="276" w:name="_Toc488572571"/>
      <w:r>
        <w:rPr>
          <w:b/>
          <w:sz w:val="44"/>
          <w:szCs w:val="44"/>
        </w:rPr>
        <w:br w:type="page"/>
      </w:r>
    </w:p>
    <w:p>
      <w:pPr>
        <w:keepNext/>
        <w:keepLines/>
        <w:spacing w:before="100" w:beforeAutospacing="1" w:after="100" w:afterAutospacing="1"/>
        <w:jc w:val="center"/>
        <w:outlineLvl w:val="0"/>
        <w:rPr>
          <w:b/>
          <w:sz w:val="44"/>
          <w:szCs w:val="44"/>
        </w:rPr>
      </w:pPr>
      <w:bookmarkStart w:id="277" w:name="_Toc21137"/>
      <w:r>
        <w:rPr>
          <w:b/>
          <w:sz w:val="44"/>
          <w:szCs w:val="44"/>
        </w:rPr>
        <w:t>第</w:t>
      </w:r>
      <w:r>
        <w:rPr>
          <w:rFonts w:hint="eastAsia"/>
          <w:b/>
          <w:sz w:val="44"/>
          <w:szCs w:val="44"/>
          <w:lang w:val="en-US" w:eastAsia="zh-CN"/>
        </w:rPr>
        <w:t>五</w:t>
      </w:r>
      <w:r>
        <w:rPr>
          <w:b/>
          <w:sz w:val="44"/>
          <w:szCs w:val="44"/>
        </w:rPr>
        <w:t>章  环境保护措施及其可行性论证</w:t>
      </w:r>
      <w:bookmarkEnd w:id="276"/>
      <w:bookmarkEnd w:id="277"/>
    </w:p>
    <w:p>
      <w:pPr>
        <w:pStyle w:val="5"/>
        <w:spacing w:before="156" w:after="156"/>
        <w:rPr>
          <w:rFonts w:hAnsi="Times New Roman"/>
          <w:color w:val="000000"/>
        </w:rPr>
      </w:pPr>
      <w:bookmarkStart w:id="278" w:name="_Toc488572572"/>
      <w:bookmarkStart w:id="279" w:name="_Toc10842"/>
      <w:r>
        <w:rPr>
          <w:rFonts w:hint="eastAsia" w:hAnsi="Times New Roman"/>
          <w:color w:val="000000"/>
          <w:lang w:val="en-US" w:eastAsia="zh-CN"/>
        </w:rPr>
        <w:t>5</w:t>
      </w:r>
      <w:r>
        <w:rPr>
          <w:rFonts w:hAnsi="Times New Roman"/>
          <w:color w:val="000000"/>
        </w:rPr>
        <w:t>.1施工期污染防治措施</w:t>
      </w:r>
      <w:bookmarkEnd w:id="278"/>
      <w:bookmarkEnd w:id="279"/>
    </w:p>
    <w:p>
      <w:pPr>
        <w:topLinePunct/>
        <w:spacing w:line="500" w:lineRule="exact"/>
        <w:ind w:firstLine="480" w:firstLineChars="200"/>
        <w:rPr>
          <w:color w:val="000000"/>
          <w:sz w:val="24"/>
        </w:rPr>
      </w:pPr>
      <w:r>
        <w:rPr>
          <w:color w:val="000000"/>
          <w:sz w:val="24"/>
        </w:rPr>
        <w:t>评价针对工程施工期可能对环境造成的影响，以保护项目区的环境、最大限度地减少工程建设对环境造成的不利影响为目的，对施工期环境影响因素进行简要分析并提出具体的防范措施。</w:t>
      </w:r>
    </w:p>
    <w:p>
      <w:pPr>
        <w:topLinePunct/>
        <w:spacing w:line="600" w:lineRule="exact"/>
        <w:outlineLvl w:val="2"/>
        <w:rPr>
          <w:b/>
          <w:color w:val="000000"/>
          <w:sz w:val="24"/>
        </w:rPr>
      </w:pPr>
      <w:r>
        <w:rPr>
          <w:rFonts w:hint="eastAsia"/>
          <w:b/>
          <w:color w:val="000000"/>
          <w:sz w:val="24"/>
          <w:lang w:val="en-US" w:eastAsia="zh-CN"/>
        </w:rPr>
        <w:t>5</w:t>
      </w:r>
      <w:r>
        <w:rPr>
          <w:b/>
          <w:color w:val="000000"/>
          <w:sz w:val="24"/>
        </w:rPr>
        <w:t>.1.1施工期水环境影响及保护措施</w:t>
      </w:r>
    </w:p>
    <w:p>
      <w:pPr>
        <w:topLinePunct/>
        <w:adjustRightInd w:val="0"/>
        <w:snapToGrid w:val="0"/>
        <w:spacing w:line="520" w:lineRule="exact"/>
        <w:ind w:firstLine="561"/>
        <w:rPr>
          <w:color w:val="000000"/>
          <w:sz w:val="24"/>
        </w:rPr>
      </w:pPr>
      <w:r>
        <w:rPr>
          <w:color w:val="000000"/>
          <w:sz w:val="24"/>
        </w:rPr>
        <w:t>工程对水环境的污染主要包括施工期生产废水、施工人员生活污水，评价针对环境特点提出工程施工期水环境保护措施，详见表</w:t>
      </w:r>
      <w:r>
        <w:rPr>
          <w:rFonts w:hint="eastAsia"/>
          <w:color w:val="000000"/>
          <w:sz w:val="24"/>
          <w:lang w:val="en-US" w:eastAsia="zh-CN"/>
        </w:rPr>
        <w:t>5.1</w:t>
      </w:r>
      <w:r>
        <w:rPr>
          <w:color w:val="000000"/>
          <w:sz w:val="24"/>
        </w:rPr>
        <w:t>-1。</w:t>
      </w:r>
    </w:p>
    <w:p>
      <w:pPr>
        <w:topLinePunct/>
        <w:spacing w:beforeLines="50" w:afterLines="50"/>
        <w:ind w:firstLine="420" w:firstLineChars="200"/>
        <w:jc w:val="center"/>
        <w:rPr>
          <w:color w:val="000000"/>
          <w:sz w:val="24"/>
        </w:rPr>
      </w:pPr>
      <w:r>
        <w:rPr>
          <w:b/>
          <w:color w:val="000000"/>
          <w:szCs w:val="21"/>
        </w:rPr>
        <w:t>表</w:t>
      </w:r>
      <w:r>
        <w:rPr>
          <w:rFonts w:hint="eastAsia"/>
          <w:b/>
          <w:color w:val="000000"/>
          <w:szCs w:val="21"/>
          <w:lang w:val="en-US" w:eastAsia="zh-CN"/>
        </w:rPr>
        <w:t>5.1</w:t>
      </w:r>
      <w:r>
        <w:rPr>
          <w:b/>
          <w:color w:val="000000"/>
          <w:szCs w:val="21"/>
        </w:rPr>
        <w:t>-1     施工期水环境保护措施一览表</w:t>
      </w:r>
    </w:p>
    <w:tbl>
      <w:tblPr>
        <w:tblStyle w:val="45"/>
        <w:tblW w:w="8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216"/>
        <w:gridCol w:w="3544"/>
        <w:gridCol w:w="2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2216"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3544"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454"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1</w:t>
            </w:r>
          </w:p>
        </w:tc>
        <w:tc>
          <w:tcPr>
            <w:tcW w:w="2216" w:type="dxa"/>
            <w:tcMar>
              <w:left w:w="0" w:type="dxa"/>
              <w:right w:w="0" w:type="dxa"/>
            </w:tcMar>
            <w:vAlign w:val="center"/>
          </w:tcPr>
          <w:p>
            <w:pPr>
              <w:topLinePunct/>
              <w:adjustRightInd w:val="0"/>
              <w:snapToGrid w:val="0"/>
              <w:jc w:val="center"/>
              <w:rPr>
                <w:color w:val="000000"/>
                <w:szCs w:val="21"/>
              </w:rPr>
            </w:pPr>
            <w:r>
              <w:rPr>
                <w:color w:val="000000"/>
                <w:szCs w:val="21"/>
              </w:rPr>
              <w:t>施工排水可能对水环境产生影响，造成水土流失</w:t>
            </w:r>
          </w:p>
        </w:tc>
        <w:tc>
          <w:tcPr>
            <w:tcW w:w="3544" w:type="dxa"/>
            <w:tcMar>
              <w:left w:w="0" w:type="dxa"/>
              <w:right w:w="0" w:type="dxa"/>
            </w:tcMar>
            <w:vAlign w:val="center"/>
          </w:tcPr>
          <w:p>
            <w:pPr>
              <w:topLinePunct/>
              <w:adjustRightInd w:val="0"/>
              <w:snapToGrid w:val="0"/>
              <w:jc w:val="left"/>
              <w:rPr>
                <w:color w:val="000000"/>
                <w:szCs w:val="21"/>
              </w:rPr>
            </w:pPr>
            <w:r>
              <w:rPr>
                <w:color w:val="000000"/>
                <w:szCs w:val="21"/>
              </w:rPr>
              <w:t>施工用水尽量做到节约用水，重复利用，可用于拌和水泥，简单沉淀后用于浇灌施工现场周围树木和绿地，严禁排入地表水体</w:t>
            </w:r>
          </w:p>
        </w:tc>
        <w:tc>
          <w:tcPr>
            <w:tcW w:w="2454" w:type="dxa"/>
            <w:tcMar>
              <w:left w:w="0" w:type="dxa"/>
              <w:right w:w="0" w:type="dxa"/>
            </w:tcMar>
            <w:vAlign w:val="center"/>
          </w:tcPr>
          <w:p>
            <w:pPr>
              <w:topLinePunct/>
              <w:adjustRightInd w:val="0"/>
              <w:snapToGrid w:val="0"/>
              <w:jc w:val="left"/>
              <w:rPr>
                <w:color w:val="000000"/>
                <w:szCs w:val="21"/>
              </w:rPr>
            </w:pPr>
            <w:r>
              <w:rPr>
                <w:color w:val="000000"/>
                <w:szCs w:val="21"/>
              </w:rPr>
              <w:t>节约用水，减少水土流失，减轻或避免生活污水、粪便对环境污染影响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2</w:t>
            </w:r>
          </w:p>
        </w:tc>
        <w:tc>
          <w:tcPr>
            <w:tcW w:w="2216" w:type="dxa"/>
            <w:tcMar>
              <w:left w:w="0" w:type="dxa"/>
              <w:right w:w="0" w:type="dxa"/>
            </w:tcMar>
            <w:vAlign w:val="center"/>
          </w:tcPr>
          <w:p>
            <w:pPr>
              <w:topLinePunct/>
              <w:adjustRightInd w:val="0"/>
              <w:snapToGrid w:val="0"/>
              <w:jc w:val="left"/>
              <w:rPr>
                <w:color w:val="000000"/>
                <w:szCs w:val="21"/>
              </w:rPr>
            </w:pPr>
            <w:r>
              <w:rPr>
                <w:color w:val="000000"/>
                <w:szCs w:val="21"/>
              </w:rPr>
              <w:t>生活污水、粪便随便排放对环境污染影响</w:t>
            </w:r>
          </w:p>
        </w:tc>
        <w:tc>
          <w:tcPr>
            <w:tcW w:w="3544" w:type="dxa"/>
            <w:tcMar>
              <w:left w:w="0" w:type="dxa"/>
              <w:right w:w="0" w:type="dxa"/>
            </w:tcMar>
            <w:vAlign w:val="center"/>
          </w:tcPr>
          <w:p>
            <w:pPr>
              <w:topLinePunct/>
              <w:adjustRightInd w:val="0"/>
              <w:snapToGrid w:val="0"/>
              <w:rPr>
                <w:color w:val="000000"/>
                <w:szCs w:val="21"/>
              </w:rPr>
            </w:pPr>
            <w:r>
              <w:rPr>
                <w:color w:val="000000"/>
                <w:szCs w:val="21"/>
              </w:rPr>
              <w:t>施工期修建旱厕，施工区生活污水及粪便经旱厕处理后用于浇灌周边绿地</w:t>
            </w:r>
          </w:p>
        </w:tc>
        <w:tc>
          <w:tcPr>
            <w:tcW w:w="2454" w:type="dxa"/>
            <w:tcMar>
              <w:left w:w="0" w:type="dxa"/>
              <w:right w:w="0" w:type="dxa"/>
            </w:tcMar>
            <w:vAlign w:val="center"/>
          </w:tcPr>
          <w:p>
            <w:pPr>
              <w:topLinePunct/>
              <w:adjustRightInd w:val="0"/>
              <w:snapToGrid w:val="0"/>
              <w:rPr>
                <w:color w:val="000000"/>
                <w:szCs w:val="21"/>
              </w:rPr>
            </w:pPr>
            <w:r>
              <w:rPr>
                <w:color w:val="000000"/>
                <w:szCs w:val="21"/>
              </w:rPr>
              <w:t>保护施工人员居住处的环境卫生</w:t>
            </w:r>
          </w:p>
        </w:tc>
      </w:tr>
    </w:tbl>
    <w:p>
      <w:pPr>
        <w:topLinePunct/>
        <w:spacing w:line="600" w:lineRule="exact"/>
        <w:outlineLvl w:val="2"/>
        <w:rPr>
          <w:b/>
          <w:color w:val="000000"/>
          <w:sz w:val="24"/>
        </w:rPr>
      </w:pPr>
      <w:r>
        <w:rPr>
          <w:rFonts w:hint="eastAsia"/>
          <w:b/>
          <w:color w:val="000000"/>
          <w:sz w:val="24"/>
          <w:lang w:val="en-US" w:eastAsia="zh-CN"/>
        </w:rPr>
        <w:t>5</w:t>
      </w:r>
      <w:r>
        <w:rPr>
          <w:b/>
          <w:color w:val="000000"/>
          <w:sz w:val="24"/>
        </w:rPr>
        <w:t>.1.2施工期环境空气保护措施分析</w:t>
      </w:r>
    </w:p>
    <w:p>
      <w:pPr>
        <w:topLinePunct/>
        <w:spacing w:line="500" w:lineRule="exact"/>
        <w:ind w:firstLine="480" w:firstLineChars="200"/>
        <w:rPr>
          <w:color w:val="000000"/>
          <w:sz w:val="24"/>
        </w:rPr>
      </w:pPr>
      <w:r>
        <w:rPr>
          <w:color w:val="000000"/>
          <w:sz w:val="24"/>
        </w:rPr>
        <w:t>施工期对环境空气的污染主要包括扬尘及施工车辆尾气排放，本项目应严格执行国家环境保护总局（公告2007年第74号）《防治城市扬尘污染技术规范》，河南省住房和城乡建设厅《河南省建筑施工现场扬尘防治管理暂行规定的通知》(豫建建【2014】83号)、《驻马店市大气污染防治攻坚战工作方案》具体要求，评价针对各种污染物排放特点及性质提出施工期环境空气污染防治措施，详见表</w:t>
      </w:r>
      <w:r>
        <w:rPr>
          <w:rFonts w:hint="eastAsia"/>
          <w:color w:val="000000"/>
          <w:sz w:val="24"/>
          <w:lang w:val="en-US" w:eastAsia="zh-CN"/>
        </w:rPr>
        <w:t>5.1</w:t>
      </w:r>
      <w:r>
        <w:rPr>
          <w:color w:val="000000"/>
          <w:sz w:val="24"/>
        </w:rPr>
        <w:t>-2。</w:t>
      </w:r>
    </w:p>
    <w:p>
      <w:pPr>
        <w:topLinePunct/>
        <w:spacing w:beforeLines="50" w:afterLines="50"/>
        <w:ind w:firstLine="420" w:firstLineChars="200"/>
        <w:jc w:val="center"/>
        <w:rPr>
          <w:b/>
          <w:color w:val="000000"/>
          <w:szCs w:val="21"/>
        </w:rPr>
      </w:pPr>
      <w:r>
        <w:rPr>
          <w:b/>
          <w:color w:val="000000"/>
          <w:szCs w:val="21"/>
        </w:rPr>
        <w:t>表</w:t>
      </w:r>
      <w:r>
        <w:rPr>
          <w:rFonts w:hint="eastAsia"/>
          <w:b/>
          <w:color w:val="000000"/>
          <w:szCs w:val="21"/>
          <w:lang w:val="en-US" w:eastAsia="zh-CN"/>
        </w:rPr>
        <w:t>5.1</w:t>
      </w:r>
      <w:r>
        <w:rPr>
          <w:b/>
          <w:color w:val="000000"/>
          <w:szCs w:val="21"/>
        </w:rPr>
        <w:t>-2       施工期环境空气保护措施一览表</w:t>
      </w:r>
    </w:p>
    <w:tbl>
      <w:tblPr>
        <w:tblStyle w:val="45"/>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9"/>
        <w:gridCol w:w="2418"/>
        <w:gridCol w:w="3186"/>
        <w:gridCol w:w="2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2418"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3186"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671"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69" w:type="dxa"/>
            <w:tcMar>
              <w:left w:w="0" w:type="dxa"/>
              <w:right w:w="0" w:type="dxa"/>
            </w:tcMar>
            <w:vAlign w:val="center"/>
          </w:tcPr>
          <w:p>
            <w:pPr>
              <w:topLinePunct/>
              <w:adjustRightInd w:val="0"/>
              <w:snapToGrid w:val="0"/>
              <w:jc w:val="center"/>
              <w:rPr>
                <w:color w:val="000000"/>
              </w:rPr>
            </w:pPr>
            <w:r>
              <w:rPr>
                <w:color w:val="000000"/>
              </w:rPr>
              <w:t>1</w:t>
            </w:r>
          </w:p>
        </w:tc>
        <w:tc>
          <w:tcPr>
            <w:tcW w:w="2418" w:type="dxa"/>
            <w:tcMar>
              <w:left w:w="0" w:type="dxa"/>
              <w:right w:w="0" w:type="dxa"/>
            </w:tcMar>
            <w:vAlign w:val="center"/>
          </w:tcPr>
          <w:p>
            <w:pPr>
              <w:topLinePunct/>
              <w:adjustRightInd w:val="0"/>
              <w:snapToGrid w:val="0"/>
              <w:jc w:val="center"/>
              <w:rPr>
                <w:color w:val="000000"/>
              </w:rPr>
            </w:pPr>
            <w:r>
              <w:rPr>
                <w:color w:val="000000"/>
              </w:rPr>
              <w:t>运输汽车运行产生道路扬尘污染</w:t>
            </w:r>
          </w:p>
        </w:tc>
        <w:tc>
          <w:tcPr>
            <w:tcW w:w="3186" w:type="dxa"/>
            <w:tcMar>
              <w:left w:w="0" w:type="dxa"/>
              <w:right w:w="0" w:type="dxa"/>
            </w:tcMar>
            <w:vAlign w:val="center"/>
          </w:tcPr>
          <w:p>
            <w:pPr>
              <w:topLinePunct/>
              <w:adjustRightInd w:val="0"/>
              <w:snapToGrid w:val="0"/>
              <w:jc w:val="center"/>
              <w:rPr>
                <w:color w:val="000000"/>
              </w:rPr>
            </w:pPr>
            <w:r>
              <w:rPr>
                <w:color w:val="000000"/>
              </w:rPr>
              <w:t>运输路线应定期洒水</w:t>
            </w:r>
          </w:p>
        </w:tc>
        <w:tc>
          <w:tcPr>
            <w:tcW w:w="2671" w:type="dxa"/>
            <w:tcMar>
              <w:left w:w="0" w:type="dxa"/>
              <w:right w:w="0" w:type="dxa"/>
            </w:tcMar>
            <w:vAlign w:val="center"/>
          </w:tcPr>
          <w:p>
            <w:pPr>
              <w:topLinePunct/>
              <w:adjustRightInd w:val="0"/>
              <w:snapToGrid w:val="0"/>
              <w:jc w:val="center"/>
              <w:rPr>
                <w:color w:val="000000"/>
                <w:szCs w:val="21"/>
              </w:rPr>
            </w:pPr>
            <w:r>
              <w:rPr>
                <w:color w:val="000000"/>
                <w:szCs w:val="21"/>
              </w:rPr>
              <w:t>减少道路扬尘对施工场区内人员、施工区周围厂房以及运输道路范围内污染影响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69" w:type="dxa"/>
            <w:tcMar>
              <w:left w:w="0" w:type="dxa"/>
              <w:right w:w="0" w:type="dxa"/>
            </w:tcMar>
            <w:vAlign w:val="center"/>
          </w:tcPr>
          <w:p>
            <w:pPr>
              <w:topLinePunct/>
              <w:adjustRightInd w:val="0"/>
              <w:snapToGrid w:val="0"/>
              <w:jc w:val="center"/>
              <w:rPr>
                <w:color w:val="000000"/>
              </w:rPr>
            </w:pPr>
            <w:r>
              <w:rPr>
                <w:color w:val="000000"/>
              </w:rPr>
              <w:t>2</w:t>
            </w:r>
          </w:p>
        </w:tc>
        <w:tc>
          <w:tcPr>
            <w:tcW w:w="2418" w:type="dxa"/>
            <w:tcMar>
              <w:left w:w="0" w:type="dxa"/>
              <w:right w:w="0" w:type="dxa"/>
            </w:tcMar>
            <w:vAlign w:val="center"/>
          </w:tcPr>
          <w:p>
            <w:pPr>
              <w:topLinePunct/>
              <w:adjustRightInd w:val="0"/>
              <w:snapToGrid w:val="0"/>
              <w:jc w:val="center"/>
              <w:rPr>
                <w:color w:val="000000"/>
              </w:rPr>
            </w:pPr>
            <w:r>
              <w:rPr>
                <w:color w:val="000000"/>
              </w:rPr>
              <w:t>运输过程中撒落砂石、土等材料，产生二次污染</w:t>
            </w:r>
          </w:p>
        </w:tc>
        <w:tc>
          <w:tcPr>
            <w:tcW w:w="3186" w:type="dxa"/>
            <w:tcMar>
              <w:left w:w="0" w:type="dxa"/>
              <w:right w:w="0" w:type="dxa"/>
            </w:tcMar>
            <w:vAlign w:val="center"/>
          </w:tcPr>
          <w:p>
            <w:pPr>
              <w:topLinePunct/>
              <w:adjustRightInd w:val="0"/>
              <w:snapToGrid w:val="0"/>
              <w:jc w:val="center"/>
              <w:rPr>
                <w:color w:val="000000"/>
              </w:rPr>
            </w:pPr>
            <w:r>
              <w:rPr>
                <w:color w:val="000000"/>
              </w:rPr>
              <w:t>加强运输管理，保证汽车文明、安全、中速行驶，运输砂石、土、水泥、石灰的车辆表面应加以覆盖，避免砂石、土洒落造成二次污染影响</w:t>
            </w:r>
          </w:p>
        </w:tc>
        <w:tc>
          <w:tcPr>
            <w:tcW w:w="2671" w:type="dxa"/>
            <w:tcMar>
              <w:left w:w="0" w:type="dxa"/>
              <w:right w:w="0" w:type="dxa"/>
            </w:tcMar>
            <w:vAlign w:val="center"/>
          </w:tcPr>
          <w:p>
            <w:pPr>
              <w:topLinePunct/>
              <w:adjustRightInd w:val="0"/>
              <w:snapToGrid w:val="0"/>
              <w:jc w:val="center"/>
              <w:rPr>
                <w:color w:val="000000"/>
              </w:rPr>
            </w:pPr>
            <w:r>
              <w:rPr>
                <w:color w:val="000000"/>
              </w:rPr>
              <w:t>减少二次污染影响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9" w:type="dxa"/>
            <w:tcMar>
              <w:left w:w="0" w:type="dxa"/>
              <w:right w:w="0" w:type="dxa"/>
            </w:tcMar>
            <w:vAlign w:val="center"/>
          </w:tcPr>
          <w:p>
            <w:pPr>
              <w:topLinePunct/>
              <w:adjustRightInd w:val="0"/>
              <w:snapToGrid w:val="0"/>
              <w:jc w:val="center"/>
              <w:rPr>
                <w:color w:val="000000"/>
              </w:rPr>
            </w:pPr>
            <w:r>
              <w:rPr>
                <w:color w:val="000000"/>
              </w:rPr>
              <w:t>3</w:t>
            </w:r>
          </w:p>
        </w:tc>
        <w:tc>
          <w:tcPr>
            <w:tcW w:w="2418" w:type="dxa"/>
            <w:tcMar>
              <w:left w:w="0" w:type="dxa"/>
              <w:right w:w="0" w:type="dxa"/>
            </w:tcMar>
            <w:vAlign w:val="center"/>
          </w:tcPr>
          <w:p>
            <w:pPr>
              <w:topLinePunct/>
              <w:adjustRightInd w:val="0"/>
              <w:snapToGrid w:val="0"/>
              <w:jc w:val="center"/>
              <w:rPr>
                <w:color w:val="000000"/>
              </w:rPr>
            </w:pPr>
            <w:r>
              <w:rPr>
                <w:color w:val="000000"/>
              </w:rPr>
              <w:t>扬尘对灰土拌合操作人员身体健康影响</w:t>
            </w:r>
          </w:p>
        </w:tc>
        <w:tc>
          <w:tcPr>
            <w:tcW w:w="3186" w:type="dxa"/>
            <w:tcMar>
              <w:left w:w="0" w:type="dxa"/>
              <w:right w:w="0" w:type="dxa"/>
            </w:tcMar>
            <w:vAlign w:val="center"/>
          </w:tcPr>
          <w:p>
            <w:pPr>
              <w:topLinePunct/>
              <w:adjustRightInd w:val="0"/>
              <w:snapToGrid w:val="0"/>
              <w:jc w:val="center"/>
              <w:rPr>
                <w:color w:val="000000"/>
              </w:rPr>
            </w:pPr>
            <w:r>
              <w:rPr>
                <w:color w:val="000000"/>
              </w:rPr>
              <w:t>对拌合点操作人员实行卫生保护，如配戴口罩、风镜等</w:t>
            </w:r>
          </w:p>
        </w:tc>
        <w:tc>
          <w:tcPr>
            <w:tcW w:w="2671" w:type="dxa"/>
            <w:tcMar>
              <w:left w:w="0" w:type="dxa"/>
              <w:right w:w="0" w:type="dxa"/>
            </w:tcMar>
            <w:vAlign w:val="center"/>
          </w:tcPr>
          <w:p>
            <w:pPr>
              <w:topLinePunct/>
              <w:adjustRightInd w:val="0"/>
              <w:snapToGrid w:val="0"/>
              <w:jc w:val="center"/>
              <w:rPr>
                <w:color w:val="000000"/>
              </w:rPr>
            </w:pPr>
            <w:r>
              <w:rPr>
                <w:color w:val="000000"/>
              </w:rPr>
              <w:t>减轻灰土扬尘对操作人员健康的影响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9" w:type="dxa"/>
            <w:tcMar>
              <w:left w:w="0" w:type="dxa"/>
              <w:right w:w="0" w:type="dxa"/>
            </w:tcMar>
            <w:vAlign w:val="center"/>
          </w:tcPr>
          <w:p>
            <w:pPr>
              <w:topLinePunct/>
              <w:spacing w:line="320" w:lineRule="exact"/>
              <w:jc w:val="center"/>
              <w:rPr>
                <w:color w:val="000000"/>
              </w:rPr>
            </w:pPr>
            <w:r>
              <w:rPr>
                <w:color w:val="000000"/>
              </w:rPr>
              <w:t>4</w:t>
            </w:r>
          </w:p>
        </w:tc>
        <w:tc>
          <w:tcPr>
            <w:tcW w:w="2418" w:type="dxa"/>
            <w:tcMar>
              <w:left w:w="0" w:type="dxa"/>
              <w:right w:w="0" w:type="dxa"/>
            </w:tcMar>
            <w:vAlign w:val="center"/>
          </w:tcPr>
          <w:p>
            <w:pPr>
              <w:topLinePunct/>
              <w:spacing w:line="320" w:lineRule="exact"/>
              <w:rPr>
                <w:color w:val="000000"/>
              </w:rPr>
            </w:pPr>
            <w:r>
              <w:rPr>
                <w:color w:val="000000"/>
              </w:rPr>
              <w:t>施工过程对周边环境的影响</w:t>
            </w:r>
          </w:p>
        </w:tc>
        <w:tc>
          <w:tcPr>
            <w:tcW w:w="3186" w:type="dxa"/>
            <w:tcMar>
              <w:left w:w="0" w:type="dxa"/>
              <w:right w:w="0" w:type="dxa"/>
            </w:tcMar>
            <w:vAlign w:val="center"/>
          </w:tcPr>
          <w:p>
            <w:pPr>
              <w:topLinePunct/>
              <w:spacing w:line="320" w:lineRule="exact"/>
              <w:rPr>
                <w:color w:val="000000"/>
              </w:rPr>
            </w:pPr>
            <w:r>
              <w:rPr>
                <w:color w:val="000000"/>
              </w:rPr>
              <w:t>施工现场必须全封闭设置围挡墙,严禁敞开式作业;施工现场道路、作业区、生活区必须进行地面硬化,出口必须设置定型化自动冲洗设施,出入车辆必须冲洗干净；施工中产生的物料堆应采取遮盖、洒水、喷洒覆盖剂或其他防尘措施</w:t>
            </w:r>
          </w:p>
        </w:tc>
        <w:tc>
          <w:tcPr>
            <w:tcW w:w="2671" w:type="dxa"/>
            <w:tcMar>
              <w:left w:w="0" w:type="dxa"/>
              <w:right w:w="0" w:type="dxa"/>
            </w:tcMar>
            <w:vAlign w:val="center"/>
          </w:tcPr>
          <w:p>
            <w:pPr>
              <w:topLinePunct/>
              <w:spacing w:line="320" w:lineRule="exact"/>
              <w:rPr>
                <w:color w:val="000000"/>
              </w:rPr>
            </w:pPr>
            <w:r>
              <w:rPr>
                <w:color w:val="000000"/>
              </w:rPr>
              <w:t>减轻施工过程对周边大气环境的影响</w:t>
            </w:r>
          </w:p>
        </w:tc>
      </w:tr>
    </w:tbl>
    <w:p>
      <w:pPr>
        <w:keepNext/>
        <w:keepLines/>
        <w:topLinePunct/>
        <w:spacing w:line="600" w:lineRule="exact"/>
        <w:jc w:val="left"/>
        <w:outlineLvl w:val="2"/>
        <w:rPr>
          <w:b/>
          <w:bCs/>
          <w:color w:val="000000"/>
          <w:kern w:val="44"/>
          <w:sz w:val="24"/>
          <w:szCs w:val="32"/>
        </w:rPr>
      </w:pPr>
      <w:r>
        <w:rPr>
          <w:rFonts w:hint="eastAsia"/>
          <w:b/>
          <w:bCs/>
          <w:color w:val="000000"/>
          <w:sz w:val="24"/>
          <w:szCs w:val="32"/>
          <w:lang w:val="en-US" w:eastAsia="zh-CN"/>
        </w:rPr>
        <w:t>5</w:t>
      </w:r>
      <w:r>
        <w:rPr>
          <w:b/>
          <w:bCs/>
          <w:color w:val="000000"/>
          <w:sz w:val="24"/>
          <w:szCs w:val="32"/>
        </w:rPr>
        <w:t>.1.3施工期噪声污染防治措施</w:t>
      </w:r>
    </w:p>
    <w:p>
      <w:pPr>
        <w:topLinePunct/>
        <w:adjustRightInd w:val="0"/>
        <w:snapToGrid w:val="0"/>
        <w:spacing w:line="520" w:lineRule="exact"/>
        <w:ind w:firstLine="480" w:firstLineChars="200"/>
        <w:rPr>
          <w:color w:val="000000"/>
          <w:sz w:val="24"/>
        </w:rPr>
      </w:pPr>
      <w:r>
        <w:rPr>
          <w:color w:val="000000"/>
          <w:sz w:val="24"/>
        </w:rPr>
        <w:t>工程施工过程中，由于各种施工机械设备的运转和各类车辆的运行，噪声主要来自各种施工机械设备的运转及各种车辆的运行噪声，污染主要是机械噪声，评价根据工程特点提出施工期噪声污染防治措施见表</w:t>
      </w:r>
      <w:r>
        <w:rPr>
          <w:rFonts w:hint="eastAsia"/>
          <w:color w:val="000000"/>
          <w:sz w:val="24"/>
          <w:lang w:val="en-US" w:eastAsia="zh-CN"/>
        </w:rPr>
        <w:t>5.1</w:t>
      </w:r>
      <w:r>
        <w:rPr>
          <w:color w:val="000000"/>
          <w:sz w:val="24"/>
        </w:rPr>
        <w:t>-3。</w:t>
      </w:r>
    </w:p>
    <w:p>
      <w:pPr>
        <w:topLinePunct/>
        <w:spacing w:beforeLines="50" w:afterLines="50"/>
        <w:ind w:firstLine="420" w:firstLineChars="200"/>
        <w:jc w:val="center"/>
        <w:rPr>
          <w:b/>
          <w:color w:val="000000"/>
          <w:szCs w:val="21"/>
        </w:rPr>
      </w:pPr>
      <w:r>
        <w:rPr>
          <w:b/>
          <w:color w:val="000000"/>
          <w:szCs w:val="21"/>
        </w:rPr>
        <w:t>表</w:t>
      </w:r>
      <w:r>
        <w:rPr>
          <w:rFonts w:hint="eastAsia"/>
          <w:b/>
          <w:color w:val="000000"/>
          <w:szCs w:val="21"/>
          <w:lang w:val="en-US" w:eastAsia="zh-CN"/>
        </w:rPr>
        <w:t>5.1</w:t>
      </w:r>
      <w:r>
        <w:rPr>
          <w:b/>
          <w:color w:val="000000"/>
          <w:szCs w:val="21"/>
        </w:rPr>
        <w:t>-3       施工期噪声污染防治措施一览表</w:t>
      </w:r>
    </w:p>
    <w:tbl>
      <w:tblPr>
        <w:tblStyle w:val="45"/>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843"/>
        <w:gridCol w:w="4072"/>
        <w:gridCol w:w="2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8"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1843"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4072"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161"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8" w:type="dxa"/>
            <w:tcMar>
              <w:left w:w="0" w:type="dxa"/>
              <w:right w:w="0" w:type="dxa"/>
            </w:tcMar>
            <w:vAlign w:val="center"/>
          </w:tcPr>
          <w:p>
            <w:pPr>
              <w:topLinePunct/>
              <w:adjustRightInd w:val="0"/>
              <w:snapToGrid w:val="0"/>
              <w:spacing w:beforeLines="25" w:afterLines="25"/>
              <w:jc w:val="center"/>
              <w:rPr>
                <w:color w:val="000000"/>
              </w:rPr>
            </w:pPr>
            <w:r>
              <w:rPr>
                <w:color w:val="000000"/>
              </w:rPr>
              <w:t>1</w:t>
            </w:r>
          </w:p>
        </w:tc>
        <w:tc>
          <w:tcPr>
            <w:tcW w:w="1843" w:type="dxa"/>
            <w:tcMar>
              <w:left w:w="0" w:type="dxa"/>
              <w:right w:w="0" w:type="dxa"/>
            </w:tcMar>
            <w:vAlign w:val="center"/>
          </w:tcPr>
          <w:p>
            <w:pPr>
              <w:topLinePunct/>
              <w:adjustRightInd w:val="0"/>
              <w:snapToGrid w:val="0"/>
              <w:spacing w:beforeLines="25" w:afterLines="25"/>
              <w:jc w:val="center"/>
              <w:rPr>
                <w:color w:val="000000"/>
              </w:rPr>
            </w:pPr>
            <w:r>
              <w:rPr>
                <w:color w:val="000000"/>
              </w:rPr>
              <w:t>对施工生活区影响</w:t>
            </w:r>
          </w:p>
        </w:tc>
        <w:tc>
          <w:tcPr>
            <w:tcW w:w="4072" w:type="dxa"/>
            <w:tcMar>
              <w:left w:w="0" w:type="dxa"/>
              <w:right w:w="0" w:type="dxa"/>
            </w:tcMar>
            <w:vAlign w:val="center"/>
          </w:tcPr>
          <w:p>
            <w:pPr>
              <w:topLinePunct/>
              <w:adjustRightInd w:val="0"/>
              <w:snapToGrid w:val="0"/>
              <w:spacing w:beforeLines="25" w:afterLines="25"/>
              <w:jc w:val="center"/>
              <w:rPr>
                <w:color w:val="000000"/>
              </w:rPr>
            </w:pPr>
            <w:r>
              <w:rPr>
                <w:color w:val="000000"/>
              </w:rPr>
              <w:t>合理规划各种施工机械设备布局，采用科学的施工方法，严格控制施工作业范围和作业时间</w:t>
            </w:r>
          </w:p>
        </w:tc>
        <w:tc>
          <w:tcPr>
            <w:tcW w:w="2161" w:type="dxa"/>
            <w:tcMar>
              <w:left w:w="0" w:type="dxa"/>
              <w:right w:w="0" w:type="dxa"/>
            </w:tcMar>
            <w:vAlign w:val="center"/>
          </w:tcPr>
          <w:p>
            <w:pPr>
              <w:topLinePunct/>
              <w:adjustRightInd w:val="0"/>
              <w:snapToGrid w:val="0"/>
              <w:spacing w:beforeLines="25" w:afterLines="25"/>
              <w:jc w:val="center"/>
              <w:rPr>
                <w:color w:val="000000"/>
              </w:rPr>
            </w:pPr>
            <w:r>
              <w:rPr>
                <w:color w:val="000000"/>
              </w:rPr>
              <w:t>减轻噪声对施工生活区影响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8" w:type="dxa"/>
            <w:tcMar>
              <w:left w:w="0" w:type="dxa"/>
              <w:right w:w="0" w:type="dxa"/>
            </w:tcMar>
            <w:vAlign w:val="center"/>
          </w:tcPr>
          <w:p>
            <w:pPr>
              <w:topLinePunct/>
              <w:adjustRightInd w:val="0"/>
              <w:snapToGrid w:val="0"/>
              <w:spacing w:beforeLines="25" w:afterLines="25"/>
              <w:jc w:val="center"/>
              <w:rPr>
                <w:color w:val="000000"/>
              </w:rPr>
            </w:pPr>
            <w:r>
              <w:rPr>
                <w:color w:val="000000"/>
              </w:rPr>
              <w:t>2</w:t>
            </w:r>
          </w:p>
        </w:tc>
        <w:tc>
          <w:tcPr>
            <w:tcW w:w="1843" w:type="dxa"/>
            <w:tcMar>
              <w:left w:w="0" w:type="dxa"/>
              <w:right w:w="0" w:type="dxa"/>
            </w:tcMar>
            <w:vAlign w:val="center"/>
          </w:tcPr>
          <w:p>
            <w:pPr>
              <w:topLinePunct/>
              <w:adjustRightInd w:val="0"/>
              <w:snapToGrid w:val="0"/>
              <w:spacing w:beforeLines="25" w:afterLines="25"/>
              <w:jc w:val="center"/>
              <w:rPr>
                <w:color w:val="000000"/>
              </w:rPr>
            </w:pPr>
            <w:r>
              <w:rPr>
                <w:color w:val="000000"/>
              </w:rPr>
              <w:t>对高噪声源设备操作人员影响</w:t>
            </w:r>
          </w:p>
        </w:tc>
        <w:tc>
          <w:tcPr>
            <w:tcW w:w="4072" w:type="dxa"/>
            <w:tcMar>
              <w:left w:w="0" w:type="dxa"/>
              <w:right w:w="0" w:type="dxa"/>
            </w:tcMar>
            <w:vAlign w:val="center"/>
          </w:tcPr>
          <w:p>
            <w:pPr>
              <w:topLinePunct/>
              <w:adjustRightInd w:val="0"/>
              <w:snapToGrid w:val="0"/>
              <w:spacing w:beforeLines="25" w:afterLines="25"/>
              <w:jc w:val="center"/>
              <w:rPr>
                <w:color w:val="000000"/>
              </w:rPr>
            </w:pPr>
            <w:r>
              <w:rPr>
                <w:color w:val="000000"/>
              </w:rPr>
              <w:t>尽量选用低噪声设备，给高噪声设备安装隔声罩，打桩机、推土机、铲平机等强噪声源设备的操作人员配戴耳塞，加强身体防护</w:t>
            </w:r>
          </w:p>
        </w:tc>
        <w:tc>
          <w:tcPr>
            <w:tcW w:w="2161" w:type="dxa"/>
            <w:tcMar>
              <w:left w:w="0" w:type="dxa"/>
              <w:right w:w="0" w:type="dxa"/>
            </w:tcMar>
            <w:vAlign w:val="center"/>
          </w:tcPr>
          <w:p>
            <w:pPr>
              <w:topLinePunct/>
              <w:adjustRightInd w:val="0"/>
              <w:snapToGrid w:val="0"/>
              <w:spacing w:beforeLines="25" w:afterLines="25"/>
              <w:jc w:val="center"/>
              <w:rPr>
                <w:color w:val="000000"/>
              </w:rPr>
            </w:pPr>
            <w:r>
              <w:rPr>
                <w:color w:val="000000"/>
              </w:rPr>
              <w:t>减轻噪声对施工人员身体健康的影响</w:t>
            </w:r>
          </w:p>
        </w:tc>
      </w:tr>
    </w:tbl>
    <w:p>
      <w:pPr>
        <w:keepNext/>
        <w:keepLines/>
        <w:topLinePunct/>
        <w:spacing w:line="600" w:lineRule="exact"/>
        <w:jc w:val="left"/>
        <w:outlineLvl w:val="2"/>
        <w:rPr>
          <w:b/>
          <w:bCs/>
          <w:color w:val="000000"/>
          <w:sz w:val="24"/>
          <w:szCs w:val="32"/>
        </w:rPr>
      </w:pPr>
      <w:r>
        <w:rPr>
          <w:rFonts w:hint="eastAsia"/>
          <w:b/>
          <w:bCs/>
          <w:color w:val="000000"/>
          <w:sz w:val="24"/>
          <w:szCs w:val="32"/>
          <w:lang w:val="en-US" w:eastAsia="zh-CN"/>
        </w:rPr>
        <w:t>5</w:t>
      </w:r>
      <w:r>
        <w:rPr>
          <w:b/>
          <w:bCs/>
          <w:color w:val="000000"/>
          <w:sz w:val="24"/>
          <w:szCs w:val="32"/>
        </w:rPr>
        <w:t>.1.4施工期固废污染防治措施分析</w:t>
      </w:r>
    </w:p>
    <w:p>
      <w:pPr>
        <w:topLinePunct/>
        <w:adjustRightInd w:val="0"/>
        <w:snapToGrid w:val="0"/>
        <w:spacing w:line="520" w:lineRule="exact"/>
        <w:ind w:firstLine="480" w:firstLineChars="200"/>
        <w:rPr>
          <w:color w:val="000000"/>
          <w:sz w:val="24"/>
        </w:rPr>
      </w:pPr>
      <w:r>
        <w:rPr>
          <w:color w:val="000000"/>
          <w:sz w:val="24"/>
        </w:rPr>
        <w:t>工程施工期固废主要是施工建筑垃圾及弃土，评价根据各种污染物排放特点及性质提出污染防治措施见表</w:t>
      </w:r>
      <w:r>
        <w:rPr>
          <w:rFonts w:hint="eastAsia"/>
          <w:color w:val="000000"/>
          <w:sz w:val="24"/>
          <w:lang w:val="en-US" w:eastAsia="zh-CN"/>
        </w:rPr>
        <w:t>5.1</w:t>
      </w:r>
      <w:r>
        <w:rPr>
          <w:color w:val="000000"/>
          <w:sz w:val="24"/>
        </w:rPr>
        <w:t>-4。</w:t>
      </w:r>
    </w:p>
    <w:p>
      <w:pPr>
        <w:topLinePunct/>
        <w:spacing w:beforeLines="50" w:afterLines="50"/>
        <w:ind w:firstLine="420" w:firstLineChars="200"/>
        <w:jc w:val="center"/>
        <w:rPr>
          <w:b/>
          <w:color w:val="000000"/>
          <w:szCs w:val="21"/>
        </w:rPr>
      </w:pPr>
      <w:r>
        <w:rPr>
          <w:b/>
          <w:color w:val="000000"/>
          <w:szCs w:val="21"/>
        </w:rPr>
        <w:t>表</w:t>
      </w:r>
      <w:r>
        <w:rPr>
          <w:rFonts w:hint="eastAsia"/>
          <w:b/>
          <w:color w:val="000000"/>
          <w:szCs w:val="21"/>
          <w:lang w:val="en-US" w:eastAsia="zh-CN"/>
        </w:rPr>
        <w:t>5.1</w:t>
      </w:r>
      <w:r>
        <w:rPr>
          <w:b/>
          <w:color w:val="000000"/>
          <w:szCs w:val="21"/>
        </w:rPr>
        <w:t>-4       施工期固废污染防治措施一览表</w:t>
      </w:r>
    </w:p>
    <w:tbl>
      <w:tblPr>
        <w:tblStyle w:val="45"/>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050"/>
        <w:gridCol w:w="3126"/>
        <w:gridCol w:w="2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3050"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3126"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160"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1</w:t>
            </w:r>
          </w:p>
        </w:tc>
        <w:tc>
          <w:tcPr>
            <w:tcW w:w="3050" w:type="dxa"/>
            <w:tcMar>
              <w:left w:w="0" w:type="dxa"/>
              <w:right w:w="0" w:type="dxa"/>
            </w:tcMar>
            <w:vAlign w:val="center"/>
          </w:tcPr>
          <w:p>
            <w:pPr>
              <w:topLinePunct/>
              <w:adjustRightInd w:val="0"/>
              <w:snapToGrid w:val="0"/>
              <w:spacing w:beforeLines="25" w:afterLines="25"/>
              <w:jc w:val="left"/>
              <w:rPr>
                <w:color w:val="000000"/>
              </w:rPr>
            </w:pPr>
            <w:r>
              <w:rPr>
                <w:color w:val="000000"/>
              </w:rPr>
              <w:t>建筑垃圾遇风、雨、雪等恶劣天气材料流失，对环境产生的影响</w:t>
            </w:r>
          </w:p>
        </w:tc>
        <w:tc>
          <w:tcPr>
            <w:tcW w:w="3126" w:type="dxa"/>
            <w:tcMar>
              <w:left w:w="0" w:type="dxa"/>
              <w:right w:w="0" w:type="dxa"/>
            </w:tcMar>
            <w:vAlign w:val="center"/>
          </w:tcPr>
          <w:p>
            <w:pPr>
              <w:topLinePunct/>
              <w:adjustRightInd w:val="0"/>
              <w:snapToGrid w:val="0"/>
              <w:spacing w:beforeLines="25" w:afterLines="25"/>
              <w:jc w:val="left"/>
              <w:rPr>
                <w:color w:val="000000"/>
              </w:rPr>
            </w:pPr>
            <w:r>
              <w:rPr>
                <w:color w:val="000000"/>
              </w:rPr>
              <w:t>建筑垃圾集中堆存，堆场加防尘网覆盖，并及时清运</w:t>
            </w:r>
          </w:p>
        </w:tc>
        <w:tc>
          <w:tcPr>
            <w:tcW w:w="2160" w:type="dxa"/>
            <w:tcMar>
              <w:left w:w="0" w:type="dxa"/>
              <w:right w:w="0" w:type="dxa"/>
            </w:tcMar>
            <w:vAlign w:val="center"/>
          </w:tcPr>
          <w:p>
            <w:pPr>
              <w:topLinePunct/>
              <w:adjustRightInd w:val="0"/>
              <w:snapToGrid w:val="0"/>
              <w:spacing w:beforeLines="25" w:afterLines="25"/>
              <w:jc w:val="left"/>
              <w:rPr>
                <w:color w:val="000000"/>
              </w:rPr>
            </w:pPr>
            <w:r>
              <w:rPr>
                <w:color w:val="000000"/>
              </w:rPr>
              <w:t>避免建筑垃圾流失对环境的影响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2</w:t>
            </w:r>
          </w:p>
        </w:tc>
        <w:tc>
          <w:tcPr>
            <w:tcW w:w="3050" w:type="dxa"/>
            <w:tcMar>
              <w:left w:w="0" w:type="dxa"/>
              <w:right w:w="0" w:type="dxa"/>
            </w:tcMar>
            <w:vAlign w:val="center"/>
          </w:tcPr>
          <w:p>
            <w:pPr>
              <w:topLinePunct/>
              <w:adjustRightInd w:val="0"/>
              <w:snapToGrid w:val="0"/>
              <w:spacing w:beforeLines="25" w:afterLines="25"/>
              <w:ind w:firstLine="210" w:firstLineChars="100"/>
              <w:jc w:val="left"/>
              <w:rPr>
                <w:color w:val="000000"/>
              </w:rPr>
            </w:pPr>
            <w:r>
              <w:rPr>
                <w:color w:val="000000"/>
              </w:rPr>
              <w:t>施工废弃物排放占地</w:t>
            </w:r>
          </w:p>
        </w:tc>
        <w:tc>
          <w:tcPr>
            <w:tcW w:w="3126" w:type="dxa"/>
            <w:tcMar>
              <w:left w:w="0" w:type="dxa"/>
              <w:right w:w="0" w:type="dxa"/>
            </w:tcMar>
            <w:vAlign w:val="center"/>
          </w:tcPr>
          <w:p>
            <w:pPr>
              <w:topLinePunct/>
              <w:adjustRightInd w:val="0"/>
              <w:snapToGrid w:val="0"/>
              <w:spacing w:beforeLines="25" w:afterLines="25"/>
              <w:jc w:val="left"/>
              <w:rPr>
                <w:color w:val="000000"/>
              </w:rPr>
            </w:pPr>
            <w:r>
              <w:rPr>
                <w:color w:val="000000"/>
              </w:rPr>
              <w:t>施工废弃物及时清除，就近拉至城市垃圾卫生填埋场处置</w:t>
            </w:r>
          </w:p>
        </w:tc>
        <w:tc>
          <w:tcPr>
            <w:tcW w:w="2160" w:type="dxa"/>
            <w:tcMar>
              <w:left w:w="0" w:type="dxa"/>
              <w:right w:w="0" w:type="dxa"/>
            </w:tcMar>
            <w:vAlign w:val="center"/>
          </w:tcPr>
          <w:p>
            <w:pPr>
              <w:topLinePunct/>
              <w:adjustRightInd w:val="0"/>
              <w:snapToGrid w:val="0"/>
              <w:spacing w:beforeLines="25" w:afterLines="25"/>
              <w:jc w:val="left"/>
              <w:rPr>
                <w:color w:val="000000"/>
              </w:rPr>
            </w:pPr>
            <w:r>
              <w:rPr>
                <w:color w:val="000000"/>
              </w:rPr>
              <w:t>减少废弃物占地对生态环境影响</w:t>
            </w:r>
          </w:p>
        </w:tc>
      </w:tr>
    </w:tbl>
    <w:p>
      <w:pPr>
        <w:keepNext/>
        <w:keepLines/>
        <w:topLinePunct/>
        <w:spacing w:line="600" w:lineRule="exact"/>
        <w:jc w:val="left"/>
        <w:outlineLvl w:val="2"/>
        <w:rPr>
          <w:b/>
          <w:bCs/>
          <w:color w:val="000000"/>
          <w:sz w:val="24"/>
          <w:szCs w:val="32"/>
        </w:rPr>
      </w:pPr>
      <w:r>
        <w:rPr>
          <w:rFonts w:hint="eastAsia"/>
          <w:b/>
          <w:bCs/>
          <w:color w:val="000000"/>
          <w:sz w:val="24"/>
          <w:szCs w:val="32"/>
          <w:lang w:val="en-US" w:eastAsia="zh-CN"/>
        </w:rPr>
        <w:t>5</w:t>
      </w:r>
      <w:r>
        <w:rPr>
          <w:b/>
          <w:bCs/>
          <w:color w:val="000000"/>
          <w:sz w:val="24"/>
          <w:szCs w:val="32"/>
        </w:rPr>
        <w:t>.1.5施工期水土流失防治措施分析</w:t>
      </w:r>
    </w:p>
    <w:p>
      <w:pPr>
        <w:topLinePunct/>
        <w:spacing w:beforeLines="50" w:afterLines="50"/>
        <w:ind w:firstLine="420" w:firstLineChars="200"/>
        <w:jc w:val="center"/>
        <w:rPr>
          <w:b/>
          <w:color w:val="000000"/>
          <w:szCs w:val="21"/>
        </w:rPr>
      </w:pPr>
      <w:r>
        <w:rPr>
          <w:b/>
          <w:color w:val="000000"/>
          <w:szCs w:val="21"/>
        </w:rPr>
        <w:t>表</w:t>
      </w:r>
      <w:r>
        <w:rPr>
          <w:rFonts w:hint="eastAsia"/>
          <w:b/>
          <w:color w:val="000000"/>
          <w:szCs w:val="21"/>
          <w:lang w:val="en-US" w:eastAsia="zh-CN"/>
        </w:rPr>
        <w:t>5.1</w:t>
      </w:r>
      <w:r>
        <w:rPr>
          <w:b/>
          <w:color w:val="000000"/>
          <w:szCs w:val="21"/>
        </w:rPr>
        <w:t>-5      施工期水土流失防治措施一览表</w:t>
      </w:r>
    </w:p>
    <w:tbl>
      <w:tblPr>
        <w:tblStyle w:val="45"/>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399"/>
        <w:gridCol w:w="4111"/>
        <w:gridCol w:w="18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7" w:hRule="atLeast"/>
        </w:trPr>
        <w:tc>
          <w:tcPr>
            <w:tcW w:w="725"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2399"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4111"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1826"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1</w:t>
            </w:r>
          </w:p>
        </w:tc>
        <w:tc>
          <w:tcPr>
            <w:tcW w:w="2399" w:type="dxa"/>
            <w:tcMar>
              <w:left w:w="0" w:type="dxa"/>
              <w:right w:w="0" w:type="dxa"/>
            </w:tcMar>
            <w:vAlign w:val="center"/>
          </w:tcPr>
          <w:p>
            <w:pPr>
              <w:topLinePunct/>
              <w:adjustRightInd w:val="0"/>
              <w:snapToGrid w:val="0"/>
              <w:spacing w:beforeLines="25" w:afterLines="25"/>
              <w:jc w:val="left"/>
              <w:rPr>
                <w:color w:val="000000"/>
              </w:rPr>
            </w:pPr>
            <w:r>
              <w:rPr>
                <w:color w:val="000000"/>
                <w:szCs w:val="28"/>
              </w:rPr>
              <w:t>项目的建设开挖，植被受到破坏，造成水土流失</w:t>
            </w:r>
          </w:p>
        </w:tc>
        <w:tc>
          <w:tcPr>
            <w:tcW w:w="4111" w:type="dxa"/>
            <w:tcMar>
              <w:left w:w="0" w:type="dxa"/>
              <w:right w:w="0" w:type="dxa"/>
            </w:tcMar>
            <w:vAlign w:val="center"/>
          </w:tcPr>
          <w:p>
            <w:pPr>
              <w:topLinePunct/>
              <w:adjustRightInd w:val="0"/>
              <w:snapToGrid w:val="0"/>
              <w:spacing w:beforeLines="25" w:afterLines="25"/>
              <w:jc w:val="left"/>
              <w:rPr>
                <w:color w:val="000000"/>
              </w:rPr>
            </w:pPr>
            <w:r>
              <w:rPr>
                <w:color w:val="000000"/>
              </w:rPr>
              <w:t>对于土质较好的地段，建议采用深挖、表土回覆的方式；对于砾石土，建议将石土分离，土层覆于地表，易与植被恢复。尽量避开农作物生长季节施工，最大限度减少农作物产量。应避开风季、暴雨季施工，减少水土流失</w:t>
            </w:r>
          </w:p>
        </w:tc>
        <w:tc>
          <w:tcPr>
            <w:tcW w:w="1826" w:type="dxa"/>
            <w:tcMar>
              <w:left w:w="0" w:type="dxa"/>
              <w:right w:w="0" w:type="dxa"/>
            </w:tcMar>
            <w:vAlign w:val="center"/>
          </w:tcPr>
          <w:p>
            <w:pPr>
              <w:topLinePunct/>
              <w:adjustRightInd w:val="0"/>
              <w:snapToGrid w:val="0"/>
              <w:spacing w:beforeLines="25" w:afterLines="25"/>
              <w:jc w:val="left"/>
              <w:rPr>
                <w:color w:val="000000"/>
              </w:rPr>
            </w:pPr>
            <w:r>
              <w:rPr>
                <w:color w:val="000000"/>
              </w:rPr>
              <w:t>能够有效减轻项目施工造成的水土流水影响</w:t>
            </w:r>
          </w:p>
        </w:tc>
      </w:tr>
    </w:tbl>
    <w:p>
      <w:pPr>
        <w:pStyle w:val="5"/>
        <w:spacing w:before="156" w:after="156"/>
        <w:rPr>
          <w:rFonts w:hAnsi="Times New Roman"/>
          <w:color w:val="000000"/>
        </w:rPr>
      </w:pPr>
      <w:bookmarkStart w:id="280" w:name="_Toc29710"/>
      <w:bookmarkStart w:id="281" w:name="_Toc488572573"/>
      <w:r>
        <w:rPr>
          <w:rFonts w:hint="eastAsia" w:hAnsi="Times New Roman"/>
          <w:color w:val="000000"/>
          <w:lang w:val="en-US" w:eastAsia="zh-CN"/>
        </w:rPr>
        <w:t>5</w:t>
      </w:r>
      <w:r>
        <w:rPr>
          <w:rFonts w:hAnsi="Times New Roman"/>
          <w:color w:val="000000"/>
        </w:rPr>
        <w:t>.2营运期污染防治措施</w:t>
      </w:r>
      <w:bookmarkEnd w:id="280"/>
      <w:bookmarkEnd w:id="281"/>
    </w:p>
    <w:p>
      <w:pPr>
        <w:keepNext/>
        <w:keepLines/>
        <w:topLinePunct/>
        <w:spacing w:line="600" w:lineRule="exact"/>
        <w:jc w:val="left"/>
        <w:outlineLvl w:val="2"/>
        <w:rPr>
          <w:rFonts w:eastAsiaTheme="minorEastAsia"/>
          <w:bCs/>
          <w:color w:val="000000"/>
          <w:sz w:val="24"/>
        </w:rPr>
      </w:pPr>
      <w:r>
        <w:rPr>
          <w:rFonts w:hint="eastAsia" w:eastAsiaTheme="minorEastAsia"/>
          <w:bCs/>
          <w:color w:val="000000"/>
          <w:sz w:val="24"/>
          <w:lang w:val="en-US" w:eastAsia="zh-CN"/>
        </w:rPr>
        <w:t>5</w:t>
      </w:r>
      <w:r>
        <w:rPr>
          <w:rFonts w:eastAsiaTheme="minorEastAsia"/>
          <w:bCs/>
          <w:color w:val="000000"/>
          <w:sz w:val="24"/>
        </w:rPr>
        <w:t>.2.1废水处理及综合利用措施分析</w:t>
      </w:r>
    </w:p>
    <w:p>
      <w:pPr>
        <w:tabs>
          <w:tab w:val="right" w:leader="dot" w:pos="8647"/>
        </w:tabs>
        <w:spacing w:line="500" w:lineRule="exact"/>
        <w:rPr>
          <w:rFonts w:eastAsiaTheme="minorEastAsia"/>
          <w:color w:val="000000"/>
          <w:sz w:val="24"/>
        </w:rPr>
      </w:pPr>
      <w:r>
        <w:rPr>
          <w:rFonts w:hint="eastAsia" w:eastAsiaTheme="minorEastAsia"/>
          <w:color w:val="000000"/>
          <w:sz w:val="24"/>
          <w:lang w:val="en-US" w:eastAsia="zh-CN"/>
        </w:rPr>
        <w:t>5</w:t>
      </w:r>
      <w:r>
        <w:rPr>
          <w:rFonts w:eastAsiaTheme="minorEastAsia"/>
          <w:color w:val="000000"/>
          <w:sz w:val="24"/>
        </w:rPr>
        <w:t>.2.1.1清粪工艺比选及确定</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根据《畜禽养殖业污染防治技术规范》（HJ/T81-2001），规模化养猪场清粪工艺分为三种：传统干清粪、水冲粪及水泡粪工艺，评价结合生态垫料养殖工艺，从粪污的达标排放及综合利用的角度分别进行比选，对以上四种工艺进行对比分析，最终确定适合本项目的清粪工艺，对比分析结果见表</w:t>
      </w:r>
      <w:r>
        <w:rPr>
          <w:rFonts w:hint="eastAsia" w:eastAsiaTheme="minorEastAsia"/>
          <w:color w:val="000000"/>
          <w:sz w:val="24"/>
          <w:lang w:val="en-US" w:eastAsia="zh-CN"/>
        </w:rPr>
        <w:t>5.2-1</w:t>
      </w:r>
      <w:r>
        <w:rPr>
          <w:rFonts w:eastAsiaTheme="minorEastAsia"/>
          <w:color w:val="000000"/>
          <w:sz w:val="24"/>
        </w:rPr>
        <w:t>。</w:t>
      </w:r>
    </w:p>
    <w:p>
      <w:pPr>
        <w:topLinePunct/>
        <w:spacing w:beforeLines="50" w:afterLines="50"/>
        <w:ind w:firstLine="480" w:firstLineChars="200"/>
        <w:jc w:val="center"/>
        <w:rPr>
          <w:rFonts w:eastAsiaTheme="minorEastAsia"/>
          <w:b/>
          <w:color w:val="000000"/>
          <w:sz w:val="24"/>
        </w:rPr>
      </w:pPr>
      <w:r>
        <w:rPr>
          <w:rFonts w:eastAsiaTheme="minorEastAsia"/>
          <w:b/>
          <w:color w:val="000000"/>
          <w:sz w:val="24"/>
        </w:rPr>
        <w:t>表</w:t>
      </w:r>
      <w:r>
        <w:rPr>
          <w:rFonts w:hint="eastAsia" w:eastAsiaTheme="minorEastAsia"/>
          <w:b/>
          <w:color w:val="000000"/>
          <w:sz w:val="24"/>
          <w:lang w:val="en-US" w:eastAsia="zh-CN"/>
        </w:rPr>
        <w:t>5.2-1</w:t>
      </w:r>
      <w:r>
        <w:rPr>
          <w:rFonts w:eastAsiaTheme="minorEastAsia"/>
          <w:b/>
          <w:color w:val="000000"/>
          <w:sz w:val="24"/>
        </w:rPr>
        <w:tab/>
      </w:r>
      <w:r>
        <w:rPr>
          <w:rFonts w:eastAsiaTheme="minorEastAsia"/>
          <w:b/>
          <w:color w:val="000000"/>
          <w:sz w:val="24"/>
        </w:rPr>
        <w:t xml:space="preserve"> 清粪工艺对比分析</w:t>
      </w:r>
    </w:p>
    <w:tbl>
      <w:tblPr>
        <w:tblStyle w:val="45"/>
        <w:tblW w:w="88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875"/>
        <w:gridCol w:w="1278"/>
        <w:gridCol w:w="1608"/>
        <w:gridCol w:w="1232"/>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8" w:type="dxa"/>
            <w:vMerge w:val="restart"/>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工艺</w:t>
            </w:r>
          </w:p>
          <w:p>
            <w:pPr>
              <w:adjustRightInd w:val="0"/>
              <w:jc w:val="center"/>
              <w:rPr>
                <w:rFonts w:eastAsiaTheme="minorEastAsia"/>
                <w:color w:val="000000"/>
                <w:szCs w:val="21"/>
              </w:rPr>
            </w:pPr>
            <w:r>
              <w:rPr>
                <w:rFonts w:eastAsiaTheme="minorEastAsia"/>
                <w:color w:val="000000"/>
                <w:szCs w:val="21"/>
              </w:rPr>
              <w:t>名称</w:t>
            </w:r>
          </w:p>
        </w:tc>
        <w:tc>
          <w:tcPr>
            <w:tcW w:w="2875" w:type="dxa"/>
            <w:vMerge w:val="restart"/>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工艺说明</w:t>
            </w:r>
          </w:p>
        </w:tc>
        <w:tc>
          <w:tcPr>
            <w:tcW w:w="2886" w:type="dxa"/>
            <w:gridSpan w:val="2"/>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达标排放方案</w:t>
            </w:r>
          </w:p>
        </w:tc>
        <w:tc>
          <w:tcPr>
            <w:tcW w:w="2394" w:type="dxa"/>
            <w:gridSpan w:val="2"/>
            <w:vAlign w:val="center"/>
          </w:tcPr>
          <w:p>
            <w:pPr>
              <w:adjustRightInd w:val="0"/>
              <w:jc w:val="center"/>
              <w:rPr>
                <w:rFonts w:eastAsiaTheme="minorEastAsia"/>
                <w:color w:val="000000"/>
                <w:szCs w:val="21"/>
              </w:rPr>
            </w:pPr>
            <w:r>
              <w:rPr>
                <w:rFonts w:eastAsiaTheme="minorEastAsia"/>
                <w:color w:val="000000"/>
                <w:szCs w:val="21"/>
              </w:rPr>
              <w:t>综合利用方案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8" w:type="dxa"/>
            <w:vMerge w:val="continue"/>
            <w:tcMar>
              <w:left w:w="0" w:type="dxa"/>
              <w:right w:w="0" w:type="dxa"/>
            </w:tcMar>
            <w:vAlign w:val="center"/>
          </w:tcPr>
          <w:p>
            <w:pPr>
              <w:adjustRightInd w:val="0"/>
              <w:jc w:val="center"/>
              <w:rPr>
                <w:rFonts w:eastAsiaTheme="minorEastAsia"/>
                <w:color w:val="000000"/>
                <w:szCs w:val="21"/>
              </w:rPr>
            </w:pPr>
          </w:p>
        </w:tc>
        <w:tc>
          <w:tcPr>
            <w:tcW w:w="2875" w:type="dxa"/>
            <w:vMerge w:val="continue"/>
            <w:tcMar>
              <w:left w:w="0" w:type="dxa"/>
              <w:right w:w="0" w:type="dxa"/>
            </w:tcMar>
            <w:vAlign w:val="center"/>
          </w:tcPr>
          <w:p>
            <w:pPr>
              <w:adjustRightInd w:val="0"/>
              <w:jc w:val="center"/>
              <w:rPr>
                <w:rFonts w:eastAsiaTheme="minorEastAsia"/>
                <w:color w:val="000000"/>
                <w:szCs w:val="21"/>
              </w:rPr>
            </w:pP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优点</w:t>
            </w:r>
          </w:p>
        </w:tc>
        <w:tc>
          <w:tcPr>
            <w:tcW w:w="1608" w:type="dxa"/>
            <w:vAlign w:val="center"/>
          </w:tcPr>
          <w:p>
            <w:pPr>
              <w:adjustRightInd w:val="0"/>
              <w:jc w:val="center"/>
              <w:rPr>
                <w:rFonts w:eastAsiaTheme="minorEastAsia"/>
                <w:color w:val="000000"/>
                <w:szCs w:val="21"/>
              </w:rPr>
            </w:pPr>
            <w:r>
              <w:rPr>
                <w:rFonts w:eastAsiaTheme="minorEastAsia"/>
                <w:color w:val="000000"/>
                <w:szCs w:val="21"/>
              </w:rPr>
              <w:t>缺点</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优点</w:t>
            </w:r>
          </w:p>
        </w:tc>
        <w:tc>
          <w:tcPr>
            <w:tcW w:w="1162" w:type="dxa"/>
            <w:vAlign w:val="center"/>
          </w:tcPr>
          <w:p>
            <w:pPr>
              <w:adjustRightInd w:val="0"/>
              <w:jc w:val="center"/>
              <w:rPr>
                <w:rFonts w:eastAsiaTheme="minorEastAsia"/>
                <w:color w:val="000000"/>
                <w:szCs w:val="21"/>
              </w:rPr>
            </w:pPr>
            <w:r>
              <w:rPr>
                <w:rFonts w:eastAsiaTheme="minorEastAsia"/>
                <w:color w:val="000000"/>
                <w:szCs w:val="21"/>
              </w:rPr>
              <w:t>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水冲粪处理工艺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指畜禽排放的粪、尿和污水混合进入粪沟，每天数次放水冲洗，粪水顺粪沟流入粪便主干沟后排出的清粪工艺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保持猪舍内的环境清洁，劳动强度小，劳动效率高</w:t>
            </w:r>
          </w:p>
        </w:tc>
        <w:tc>
          <w:tcPr>
            <w:tcW w:w="1608" w:type="dxa"/>
            <w:vAlign w:val="center"/>
          </w:tcPr>
          <w:p>
            <w:pPr>
              <w:adjustRightInd w:val="0"/>
              <w:jc w:val="center"/>
              <w:rPr>
                <w:rFonts w:eastAsiaTheme="minorEastAsia"/>
                <w:color w:val="000000"/>
                <w:szCs w:val="21"/>
              </w:rPr>
            </w:pPr>
            <w:r>
              <w:rPr>
                <w:rFonts w:eastAsiaTheme="minorEastAsia"/>
                <w:color w:val="000000"/>
                <w:szCs w:val="21"/>
              </w:rPr>
              <w:t>排水量较大，污染物浓度较高，水处理难度较大，投资成本较高</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保持猪舍内的环境清洁，劳动强度较小，污水中污染物浓度较高，有利于沼气的产生</w:t>
            </w:r>
          </w:p>
        </w:tc>
        <w:tc>
          <w:tcPr>
            <w:tcW w:w="1162" w:type="dxa"/>
            <w:vAlign w:val="center"/>
          </w:tcPr>
          <w:p>
            <w:pPr>
              <w:adjustRightInd w:val="0"/>
              <w:jc w:val="center"/>
              <w:rPr>
                <w:rFonts w:eastAsiaTheme="minorEastAsia"/>
                <w:color w:val="000000"/>
                <w:szCs w:val="21"/>
              </w:rPr>
            </w:pPr>
            <w:r>
              <w:rPr>
                <w:rFonts w:eastAsiaTheme="minorEastAsia"/>
                <w:color w:val="000000"/>
                <w:szCs w:val="21"/>
              </w:rPr>
              <w:t>排水量较大，周边需要有较多的土地资源用于消纳粪污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水泡粪工艺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在畜禽舍内的排粪沟中注入一定量的水，将粪、尿、冲洗和饲养管理用水一并排放至漏缝地板下的粪沟中，贮存一定时间（一般为 1～2 个月）、待粪沟填满后，打开出口闸门，沟中的粪水顺粪沟流入粪便主干沟后排出的清粪工艺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保持猪舍内的环境清洁，劳动强度小，劳动效率高</w:t>
            </w:r>
          </w:p>
        </w:tc>
        <w:tc>
          <w:tcPr>
            <w:tcW w:w="1608" w:type="dxa"/>
            <w:vAlign w:val="center"/>
          </w:tcPr>
          <w:p>
            <w:pPr>
              <w:adjustRightInd w:val="0"/>
              <w:jc w:val="center"/>
              <w:rPr>
                <w:rFonts w:eastAsiaTheme="minorEastAsia"/>
                <w:color w:val="000000"/>
                <w:szCs w:val="21"/>
              </w:rPr>
            </w:pPr>
            <w:r>
              <w:rPr>
                <w:rFonts w:eastAsiaTheme="minorEastAsia"/>
                <w:color w:val="000000"/>
                <w:szCs w:val="21"/>
              </w:rPr>
              <w:t>排水量适中，污染物浓度较高，水处理难度较大，投资成本较高</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保持猪舍内的环境清洁，劳动强度较小，污水中污染物浓度较高，有利于沼气的产生</w:t>
            </w:r>
          </w:p>
        </w:tc>
        <w:tc>
          <w:tcPr>
            <w:tcW w:w="1162" w:type="dxa"/>
            <w:vAlign w:val="center"/>
          </w:tcPr>
          <w:p>
            <w:pPr>
              <w:adjustRightInd w:val="0"/>
              <w:jc w:val="center"/>
              <w:rPr>
                <w:rFonts w:eastAsiaTheme="minorEastAsia"/>
                <w:color w:val="000000"/>
                <w:szCs w:val="21"/>
              </w:rPr>
            </w:pPr>
            <w:r>
              <w:rPr>
                <w:rFonts w:eastAsiaTheme="minorEastAsia"/>
                <w:color w:val="000000"/>
                <w:szCs w:val="21"/>
              </w:rPr>
              <w:t>排水量适中，周边需要有足够的土地资源用于消纳粪污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机械刮板干清粪处理工艺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指畜禽排放的粪便一经产生便通过机械刮板清除，尿液、残余粪便及冲洗水则从排污道排出的清粪工艺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用水量较小、清粪比例较高，工艺废水中污染物浓度较低，有利于实现达标排放</w:t>
            </w:r>
          </w:p>
        </w:tc>
        <w:tc>
          <w:tcPr>
            <w:tcW w:w="1608" w:type="dxa"/>
            <w:vAlign w:val="center"/>
          </w:tcPr>
          <w:p>
            <w:pPr>
              <w:adjustRightInd w:val="0"/>
              <w:jc w:val="center"/>
              <w:rPr>
                <w:rFonts w:eastAsiaTheme="minorEastAsia"/>
                <w:color w:val="000000"/>
                <w:szCs w:val="21"/>
              </w:rPr>
            </w:pPr>
            <w:r>
              <w:rPr>
                <w:rFonts w:eastAsiaTheme="minorEastAsia"/>
                <w:color w:val="000000"/>
                <w:szCs w:val="21"/>
              </w:rPr>
              <w:t>一次性投资大，设备操作难度高，污水处理成本大</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排水量较小，需要消纳粪污的土地资源较少</w:t>
            </w:r>
          </w:p>
        </w:tc>
        <w:tc>
          <w:tcPr>
            <w:tcW w:w="1162" w:type="dxa"/>
            <w:vAlign w:val="center"/>
          </w:tcPr>
          <w:p>
            <w:pPr>
              <w:adjustRightInd w:val="0"/>
              <w:jc w:val="center"/>
              <w:rPr>
                <w:rFonts w:eastAsiaTheme="minorEastAsia"/>
                <w:color w:val="000000"/>
                <w:szCs w:val="21"/>
              </w:rPr>
            </w:pPr>
            <w:r>
              <w:rPr>
                <w:rFonts w:eastAsiaTheme="minorEastAsia"/>
                <w:color w:val="000000"/>
                <w:szCs w:val="21"/>
              </w:rPr>
              <w:t>管理难度高，设备容易出现故障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kern w:val="0"/>
                <w:szCs w:val="21"/>
              </w:rPr>
              <w:t>生态垫料养殖工艺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按一定比例混合秸杆、锯末屑等作为猪舍的垫料，再利用生猪的拱翻习性使猪粪、尿和垫料充分混合，通过垫料的分解发酵，使猪粪、尿中的有机物质得到充分的分解和转化的养殖工艺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不需要冲洗，无粪尿污水排出，垫料2~3年清理1次、劳动强度较小</w:t>
            </w:r>
          </w:p>
        </w:tc>
        <w:tc>
          <w:tcPr>
            <w:tcW w:w="1608" w:type="dxa"/>
            <w:vAlign w:val="center"/>
          </w:tcPr>
          <w:p>
            <w:pPr>
              <w:adjustRightInd w:val="0"/>
              <w:jc w:val="center"/>
              <w:rPr>
                <w:rFonts w:eastAsiaTheme="minorEastAsia"/>
                <w:color w:val="000000"/>
                <w:szCs w:val="21"/>
              </w:rPr>
            </w:pPr>
            <w:r>
              <w:rPr>
                <w:rFonts w:eastAsiaTheme="minorEastAsia"/>
                <w:color w:val="000000"/>
                <w:szCs w:val="21"/>
              </w:rPr>
              <w:t>夏天发酵床温度过高等不利于猪生长，粪污资源利用率低</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不需要冲洗，无粪尿污水排出，垫料2~3年清理1次、劳动强度较小</w:t>
            </w:r>
          </w:p>
        </w:tc>
        <w:tc>
          <w:tcPr>
            <w:tcW w:w="1162" w:type="dxa"/>
            <w:vAlign w:val="center"/>
          </w:tcPr>
          <w:p>
            <w:pPr>
              <w:adjustRightInd w:val="0"/>
              <w:jc w:val="center"/>
              <w:rPr>
                <w:rFonts w:eastAsiaTheme="minorEastAsia"/>
                <w:color w:val="000000"/>
                <w:szCs w:val="21"/>
              </w:rPr>
            </w:pPr>
            <w:r>
              <w:rPr>
                <w:rFonts w:eastAsiaTheme="minorEastAsia"/>
                <w:color w:val="000000"/>
                <w:szCs w:val="21"/>
              </w:rPr>
              <w:t>夏天发酵床温度过高等不利于猪生长，粪污资源利用率低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经干清粪工艺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养殖圈舍不注入清水，也不将清水用于圈舍粪尿日常清理，养殖舍内粪尿产生即依靠重力经漏缝地板离开猪舍进入猪舍下部粪污储存池，粪污储存池实现定期及时清理，粪污水离开粪污储存池后即进行干湿分离和无害化处理</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保持猪舍内的环境清洁，劳动强度小，不需清水冲洗，节能，成本低，易于管理</w:t>
            </w:r>
          </w:p>
        </w:tc>
        <w:tc>
          <w:tcPr>
            <w:tcW w:w="1608" w:type="dxa"/>
            <w:vAlign w:val="center"/>
          </w:tcPr>
          <w:p>
            <w:pPr>
              <w:adjustRightInd w:val="0"/>
              <w:jc w:val="center"/>
              <w:rPr>
                <w:rFonts w:eastAsiaTheme="minorEastAsia"/>
                <w:color w:val="000000"/>
                <w:szCs w:val="21"/>
              </w:rPr>
            </w:pPr>
            <w:r>
              <w:rPr>
                <w:rFonts w:eastAsiaTheme="minorEastAsia"/>
                <w:color w:val="000000"/>
                <w:szCs w:val="21"/>
              </w:rPr>
              <w:t>排水固液分离效率偏低，废水中SS浓度高</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劳动强度小、粪污资源利用率较高，便于管理</w:t>
            </w:r>
          </w:p>
        </w:tc>
        <w:tc>
          <w:tcPr>
            <w:tcW w:w="1162" w:type="dxa"/>
            <w:vAlign w:val="center"/>
          </w:tcPr>
          <w:p>
            <w:pPr>
              <w:adjustRightInd w:val="0"/>
              <w:jc w:val="center"/>
              <w:rPr>
                <w:rFonts w:eastAsiaTheme="minorEastAsia"/>
                <w:color w:val="000000"/>
                <w:szCs w:val="21"/>
              </w:rPr>
            </w:pPr>
            <w:r>
              <w:rPr>
                <w:rFonts w:eastAsiaTheme="minorEastAsia"/>
                <w:color w:val="000000"/>
                <w:szCs w:val="21"/>
              </w:rPr>
              <w:t>排水中SS浓度高，须选择合适的污水处理设施</w:t>
            </w:r>
          </w:p>
        </w:tc>
      </w:tr>
    </w:tbl>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①</w:t>
      </w:r>
      <w:r>
        <w:rPr>
          <w:rFonts w:eastAsiaTheme="minorEastAsia"/>
          <w:color w:val="000000"/>
          <w:sz w:val="24"/>
        </w:rPr>
        <w:t>水冲粪工艺优点是用水冲的方式清粪，能够保持猪舍内的环境清洁，劳动强度小，劳动效率高；缺点是比其它几种工艺的排水量大，废水污染物浓度较高，治理难度较大，一次投入成本较高。</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②</w:t>
      </w:r>
      <w:r>
        <w:rPr>
          <w:rFonts w:eastAsiaTheme="minorEastAsia"/>
          <w:color w:val="000000"/>
          <w:sz w:val="24"/>
        </w:rPr>
        <w:t>水泡粪工艺废水排放量适中，优点在于保持猪舍内的环境清洁，清粪劳动强度较小，污水中污染物浓度较高，有利于沼气的产生，但缺点是水处理成本较高，周边需要有足够的土地资源用于消纳粪污。</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③</w:t>
      </w:r>
      <w:r>
        <w:rPr>
          <w:rFonts w:eastAsiaTheme="minorEastAsia"/>
          <w:color w:val="000000"/>
          <w:sz w:val="24"/>
        </w:rPr>
        <w:t>机械刮板干清粪工艺的优点在于粪水分离，废水产生量较小，污染物浓度较低，废水处理技术成熟、可靠，便于污染处理和资源化利用；缺点在于设备操作难度高，容易出现故障。</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④</w:t>
      </w:r>
      <w:r>
        <w:rPr>
          <w:rFonts w:eastAsiaTheme="minorEastAsia"/>
          <w:color w:val="000000"/>
          <w:sz w:val="24"/>
        </w:rPr>
        <w:t>生态垫料养殖工艺的优点是不需要冲洗，无粪尿污水排出，垫料2~3年清理1次、劳动强度较小。在发酵床的制作过程中，通过垫料的分解发酵，使猪粪、尿中的有机物质得到充分的分解和转化；缺点是夏季猪舍的温度较高，粪污资源利用率低，且不适合大规模养殖场。</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⑤</w:t>
      </w:r>
      <w:r>
        <w:rPr>
          <w:rFonts w:eastAsiaTheme="minorEastAsia"/>
          <w:color w:val="000000"/>
          <w:sz w:val="24"/>
        </w:rPr>
        <w:t>本项目采用干清粪工艺。</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猪生活在漏缝地板上，猪舍内产生的猪粪由于猪的踩踏及重力作用离开猪舍进入猪舍底部的粪污储存池，粪污储存池使用尿封，不注入清水，也不将清水用于圈舍粪尿日常清理。储存池底部设计成一端高一端低的倾斜结构，排粪塞位于最低端，项目粪污储存池定期排空，排空时粪尿依靠储存池底部坡度由储存池排出，进入污水处理系统干湿分离段进行干湿分离。干湿分离后的干物质制有机肥基料，液体经厌氧发酵处理后用于农田施肥，粪尿实现全部综合利用。本项目采用的清粪工艺日常清理不需使用清水，废水产生量较小，劳动强度小，管理难度低。</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干清粪工艺与目前国内干清粪工艺模式比对，评价认为就饲养机械水平、防疫水平、环境卫生水平、恶臭气体排放、人力投入量、污水产生量和可回用率等方面，干清粪工艺均优于传统干清粪；该项目采用现代化养殖方式，自动化程度高，粪污处理工艺以能源和资源综合利用为目的，综合上述对比分析，评价认为采用干清粪工艺可行。</w:t>
      </w:r>
    </w:p>
    <w:p>
      <w:pPr>
        <w:tabs>
          <w:tab w:val="right" w:leader="dot" w:pos="8647"/>
        </w:tabs>
        <w:spacing w:line="500" w:lineRule="exact"/>
        <w:rPr>
          <w:rFonts w:eastAsiaTheme="minorEastAsia"/>
          <w:color w:val="000000"/>
          <w:sz w:val="24"/>
        </w:rPr>
      </w:pPr>
      <w:r>
        <w:rPr>
          <w:rFonts w:hint="eastAsia" w:eastAsiaTheme="minorEastAsia"/>
          <w:color w:val="000000"/>
          <w:sz w:val="24"/>
          <w:lang w:val="en-US" w:eastAsia="zh-CN"/>
        </w:rPr>
        <w:t>5</w:t>
      </w:r>
      <w:r>
        <w:rPr>
          <w:rFonts w:eastAsiaTheme="minorEastAsia"/>
          <w:color w:val="000000"/>
          <w:sz w:val="24"/>
        </w:rPr>
        <w:t>.2.1.2废水沼气化处理工艺比选</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本项目采用干清粪工艺清理养殖舍粪尿，养殖粪尿从粪污储存池流出后即进入污水处理站处理，项目拟采用“干湿分离（过滤+固液分离）+厌氧发酵”处理工艺处理养殖粪尿污水，拟采用“</w:t>
      </w:r>
      <w:r>
        <w:rPr>
          <w:rFonts w:hint="eastAsia" w:eastAsiaTheme="minorEastAsia"/>
          <w:color w:val="000000"/>
          <w:sz w:val="24"/>
          <w:lang w:eastAsia="zh-CN"/>
        </w:rPr>
        <w:t>黑膜</w:t>
      </w:r>
      <w:r>
        <w:rPr>
          <w:rFonts w:eastAsiaTheme="minorEastAsia"/>
          <w:color w:val="000000"/>
          <w:sz w:val="24"/>
        </w:rPr>
        <w:t>沼气池（即黑膜厌氧发酵塘）”工艺。</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两种处理工艺对比如下：</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（1）上流式厌氧污泥床反应器（UASB）</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是第二代高效反应器，具有较高的水力处理负荷，适用于高浓度工业废水和养殖废水的处理。当采用UASB作为有机废水处理工艺时，废水首先进行固液分离处理，去除溶液中含有的大颗粒物质，然后废水被引进UASB反应器的底部，向上流过由絮状或颗粒状厌氧污泥组成的污泥床，随着污水与污泥相接触而发生厌氧反应，产生沼气引起污泥床的扰动。在污泥床产生的沼气有一部分附着在污泥颗粒上，自由气泡和附着在污泥颗粒上的气泡上升至反应器的上部。污泥颗粒上升撞击到三相分离器挡板的下部，这引起附着的气泡释放；脱气的污泥颗粒沉淀回到污泥层的表面。自由状态下的沼气和由污泥颗粒释放的气体被收集在三相分离器锥顶部的集气室内。液体中包含一些剩余的固体物和生物颗粒进入到三相分离器的沉淀区内，剩余固体物和生物颗粒从液体中分离并通过三相分离器的锥板间隙回到污泥层。</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UASB反应器的优点在于可维持较高的污泥浓度，污泥泥龄（30天以上），较高的进水容积负荷率，提高了厌氧反应器单位体积的处理能力。</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反应器的不足之处主要是：进水中悬浮物需要适当控制，不宜过高，否则容易造成三相分离器拥堵，损坏设备；厌氧消化受温度影响很大，冬季须对装置进行加温；水力停留时间较短，废水中的有机质很难完全腐化；为提高UASB反应器的运行可靠性，必须设置各种类型的计量设备和仪表，如控制进水量、投药量等计量设备和pH计(酸度计)、温度测量等自动化仪表；对水质和负荷突然变化较敏感，耐冲击力稍差。</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（2）</w:t>
      </w:r>
      <w:r>
        <w:rPr>
          <w:rFonts w:hint="eastAsia" w:eastAsiaTheme="minorEastAsia"/>
          <w:color w:val="000000"/>
          <w:sz w:val="24"/>
          <w:lang w:eastAsia="zh-CN"/>
        </w:rPr>
        <w:t>黑膜</w:t>
      </w:r>
      <w:r>
        <w:rPr>
          <w:rFonts w:eastAsiaTheme="minorEastAsia"/>
          <w:color w:val="000000"/>
          <w:sz w:val="24"/>
        </w:rPr>
        <w:t>沼气池（黑膜厌氧发酵塘）工艺</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eastAsiaTheme="minorEastAsia"/>
          <w:color w:val="000000"/>
          <w:sz w:val="24"/>
          <w:lang w:eastAsia="zh-CN"/>
        </w:rPr>
        <w:t>黑膜</w:t>
      </w:r>
      <w:r>
        <w:rPr>
          <w:rFonts w:eastAsiaTheme="minorEastAsia"/>
          <w:color w:val="000000"/>
          <w:sz w:val="24"/>
        </w:rPr>
        <w:t>沼气池是在开挖好的土方基础上，采用优质HDPE材料，由底膜和顶膜密封形成的全封闭厌氧反应器。在</w:t>
      </w:r>
      <w:r>
        <w:rPr>
          <w:rFonts w:hint="eastAsia" w:eastAsiaTheme="minorEastAsia"/>
          <w:color w:val="000000"/>
          <w:sz w:val="24"/>
          <w:lang w:eastAsia="zh-CN"/>
        </w:rPr>
        <w:t>黑膜</w:t>
      </w:r>
      <w:r>
        <w:rPr>
          <w:rFonts w:eastAsiaTheme="minorEastAsia"/>
          <w:color w:val="000000"/>
          <w:sz w:val="24"/>
        </w:rPr>
        <w:t>沼气池内，污水中的有机物在微生物作用下降解转化生成沼气，系统配置沼气净化和利用设施。</w:t>
      </w:r>
      <w:r>
        <w:rPr>
          <w:rFonts w:hint="eastAsia" w:eastAsiaTheme="minorEastAsia"/>
          <w:color w:val="000000"/>
          <w:sz w:val="24"/>
          <w:lang w:eastAsia="zh-CN"/>
        </w:rPr>
        <w:t>黑膜</w:t>
      </w:r>
      <w:r>
        <w:rPr>
          <w:rFonts w:eastAsiaTheme="minorEastAsia"/>
          <w:color w:val="000000"/>
          <w:sz w:val="24"/>
        </w:rPr>
        <w:t>沼气池容积大、深度较深，污水进入池内后，每天进水量相对较少，因此耐污水的冲击负荷强；加之黑膜沼气池顶部的沼气隔温和地埋式沼气池具有冬季相对恒温的特点，池内污水温度受外界影响较小，冬季不需保温。</w:t>
      </w:r>
      <w:r>
        <w:rPr>
          <w:rFonts w:hint="eastAsia" w:eastAsiaTheme="minorEastAsia"/>
          <w:color w:val="000000"/>
          <w:sz w:val="24"/>
          <w:lang w:eastAsia="zh-CN"/>
        </w:rPr>
        <w:t>黑膜</w:t>
      </w:r>
      <w:r>
        <w:rPr>
          <w:rFonts w:eastAsiaTheme="minorEastAsia"/>
          <w:color w:val="000000"/>
          <w:sz w:val="24"/>
        </w:rPr>
        <w:t>沼气池主体工程位于地面以下，顶部、底部用黑膜密封，和外界环境气温不流通，形成独特的小气候，经调查在室外温度2</w:t>
      </w:r>
      <w:r>
        <w:rPr>
          <w:rFonts w:hint="eastAsia" w:ascii="宋体" w:hAnsi="宋体" w:cs="宋体"/>
          <w:color w:val="000000"/>
          <w:sz w:val="24"/>
        </w:rPr>
        <w:t>℃</w:t>
      </w:r>
      <w:r>
        <w:rPr>
          <w:rFonts w:eastAsiaTheme="minorEastAsia"/>
          <w:color w:val="000000"/>
          <w:sz w:val="24"/>
        </w:rPr>
        <w:t>，进水温度15.8</w:t>
      </w:r>
      <w:r>
        <w:rPr>
          <w:rFonts w:hint="eastAsia" w:ascii="宋体" w:hAnsi="宋体" w:cs="宋体"/>
          <w:color w:val="000000"/>
          <w:sz w:val="24"/>
        </w:rPr>
        <w:t>℃</w:t>
      </w:r>
      <w:r>
        <w:rPr>
          <w:rFonts w:eastAsiaTheme="minorEastAsia"/>
          <w:color w:val="000000"/>
          <w:sz w:val="24"/>
        </w:rPr>
        <w:t>的环境中，经</w:t>
      </w:r>
      <w:r>
        <w:rPr>
          <w:rFonts w:hint="eastAsia" w:eastAsiaTheme="minorEastAsia"/>
          <w:color w:val="000000"/>
          <w:sz w:val="24"/>
          <w:lang w:eastAsia="zh-CN"/>
        </w:rPr>
        <w:t>黑膜</w:t>
      </w:r>
      <w:r>
        <w:rPr>
          <w:rFonts w:eastAsiaTheme="minorEastAsia"/>
          <w:color w:val="000000"/>
          <w:sz w:val="24"/>
        </w:rPr>
        <w:t>沼气池发酵后的出水温度达19</w:t>
      </w:r>
      <w:r>
        <w:rPr>
          <w:rFonts w:hint="eastAsia" w:ascii="宋体" w:hAnsi="宋体" w:cs="宋体"/>
          <w:color w:val="000000"/>
          <w:sz w:val="24"/>
        </w:rPr>
        <w:t>℃</w:t>
      </w:r>
      <w:r>
        <w:rPr>
          <w:rFonts w:eastAsiaTheme="minorEastAsia"/>
          <w:color w:val="000000"/>
          <w:sz w:val="24"/>
        </w:rPr>
        <w:t>；在室外温度-1</w:t>
      </w:r>
      <w:r>
        <w:rPr>
          <w:rFonts w:hint="eastAsia" w:ascii="宋体" w:hAnsi="宋体" w:cs="宋体"/>
          <w:color w:val="000000"/>
          <w:sz w:val="24"/>
        </w:rPr>
        <w:t>℃</w:t>
      </w:r>
      <w:r>
        <w:rPr>
          <w:rFonts w:eastAsiaTheme="minorEastAsia"/>
          <w:color w:val="000000"/>
          <w:sz w:val="24"/>
        </w:rPr>
        <w:t>，进水温度13.6</w:t>
      </w:r>
      <w:r>
        <w:rPr>
          <w:rFonts w:hint="eastAsia" w:ascii="宋体" w:hAnsi="宋体" w:cs="宋体"/>
          <w:color w:val="000000"/>
          <w:sz w:val="24"/>
        </w:rPr>
        <w:t>℃</w:t>
      </w:r>
      <w:r>
        <w:rPr>
          <w:rFonts w:eastAsiaTheme="minorEastAsia"/>
          <w:color w:val="000000"/>
          <w:sz w:val="24"/>
        </w:rPr>
        <w:t>的环境中，发酵后的出水温度达17.9</w:t>
      </w:r>
      <w:r>
        <w:rPr>
          <w:rFonts w:hint="eastAsia" w:ascii="宋体" w:hAnsi="宋体" w:cs="宋体"/>
          <w:color w:val="000000"/>
          <w:sz w:val="24"/>
        </w:rPr>
        <w:t>℃</w:t>
      </w:r>
      <w:r>
        <w:rPr>
          <w:rFonts w:eastAsiaTheme="minorEastAsia"/>
          <w:color w:val="000000"/>
          <w:sz w:val="24"/>
        </w:rPr>
        <w:t>。污水在池内的滞留期长（35天及以上），厌氧发酵充分，可收集的沼气量多，COD去除率可达到80%以上。</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eastAsiaTheme="minorEastAsia"/>
          <w:color w:val="000000"/>
          <w:sz w:val="24"/>
          <w:lang w:eastAsia="zh-CN"/>
        </w:rPr>
        <w:t>黑膜</w:t>
      </w:r>
      <w:r>
        <w:rPr>
          <w:rFonts w:eastAsiaTheme="minorEastAsia"/>
          <w:color w:val="000000"/>
          <w:sz w:val="24"/>
        </w:rPr>
        <w:t>沼气池的优点如下：</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①</w:t>
      </w:r>
      <w:r>
        <w:rPr>
          <w:rFonts w:hint="eastAsia" w:eastAsiaTheme="minorEastAsia"/>
          <w:color w:val="000000"/>
          <w:sz w:val="24"/>
          <w:lang w:eastAsia="zh-CN"/>
        </w:rPr>
        <w:t>黑膜</w:t>
      </w:r>
      <w:r>
        <w:rPr>
          <w:rFonts w:eastAsiaTheme="minorEastAsia"/>
          <w:color w:val="000000"/>
          <w:sz w:val="24"/>
        </w:rPr>
        <w:t>沼气池具有优异的化学稳定性，耐高低温，耐沥青、油及焦油，耐酸、碱、盐等80多种强酸强碱化学介质腐蚀；对进水SS浓度无要求，不会造成污泥淤积，拥堵管道。</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②</w:t>
      </w:r>
      <w:r>
        <w:rPr>
          <w:rFonts w:hint="eastAsia" w:eastAsiaTheme="minorEastAsia"/>
          <w:color w:val="000000"/>
          <w:sz w:val="24"/>
          <w:lang w:eastAsia="zh-CN"/>
        </w:rPr>
        <w:t>黑膜</w:t>
      </w:r>
      <w:r>
        <w:rPr>
          <w:rFonts w:eastAsiaTheme="minorEastAsia"/>
          <w:color w:val="000000"/>
          <w:sz w:val="24"/>
        </w:rPr>
        <w:t>沼气池施工简单，建设成本低；施工简单，建设周期短；安全性高，工艺流程短，运行维护方便，广泛适用于禽畜粪污水的处理、城垃圾填埋场等。</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③</w:t>
      </w:r>
      <w:r>
        <w:rPr>
          <w:rFonts w:eastAsiaTheme="minorEastAsia"/>
          <w:color w:val="000000"/>
          <w:sz w:val="24"/>
        </w:rPr>
        <w:t>项目</w:t>
      </w:r>
      <w:r>
        <w:rPr>
          <w:rFonts w:hint="eastAsia" w:eastAsiaTheme="minorEastAsia"/>
          <w:color w:val="000000"/>
          <w:sz w:val="24"/>
          <w:lang w:eastAsia="zh-CN"/>
        </w:rPr>
        <w:t>黑膜</w:t>
      </w:r>
      <w:r>
        <w:rPr>
          <w:rFonts w:eastAsiaTheme="minorEastAsia"/>
          <w:color w:val="000000"/>
          <w:sz w:val="24"/>
        </w:rPr>
        <w:t>沼气池厌氧发酵产生的沼气可以作为燃料综合利用。</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④</w:t>
      </w:r>
      <w:r>
        <w:rPr>
          <w:rFonts w:hint="eastAsia" w:eastAsiaTheme="minorEastAsia"/>
          <w:color w:val="000000"/>
          <w:sz w:val="24"/>
          <w:lang w:eastAsia="zh-CN"/>
        </w:rPr>
        <w:t>黑膜</w:t>
      </w:r>
      <w:r>
        <w:rPr>
          <w:rFonts w:eastAsiaTheme="minorEastAsia"/>
          <w:color w:val="000000"/>
          <w:sz w:val="24"/>
        </w:rPr>
        <w:t>沼气池内温度稳定，有利于厌氧菌发酵，即使在寒季长、气温低的北方地区，</w:t>
      </w:r>
      <w:r>
        <w:rPr>
          <w:rFonts w:hint="eastAsia" w:eastAsiaTheme="minorEastAsia"/>
          <w:color w:val="000000"/>
          <w:sz w:val="24"/>
          <w:lang w:eastAsia="zh-CN"/>
        </w:rPr>
        <w:t>黑膜</w:t>
      </w:r>
      <w:r>
        <w:rPr>
          <w:rFonts w:eastAsiaTheme="minorEastAsia"/>
          <w:color w:val="000000"/>
          <w:sz w:val="24"/>
        </w:rPr>
        <w:t>沼气池内也可以保持常温发酵温度，污水处理效果好。</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⑤</w:t>
      </w:r>
      <w:r>
        <w:rPr>
          <w:rFonts w:hint="eastAsia" w:eastAsiaTheme="minorEastAsia"/>
          <w:color w:val="000000"/>
          <w:sz w:val="24"/>
          <w:lang w:eastAsia="zh-CN"/>
        </w:rPr>
        <w:t>黑膜</w:t>
      </w:r>
      <w:r>
        <w:rPr>
          <w:rFonts w:eastAsiaTheme="minorEastAsia"/>
          <w:color w:val="000000"/>
          <w:sz w:val="24"/>
        </w:rPr>
        <w:t>沼气池厌氧发酵容积大、污水滞留期长、沼气产生量大、运行处理费低。</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eastAsiaTheme="minorEastAsia"/>
          <w:color w:val="000000"/>
          <w:sz w:val="24"/>
          <w:lang w:eastAsia="zh-CN"/>
        </w:rPr>
        <w:t>黑膜</w:t>
      </w:r>
      <w:r>
        <w:rPr>
          <w:rFonts w:eastAsiaTheme="minorEastAsia"/>
          <w:color w:val="000000"/>
          <w:sz w:val="24"/>
        </w:rPr>
        <w:t>沼气池的缺点：需依靠四周充足的农田利用厌氧发酵产生的沼液。</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（3）工艺比选</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①</w:t>
      </w:r>
      <w:r>
        <w:rPr>
          <w:rFonts w:eastAsiaTheme="minorEastAsia"/>
          <w:color w:val="000000"/>
          <w:sz w:val="24"/>
        </w:rPr>
        <w:t>工艺指标对比</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UASB工艺和</w:t>
      </w:r>
      <w:r>
        <w:rPr>
          <w:rFonts w:hint="eastAsia" w:eastAsiaTheme="minorEastAsia"/>
          <w:color w:val="000000"/>
          <w:sz w:val="24"/>
          <w:lang w:eastAsia="zh-CN"/>
        </w:rPr>
        <w:t>黑膜</w:t>
      </w:r>
      <w:r>
        <w:rPr>
          <w:rFonts w:eastAsiaTheme="minorEastAsia"/>
          <w:color w:val="000000"/>
          <w:sz w:val="24"/>
        </w:rPr>
        <w:t>沼气池工艺指标对比一览表见表</w:t>
      </w:r>
      <w:r>
        <w:rPr>
          <w:rFonts w:hint="eastAsia" w:eastAsiaTheme="minorEastAsia"/>
          <w:color w:val="000000"/>
          <w:sz w:val="24"/>
          <w:lang w:val="en-US" w:eastAsia="zh-CN"/>
        </w:rPr>
        <w:t>5.2-2</w:t>
      </w:r>
      <w:r>
        <w:rPr>
          <w:rFonts w:eastAsiaTheme="minorEastAsia"/>
          <w:color w:val="000000"/>
          <w:sz w:val="24"/>
        </w:rPr>
        <w:t>。</w:t>
      </w:r>
    </w:p>
    <w:p>
      <w:pPr>
        <w:tabs>
          <w:tab w:val="right" w:leader="dot" w:pos="8647"/>
        </w:tabs>
        <w:spacing w:beforeLines="50" w:afterLines="50"/>
        <w:ind w:firstLine="480" w:firstLineChars="200"/>
        <w:jc w:val="center"/>
        <w:rPr>
          <w:rFonts w:eastAsiaTheme="minorEastAsia"/>
          <w:b/>
          <w:bCs/>
          <w:color w:val="000000"/>
          <w:sz w:val="24"/>
        </w:rPr>
      </w:pPr>
      <w:r>
        <w:rPr>
          <w:rFonts w:eastAsiaTheme="minorEastAsia"/>
          <w:b/>
          <w:bCs/>
          <w:color w:val="000000"/>
          <w:sz w:val="24"/>
        </w:rPr>
        <w:t>表</w:t>
      </w:r>
      <w:r>
        <w:rPr>
          <w:rFonts w:hint="eastAsia" w:eastAsiaTheme="minorEastAsia"/>
          <w:b/>
          <w:bCs/>
          <w:color w:val="000000"/>
          <w:sz w:val="24"/>
          <w:lang w:val="en-US" w:eastAsia="zh-CN"/>
        </w:rPr>
        <w:t>5.2-2</w:t>
      </w:r>
      <w:r>
        <w:rPr>
          <w:rFonts w:eastAsiaTheme="minorEastAsia"/>
          <w:b/>
          <w:bCs/>
          <w:color w:val="000000"/>
          <w:sz w:val="24"/>
        </w:rPr>
        <w:t xml:space="preserve">   UASB工艺和</w:t>
      </w:r>
      <w:r>
        <w:rPr>
          <w:rFonts w:hint="eastAsia" w:eastAsiaTheme="minorEastAsia"/>
          <w:b/>
          <w:bCs/>
          <w:color w:val="000000"/>
          <w:sz w:val="24"/>
          <w:lang w:eastAsia="zh-CN"/>
        </w:rPr>
        <w:t>黑膜</w:t>
      </w:r>
      <w:r>
        <w:rPr>
          <w:rFonts w:eastAsiaTheme="minorEastAsia"/>
          <w:b/>
          <w:bCs/>
          <w:color w:val="000000"/>
          <w:sz w:val="24"/>
        </w:rPr>
        <w:t>沼气池工艺指标对比一览表</w:t>
      </w:r>
    </w:p>
    <w:tbl>
      <w:tblPr>
        <w:tblStyle w:val="45"/>
        <w:tblW w:w="88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42"/>
        <w:gridCol w:w="3260"/>
        <w:gridCol w:w="34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pict>
                <v:line id="__TH_L1859" o:spid="_x0000_s4567" o:spt="20" style="position:absolute;left:0pt;margin-left:1.1pt;margin-top:1.2pt;height:25.15pt;width:104.3pt;z-index:251666432;mso-width-relative:page;mso-height-relative:page;" coordsize="21600,21600">
                  <v:path arrowok="t"/>
                  <v:fill focussize="0,0"/>
                  <v:stroke weight="0.5pt"/>
                  <v:imagedata o:title=""/>
                  <o:lock v:ext="edit"/>
                </v:line>
              </w:pict>
            </w:r>
            <w:r>
              <w:rPr>
                <w:rFonts w:hint="eastAsia"/>
                <w:color w:val="000000"/>
                <w:spacing w:val="7"/>
                <w:szCs w:val="21"/>
                <w:lang w:val="en-US" w:eastAsia="zh-CN"/>
              </w:rPr>
              <w:t xml:space="preserve"> </w:t>
            </w:r>
            <w:r>
              <w:rPr>
                <w:color w:val="000000"/>
                <w:spacing w:val="7"/>
                <w:szCs w:val="21"/>
              </w:rPr>
              <w:t>工艺</w:t>
            </w:r>
          </w:p>
          <w:p>
            <w:pPr>
              <w:adjustRightInd w:val="0"/>
              <w:rPr>
                <w:color w:val="000000"/>
                <w:spacing w:val="7"/>
                <w:szCs w:val="21"/>
              </w:rPr>
            </w:pPr>
            <w:r>
              <w:rPr>
                <w:color w:val="000000"/>
                <w:spacing w:val="7"/>
                <w:szCs w:val="21"/>
              </w:rPr>
              <w:t>指标</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UASB工艺</w:t>
            </w:r>
          </w:p>
        </w:tc>
        <w:tc>
          <w:tcPr>
            <w:tcW w:w="3402" w:type="dxa"/>
            <w:vAlign w:val="center"/>
          </w:tcPr>
          <w:p>
            <w:pPr>
              <w:adjustRightInd w:val="0"/>
              <w:jc w:val="center"/>
              <w:rPr>
                <w:color w:val="000000"/>
                <w:spacing w:val="7"/>
                <w:szCs w:val="21"/>
              </w:rPr>
            </w:pPr>
            <w:r>
              <w:rPr>
                <w:rFonts w:hint="eastAsia"/>
                <w:color w:val="000000"/>
                <w:spacing w:val="7"/>
                <w:szCs w:val="21"/>
                <w:lang w:eastAsia="zh-CN"/>
              </w:rPr>
              <w:t>黑膜</w:t>
            </w:r>
            <w:r>
              <w:rPr>
                <w:color w:val="000000"/>
                <w:spacing w:val="7"/>
                <w:szCs w:val="21"/>
              </w:rPr>
              <w:t>沼气池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原料范围</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畜禽场污水</w:t>
            </w:r>
          </w:p>
        </w:tc>
        <w:tc>
          <w:tcPr>
            <w:tcW w:w="3402" w:type="dxa"/>
            <w:vAlign w:val="center"/>
          </w:tcPr>
          <w:p>
            <w:pPr>
              <w:adjustRightInd w:val="0"/>
              <w:jc w:val="center"/>
              <w:rPr>
                <w:color w:val="000000"/>
                <w:spacing w:val="7"/>
                <w:szCs w:val="21"/>
              </w:rPr>
            </w:pPr>
            <w:r>
              <w:rPr>
                <w:color w:val="000000"/>
                <w:spacing w:val="7"/>
                <w:szCs w:val="21"/>
              </w:rPr>
              <w:t>畜禽场污水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原料TS浓度</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＜2%</w:t>
            </w:r>
          </w:p>
        </w:tc>
        <w:tc>
          <w:tcPr>
            <w:tcW w:w="3402" w:type="dxa"/>
            <w:vAlign w:val="center"/>
          </w:tcPr>
          <w:p>
            <w:pPr>
              <w:adjustRightInd w:val="0"/>
              <w:jc w:val="center"/>
              <w:rPr>
                <w:color w:val="000000"/>
                <w:spacing w:val="7"/>
                <w:szCs w:val="21"/>
              </w:rPr>
            </w:pPr>
            <w:r>
              <w:rPr>
                <w:color w:val="000000"/>
                <w:spacing w:val="7"/>
                <w:szCs w:val="21"/>
              </w:rPr>
              <w:t>无要求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应用区域</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中部、南部</w:t>
            </w:r>
          </w:p>
        </w:tc>
        <w:tc>
          <w:tcPr>
            <w:tcW w:w="3402" w:type="dxa"/>
            <w:vAlign w:val="center"/>
          </w:tcPr>
          <w:p>
            <w:pPr>
              <w:adjustRightInd w:val="0"/>
              <w:jc w:val="center"/>
              <w:rPr>
                <w:color w:val="000000"/>
                <w:spacing w:val="7"/>
                <w:szCs w:val="21"/>
              </w:rPr>
            </w:pPr>
            <w:r>
              <w:rPr>
                <w:color w:val="000000"/>
                <w:spacing w:val="7"/>
                <w:szCs w:val="21"/>
              </w:rPr>
              <w:t>全国各地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单位能耗</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中等</w:t>
            </w:r>
          </w:p>
        </w:tc>
        <w:tc>
          <w:tcPr>
            <w:tcW w:w="3402" w:type="dxa"/>
            <w:vAlign w:val="center"/>
          </w:tcPr>
          <w:p>
            <w:pPr>
              <w:adjustRightInd w:val="0"/>
              <w:jc w:val="center"/>
              <w:rPr>
                <w:color w:val="000000"/>
                <w:spacing w:val="7"/>
                <w:szCs w:val="21"/>
              </w:rPr>
            </w:pPr>
            <w:r>
              <w:rPr>
                <w:color w:val="000000"/>
                <w:spacing w:val="7"/>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操作难度</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较高</w:t>
            </w:r>
          </w:p>
        </w:tc>
        <w:tc>
          <w:tcPr>
            <w:tcW w:w="3402" w:type="dxa"/>
            <w:vAlign w:val="center"/>
          </w:tcPr>
          <w:p>
            <w:pPr>
              <w:adjustRightInd w:val="0"/>
              <w:jc w:val="center"/>
              <w:rPr>
                <w:color w:val="000000"/>
                <w:spacing w:val="7"/>
                <w:szCs w:val="21"/>
              </w:rPr>
            </w:pPr>
            <w:r>
              <w:rPr>
                <w:color w:val="000000"/>
                <w:spacing w:val="7"/>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产气率</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≥0.5m</w:t>
            </w:r>
            <w:r>
              <w:rPr>
                <w:color w:val="000000"/>
                <w:spacing w:val="7"/>
                <w:szCs w:val="21"/>
                <w:vertAlign w:val="superscript"/>
              </w:rPr>
              <w:t>3</w:t>
            </w:r>
            <w:r>
              <w:rPr>
                <w:color w:val="000000"/>
                <w:spacing w:val="7"/>
                <w:szCs w:val="21"/>
              </w:rPr>
              <w:t>/m</w:t>
            </w:r>
            <w:r>
              <w:rPr>
                <w:color w:val="000000"/>
                <w:spacing w:val="7"/>
                <w:szCs w:val="21"/>
                <w:vertAlign w:val="superscript"/>
              </w:rPr>
              <w:t>3</w:t>
            </w:r>
          </w:p>
        </w:tc>
        <w:tc>
          <w:tcPr>
            <w:tcW w:w="3402" w:type="dxa"/>
            <w:vAlign w:val="center"/>
          </w:tcPr>
          <w:p>
            <w:pPr>
              <w:adjustRightInd w:val="0"/>
              <w:jc w:val="center"/>
              <w:rPr>
                <w:color w:val="000000"/>
                <w:spacing w:val="7"/>
                <w:szCs w:val="21"/>
              </w:rPr>
            </w:pPr>
            <w:r>
              <w:rPr>
                <w:color w:val="000000"/>
                <w:spacing w:val="7"/>
                <w:szCs w:val="21"/>
              </w:rPr>
              <w:t>≥0.8m</w:t>
            </w:r>
            <w:r>
              <w:rPr>
                <w:color w:val="000000"/>
                <w:spacing w:val="7"/>
                <w:szCs w:val="21"/>
                <w:vertAlign w:val="superscript"/>
              </w:rPr>
              <w:t>3</w:t>
            </w:r>
            <w:r>
              <w:rPr>
                <w:color w:val="000000"/>
                <w:spacing w:val="7"/>
                <w:szCs w:val="21"/>
              </w:rPr>
              <w:t>/m</w:t>
            </w:r>
            <w:r>
              <w:rPr>
                <w:color w:val="000000"/>
                <w:spacing w:val="7"/>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主体工程使用寿命</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5~10年</w:t>
            </w:r>
          </w:p>
        </w:tc>
        <w:tc>
          <w:tcPr>
            <w:tcW w:w="3402" w:type="dxa"/>
            <w:vAlign w:val="center"/>
          </w:tcPr>
          <w:p>
            <w:pPr>
              <w:adjustRightInd w:val="0"/>
              <w:jc w:val="center"/>
              <w:rPr>
                <w:color w:val="000000"/>
                <w:spacing w:val="7"/>
                <w:szCs w:val="21"/>
              </w:rPr>
            </w:pPr>
            <w:r>
              <w:rPr>
                <w:color w:val="000000"/>
                <w:spacing w:val="7"/>
                <w:szCs w:val="21"/>
              </w:rPr>
              <w:t>10~20年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配套装置</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须配套建设保温加热设备、沼气贮存装置；自动化程度要求高，须配套监控设备</w:t>
            </w:r>
          </w:p>
        </w:tc>
        <w:tc>
          <w:tcPr>
            <w:tcW w:w="3402" w:type="dxa"/>
            <w:vAlign w:val="center"/>
          </w:tcPr>
          <w:p>
            <w:pPr>
              <w:adjustRightInd w:val="0"/>
              <w:jc w:val="center"/>
              <w:rPr>
                <w:color w:val="000000"/>
                <w:spacing w:val="7"/>
                <w:szCs w:val="21"/>
              </w:rPr>
            </w:pPr>
            <w:r>
              <w:rPr>
                <w:color w:val="000000"/>
                <w:spacing w:val="7"/>
                <w:szCs w:val="21"/>
              </w:rPr>
              <w:t>沼气池集厌氧发酵、贮气于一体；池内污水温度受外界影响较小；污水进出自流、污泥产生量小，自动除渣，不容易堵塞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建设成本</w:t>
            </w:r>
          </w:p>
        </w:tc>
        <w:tc>
          <w:tcPr>
            <w:tcW w:w="3260" w:type="dxa"/>
            <w:tcMar>
              <w:left w:w="0" w:type="dxa"/>
              <w:right w:w="0" w:type="dxa"/>
            </w:tcMar>
            <w:vAlign w:val="center"/>
          </w:tcPr>
          <w:p>
            <w:pPr>
              <w:adjustRightInd w:val="0"/>
              <w:jc w:val="center"/>
              <w:rPr>
                <w:color w:val="000000"/>
                <w:spacing w:val="7"/>
                <w:szCs w:val="21"/>
                <w:vertAlign w:val="superscript"/>
              </w:rPr>
            </w:pPr>
            <w:r>
              <w:rPr>
                <w:color w:val="000000"/>
                <w:spacing w:val="7"/>
                <w:szCs w:val="21"/>
              </w:rPr>
              <w:t>500~700元/m</w:t>
            </w:r>
            <w:r>
              <w:rPr>
                <w:color w:val="000000"/>
                <w:spacing w:val="7"/>
                <w:szCs w:val="21"/>
                <w:vertAlign w:val="superscript"/>
              </w:rPr>
              <w:t>3</w:t>
            </w:r>
          </w:p>
        </w:tc>
        <w:tc>
          <w:tcPr>
            <w:tcW w:w="3402" w:type="dxa"/>
            <w:vAlign w:val="center"/>
          </w:tcPr>
          <w:p>
            <w:pPr>
              <w:adjustRightInd w:val="0"/>
              <w:jc w:val="center"/>
              <w:rPr>
                <w:color w:val="000000"/>
                <w:spacing w:val="7"/>
                <w:szCs w:val="21"/>
              </w:rPr>
            </w:pPr>
            <w:r>
              <w:rPr>
                <w:color w:val="000000"/>
                <w:spacing w:val="7"/>
                <w:szCs w:val="21"/>
              </w:rPr>
              <w:t>50~60元/m</w:t>
            </w:r>
            <w:r>
              <w:rPr>
                <w:color w:val="000000"/>
                <w:spacing w:val="7"/>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经济效益</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低</w:t>
            </w:r>
          </w:p>
        </w:tc>
        <w:tc>
          <w:tcPr>
            <w:tcW w:w="3402" w:type="dxa"/>
            <w:vAlign w:val="center"/>
          </w:tcPr>
          <w:p>
            <w:pPr>
              <w:adjustRightInd w:val="0"/>
              <w:jc w:val="center"/>
              <w:rPr>
                <w:color w:val="000000"/>
                <w:spacing w:val="7"/>
                <w:szCs w:val="21"/>
              </w:rPr>
            </w:pPr>
            <w:r>
              <w:rPr>
                <w:color w:val="000000"/>
                <w:spacing w:val="7"/>
                <w:szCs w:val="21"/>
              </w:rPr>
              <w:t>佳</w:t>
            </w:r>
          </w:p>
        </w:tc>
      </w:tr>
    </w:tbl>
    <w:p>
      <w:pPr>
        <w:tabs>
          <w:tab w:val="right" w:leader="dot" w:pos="8647"/>
        </w:tabs>
        <w:adjustRightInd w:val="0"/>
        <w:snapToGrid w:val="0"/>
        <w:spacing w:line="500" w:lineRule="exact"/>
        <w:ind w:firstLine="480" w:firstLineChars="200"/>
        <w:rPr>
          <w:color w:val="000000"/>
          <w:sz w:val="24"/>
        </w:rPr>
      </w:pPr>
      <w:r>
        <w:rPr>
          <w:color w:val="000000"/>
          <w:sz w:val="24"/>
        </w:rPr>
        <w:t>由以上分析可知，</w:t>
      </w:r>
      <w:r>
        <w:rPr>
          <w:rFonts w:hint="eastAsia"/>
          <w:color w:val="000000"/>
          <w:sz w:val="24"/>
          <w:lang w:eastAsia="zh-CN"/>
        </w:rPr>
        <w:t>黑膜</w:t>
      </w:r>
      <w:r>
        <w:rPr>
          <w:color w:val="000000"/>
          <w:sz w:val="24"/>
        </w:rPr>
        <w:t>沼气池工艺建设成本低，抗污水冲击力强，管理方便，污染物去除率高等优点。</w:t>
      </w:r>
    </w:p>
    <w:p>
      <w:pPr>
        <w:tabs>
          <w:tab w:val="right" w:leader="dot" w:pos="8647"/>
        </w:tabs>
        <w:adjustRightInd w:val="0"/>
        <w:snapToGrid w:val="0"/>
        <w:spacing w:line="500" w:lineRule="exact"/>
        <w:ind w:firstLine="480" w:firstLineChars="200"/>
        <w:rPr>
          <w:color w:val="000000"/>
          <w:sz w:val="24"/>
        </w:rPr>
      </w:pPr>
      <w:r>
        <w:rPr>
          <w:rFonts w:hint="eastAsia" w:ascii="宋体" w:hAnsi="宋体" w:cs="宋体"/>
          <w:color w:val="000000"/>
          <w:sz w:val="24"/>
        </w:rPr>
        <w:t>②</w:t>
      </w:r>
      <w:r>
        <w:rPr>
          <w:color w:val="000000"/>
          <w:sz w:val="24"/>
        </w:rPr>
        <w:t>处理效果对比</w:t>
      </w:r>
    </w:p>
    <w:p>
      <w:pPr>
        <w:tabs>
          <w:tab w:val="right" w:leader="dot" w:pos="8647"/>
        </w:tabs>
        <w:adjustRightInd w:val="0"/>
        <w:snapToGrid w:val="0"/>
        <w:spacing w:line="500" w:lineRule="exact"/>
        <w:ind w:firstLine="480" w:firstLineChars="200"/>
        <w:rPr>
          <w:color w:val="000000"/>
          <w:sz w:val="24"/>
        </w:rPr>
      </w:pPr>
      <w:r>
        <w:rPr>
          <w:color w:val="000000"/>
          <w:sz w:val="24"/>
        </w:rPr>
        <w:t>根据</w:t>
      </w:r>
      <w:r>
        <w:rPr>
          <w:rFonts w:hint="eastAsia"/>
          <w:color w:val="000000"/>
          <w:sz w:val="24"/>
          <w:lang w:val="en-US" w:eastAsia="zh-CN"/>
        </w:rPr>
        <w:t>国内同类养殖场</w:t>
      </w:r>
      <w:r>
        <w:rPr>
          <w:color w:val="000000"/>
          <w:sz w:val="24"/>
        </w:rPr>
        <w:t>已运行养殖场（采用干清粪养殖工艺，污水处理采用UASB厌氧发酵）废水处理效果见表</w:t>
      </w:r>
      <w:r>
        <w:rPr>
          <w:rFonts w:hint="eastAsia"/>
          <w:color w:val="000000"/>
          <w:sz w:val="24"/>
          <w:lang w:val="en-US" w:eastAsia="zh-CN"/>
        </w:rPr>
        <w:t>5.2-3</w:t>
      </w:r>
      <w:r>
        <w:rPr>
          <w:color w:val="000000"/>
          <w:sz w:val="24"/>
        </w:rPr>
        <w:t>。</w:t>
      </w:r>
    </w:p>
    <w:p>
      <w:pPr>
        <w:tabs>
          <w:tab w:val="right" w:leader="dot" w:pos="8647"/>
        </w:tabs>
        <w:spacing w:beforeLines="50" w:afterLines="50"/>
        <w:ind w:firstLine="420" w:firstLineChars="200"/>
        <w:jc w:val="center"/>
        <w:rPr>
          <w:b/>
          <w:bCs/>
          <w:color w:val="000000"/>
          <w:szCs w:val="21"/>
        </w:rPr>
      </w:pPr>
      <w:r>
        <w:rPr>
          <w:b/>
          <w:bCs/>
          <w:color w:val="000000"/>
          <w:szCs w:val="21"/>
        </w:rPr>
        <w:t>表</w:t>
      </w:r>
      <w:r>
        <w:rPr>
          <w:rFonts w:hint="eastAsia"/>
          <w:b/>
          <w:bCs/>
          <w:color w:val="000000"/>
          <w:szCs w:val="21"/>
          <w:lang w:val="en-US" w:eastAsia="zh-CN"/>
        </w:rPr>
        <w:t>5.2-3</w:t>
      </w:r>
      <w:r>
        <w:rPr>
          <w:b/>
          <w:bCs/>
          <w:color w:val="000000"/>
          <w:szCs w:val="21"/>
        </w:rPr>
        <w:t xml:space="preserve">  </w:t>
      </w:r>
      <w:r>
        <w:rPr>
          <w:rFonts w:hint="eastAsia"/>
          <w:b/>
          <w:bCs/>
          <w:color w:val="000000"/>
          <w:szCs w:val="21"/>
          <w:lang w:val="en-US" w:eastAsia="zh-CN"/>
        </w:rPr>
        <w:t>同类</w:t>
      </w:r>
      <w:r>
        <w:rPr>
          <w:b/>
          <w:bCs/>
          <w:color w:val="000000"/>
          <w:szCs w:val="21"/>
        </w:rPr>
        <w:t>养殖场废水处理效果</w:t>
      </w:r>
    </w:p>
    <w:tbl>
      <w:tblPr>
        <w:tblStyle w:val="45"/>
        <w:tblW w:w="894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09"/>
        <w:gridCol w:w="851"/>
        <w:gridCol w:w="956"/>
        <w:gridCol w:w="957"/>
        <w:gridCol w:w="957"/>
        <w:gridCol w:w="957"/>
        <w:gridCol w:w="1559"/>
        <w:gridCol w:w="9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restart"/>
            <w:vAlign w:val="center"/>
          </w:tcPr>
          <w:p>
            <w:pPr>
              <w:jc w:val="center"/>
              <w:rPr>
                <w:color w:val="000000"/>
                <w:szCs w:val="21"/>
              </w:rPr>
            </w:pPr>
            <w:r>
              <w:rPr>
                <w:color w:val="000000"/>
                <w:szCs w:val="21"/>
              </w:rPr>
              <w:t>处理工段</w:t>
            </w:r>
          </w:p>
        </w:tc>
        <w:tc>
          <w:tcPr>
            <w:tcW w:w="3827" w:type="dxa"/>
            <w:gridSpan w:val="4"/>
            <w:tcBorders>
              <w:right w:val="single" w:color="auto" w:sz="4" w:space="0"/>
            </w:tcBorders>
            <w:vAlign w:val="center"/>
          </w:tcPr>
          <w:p>
            <w:pPr>
              <w:jc w:val="center"/>
              <w:rPr>
                <w:color w:val="000000"/>
                <w:szCs w:val="21"/>
              </w:rPr>
            </w:pPr>
            <w:r>
              <w:rPr>
                <w:color w:val="000000"/>
                <w:szCs w:val="21"/>
              </w:rPr>
              <w:t>主要污染物浓度（mg/L）</w:t>
            </w:r>
          </w:p>
        </w:tc>
        <w:tc>
          <w:tcPr>
            <w:tcW w:w="1559" w:type="dxa"/>
            <w:vMerge w:val="restart"/>
            <w:tcBorders>
              <w:left w:val="single" w:color="auto" w:sz="4" w:space="0"/>
              <w:right w:val="single" w:color="auto" w:sz="4" w:space="0"/>
            </w:tcBorders>
            <w:vAlign w:val="center"/>
          </w:tcPr>
          <w:p>
            <w:pPr>
              <w:jc w:val="center"/>
              <w:rPr>
                <w:color w:val="000000"/>
                <w:szCs w:val="21"/>
              </w:rPr>
            </w:pPr>
            <w:r>
              <w:rPr>
                <w:color w:val="000000"/>
                <w:szCs w:val="21"/>
              </w:rPr>
              <w:t>性状</w:t>
            </w:r>
          </w:p>
        </w:tc>
        <w:tc>
          <w:tcPr>
            <w:tcW w:w="900" w:type="dxa"/>
            <w:vMerge w:val="restart"/>
            <w:tcBorders>
              <w:left w:val="single" w:color="auto" w:sz="4" w:space="0"/>
            </w:tcBorders>
            <w:vAlign w:val="center"/>
          </w:tcPr>
          <w:p>
            <w:pPr>
              <w:jc w:val="center"/>
              <w:rPr>
                <w:color w:val="000000"/>
                <w:szCs w:val="21"/>
              </w:rPr>
            </w:pPr>
            <w:r>
              <w:rPr>
                <w:color w:val="000000"/>
                <w:szCs w:val="21"/>
              </w:rPr>
              <w:t>水力停留时间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continue"/>
            <w:vAlign w:val="center"/>
          </w:tcPr>
          <w:p>
            <w:pPr>
              <w:jc w:val="center"/>
              <w:rPr>
                <w:color w:val="000000"/>
                <w:szCs w:val="21"/>
              </w:rPr>
            </w:pPr>
          </w:p>
        </w:tc>
        <w:tc>
          <w:tcPr>
            <w:tcW w:w="956" w:type="dxa"/>
            <w:vAlign w:val="center"/>
          </w:tcPr>
          <w:p>
            <w:pPr>
              <w:jc w:val="center"/>
              <w:rPr>
                <w:color w:val="000000"/>
                <w:szCs w:val="21"/>
              </w:rPr>
            </w:pPr>
            <w:r>
              <w:rPr>
                <w:color w:val="000000"/>
                <w:szCs w:val="21"/>
              </w:rPr>
              <w:t>COD</w:t>
            </w:r>
          </w:p>
        </w:tc>
        <w:tc>
          <w:tcPr>
            <w:tcW w:w="957" w:type="dxa"/>
            <w:vAlign w:val="center"/>
          </w:tcPr>
          <w:p>
            <w:pPr>
              <w:jc w:val="center"/>
              <w:rPr>
                <w:color w:val="000000"/>
                <w:szCs w:val="21"/>
              </w:rPr>
            </w:pPr>
            <w:r>
              <w:rPr>
                <w:color w:val="000000"/>
                <w:szCs w:val="21"/>
              </w:rPr>
              <w:t>BOD</w:t>
            </w:r>
            <w:r>
              <w:rPr>
                <w:color w:val="000000"/>
                <w:szCs w:val="21"/>
                <w:vertAlign w:val="subscript"/>
              </w:rPr>
              <w:t>5</w:t>
            </w:r>
          </w:p>
        </w:tc>
        <w:tc>
          <w:tcPr>
            <w:tcW w:w="957" w:type="dxa"/>
            <w:vAlign w:val="center"/>
          </w:tcPr>
          <w:p>
            <w:pPr>
              <w:jc w:val="center"/>
              <w:rPr>
                <w:color w:val="000000"/>
                <w:szCs w:val="21"/>
              </w:rPr>
            </w:pPr>
            <w:r>
              <w:rPr>
                <w:color w:val="000000"/>
                <w:szCs w:val="21"/>
              </w:rPr>
              <w:t>SS</w:t>
            </w:r>
          </w:p>
        </w:tc>
        <w:tc>
          <w:tcPr>
            <w:tcW w:w="957" w:type="dxa"/>
            <w:tcBorders>
              <w:right w:val="single" w:color="auto" w:sz="4" w:space="0"/>
            </w:tcBorders>
            <w:vAlign w:val="center"/>
          </w:tcPr>
          <w:p>
            <w:pPr>
              <w:jc w:val="center"/>
              <w:rPr>
                <w:color w:val="000000"/>
                <w:szCs w:val="21"/>
              </w:rPr>
            </w:pPr>
            <w:r>
              <w:rPr>
                <w:color w:val="000000"/>
                <w:szCs w:val="21"/>
              </w:rPr>
              <w:t>NH</w:t>
            </w:r>
            <w:r>
              <w:rPr>
                <w:color w:val="000000"/>
                <w:szCs w:val="21"/>
                <w:vertAlign w:val="subscript"/>
              </w:rPr>
              <w:t>3</w:t>
            </w:r>
            <w:r>
              <w:rPr>
                <w:color w:val="000000"/>
                <w:szCs w:val="21"/>
              </w:rPr>
              <w:t>-N</w:t>
            </w:r>
          </w:p>
        </w:tc>
        <w:tc>
          <w:tcPr>
            <w:tcW w:w="1559"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restart"/>
            <w:vAlign w:val="center"/>
          </w:tcPr>
          <w:p>
            <w:pPr>
              <w:jc w:val="center"/>
              <w:rPr>
                <w:color w:val="000000"/>
                <w:szCs w:val="21"/>
              </w:rPr>
            </w:pPr>
            <w:r>
              <w:rPr>
                <w:color w:val="000000"/>
                <w:szCs w:val="21"/>
              </w:rPr>
              <w:t>UASB进、出口</w:t>
            </w:r>
          </w:p>
        </w:tc>
        <w:tc>
          <w:tcPr>
            <w:tcW w:w="851" w:type="dxa"/>
            <w:vAlign w:val="center"/>
          </w:tcPr>
          <w:p>
            <w:pPr>
              <w:jc w:val="center"/>
              <w:rPr>
                <w:color w:val="000000"/>
                <w:szCs w:val="21"/>
              </w:rPr>
            </w:pPr>
            <w:r>
              <w:rPr>
                <w:color w:val="000000"/>
                <w:szCs w:val="21"/>
              </w:rPr>
              <w:t>进水</w:t>
            </w:r>
          </w:p>
        </w:tc>
        <w:tc>
          <w:tcPr>
            <w:tcW w:w="956" w:type="dxa"/>
            <w:vAlign w:val="center"/>
          </w:tcPr>
          <w:p>
            <w:pPr>
              <w:jc w:val="center"/>
              <w:rPr>
                <w:color w:val="000000"/>
                <w:szCs w:val="21"/>
              </w:rPr>
            </w:pPr>
            <w:r>
              <w:rPr>
                <w:color w:val="000000"/>
                <w:szCs w:val="21"/>
              </w:rPr>
              <w:t>8230</w:t>
            </w:r>
          </w:p>
        </w:tc>
        <w:tc>
          <w:tcPr>
            <w:tcW w:w="957" w:type="dxa"/>
            <w:vAlign w:val="center"/>
          </w:tcPr>
          <w:p>
            <w:pPr>
              <w:jc w:val="center"/>
              <w:rPr>
                <w:color w:val="000000"/>
                <w:szCs w:val="21"/>
              </w:rPr>
            </w:pPr>
            <w:r>
              <w:rPr>
                <w:color w:val="000000"/>
                <w:szCs w:val="21"/>
              </w:rPr>
              <w:t>3873</w:t>
            </w:r>
          </w:p>
        </w:tc>
        <w:tc>
          <w:tcPr>
            <w:tcW w:w="957" w:type="dxa"/>
            <w:vAlign w:val="center"/>
          </w:tcPr>
          <w:p>
            <w:pPr>
              <w:jc w:val="center"/>
              <w:rPr>
                <w:color w:val="000000"/>
                <w:szCs w:val="21"/>
              </w:rPr>
            </w:pPr>
            <w:r>
              <w:rPr>
                <w:color w:val="000000"/>
                <w:szCs w:val="21"/>
              </w:rPr>
              <w:t>2424</w:t>
            </w:r>
          </w:p>
        </w:tc>
        <w:tc>
          <w:tcPr>
            <w:tcW w:w="957" w:type="dxa"/>
            <w:tcBorders>
              <w:right w:val="single" w:color="auto" w:sz="4" w:space="0"/>
            </w:tcBorders>
            <w:vAlign w:val="center"/>
          </w:tcPr>
          <w:p>
            <w:pPr>
              <w:jc w:val="center"/>
              <w:rPr>
                <w:color w:val="000000"/>
                <w:szCs w:val="21"/>
              </w:rPr>
            </w:pPr>
            <w:r>
              <w:rPr>
                <w:color w:val="000000"/>
                <w:szCs w:val="21"/>
              </w:rPr>
              <w:t>968</w:t>
            </w:r>
          </w:p>
        </w:tc>
        <w:tc>
          <w:tcPr>
            <w:tcW w:w="1559" w:type="dxa"/>
            <w:vMerge w:val="restart"/>
            <w:tcBorders>
              <w:left w:val="single" w:color="auto" w:sz="4" w:space="0"/>
              <w:right w:val="single" w:color="auto" w:sz="4" w:space="0"/>
            </w:tcBorders>
            <w:vAlign w:val="center"/>
          </w:tcPr>
          <w:p>
            <w:pPr>
              <w:jc w:val="center"/>
              <w:rPr>
                <w:color w:val="000000"/>
                <w:szCs w:val="21"/>
              </w:rPr>
            </w:pPr>
            <w:r>
              <w:rPr>
                <w:color w:val="000000"/>
                <w:szCs w:val="21"/>
              </w:rPr>
              <w:t>棕色，腐化程度较低，沼液异味大</w:t>
            </w:r>
          </w:p>
        </w:tc>
        <w:tc>
          <w:tcPr>
            <w:tcW w:w="900" w:type="dxa"/>
            <w:vMerge w:val="restart"/>
            <w:tcBorders>
              <w:left w:val="single" w:color="auto" w:sz="4" w:space="0"/>
            </w:tcBorders>
            <w:vAlign w:val="center"/>
          </w:tcPr>
          <w:p>
            <w:pPr>
              <w:jc w:val="center"/>
              <w:rPr>
                <w:color w:val="000000"/>
                <w:szCs w:val="21"/>
              </w:rPr>
            </w:pPr>
            <w:r>
              <w:rPr>
                <w:color w:val="000000"/>
                <w:szCs w:val="21"/>
              </w:rPr>
              <w:t>3天</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jc w:val="center"/>
              <w:rPr>
                <w:color w:val="000000"/>
                <w:szCs w:val="21"/>
              </w:rPr>
            </w:pPr>
            <w:r>
              <w:rPr>
                <w:color w:val="000000"/>
                <w:szCs w:val="21"/>
              </w:rPr>
              <w:t>去除率</w:t>
            </w:r>
          </w:p>
        </w:tc>
        <w:tc>
          <w:tcPr>
            <w:tcW w:w="956" w:type="dxa"/>
            <w:vAlign w:val="center"/>
          </w:tcPr>
          <w:p>
            <w:pPr>
              <w:jc w:val="center"/>
              <w:rPr>
                <w:color w:val="000000"/>
                <w:szCs w:val="21"/>
              </w:rPr>
            </w:pPr>
            <w:r>
              <w:rPr>
                <w:color w:val="000000"/>
                <w:szCs w:val="21"/>
              </w:rPr>
              <w:t>60%</w:t>
            </w:r>
          </w:p>
        </w:tc>
        <w:tc>
          <w:tcPr>
            <w:tcW w:w="957" w:type="dxa"/>
            <w:vAlign w:val="center"/>
          </w:tcPr>
          <w:p>
            <w:pPr>
              <w:jc w:val="center"/>
              <w:rPr>
                <w:color w:val="000000"/>
                <w:szCs w:val="21"/>
              </w:rPr>
            </w:pPr>
            <w:r>
              <w:rPr>
                <w:color w:val="000000"/>
                <w:szCs w:val="21"/>
              </w:rPr>
              <w:t>75%</w:t>
            </w:r>
          </w:p>
        </w:tc>
        <w:tc>
          <w:tcPr>
            <w:tcW w:w="957" w:type="dxa"/>
            <w:vAlign w:val="center"/>
          </w:tcPr>
          <w:p>
            <w:pPr>
              <w:jc w:val="center"/>
              <w:rPr>
                <w:color w:val="000000"/>
                <w:szCs w:val="21"/>
              </w:rPr>
            </w:pPr>
            <w:r>
              <w:rPr>
                <w:color w:val="000000"/>
                <w:szCs w:val="21"/>
              </w:rPr>
              <w:t>65%</w:t>
            </w:r>
          </w:p>
        </w:tc>
        <w:tc>
          <w:tcPr>
            <w:tcW w:w="957" w:type="dxa"/>
            <w:tcBorders>
              <w:right w:val="single" w:color="auto" w:sz="4" w:space="0"/>
            </w:tcBorders>
            <w:vAlign w:val="center"/>
          </w:tcPr>
          <w:p>
            <w:pPr>
              <w:jc w:val="center"/>
              <w:rPr>
                <w:color w:val="000000"/>
                <w:szCs w:val="21"/>
              </w:rPr>
            </w:pPr>
            <w:r>
              <w:rPr>
                <w:color w:val="000000"/>
                <w:szCs w:val="21"/>
              </w:rPr>
              <w:t>10%</w:t>
            </w:r>
          </w:p>
        </w:tc>
        <w:tc>
          <w:tcPr>
            <w:tcW w:w="1559"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jc w:val="center"/>
              <w:rPr>
                <w:color w:val="000000"/>
                <w:szCs w:val="21"/>
              </w:rPr>
            </w:pPr>
            <w:r>
              <w:rPr>
                <w:color w:val="000000"/>
                <w:szCs w:val="21"/>
              </w:rPr>
              <w:t>出水</w:t>
            </w:r>
          </w:p>
        </w:tc>
        <w:tc>
          <w:tcPr>
            <w:tcW w:w="956" w:type="dxa"/>
            <w:vAlign w:val="center"/>
          </w:tcPr>
          <w:p>
            <w:pPr>
              <w:jc w:val="center"/>
              <w:rPr>
                <w:color w:val="000000"/>
                <w:szCs w:val="21"/>
              </w:rPr>
            </w:pPr>
            <w:r>
              <w:rPr>
                <w:color w:val="000000"/>
                <w:szCs w:val="21"/>
              </w:rPr>
              <w:t>3292</w:t>
            </w:r>
          </w:p>
        </w:tc>
        <w:tc>
          <w:tcPr>
            <w:tcW w:w="957" w:type="dxa"/>
            <w:vAlign w:val="center"/>
          </w:tcPr>
          <w:p>
            <w:pPr>
              <w:jc w:val="center"/>
              <w:rPr>
                <w:color w:val="000000"/>
                <w:szCs w:val="21"/>
              </w:rPr>
            </w:pPr>
            <w:r>
              <w:rPr>
                <w:color w:val="000000"/>
                <w:szCs w:val="21"/>
              </w:rPr>
              <w:t>968</w:t>
            </w:r>
          </w:p>
        </w:tc>
        <w:tc>
          <w:tcPr>
            <w:tcW w:w="957" w:type="dxa"/>
            <w:vAlign w:val="center"/>
          </w:tcPr>
          <w:p>
            <w:pPr>
              <w:jc w:val="center"/>
              <w:rPr>
                <w:color w:val="000000"/>
                <w:szCs w:val="21"/>
              </w:rPr>
            </w:pPr>
            <w:r>
              <w:rPr>
                <w:color w:val="000000"/>
                <w:szCs w:val="21"/>
              </w:rPr>
              <w:t>848</w:t>
            </w:r>
          </w:p>
        </w:tc>
        <w:tc>
          <w:tcPr>
            <w:tcW w:w="957" w:type="dxa"/>
            <w:tcBorders>
              <w:right w:val="single" w:color="auto" w:sz="4" w:space="0"/>
            </w:tcBorders>
            <w:vAlign w:val="center"/>
          </w:tcPr>
          <w:p>
            <w:pPr>
              <w:jc w:val="center"/>
              <w:rPr>
                <w:color w:val="000000"/>
                <w:szCs w:val="21"/>
              </w:rPr>
            </w:pPr>
            <w:r>
              <w:rPr>
                <w:color w:val="000000"/>
                <w:szCs w:val="21"/>
              </w:rPr>
              <w:t>871</w:t>
            </w:r>
          </w:p>
        </w:tc>
        <w:tc>
          <w:tcPr>
            <w:tcW w:w="1559"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bl>
    <w:p>
      <w:pPr>
        <w:tabs>
          <w:tab w:val="right" w:leader="dot" w:pos="8647"/>
        </w:tabs>
        <w:adjustRightInd w:val="0"/>
        <w:snapToGrid w:val="0"/>
        <w:spacing w:line="500" w:lineRule="exact"/>
        <w:ind w:firstLine="480" w:firstLineChars="200"/>
        <w:rPr>
          <w:color w:val="000000"/>
          <w:sz w:val="24"/>
        </w:rPr>
      </w:pPr>
      <w:r>
        <w:rPr>
          <w:color w:val="000000"/>
          <w:sz w:val="24"/>
        </w:rPr>
        <w:t>本项目（采用干清粪养殖工艺，污水处理采用</w:t>
      </w:r>
      <w:r>
        <w:rPr>
          <w:rFonts w:hint="eastAsia"/>
          <w:color w:val="000000"/>
          <w:sz w:val="24"/>
          <w:lang w:eastAsia="zh-CN"/>
        </w:rPr>
        <w:t>黑膜</w:t>
      </w:r>
      <w:r>
        <w:rPr>
          <w:color w:val="000000"/>
          <w:sz w:val="24"/>
        </w:rPr>
        <w:t>沼气池厌氧发酵）设计废水处理效果见表</w:t>
      </w:r>
      <w:r>
        <w:rPr>
          <w:rFonts w:hint="eastAsia"/>
          <w:color w:val="000000"/>
          <w:sz w:val="24"/>
          <w:lang w:val="en-US" w:eastAsia="zh-CN"/>
        </w:rPr>
        <w:t>5.2-4</w:t>
      </w:r>
      <w:r>
        <w:rPr>
          <w:color w:val="000000"/>
          <w:sz w:val="24"/>
        </w:rPr>
        <w:t>。</w:t>
      </w:r>
    </w:p>
    <w:p>
      <w:pPr>
        <w:tabs>
          <w:tab w:val="right" w:leader="dot" w:pos="8647"/>
        </w:tabs>
        <w:spacing w:beforeLines="50" w:afterLines="50"/>
        <w:ind w:firstLine="420" w:firstLineChars="200"/>
        <w:jc w:val="center"/>
        <w:rPr>
          <w:b/>
          <w:bCs/>
          <w:color w:val="000000"/>
          <w:sz w:val="24"/>
        </w:rPr>
      </w:pPr>
      <w:r>
        <w:rPr>
          <w:b/>
          <w:bCs/>
          <w:color w:val="000000"/>
          <w:szCs w:val="21"/>
        </w:rPr>
        <w:t>表</w:t>
      </w:r>
      <w:r>
        <w:rPr>
          <w:rFonts w:hint="eastAsia"/>
          <w:b/>
          <w:bCs/>
          <w:color w:val="000000"/>
          <w:szCs w:val="21"/>
          <w:lang w:val="en-US" w:eastAsia="zh-CN"/>
        </w:rPr>
        <w:t>5.2-4</w:t>
      </w:r>
      <w:r>
        <w:rPr>
          <w:b/>
          <w:bCs/>
          <w:color w:val="000000"/>
          <w:szCs w:val="21"/>
        </w:rPr>
        <w:t xml:space="preserve">  本项目设计废水处理效果</w:t>
      </w:r>
    </w:p>
    <w:tbl>
      <w:tblPr>
        <w:tblStyle w:val="45"/>
        <w:tblW w:w="894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09"/>
        <w:gridCol w:w="851"/>
        <w:gridCol w:w="1134"/>
        <w:gridCol w:w="850"/>
        <w:gridCol w:w="993"/>
        <w:gridCol w:w="1134"/>
        <w:gridCol w:w="1275"/>
        <w:gridCol w:w="9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restart"/>
            <w:vAlign w:val="center"/>
          </w:tcPr>
          <w:p>
            <w:pPr>
              <w:jc w:val="center"/>
              <w:rPr>
                <w:color w:val="000000"/>
                <w:szCs w:val="21"/>
              </w:rPr>
            </w:pPr>
            <w:r>
              <w:rPr>
                <w:color w:val="000000"/>
                <w:szCs w:val="21"/>
              </w:rPr>
              <w:t>处理工段</w:t>
            </w:r>
          </w:p>
        </w:tc>
        <w:tc>
          <w:tcPr>
            <w:tcW w:w="4111" w:type="dxa"/>
            <w:gridSpan w:val="4"/>
            <w:tcBorders>
              <w:right w:val="single" w:color="auto" w:sz="4" w:space="0"/>
            </w:tcBorders>
            <w:vAlign w:val="center"/>
          </w:tcPr>
          <w:p>
            <w:pPr>
              <w:jc w:val="center"/>
              <w:rPr>
                <w:color w:val="000000"/>
                <w:szCs w:val="21"/>
              </w:rPr>
            </w:pPr>
            <w:r>
              <w:rPr>
                <w:color w:val="000000"/>
                <w:szCs w:val="21"/>
              </w:rPr>
              <w:t>主要污染物浓度（mg/L）</w:t>
            </w:r>
          </w:p>
        </w:tc>
        <w:tc>
          <w:tcPr>
            <w:tcW w:w="1275" w:type="dxa"/>
            <w:vMerge w:val="restart"/>
            <w:tcBorders>
              <w:left w:val="single" w:color="auto" w:sz="4" w:space="0"/>
              <w:right w:val="single" w:color="auto" w:sz="4" w:space="0"/>
            </w:tcBorders>
            <w:vAlign w:val="center"/>
          </w:tcPr>
          <w:p>
            <w:pPr>
              <w:jc w:val="center"/>
              <w:rPr>
                <w:color w:val="000000"/>
                <w:szCs w:val="21"/>
              </w:rPr>
            </w:pPr>
            <w:r>
              <w:rPr>
                <w:color w:val="000000"/>
                <w:szCs w:val="21"/>
              </w:rPr>
              <w:t>性状</w:t>
            </w:r>
          </w:p>
        </w:tc>
        <w:tc>
          <w:tcPr>
            <w:tcW w:w="900" w:type="dxa"/>
            <w:vMerge w:val="restart"/>
            <w:tcBorders>
              <w:left w:val="single" w:color="auto" w:sz="4" w:space="0"/>
            </w:tcBorders>
            <w:vAlign w:val="center"/>
          </w:tcPr>
          <w:p>
            <w:pPr>
              <w:jc w:val="center"/>
              <w:rPr>
                <w:color w:val="000000"/>
                <w:szCs w:val="21"/>
              </w:rPr>
            </w:pPr>
            <w:r>
              <w:rPr>
                <w:color w:val="000000"/>
                <w:szCs w:val="21"/>
              </w:rPr>
              <w:t>水力停留时间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continue"/>
            <w:vAlign w:val="center"/>
          </w:tcPr>
          <w:p>
            <w:pPr>
              <w:jc w:val="center"/>
              <w:rPr>
                <w:color w:val="000000"/>
                <w:szCs w:val="21"/>
              </w:rPr>
            </w:pPr>
          </w:p>
        </w:tc>
        <w:tc>
          <w:tcPr>
            <w:tcW w:w="1134" w:type="dxa"/>
            <w:vAlign w:val="center"/>
          </w:tcPr>
          <w:p>
            <w:pPr>
              <w:jc w:val="center"/>
              <w:rPr>
                <w:color w:val="000000"/>
                <w:szCs w:val="21"/>
              </w:rPr>
            </w:pPr>
            <w:r>
              <w:rPr>
                <w:color w:val="000000"/>
                <w:szCs w:val="21"/>
              </w:rPr>
              <w:t>COD</w:t>
            </w:r>
          </w:p>
        </w:tc>
        <w:tc>
          <w:tcPr>
            <w:tcW w:w="850" w:type="dxa"/>
            <w:vAlign w:val="center"/>
          </w:tcPr>
          <w:p>
            <w:pPr>
              <w:jc w:val="center"/>
              <w:rPr>
                <w:color w:val="000000"/>
                <w:szCs w:val="21"/>
              </w:rPr>
            </w:pPr>
            <w:r>
              <w:rPr>
                <w:color w:val="000000"/>
                <w:szCs w:val="21"/>
              </w:rPr>
              <w:t>BOD</w:t>
            </w:r>
            <w:r>
              <w:rPr>
                <w:color w:val="000000"/>
                <w:szCs w:val="21"/>
                <w:vertAlign w:val="subscript"/>
              </w:rPr>
              <w:t>5</w:t>
            </w:r>
          </w:p>
        </w:tc>
        <w:tc>
          <w:tcPr>
            <w:tcW w:w="993" w:type="dxa"/>
            <w:vAlign w:val="center"/>
          </w:tcPr>
          <w:p>
            <w:pPr>
              <w:jc w:val="center"/>
              <w:rPr>
                <w:color w:val="000000"/>
                <w:szCs w:val="21"/>
              </w:rPr>
            </w:pPr>
            <w:r>
              <w:rPr>
                <w:color w:val="000000"/>
                <w:szCs w:val="21"/>
              </w:rPr>
              <w:t>NH</w:t>
            </w:r>
            <w:r>
              <w:rPr>
                <w:color w:val="000000"/>
                <w:szCs w:val="21"/>
                <w:vertAlign w:val="subscript"/>
              </w:rPr>
              <w:t>3</w:t>
            </w:r>
            <w:r>
              <w:rPr>
                <w:color w:val="000000"/>
                <w:szCs w:val="21"/>
              </w:rPr>
              <w:t>-N</w:t>
            </w:r>
          </w:p>
        </w:tc>
        <w:tc>
          <w:tcPr>
            <w:tcW w:w="1134" w:type="dxa"/>
            <w:tcBorders>
              <w:right w:val="single" w:color="auto" w:sz="4" w:space="0"/>
            </w:tcBorders>
            <w:vAlign w:val="center"/>
          </w:tcPr>
          <w:p>
            <w:pPr>
              <w:jc w:val="center"/>
              <w:rPr>
                <w:color w:val="000000"/>
                <w:szCs w:val="21"/>
              </w:rPr>
            </w:pPr>
            <w:r>
              <w:rPr>
                <w:color w:val="000000"/>
                <w:szCs w:val="21"/>
              </w:rPr>
              <w:t xml:space="preserve">SS </w:t>
            </w:r>
          </w:p>
        </w:tc>
        <w:tc>
          <w:tcPr>
            <w:tcW w:w="1275"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restart"/>
            <w:vAlign w:val="center"/>
          </w:tcPr>
          <w:p>
            <w:pPr>
              <w:jc w:val="center"/>
              <w:rPr>
                <w:color w:val="000000"/>
                <w:szCs w:val="21"/>
              </w:rPr>
            </w:pPr>
            <w:r>
              <w:rPr>
                <w:rFonts w:hint="eastAsia"/>
                <w:color w:val="000000"/>
                <w:szCs w:val="21"/>
                <w:lang w:eastAsia="zh-CN"/>
              </w:rPr>
              <w:t>黑膜</w:t>
            </w:r>
            <w:r>
              <w:rPr>
                <w:color w:val="000000"/>
                <w:szCs w:val="21"/>
              </w:rPr>
              <w:t>沼气池进、出口</w:t>
            </w:r>
          </w:p>
        </w:tc>
        <w:tc>
          <w:tcPr>
            <w:tcW w:w="851" w:type="dxa"/>
            <w:vAlign w:val="center"/>
          </w:tcPr>
          <w:p>
            <w:pPr>
              <w:topLinePunct/>
              <w:spacing w:line="320" w:lineRule="exact"/>
              <w:jc w:val="center"/>
              <w:rPr>
                <w:color w:val="000000"/>
                <w:szCs w:val="21"/>
              </w:rPr>
            </w:pPr>
            <w:r>
              <w:rPr>
                <w:color w:val="000000"/>
                <w:szCs w:val="21"/>
              </w:rPr>
              <w:t>进水</w:t>
            </w:r>
          </w:p>
        </w:tc>
        <w:tc>
          <w:tcPr>
            <w:tcW w:w="1134" w:type="dxa"/>
            <w:vAlign w:val="center"/>
          </w:tcPr>
          <w:p>
            <w:pPr>
              <w:topLinePunct/>
              <w:spacing w:line="320" w:lineRule="exact"/>
              <w:jc w:val="center"/>
              <w:rPr>
                <w:color w:val="000000"/>
                <w:szCs w:val="21"/>
              </w:rPr>
            </w:pPr>
            <w:r>
              <w:rPr>
                <w:color w:val="000000"/>
                <w:szCs w:val="21"/>
              </w:rPr>
              <w:t>15000</w:t>
            </w:r>
          </w:p>
        </w:tc>
        <w:tc>
          <w:tcPr>
            <w:tcW w:w="850" w:type="dxa"/>
            <w:vAlign w:val="center"/>
          </w:tcPr>
          <w:p>
            <w:pPr>
              <w:topLinePunct/>
              <w:spacing w:line="320" w:lineRule="exact"/>
              <w:jc w:val="center"/>
              <w:rPr>
                <w:color w:val="000000"/>
                <w:szCs w:val="21"/>
              </w:rPr>
            </w:pPr>
            <w:r>
              <w:rPr>
                <w:color w:val="000000"/>
                <w:szCs w:val="21"/>
              </w:rPr>
              <w:t>8000</w:t>
            </w:r>
          </w:p>
        </w:tc>
        <w:tc>
          <w:tcPr>
            <w:tcW w:w="993" w:type="dxa"/>
            <w:vAlign w:val="center"/>
          </w:tcPr>
          <w:p>
            <w:pPr>
              <w:topLinePunct/>
              <w:spacing w:line="320" w:lineRule="exact"/>
              <w:jc w:val="center"/>
              <w:rPr>
                <w:color w:val="000000"/>
                <w:szCs w:val="21"/>
              </w:rPr>
            </w:pPr>
            <w:r>
              <w:rPr>
                <w:color w:val="000000"/>
                <w:szCs w:val="21"/>
              </w:rPr>
              <w:t>1200</w:t>
            </w:r>
          </w:p>
        </w:tc>
        <w:tc>
          <w:tcPr>
            <w:tcW w:w="1134" w:type="dxa"/>
            <w:tcBorders>
              <w:right w:val="single" w:color="auto" w:sz="4" w:space="0"/>
            </w:tcBorders>
            <w:vAlign w:val="center"/>
          </w:tcPr>
          <w:p>
            <w:pPr>
              <w:topLinePunct/>
              <w:spacing w:line="320" w:lineRule="exact"/>
              <w:jc w:val="center"/>
              <w:rPr>
                <w:color w:val="000000"/>
                <w:szCs w:val="21"/>
              </w:rPr>
            </w:pPr>
            <w:r>
              <w:rPr>
                <w:color w:val="000000"/>
                <w:szCs w:val="21"/>
              </w:rPr>
              <w:t>16000</w:t>
            </w:r>
          </w:p>
        </w:tc>
        <w:tc>
          <w:tcPr>
            <w:tcW w:w="1275" w:type="dxa"/>
            <w:vMerge w:val="restart"/>
            <w:tcBorders>
              <w:left w:val="single" w:color="auto" w:sz="4" w:space="0"/>
              <w:right w:val="single" w:color="auto" w:sz="4" w:space="0"/>
            </w:tcBorders>
            <w:vAlign w:val="center"/>
          </w:tcPr>
          <w:p>
            <w:pPr>
              <w:jc w:val="center"/>
              <w:rPr>
                <w:color w:val="000000"/>
                <w:szCs w:val="21"/>
              </w:rPr>
            </w:pPr>
            <w:r>
              <w:rPr>
                <w:color w:val="000000"/>
                <w:szCs w:val="21"/>
              </w:rPr>
              <w:t>红棕色，腐化程度较高，沼液异味小</w:t>
            </w:r>
          </w:p>
        </w:tc>
        <w:tc>
          <w:tcPr>
            <w:tcW w:w="900" w:type="dxa"/>
            <w:vMerge w:val="restart"/>
            <w:tcBorders>
              <w:left w:val="single" w:color="auto" w:sz="4" w:space="0"/>
            </w:tcBorders>
            <w:vAlign w:val="center"/>
          </w:tcPr>
          <w:p>
            <w:pPr>
              <w:jc w:val="center"/>
              <w:rPr>
                <w:color w:val="000000"/>
                <w:kern w:val="0"/>
                <w:szCs w:val="21"/>
              </w:rPr>
            </w:pPr>
            <w:r>
              <w:rPr>
                <w:color w:val="000000"/>
                <w:kern w:val="0"/>
                <w:szCs w:val="21"/>
              </w:rPr>
              <w:t>35天</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topLinePunct/>
              <w:spacing w:line="320" w:lineRule="exact"/>
              <w:jc w:val="center"/>
              <w:rPr>
                <w:color w:val="000000"/>
                <w:szCs w:val="21"/>
              </w:rPr>
            </w:pPr>
            <w:r>
              <w:rPr>
                <w:color w:val="000000"/>
                <w:szCs w:val="21"/>
              </w:rPr>
              <w:t>去除率</w:t>
            </w:r>
          </w:p>
        </w:tc>
        <w:tc>
          <w:tcPr>
            <w:tcW w:w="1134" w:type="dxa"/>
            <w:vAlign w:val="center"/>
          </w:tcPr>
          <w:p>
            <w:pPr>
              <w:topLinePunct/>
              <w:spacing w:line="320" w:lineRule="exact"/>
              <w:jc w:val="center"/>
              <w:rPr>
                <w:color w:val="000000"/>
                <w:szCs w:val="21"/>
              </w:rPr>
            </w:pPr>
            <w:r>
              <w:rPr>
                <w:color w:val="000000"/>
                <w:szCs w:val="21"/>
              </w:rPr>
              <w:t>80%</w:t>
            </w:r>
          </w:p>
        </w:tc>
        <w:tc>
          <w:tcPr>
            <w:tcW w:w="850" w:type="dxa"/>
            <w:vAlign w:val="center"/>
          </w:tcPr>
          <w:p>
            <w:pPr>
              <w:topLinePunct/>
              <w:spacing w:line="320" w:lineRule="exact"/>
              <w:jc w:val="center"/>
              <w:rPr>
                <w:color w:val="000000"/>
                <w:szCs w:val="21"/>
              </w:rPr>
            </w:pPr>
            <w:r>
              <w:rPr>
                <w:color w:val="000000"/>
                <w:szCs w:val="21"/>
              </w:rPr>
              <w:t>82.5%</w:t>
            </w:r>
          </w:p>
        </w:tc>
        <w:tc>
          <w:tcPr>
            <w:tcW w:w="993" w:type="dxa"/>
            <w:vAlign w:val="center"/>
          </w:tcPr>
          <w:p>
            <w:pPr>
              <w:topLinePunct/>
              <w:spacing w:line="320" w:lineRule="exact"/>
              <w:jc w:val="center"/>
              <w:rPr>
                <w:color w:val="000000"/>
                <w:szCs w:val="21"/>
              </w:rPr>
            </w:pPr>
            <w:r>
              <w:rPr>
                <w:color w:val="000000"/>
                <w:szCs w:val="21"/>
              </w:rPr>
              <w:t>25%</w:t>
            </w:r>
          </w:p>
        </w:tc>
        <w:tc>
          <w:tcPr>
            <w:tcW w:w="1134" w:type="dxa"/>
            <w:tcBorders>
              <w:right w:val="single" w:color="auto" w:sz="4" w:space="0"/>
            </w:tcBorders>
            <w:vAlign w:val="center"/>
          </w:tcPr>
          <w:p>
            <w:pPr>
              <w:topLinePunct/>
              <w:spacing w:line="320" w:lineRule="exact"/>
              <w:jc w:val="center"/>
              <w:rPr>
                <w:color w:val="000000"/>
                <w:szCs w:val="21"/>
              </w:rPr>
            </w:pPr>
            <w:r>
              <w:rPr>
                <w:color w:val="000000"/>
                <w:szCs w:val="21"/>
              </w:rPr>
              <w:t>87.5%</w:t>
            </w:r>
          </w:p>
        </w:tc>
        <w:tc>
          <w:tcPr>
            <w:tcW w:w="1275" w:type="dxa"/>
            <w:vMerge w:val="continue"/>
            <w:tcBorders>
              <w:left w:val="single" w:color="auto" w:sz="4" w:space="0"/>
              <w:right w:val="single" w:color="auto" w:sz="4" w:space="0"/>
            </w:tcBorders>
            <w:vAlign w:val="center"/>
          </w:tcPr>
          <w:p>
            <w:pPr>
              <w:jc w:val="center"/>
              <w:rPr>
                <w:color w:val="000000"/>
                <w:kern w:val="0"/>
                <w:szCs w:val="21"/>
              </w:rPr>
            </w:pPr>
          </w:p>
        </w:tc>
        <w:tc>
          <w:tcPr>
            <w:tcW w:w="900" w:type="dxa"/>
            <w:vMerge w:val="continue"/>
            <w:tcBorders>
              <w:left w:val="single" w:color="auto" w:sz="4" w:space="0"/>
            </w:tcBorders>
            <w:vAlign w:val="center"/>
          </w:tcPr>
          <w:p>
            <w:pPr>
              <w:jc w:val="center"/>
              <w:rPr>
                <w:color w:val="000000"/>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topLinePunct/>
              <w:spacing w:line="320" w:lineRule="exact"/>
              <w:jc w:val="center"/>
              <w:rPr>
                <w:color w:val="000000"/>
                <w:szCs w:val="21"/>
              </w:rPr>
            </w:pPr>
            <w:r>
              <w:rPr>
                <w:color w:val="000000"/>
                <w:szCs w:val="21"/>
              </w:rPr>
              <w:t>出水</w:t>
            </w:r>
          </w:p>
        </w:tc>
        <w:tc>
          <w:tcPr>
            <w:tcW w:w="1134" w:type="dxa"/>
            <w:vAlign w:val="center"/>
          </w:tcPr>
          <w:p>
            <w:pPr>
              <w:topLinePunct/>
              <w:spacing w:line="320" w:lineRule="exact"/>
              <w:jc w:val="center"/>
              <w:rPr>
                <w:color w:val="000000"/>
                <w:szCs w:val="21"/>
              </w:rPr>
            </w:pPr>
            <w:r>
              <w:rPr>
                <w:color w:val="000000"/>
                <w:szCs w:val="21"/>
              </w:rPr>
              <w:t>3000</w:t>
            </w:r>
          </w:p>
        </w:tc>
        <w:tc>
          <w:tcPr>
            <w:tcW w:w="850" w:type="dxa"/>
            <w:vAlign w:val="center"/>
          </w:tcPr>
          <w:p>
            <w:pPr>
              <w:topLinePunct/>
              <w:spacing w:line="320" w:lineRule="exact"/>
              <w:jc w:val="center"/>
              <w:rPr>
                <w:color w:val="000000"/>
                <w:szCs w:val="21"/>
              </w:rPr>
            </w:pPr>
            <w:r>
              <w:rPr>
                <w:color w:val="000000"/>
                <w:szCs w:val="21"/>
              </w:rPr>
              <w:t>1400</w:t>
            </w:r>
          </w:p>
        </w:tc>
        <w:tc>
          <w:tcPr>
            <w:tcW w:w="993" w:type="dxa"/>
            <w:vAlign w:val="center"/>
          </w:tcPr>
          <w:p>
            <w:pPr>
              <w:topLinePunct/>
              <w:spacing w:line="320" w:lineRule="exact"/>
              <w:jc w:val="center"/>
              <w:rPr>
                <w:color w:val="000000"/>
                <w:szCs w:val="21"/>
              </w:rPr>
            </w:pPr>
            <w:r>
              <w:rPr>
                <w:color w:val="000000"/>
                <w:szCs w:val="21"/>
              </w:rPr>
              <w:t>900</w:t>
            </w:r>
          </w:p>
        </w:tc>
        <w:tc>
          <w:tcPr>
            <w:tcW w:w="1134" w:type="dxa"/>
            <w:tcBorders>
              <w:right w:val="single" w:color="auto" w:sz="4" w:space="0"/>
            </w:tcBorders>
            <w:vAlign w:val="center"/>
          </w:tcPr>
          <w:p>
            <w:pPr>
              <w:topLinePunct/>
              <w:spacing w:line="320" w:lineRule="exact"/>
              <w:jc w:val="center"/>
              <w:rPr>
                <w:color w:val="000000"/>
                <w:szCs w:val="21"/>
              </w:rPr>
            </w:pPr>
            <w:r>
              <w:rPr>
                <w:color w:val="000000"/>
                <w:szCs w:val="21"/>
              </w:rPr>
              <w:t>2000</w:t>
            </w:r>
          </w:p>
        </w:tc>
        <w:tc>
          <w:tcPr>
            <w:tcW w:w="1275" w:type="dxa"/>
            <w:vMerge w:val="continue"/>
            <w:tcBorders>
              <w:left w:val="single" w:color="auto" w:sz="4" w:space="0"/>
              <w:right w:val="single" w:color="auto" w:sz="4" w:space="0"/>
            </w:tcBorders>
            <w:vAlign w:val="center"/>
          </w:tcPr>
          <w:p>
            <w:pPr>
              <w:jc w:val="center"/>
              <w:rPr>
                <w:color w:val="000000"/>
                <w:kern w:val="0"/>
                <w:szCs w:val="21"/>
              </w:rPr>
            </w:pPr>
          </w:p>
        </w:tc>
        <w:tc>
          <w:tcPr>
            <w:tcW w:w="900" w:type="dxa"/>
            <w:vMerge w:val="continue"/>
            <w:tcBorders>
              <w:left w:val="single" w:color="auto" w:sz="4" w:space="0"/>
            </w:tcBorders>
            <w:vAlign w:val="center"/>
          </w:tcPr>
          <w:p>
            <w:pPr>
              <w:jc w:val="center"/>
              <w:rPr>
                <w:color w:val="000000"/>
                <w:kern w:val="0"/>
                <w:szCs w:val="21"/>
              </w:rPr>
            </w:pPr>
          </w:p>
        </w:tc>
      </w:tr>
    </w:tbl>
    <w:p>
      <w:pPr>
        <w:tabs>
          <w:tab w:val="right" w:leader="dot" w:pos="8647"/>
        </w:tabs>
        <w:adjustRightInd w:val="0"/>
        <w:snapToGrid w:val="0"/>
        <w:spacing w:line="500" w:lineRule="exact"/>
        <w:ind w:firstLine="480" w:firstLineChars="200"/>
        <w:rPr>
          <w:color w:val="000000"/>
          <w:sz w:val="24"/>
        </w:rPr>
      </w:pPr>
      <w:r>
        <w:rPr>
          <w:color w:val="000000"/>
          <w:sz w:val="24"/>
        </w:rPr>
        <w:t>由上可知，UASB厌氧发酵工艺主要污染物处理效率分别为COD 60%、BOD</w:t>
      </w:r>
      <w:r>
        <w:rPr>
          <w:color w:val="000000"/>
          <w:sz w:val="24"/>
          <w:vertAlign w:val="subscript"/>
        </w:rPr>
        <w:t>5</w:t>
      </w:r>
      <w:r>
        <w:rPr>
          <w:color w:val="000000"/>
          <w:sz w:val="24"/>
        </w:rPr>
        <w:t>75%、SS65%、氨氮10%，水力停留时间为3天，出水呈棕色，腐化程度较低，沼液异味大；</w:t>
      </w:r>
      <w:r>
        <w:rPr>
          <w:rFonts w:hint="eastAsia"/>
          <w:color w:val="000000"/>
          <w:sz w:val="24"/>
          <w:lang w:eastAsia="zh-CN"/>
        </w:rPr>
        <w:t>黑膜</w:t>
      </w:r>
      <w:r>
        <w:rPr>
          <w:color w:val="000000"/>
          <w:sz w:val="24"/>
        </w:rPr>
        <w:t>沼气池厌氧发酵工艺主要污染物处理效率分别为COD 80%、BOD</w:t>
      </w:r>
      <w:r>
        <w:rPr>
          <w:color w:val="000000"/>
          <w:sz w:val="24"/>
          <w:vertAlign w:val="subscript"/>
        </w:rPr>
        <w:t>5</w:t>
      </w:r>
      <w:r>
        <w:rPr>
          <w:color w:val="000000"/>
          <w:sz w:val="24"/>
        </w:rPr>
        <w:t xml:space="preserve"> 82.5%、SS 87.5%、氨氮25%，设计水力停留时间为35天，出水呈红棕色，腐化程度较高，沼液异味小。</w:t>
      </w:r>
    </w:p>
    <w:p>
      <w:pPr>
        <w:tabs>
          <w:tab w:val="right" w:leader="dot" w:pos="8647"/>
        </w:tabs>
        <w:adjustRightInd w:val="0"/>
        <w:snapToGrid w:val="0"/>
        <w:spacing w:line="500" w:lineRule="exact"/>
        <w:ind w:firstLine="480" w:firstLineChars="200"/>
        <w:rPr>
          <w:color w:val="000000"/>
          <w:sz w:val="24"/>
        </w:rPr>
      </w:pPr>
      <w:r>
        <w:rPr>
          <w:color w:val="000000"/>
          <w:sz w:val="24"/>
        </w:rPr>
        <w:t>经比较，因为采用干清粪工艺后，养殖废水中COD、氨氮、悬浮物浓度较大，宜采用污染物处理效率较高，对进水悬浮物浓度无要求的</w:t>
      </w:r>
      <w:r>
        <w:rPr>
          <w:rFonts w:hint="eastAsia"/>
          <w:color w:val="000000"/>
          <w:sz w:val="24"/>
          <w:lang w:eastAsia="zh-CN"/>
        </w:rPr>
        <w:t>黑膜</w:t>
      </w:r>
      <w:r>
        <w:rPr>
          <w:color w:val="000000"/>
          <w:sz w:val="24"/>
        </w:rPr>
        <w:t>沼气池厌氧发酵工艺污染物处理；且项目拟选场址位于农村地区，周边有大量农田可供沼液综合利用。因此本项目选用</w:t>
      </w:r>
      <w:r>
        <w:rPr>
          <w:rFonts w:hint="eastAsia"/>
          <w:color w:val="000000"/>
          <w:sz w:val="24"/>
          <w:lang w:eastAsia="zh-CN"/>
        </w:rPr>
        <w:t>黑膜</w:t>
      </w:r>
      <w:r>
        <w:rPr>
          <w:color w:val="000000"/>
          <w:sz w:val="24"/>
        </w:rPr>
        <w:t>沼气池处理场内养殖及生活废水，该处理模式符合《省环保厅、省农业厅、省农业农村局关于印发畜禽养殖业污染源总量减排技术指导意见（试行）的通知》（豫环文【2012】99号）猪场污染减排模式2：养猪场采用干清粪方式，建设治污设施，粪便生产有机肥基料，污水/尿液经处理后还田，无污水排放口进行外排，有与养殖规模相适应的消纳土地，且治污设施满足养殖场规模需求。保证COD、氨氮100%总量减排。</w:t>
      </w:r>
    </w:p>
    <w:p>
      <w:pPr>
        <w:tabs>
          <w:tab w:val="right" w:leader="dot" w:pos="8647"/>
        </w:tabs>
        <w:adjustRightInd w:val="0"/>
        <w:snapToGrid w:val="0"/>
        <w:spacing w:line="500" w:lineRule="exact"/>
        <w:ind w:firstLine="480" w:firstLineChars="200"/>
        <w:rPr>
          <w:color w:val="000000"/>
          <w:sz w:val="24"/>
        </w:rPr>
      </w:pPr>
      <w:r>
        <w:rPr>
          <w:color w:val="000000"/>
          <w:sz w:val="24"/>
        </w:rPr>
        <w:t>本项目</w:t>
      </w:r>
      <w:r>
        <w:rPr>
          <w:rFonts w:hint="eastAsia"/>
          <w:color w:val="000000"/>
          <w:sz w:val="24"/>
          <w:lang w:eastAsia="zh-CN"/>
        </w:rPr>
        <w:t>黑膜</w:t>
      </w:r>
      <w:r>
        <w:rPr>
          <w:color w:val="000000"/>
          <w:sz w:val="24"/>
        </w:rPr>
        <w:t>沼气池设计水力停留时间为30天，能够在保证废水处理效果。废水进厌氧发酵塘前经过收集池均匀水质水量，再经过固液分离机处理，能够减少废水中的粪便固形物，做到沼液的保氮保肥，最大限度的发挥</w:t>
      </w:r>
      <w:r>
        <w:rPr>
          <w:rFonts w:hint="eastAsia"/>
          <w:color w:val="000000"/>
          <w:sz w:val="24"/>
          <w:lang w:eastAsia="zh-CN"/>
        </w:rPr>
        <w:t>黑膜</w:t>
      </w:r>
      <w:r>
        <w:rPr>
          <w:color w:val="000000"/>
          <w:sz w:val="24"/>
        </w:rPr>
        <w:t>沼气池除臭杀菌的作用。经过厌氧发酵处理后产生的沼液属于高浓度有机废水，该废水具有有机物浓度高、可生化性好、易降解的特点，是较为理想的肥料。</w:t>
      </w:r>
    </w:p>
    <w:p>
      <w:pPr>
        <w:tabs>
          <w:tab w:val="left" w:pos="5625"/>
        </w:tabs>
        <w:topLinePunct/>
        <w:adjustRightInd w:val="0"/>
        <w:snapToGrid w:val="0"/>
        <w:spacing w:line="520" w:lineRule="exact"/>
        <w:rPr>
          <w:color w:val="000000"/>
          <w:sz w:val="24"/>
        </w:rPr>
      </w:pPr>
      <w:r>
        <w:rPr>
          <w:rFonts w:hint="eastAsia"/>
          <w:color w:val="000000"/>
          <w:sz w:val="24"/>
          <w:lang w:val="en-US" w:eastAsia="zh-CN"/>
        </w:rPr>
        <w:t>5</w:t>
      </w:r>
      <w:r>
        <w:rPr>
          <w:color w:val="000000"/>
          <w:sz w:val="24"/>
        </w:rPr>
        <w:t>.2.1.3本项目废水治理工艺</w:t>
      </w:r>
    </w:p>
    <w:p>
      <w:pPr>
        <w:topLinePunct/>
        <w:adjustRightInd w:val="0"/>
        <w:snapToGrid w:val="0"/>
        <w:spacing w:line="500" w:lineRule="exact"/>
        <w:ind w:firstLine="480" w:firstLineChars="200"/>
        <w:rPr>
          <w:color w:val="000000"/>
          <w:sz w:val="24"/>
        </w:rPr>
      </w:pPr>
      <w:r>
        <w:rPr>
          <w:color w:val="000000"/>
          <w:sz w:val="24"/>
        </w:rPr>
        <w:t>项目生猪饲养猪舍采用漏缝地板饲养，粪尿一经产生便依靠重力经过漏缝地板离开猪舍，在猪舍下部贮存池暂存后由密闭管道输送至治污区处理。采用“</w:t>
      </w:r>
      <w:r>
        <w:rPr>
          <w:rFonts w:hint="eastAsia"/>
          <w:color w:val="000000"/>
          <w:sz w:val="24"/>
          <w:lang w:val="en-US" w:eastAsia="zh-CN"/>
        </w:rPr>
        <w:t>黑膜</w:t>
      </w:r>
      <w:r>
        <w:rPr>
          <w:color w:val="000000"/>
          <w:sz w:val="24"/>
        </w:rPr>
        <w:t>沼气池+沼气、沼液、沼渣综合利用”的处理工艺。</w:t>
      </w:r>
    </w:p>
    <w:p>
      <w:pPr>
        <w:topLinePunct/>
        <w:adjustRightInd w:val="0"/>
        <w:snapToGrid w:val="0"/>
        <w:spacing w:line="500" w:lineRule="exact"/>
        <w:ind w:firstLine="480" w:firstLineChars="200"/>
        <w:rPr>
          <w:color w:val="000000"/>
          <w:sz w:val="24"/>
        </w:rPr>
      </w:pPr>
      <w:r>
        <w:rPr>
          <w:rFonts w:hint="eastAsia" w:ascii="宋体" w:hAnsi="宋体" w:cs="宋体"/>
          <w:color w:val="000000"/>
          <w:sz w:val="24"/>
        </w:rPr>
        <w:t>①</w:t>
      </w:r>
      <w:r>
        <w:rPr>
          <w:color w:val="000000"/>
          <w:sz w:val="24"/>
        </w:rPr>
        <w:t>工程废水处理工艺：</w:t>
      </w:r>
    </w:p>
    <w:p>
      <w:pPr>
        <w:topLinePunct/>
        <w:adjustRightInd w:val="0"/>
        <w:snapToGrid w:val="0"/>
        <w:spacing w:line="500" w:lineRule="exact"/>
        <w:ind w:firstLine="480" w:firstLineChars="200"/>
        <w:rPr>
          <w:bCs/>
          <w:color w:val="000000"/>
          <w:sz w:val="24"/>
        </w:rPr>
      </w:pPr>
      <w:r>
        <w:rPr>
          <w:bCs/>
          <w:color w:val="000000"/>
          <w:sz w:val="24"/>
        </w:rPr>
        <w:t>本工程污染治理详细工艺描述如下：</w:t>
      </w:r>
    </w:p>
    <w:p>
      <w:pPr>
        <w:topLinePunct/>
        <w:spacing w:line="500" w:lineRule="exact"/>
        <w:ind w:firstLine="480" w:firstLineChars="200"/>
        <w:rPr>
          <w:bCs/>
          <w:color w:val="000000"/>
          <w:sz w:val="24"/>
        </w:rPr>
      </w:pPr>
      <w:r>
        <w:rPr>
          <w:bCs/>
          <w:color w:val="000000"/>
          <w:sz w:val="24"/>
        </w:rPr>
        <w:t>收集池、固液分离机：主要目的是为减轻后续工艺负荷，减少投资，通过物理方法去除杂质，实现减量化，均衡水质、水量。</w:t>
      </w:r>
    </w:p>
    <w:p>
      <w:pPr>
        <w:topLinePunct/>
        <w:spacing w:line="500" w:lineRule="exact"/>
        <w:ind w:firstLine="480" w:firstLineChars="200"/>
        <w:rPr>
          <w:color w:val="000000"/>
          <w:sz w:val="24"/>
        </w:rPr>
      </w:pPr>
      <w:r>
        <w:rPr>
          <w:rFonts w:hint="eastAsia"/>
          <w:bCs/>
          <w:color w:val="000000"/>
          <w:sz w:val="24"/>
          <w:lang w:eastAsia="zh-CN"/>
        </w:rPr>
        <w:t>黑膜</w:t>
      </w:r>
      <w:r>
        <w:rPr>
          <w:bCs/>
          <w:color w:val="000000"/>
          <w:sz w:val="24"/>
        </w:rPr>
        <w:t>沼气池：本项目废水经固液分离、调节后经进入</w:t>
      </w:r>
      <w:r>
        <w:rPr>
          <w:rFonts w:hint="eastAsia"/>
          <w:bCs/>
          <w:color w:val="000000"/>
          <w:sz w:val="24"/>
          <w:lang w:eastAsia="zh-CN"/>
        </w:rPr>
        <w:t>黑膜</w:t>
      </w:r>
      <w:r>
        <w:rPr>
          <w:bCs/>
          <w:color w:val="000000"/>
          <w:sz w:val="24"/>
        </w:rPr>
        <w:t>沼气池，经30天厌氧发酵去除大部分有机物，沼液排入沼液储存池暂存，沼渣经底部设置排沼渣管道排出。</w:t>
      </w:r>
      <w:r>
        <w:rPr>
          <w:color w:val="000000"/>
          <w:sz w:val="24"/>
        </w:rPr>
        <w:t>沼液储存池：项目设1个沼液储存池，沼液部分回用冲洗猪舍，其余作为肥料定期给</w:t>
      </w:r>
      <w:r>
        <w:rPr>
          <w:rFonts w:hint="eastAsia"/>
          <w:color w:val="000000"/>
          <w:sz w:val="24"/>
          <w:lang w:val="en-US" w:eastAsia="zh-CN"/>
        </w:rPr>
        <w:t>林地</w:t>
      </w:r>
      <w:r>
        <w:rPr>
          <w:color w:val="000000"/>
          <w:sz w:val="24"/>
        </w:rPr>
        <w:t>施肥。</w:t>
      </w:r>
    </w:p>
    <w:p>
      <w:pPr>
        <w:topLinePunct/>
        <w:adjustRightInd w:val="0"/>
        <w:snapToGrid w:val="0"/>
        <w:spacing w:line="520" w:lineRule="exact"/>
        <w:ind w:firstLine="480" w:firstLineChars="200"/>
        <w:rPr>
          <w:b w:val="0"/>
          <w:bCs/>
          <w:color w:val="000000"/>
          <w:sz w:val="24"/>
          <w:u w:val="none"/>
        </w:rPr>
      </w:pPr>
      <w:r>
        <w:rPr>
          <w:b w:val="0"/>
          <w:bCs/>
          <w:color w:val="000000"/>
          <w:sz w:val="24"/>
          <w:u w:val="none"/>
        </w:rPr>
        <w:fldChar w:fldCharType="begin"/>
      </w:r>
      <w:r>
        <w:rPr>
          <w:b w:val="0"/>
          <w:bCs/>
          <w:color w:val="000000"/>
          <w:sz w:val="24"/>
          <w:u w:val="none"/>
        </w:rPr>
        <w:instrText xml:space="preserve">= 2 \* GB3</w:instrText>
      </w:r>
      <w:r>
        <w:rPr>
          <w:b w:val="0"/>
          <w:bCs/>
          <w:color w:val="000000"/>
          <w:sz w:val="24"/>
          <w:u w:val="none"/>
        </w:rPr>
        <w:fldChar w:fldCharType="separate"/>
      </w:r>
      <w:r>
        <w:rPr>
          <w:rFonts w:hint="eastAsia" w:ascii="宋体" w:hAnsi="宋体" w:cs="宋体"/>
          <w:b w:val="0"/>
          <w:bCs/>
          <w:color w:val="000000"/>
          <w:sz w:val="24"/>
          <w:u w:val="none"/>
        </w:rPr>
        <w:t>②</w:t>
      </w:r>
      <w:r>
        <w:rPr>
          <w:b w:val="0"/>
          <w:bCs/>
          <w:color w:val="000000"/>
          <w:sz w:val="24"/>
          <w:u w:val="none"/>
        </w:rPr>
        <w:fldChar w:fldCharType="end"/>
      </w:r>
      <w:r>
        <w:rPr>
          <w:b w:val="0"/>
          <w:bCs/>
          <w:color w:val="000000"/>
          <w:sz w:val="24"/>
          <w:u w:val="none"/>
        </w:rPr>
        <w:t>水处理规模</w:t>
      </w:r>
    </w:p>
    <w:p>
      <w:pPr>
        <w:topLinePunct/>
        <w:spacing w:line="500" w:lineRule="exact"/>
        <w:ind w:firstLine="480" w:firstLineChars="200"/>
        <w:rPr>
          <w:b w:val="0"/>
          <w:bCs/>
          <w:color w:val="000000"/>
          <w:sz w:val="24"/>
          <w:u w:val="none"/>
        </w:rPr>
      </w:pPr>
      <w:r>
        <w:rPr>
          <w:b w:val="0"/>
          <w:bCs/>
          <w:color w:val="000000"/>
          <w:sz w:val="24"/>
          <w:u w:val="none"/>
        </w:rPr>
        <w:t>本项目夏季废水产生量为</w:t>
      </w:r>
      <w:r>
        <w:rPr>
          <w:b w:val="0"/>
          <w:bCs/>
          <w:sz w:val="24"/>
          <w:u w:val="none"/>
        </w:rPr>
        <w:t>3</w:t>
      </w:r>
      <w:r>
        <w:rPr>
          <w:rFonts w:hint="eastAsia"/>
          <w:b w:val="0"/>
          <w:bCs/>
          <w:sz w:val="24"/>
          <w:u w:val="none"/>
          <w:lang w:val="en-US" w:eastAsia="zh-CN"/>
        </w:rPr>
        <w:t>0.232</w:t>
      </w:r>
      <w:r>
        <w:rPr>
          <w:b w:val="0"/>
          <w:bCs/>
          <w:color w:val="000000"/>
          <w:sz w:val="24"/>
          <w:u w:val="none"/>
        </w:rPr>
        <w:t>m</w:t>
      </w:r>
      <w:r>
        <w:rPr>
          <w:b w:val="0"/>
          <w:bCs/>
          <w:color w:val="000000"/>
          <w:sz w:val="24"/>
          <w:u w:val="none"/>
          <w:vertAlign w:val="superscript"/>
        </w:rPr>
        <w:t>3</w:t>
      </w:r>
      <w:r>
        <w:rPr>
          <w:b w:val="0"/>
          <w:bCs/>
          <w:color w:val="000000"/>
          <w:sz w:val="24"/>
          <w:u w:val="none"/>
        </w:rPr>
        <w:t>/d，</w:t>
      </w:r>
      <w:r>
        <w:rPr>
          <w:rFonts w:hint="eastAsia"/>
          <w:b w:val="0"/>
          <w:bCs/>
          <w:color w:val="000000"/>
          <w:sz w:val="24"/>
          <w:u w:val="none"/>
          <w:lang w:val="en-US" w:eastAsia="zh-CN"/>
        </w:rPr>
        <w:t>黑膜</w:t>
      </w:r>
      <w:r>
        <w:rPr>
          <w:b w:val="0"/>
          <w:bCs/>
          <w:color w:val="000000"/>
          <w:sz w:val="24"/>
          <w:u w:val="none"/>
        </w:rPr>
        <w:t>沼气池的设计容积为</w:t>
      </w:r>
      <w:r>
        <w:rPr>
          <w:rFonts w:hint="eastAsia"/>
          <w:b w:val="0"/>
          <w:bCs/>
          <w:color w:val="000000"/>
          <w:sz w:val="24"/>
          <w:u w:val="none"/>
          <w:lang w:val="en-US" w:eastAsia="zh-CN"/>
        </w:rPr>
        <w:t>1000</w:t>
      </w:r>
      <w:r>
        <w:rPr>
          <w:b w:val="0"/>
          <w:bCs/>
          <w:color w:val="000000"/>
          <w:sz w:val="24"/>
          <w:u w:val="none"/>
        </w:rPr>
        <w:t>m</w:t>
      </w:r>
      <w:r>
        <w:rPr>
          <w:b w:val="0"/>
          <w:bCs/>
          <w:color w:val="000000"/>
          <w:sz w:val="24"/>
          <w:u w:val="none"/>
          <w:vertAlign w:val="superscript"/>
        </w:rPr>
        <w:t>3</w:t>
      </w:r>
      <w:r>
        <w:rPr>
          <w:b w:val="0"/>
          <w:bCs/>
          <w:color w:val="000000"/>
          <w:sz w:val="24"/>
          <w:u w:val="none"/>
        </w:rPr>
        <w:t>，发酵温度为常温，水力停留时间为30天。</w:t>
      </w:r>
      <w:r>
        <w:rPr>
          <w:rFonts w:hint="eastAsia"/>
          <w:b w:val="0"/>
          <w:bCs/>
          <w:color w:val="000000"/>
          <w:sz w:val="24"/>
          <w:u w:val="none"/>
          <w:lang w:val="en-US" w:eastAsia="zh-CN"/>
        </w:rPr>
        <w:t>黑膜</w:t>
      </w:r>
      <w:r>
        <w:rPr>
          <w:b w:val="0"/>
          <w:bCs/>
          <w:color w:val="000000"/>
          <w:sz w:val="24"/>
          <w:u w:val="none"/>
        </w:rPr>
        <w:t>沼气池为全封闭结构。满足工艺要求，</w:t>
      </w:r>
      <w:r>
        <w:rPr>
          <w:rFonts w:hint="eastAsia"/>
          <w:b w:val="0"/>
          <w:bCs/>
          <w:color w:val="000000"/>
          <w:sz w:val="24"/>
          <w:u w:val="none"/>
          <w:lang w:eastAsia="zh-CN"/>
        </w:rPr>
        <w:t>黑膜</w:t>
      </w:r>
      <w:r>
        <w:rPr>
          <w:b w:val="0"/>
          <w:bCs/>
          <w:color w:val="000000"/>
          <w:sz w:val="24"/>
          <w:u w:val="none"/>
        </w:rPr>
        <w:t>沼气池设施可正常运行。</w:t>
      </w:r>
    </w:p>
    <w:p>
      <w:pPr>
        <w:topLinePunct/>
        <w:adjustRightInd w:val="0"/>
        <w:snapToGrid w:val="0"/>
        <w:spacing w:line="520" w:lineRule="exact"/>
        <w:ind w:firstLine="480" w:firstLineChars="200"/>
        <w:rPr>
          <w:b w:val="0"/>
          <w:bCs/>
          <w:color w:val="000000"/>
          <w:sz w:val="24"/>
          <w:u w:val="none"/>
        </w:rPr>
      </w:pPr>
      <w:r>
        <w:rPr>
          <w:b w:val="0"/>
          <w:bCs/>
          <w:color w:val="000000"/>
          <w:sz w:val="24"/>
          <w:u w:val="none"/>
        </w:rPr>
        <w:fldChar w:fldCharType="begin"/>
      </w:r>
      <w:r>
        <w:rPr>
          <w:b w:val="0"/>
          <w:bCs/>
          <w:color w:val="000000"/>
          <w:sz w:val="24"/>
          <w:u w:val="none"/>
        </w:rPr>
        <w:instrText xml:space="preserve">= 3 \* GB3</w:instrText>
      </w:r>
      <w:r>
        <w:rPr>
          <w:b w:val="0"/>
          <w:bCs/>
          <w:color w:val="000000"/>
          <w:sz w:val="24"/>
          <w:u w:val="none"/>
        </w:rPr>
        <w:fldChar w:fldCharType="separate"/>
      </w:r>
      <w:r>
        <w:rPr>
          <w:rFonts w:hint="eastAsia" w:ascii="宋体" w:hAnsi="宋体" w:cs="宋体"/>
          <w:b w:val="0"/>
          <w:bCs/>
          <w:color w:val="000000"/>
          <w:sz w:val="24"/>
          <w:u w:val="none"/>
        </w:rPr>
        <w:t>③</w:t>
      </w:r>
      <w:r>
        <w:rPr>
          <w:b w:val="0"/>
          <w:bCs/>
          <w:color w:val="000000"/>
          <w:sz w:val="24"/>
          <w:u w:val="none"/>
        </w:rPr>
        <w:fldChar w:fldCharType="end"/>
      </w:r>
      <w:r>
        <w:rPr>
          <w:b w:val="0"/>
          <w:bCs/>
          <w:color w:val="000000"/>
          <w:sz w:val="24"/>
          <w:u w:val="none"/>
        </w:rPr>
        <w:t>沼液储存池</w:t>
      </w:r>
    </w:p>
    <w:p>
      <w:pPr>
        <w:topLinePunct/>
        <w:spacing w:line="500" w:lineRule="exact"/>
        <w:ind w:firstLine="480" w:firstLineChars="200"/>
        <w:rPr>
          <w:b w:val="0"/>
          <w:bCs/>
          <w:color w:val="000000"/>
          <w:sz w:val="24"/>
          <w:u w:val="none"/>
        </w:rPr>
      </w:pPr>
      <w:r>
        <w:rPr>
          <w:b w:val="0"/>
          <w:bCs/>
          <w:color w:val="000000"/>
          <w:sz w:val="24"/>
          <w:u w:val="none"/>
        </w:rPr>
        <w:t>沼液储存池的容积：沼液储存池的容积根据《畜禽养殖污水贮存设施设计要求》（GB/T26624-2011）确定的，总容积应为养殖污水量、降雨量和预留体积之和。结合相关法规、养殖场产污水实际及</w:t>
      </w:r>
      <w:r>
        <w:rPr>
          <w:rFonts w:hint="eastAsia"/>
          <w:b w:val="0"/>
          <w:bCs/>
          <w:color w:val="000000"/>
          <w:sz w:val="24"/>
          <w:u w:val="none"/>
          <w:lang w:val="en-US" w:eastAsia="zh-CN"/>
        </w:rPr>
        <w:t>林地施肥</w:t>
      </w:r>
      <w:r>
        <w:rPr>
          <w:b w:val="0"/>
          <w:bCs/>
          <w:color w:val="000000"/>
          <w:sz w:val="24"/>
          <w:u w:val="none"/>
        </w:rPr>
        <w:t>要求，项目实际沼液储存池设计为能够容纳</w:t>
      </w:r>
      <w:r>
        <w:rPr>
          <w:rFonts w:hint="eastAsia"/>
          <w:b w:val="0"/>
          <w:bCs/>
          <w:color w:val="000000"/>
          <w:sz w:val="24"/>
          <w:u w:val="none"/>
          <w:lang w:eastAsia="zh-CN"/>
        </w:rPr>
        <w:t>1</w:t>
      </w:r>
      <w:r>
        <w:rPr>
          <w:rFonts w:hint="eastAsia"/>
          <w:b w:val="0"/>
          <w:bCs/>
          <w:color w:val="000000"/>
          <w:sz w:val="24"/>
          <w:u w:val="none"/>
          <w:lang w:val="en-US" w:eastAsia="zh-CN"/>
        </w:rPr>
        <w:t>20d</w:t>
      </w:r>
      <w:r>
        <w:rPr>
          <w:b w:val="0"/>
          <w:bCs/>
          <w:color w:val="000000"/>
          <w:sz w:val="24"/>
          <w:u w:val="none"/>
        </w:rPr>
        <w:t>以上的沼液量。根据《畜禽养殖污水贮存设施设计要求》（GB/T26624-2011）中要求，宜预留0.9m高的空间，预留体积按照设施的实际长和宽以及预留高度进行计算，并且池体高度或深度不能超过6m。工程设一个沼液储存池，沼液储存池占地面积</w:t>
      </w:r>
      <w:r>
        <w:rPr>
          <w:rFonts w:hint="eastAsia"/>
          <w:b w:val="0"/>
          <w:bCs/>
          <w:color w:val="000000"/>
          <w:sz w:val="24"/>
          <w:u w:val="none"/>
          <w:lang w:val="en-US" w:eastAsia="zh-CN"/>
        </w:rPr>
        <w:t>833</w:t>
      </w:r>
      <w:r>
        <w:rPr>
          <w:b w:val="0"/>
          <w:bCs/>
          <w:sz w:val="24"/>
          <w:u w:val="none"/>
        </w:rPr>
        <w:t>m</w:t>
      </w:r>
      <w:r>
        <w:rPr>
          <w:b w:val="0"/>
          <w:bCs/>
          <w:sz w:val="24"/>
          <w:u w:val="none"/>
          <w:vertAlign w:val="superscript"/>
        </w:rPr>
        <w:t>2</w:t>
      </w:r>
      <w:r>
        <w:rPr>
          <w:b w:val="0"/>
          <w:bCs/>
          <w:color w:val="000000"/>
          <w:sz w:val="24"/>
          <w:u w:val="none"/>
        </w:rPr>
        <w:t>，深</w:t>
      </w:r>
      <w:r>
        <w:rPr>
          <w:rFonts w:hint="eastAsia"/>
          <w:b w:val="0"/>
          <w:bCs/>
          <w:color w:val="000000"/>
          <w:sz w:val="24"/>
          <w:u w:val="none"/>
          <w:lang w:val="en-US" w:eastAsia="zh-CN"/>
        </w:rPr>
        <w:t>6</w:t>
      </w:r>
      <w:r>
        <w:rPr>
          <w:b w:val="0"/>
          <w:bCs/>
          <w:color w:val="000000"/>
          <w:sz w:val="24"/>
          <w:u w:val="none"/>
        </w:rPr>
        <w:t>m，则有效池容深度为</w:t>
      </w:r>
      <w:r>
        <w:rPr>
          <w:rFonts w:hint="eastAsia"/>
          <w:b w:val="0"/>
          <w:bCs/>
          <w:color w:val="000000"/>
          <w:sz w:val="24"/>
          <w:u w:val="none"/>
          <w:lang w:val="en-US" w:eastAsia="zh-CN"/>
        </w:rPr>
        <w:t>5</w:t>
      </w:r>
      <w:r>
        <w:rPr>
          <w:b w:val="0"/>
          <w:bCs/>
          <w:color w:val="000000"/>
          <w:sz w:val="24"/>
          <w:u w:val="none"/>
        </w:rPr>
        <w:t>.1m，所建沼液储存池总容积为</w:t>
      </w:r>
      <w:r>
        <w:rPr>
          <w:rFonts w:hint="eastAsia"/>
          <w:b w:val="0"/>
          <w:bCs/>
          <w:color w:val="000000"/>
          <w:sz w:val="24"/>
          <w:u w:val="none"/>
          <w:lang w:val="en-US" w:eastAsia="zh-CN"/>
        </w:rPr>
        <w:t>5000</w:t>
      </w:r>
      <w:r>
        <w:rPr>
          <w:b w:val="0"/>
          <w:bCs/>
          <w:color w:val="000000"/>
          <w:sz w:val="24"/>
          <w:u w:val="none"/>
        </w:rPr>
        <w:t>m</w:t>
      </w:r>
      <w:r>
        <w:rPr>
          <w:b w:val="0"/>
          <w:bCs/>
          <w:color w:val="000000"/>
          <w:sz w:val="24"/>
          <w:u w:val="none"/>
          <w:vertAlign w:val="superscript"/>
        </w:rPr>
        <w:t>3</w:t>
      </w:r>
      <w:r>
        <w:rPr>
          <w:b w:val="0"/>
          <w:bCs/>
          <w:color w:val="000000"/>
          <w:sz w:val="24"/>
          <w:u w:val="none"/>
        </w:rPr>
        <w:t>，有效容积为</w:t>
      </w:r>
      <w:r>
        <w:rPr>
          <w:rFonts w:hint="eastAsia"/>
          <w:b w:val="0"/>
          <w:bCs/>
          <w:color w:val="000000"/>
          <w:sz w:val="24"/>
          <w:u w:val="none"/>
          <w:lang w:val="en-US" w:eastAsia="zh-CN"/>
        </w:rPr>
        <w:t>4248</w:t>
      </w:r>
      <w:r>
        <w:rPr>
          <w:b w:val="0"/>
          <w:bCs/>
          <w:color w:val="000000"/>
          <w:sz w:val="24"/>
          <w:u w:val="none"/>
        </w:rPr>
        <w:t>m</w:t>
      </w:r>
      <w:r>
        <w:rPr>
          <w:b w:val="0"/>
          <w:bCs/>
          <w:color w:val="000000"/>
          <w:sz w:val="24"/>
          <w:u w:val="none"/>
          <w:vertAlign w:val="superscript"/>
        </w:rPr>
        <w:t>3</w:t>
      </w:r>
      <w:r>
        <w:rPr>
          <w:b w:val="0"/>
          <w:bCs/>
          <w:color w:val="000000"/>
          <w:sz w:val="24"/>
          <w:u w:val="none"/>
        </w:rPr>
        <w:t>。本项目</w:t>
      </w:r>
      <w:r>
        <w:rPr>
          <w:rFonts w:hint="eastAsia"/>
          <w:b w:val="0"/>
          <w:bCs/>
          <w:color w:val="000000"/>
          <w:sz w:val="24"/>
          <w:u w:val="none"/>
          <w:lang w:eastAsia="zh-CN"/>
        </w:rPr>
        <w:t>1</w:t>
      </w:r>
      <w:r>
        <w:rPr>
          <w:rFonts w:hint="eastAsia"/>
          <w:b w:val="0"/>
          <w:bCs/>
          <w:color w:val="000000"/>
          <w:sz w:val="24"/>
          <w:u w:val="none"/>
          <w:lang w:val="en-US" w:eastAsia="zh-CN"/>
        </w:rPr>
        <w:t>20</w:t>
      </w:r>
      <w:r>
        <w:rPr>
          <w:rFonts w:hint="eastAsia"/>
          <w:b w:val="0"/>
          <w:bCs/>
          <w:color w:val="000000"/>
          <w:sz w:val="24"/>
          <w:u w:val="none"/>
          <w:lang w:eastAsia="zh-CN"/>
        </w:rPr>
        <w:t>天</w:t>
      </w:r>
      <w:r>
        <w:rPr>
          <w:b w:val="0"/>
          <w:bCs/>
          <w:color w:val="000000"/>
          <w:sz w:val="24"/>
          <w:u w:val="none"/>
        </w:rPr>
        <w:t>废水量为</w:t>
      </w:r>
      <w:r>
        <w:rPr>
          <w:rFonts w:hint="eastAsia"/>
          <w:b w:val="0"/>
          <w:bCs/>
          <w:color w:val="000000"/>
          <w:sz w:val="24"/>
          <w:u w:val="none"/>
          <w:lang w:val="en-US" w:eastAsia="zh-CN"/>
        </w:rPr>
        <w:t>3628</w:t>
      </w:r>
      <w:r>
        <w:rPr>
          <w:b w:val="0"/>
          <w:bCs/>
          <w:color w:val="000000"/>
          <w:sz w:val="24"/>
          <w:u w:val="none"/>
        </w:rPr>
        <w:t xml:space="preserve"> m</w:t>
      </w:r>
      <w:r>
        <w:rPr>
          <w:b w:val="0"/>
          <w:bCs/>
          <w:color w:val="000000"/>
          <w:sz w:val="24"/>
          <w:u w:val="none"/>
          <w:vertAlign w:val="superscript"/>
        </w:rPr>
        <w:t>3</w:t>
      </w:r>
      <w:r>
        <w:rPr>
          <w:b w:val="0"/>
          <w:bCs/>
          <w:color w:val="000000"/>
          <w:sz w:val="24"/>
          <w:u w:val="none"/>
        </w:rPr>
        <w:t>，项目沼液暂存池可以满足工程</w:t>
      </w:r>
      <w:r>
        <w:rPr>
          <w:rFonts w:hint="eastAsia"/>
          <w:b w:val="0"/>
          <w:bCs/>
          <w:color w:val="000000"/>
          <w:sz w:val="24"/>
          <w:u w:val="none"/>
          <w:lang w:val="en-US" w:eastAsia="zh-CN"/>
        </w:rPr>
        <w:t>120</w:t>
      </w:r>
      <w:r>
        <w:rPr>
          <w:b w:val="0"/>
          <w:bCs/>
          <w:color w:val="000000"/>
          <w:sz w:val="24"/>
          <w:u w:val="none"/>
        </w:rPr>
        <w:t>天的沼液量。</w:t>
      </w:r>
    </w:p>
    <w:p>
      <w:pPr>
        <w:topLinePunct/>
        <w:spacing w:line="500" w:lineRule="exact"/>
        <w:ind w:firstLine="480" w:firstLineChars="200"/>
        <w:jc w:val="left"/>
        <w:rPr>
          <w:b w:val="0"/>
          <w:bCs/>
          <w:color w:val="000000"/>
          <w:sz w:val="24"/>
          <w:u w:val="none"/>
        </w:rPr>
      </w:pPr>
      <w:r>
        <w:rPr>
          <w:b w:val="0"/>
          <w:bCs/>
          <w:color w:val="000000"/>
          <w:sz w:val="24"/>
          <w:u w:val="none"/>
        </w:rPr>
        <w:t>废水处理工程所需设备及工程建设内容见表</w:t>
      </w:r>
      <w:r>
        <w:rPr>
          <w:rFonts w:hint="eastAsia"/>
          <w:b w:val="0"/>
          <w:bCs/>
          <w:color w:val="000000"/>
          <w:sz w:val="24"/>
          <w:u w:val="none"/>
          <w:lang w:val="en-US" w:eastAsia="zh-CN"/>
        </w:rPr>
        <w:t>5.2-5</w:t>
      </w:r>
      <w:r>
        <w:rPr>
          <w:b w:val="0"/>
          <w:bCs/>
          <w:color w:val="000000"/>
          <w:sz w:val="24"/>
          <w:u w:val="none"/>
        </w:rPr>
        <w:t>。</w:t>
      </w:r>
    </w:p>
    <w:p>
      <w:pPr>
        <w:topLinePunct/>
        <w:spacing w:beforeLines="50" w:afterLines="50"/>
        <w:jc w:val="center"/>
        <w:rPr>
          <w:b/>
          <w:bCs w:val="0"/>
          <w:color w:val="000000"/>
          <w:szCs w:val="21"/>
          <w:u w:val="none"/>
        </w:rPr>
      </w:pPr>
      <w:r>
        <w:rPr>
          <w:b/>
          <w:bCs w:val="0"/>
          <w:color w:val="000000"/>
          <w:szCs w:val="21"/>
          <w:u w:val="none"/>
        </w:rPr>
        <w:t>表</w:t>
      </w:r>
      <w:r>
        <w:rPr>
          <w:rFonts w:hint="eastAsia"/>
          <w:b/>
          <w:bCs w:val="0"/>
          <w:color w:val="000000"/>
          <w:szCs w:val="21"/>
          <w:u w:val="none"/>
          <w:lang w:val="en-US" w:eastAsia="zh-CN"/>
        </w:rPr>
        <w:t>5.2-5</w:t>
      </w:r>
      <w:r>
        <w:rPr>
          <w:b/>
          <w:bCs w:val="0"/>
          <w:color w:val="000000"/>
          <w:szCs w:val="21"/>
          <w:u w:val="none"/>
        </w:rPr>
        <w:t xml:space="preserve">  废水处理工程主要构筑物设计一览表</w:t>
      </w:r>
    </w:p>
    <w:tbl>
      <w:tblPr>
        <w:tblStyle w:val="45"/>
        <w:tblW w:w="894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276"/>
        <w:gridCol w:w="1985"/>
        <w:gridCol w:w="50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3" w:hRule="atLeast"/>
        </w:trPr>
        <w:tc>
          <w:tcPr>
            <w:tcW w:w="675" w:type="dxa"/>
            <w:vAlign w:val="center"/>
          </w:tcPr>
          <w:p>
            <w:pPr>
              <w:topLinePunct/>
              <w:spacing w:line="320" w:lineRule="exact"/>
              <w:jc w:val="center"/>
              <w:rPr>
                <w:b w:val="0"/>
                <w:bCs/>
                <w:color w:val="000000"/>
                <w:szCs w:val="21"/>
                <w:u w:val="none"/>
              </w:rPr>
            </w:pPr>
            <w:r>
              <w:rPr>
                <w:b w:val="0"/>
                <w:bCs/>
                <w:color w:val="000000"/>
                <w:szCs w:val="21"/>
                <w:u w:val="none"/>
              </w:rPr>
              <w:t>序号</w:t>
            </w:r>
          </w:p>
        </w:tc>
        <w:tc>
          <w:tcPr>
            <w:tcW w:w="1276" w:type="dxa"/>
            <w:vAlign w:val="center"/>
          </w:tcPr>
          <w:p>
            <w:pPr>
              <w:topLinePunct/>
              <w:spacing w:line="320" w:lineRule="exact"/>
              <w:jc w:val="center"/>
              <w:rPr>
                <w:b w:val="0"/>
                <w:bCs/>
                <w:color w:val="000000"/>
                <w:szCs w:val="21"/>
                <w:u w:val="none"/>
              </w:rPr>
            </w:pPr>
            <w:r>
              <w:rPr>
                <w:b w:val="0"/>
                <w:bCs/>
                <w:color w:val="000000"/>
                <w:szCs w:val="21"/>
                <w:u w:val="none"/>
              </w:rPr>
              <w:t>工程内容</w:t>
            </w:r>
          </w:p>
        </w:tc>
        <w:tc>
          <w:tcPr>
            <w:tcW w:w="1985" w:type="dxa"/>
            <w:vAlign w:val="center"/>
          </w:tcPr>
          <w:p>
            <w:pPr>
              <w:topLinePunct/>
              <w:spacing w:line="320" w:lineRule="exact"/>
              <w:jc w:val="center"/>
              <w:rPr>
                <w:b w:val="0"/>
                <w:bCs/>
                <w:color w:val="000000"/>
                <w:szCs w:val="21"/>
                <w:u w:val="none"/>
              </w:rPr>
            </w:pPr>
            <w:r>
              <w:rPr>
                <w:b w:val="0"/>
                <w:bCs/>
                <w:color w:val="000000"/>
                <w:szCs w:val="21"/>
                <w:u w:val="none"/>
              </w:rPr>
              <w:t>设计规模</w:t>
            </w:r>
          </w:p>
        </w:tc>
        <w:tc>
          <w:tcPr>
            <w:tcW w:w="5010" w:type="dxa"/>
            <w:vAlign w:val="center"/>
          </w:tcPr>
          <w:p>
            <w:pPr>
              <w:topLinePunct/>
              <w:spacing w:line="320" w:lineRule="exact"/>
              <w:jc w:val="center"/>
              <w:rPr>
                <w:b w:val="0"/>
                <w:bCs/>
                <w:color w:val="000000"/>
                <w:szCs w:val="21"/>
                <w:u w:val="none"/>
              </w:rPr>
            </w:pPr>
            <w:r>
              <w:rPr>
                <w:b w:val="0"/>
                <w:bCs/>
                <w:color w:val="000000"/>
                <w:szCs w:val="21"/>
                <w:u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topLinePunct/>
              <w:spacing w:line="320" w:lineRule="exact"/>
              <w:jc w:val="center"/>
              <w:rPr>
                <w:b w:val="0"/>
                <w:bCs/>
                <w:color w:val="000000"/>
                <w:szCs w:val="21"/>
                <w:u w:val="none"/>
              </w:rPr>
            </w:pPr>
            <w:r>
              <w:rPr>
                <w:b w:val="0"/>
                <w:bCs/>
                <w:color w:val="000000"/>
                <w:szCs w:val="21"/>
                <w:u w:val="none"/>
              </w:rPr>
              <w:t>1</w:t>
            </w:r>
          </w:p>
        </w:tc>
        <w:tc>
          <w:tcPr>
            <w:tcW w:w="1276" w:type="dxa"/>
            <w:vAlign w:val="center"/>
          </w:tcPr>
          <w:p>
            <w:pPr>
              <w:topLinePunct/>
              <w:spacing w:line="320" w:lineRule="exact"/>
              <w:jc w:val="center"/>
              <w:rPr>
                <w:b w:val="0"/>
                <w:bCs/>
                <w:color w:val="000000"/>
                <w:szCs w:val="21"/>
                <w:u w:val="none"/>
              </w:rPr>
            </w:pPr>
            <w:r>
              <w:rPr>
                <w:b w:val="0"/>
                <w:bCs/>
                <w:color w:val="000000"/>
                <w:szCs w:val="21"/>
                <w:u w:val="none"/>
              </w:rPr>
              <w:t>收集池</w:t>
            </w:r>
          </w:p>
        </w:tc>
        <w:tc>
          <w:tcPr>
            <w:tcW w:w="1985" w:type="dxa"/>
            <w:vAlign w:val="center"/>
          </w:tcPr>
          <w:p>
            <w:pPr>
              <w:topLinePunct/>
              <w:spacing w:line="320" w:lineRule="exact"/>
              <w:jc w:val="center"/>
              <w:rPr>
                <w:b w:val="0"/>
                <w:bCs/>
                <w:color w:val="000000"/>
                <w:szCs w:val="21"/>
                <w:u w:val="none"/>
              </w:rPr>
            </w:pPr>
            <w:r>
              <w:rPr>
                <w:rFonts w:hint="eastAsia"/>
                <w:b w:val="0"/>
                <w:bCs/>
                <w:color w:val="000000"/>
                <w:kern w:val="0"/>
                <w:szCs w:val="21"/>
                <w:u w:val="none"/>
                <w:lang w:val="en-US" w:eastAsia="zh-CN"/>
              </w:rPr>
              <w:t>395</w:t>
            </w:r>
            <w:r>
              <w:rPr>
                <w:b w:val="0"/>
                <w:bCs/>
                <w:color w:val="000000"/>
                <w:kern w:val="0"/>
                <w:szCs w:val="21"/>
                <w:u w:val="none"/>
              </w:rPr>
              <w:t>m</w:t>
            </w:r>
            <w:r>
              <w:rPr>
                <w:b w:val="0"/>
                <w:bCs/>
                <w:color w:val="000000"/>
                <w:kern w:val="0"/>
                <w:szCs w:val="21"/>
                <w:u w:val="none"/>
                <w:vertAlign w:val="superscript"/>
              </w:rPr>
              <w:t>3</w:t>
            </w:r>
          </w:p>
        </w:tc>
        <w:tc>
          <w:tcPr>
            <w:tcW w:w="5010" w:type="dxa"/>
            <w:vAlign w:val="center"/>
          </w:tcPr>
          <w:p>
            <w:pPr>
              <w:topLinePunct/>
              <w:spacing w:line="320" w:lineRule="exact"/>
              <w:jc w:val="center"/>
              <w:rPr>
                <w:b w:val="0"/>
                <w:bCs/>
                <w:color w:val="000000"/>
                <w:szCs w:val="21"/>
                <w:u w:val="none"/>
              </w:rPr>
            </w:pPr>
            <w:r>
              <w:rPr>
                <w:b w:val="0"/>
                <w:bCs/>
                <w:color w:val="000000"/>
                <w:szCs w:val="21"/>
                <w:u w:val="none"/>
              </w:rPr>
              <w:t>混凝土防渗，均衡水质、水量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topLinePunct/>
              <w:spacing w:line="320" w:lineRule="exact"/>
              <w:jc w:val="center"/>
              <w:rPr>
                <w:b w:val="0"/>
                <w:bCs/>
                <w:color w:val="000000"/>
                <w:szCs w:val="21"/>
                <w:u w:val="none"/>
              </w:rPr>
            </w:pPr>
            <w:r>
              <w:rPr>
                <w:b w:val="0"/>
                <w:bCs/>
                <w:color w:val="000000"/>
                <w:szCs w:val="21"/>
                <w:u w:val="none"/>
              </w:rPr>
              <w:t>2</w:t>
            </w:r>
          </w:p>
        </w:tc>
        <w:tc>
          <w:tcPr>
            <w:tcW w:w="1276" w:type="dxa"/>
            <w:vAlign w:val="center"/>
          </w:tcPr>
          <w:p>
            <w:pPr>
              <w:topLinePunct/>
              <w:spacing w:line="320" w:lineRule="exact"/>
              <w:jc w:val="center"/>
              <w:rPr>
                <w:b w:val="0"/>
                <w:bCs/>
                <w:color w:val="000000"/>
                <w:szCs w:val="21"/>
                <w:u w:val="none"/>
              </w:rPr>
            </w:pPr>
            <w:r>
              <w:rPr>
                <w:rFonts w:hint="eastAsia"/>
                <w:b w:val="0"/>
                <w:bCs/>
                <w:color w:val="000000"/>
                <w:szCs w:val="21"/>
                <w:u w:val="none"/>
                <w:lang w:eastAsia="zh-CN"/>
              </w:rPr>
              <w:t>黑膜</w:t>
            </w:r>
            <w:r>
              <w:rPr>
                <w:b w:val="0"/>
                <w:bCs/>
                <w:color w:val="000000"/>
                <w:szCs w:val="21"/>
                <w:u w:val="none"/>
              </w:rPr>
              <w:t>沼气池</w:t>
            </w:r>
          </w:p>
        </w:tc>
        <w:tc>
          <w:tcPr>
            <w:tcW w:w="1985" w:type="dxa"/>
            <w:vAlign w:val="center"/>
          </w:tcPr>
          <w:p>
            <w:pPr>
              <w:topLinePunct/>
              <w:spacing w:line="320" w:lineRule="exact"/>
              <w:jc w:val="center"/>
              <w:rPr>
                <w:b w:val="0"/>
                <w:bCs/>
                <w:color w:val="000000"/>
                <w:szCs w:val="21"/>
                <w:u w:val="none"/>
              </w:rPr>
            </w:pPr>
            <w:r>
              <w:rPr>
                <w:rFonts w:hint="eastAsia"/>
                <w:b w:val="0"/>
                <w:bCs/>
                <w:color w:val="000000"/>
                <w:szCs w:val="21"/>
                <w:u w:val="none"/>
                <w:lang w:val="en-US" w:eastAsia="zh-CN"/>
              </w:rPr>
              <w:t>1000</w:t>
            </w:r>
            <w:r>
              <w:rPr>
                <w:b w:val="0"/>
                <w:bCs/>
                <w:color w:val="000000"/>
                <w:szCs w:val="21"/>
                <w:u w:val="none"/>
              </w:rPr>
              <w:t>m</w:t>
            </w:r>
            <w:r>
              <w:rPr>
                <w:b w:val="0"/>
                <w:bCs/>
                <w:color w:val="000000"/>
                <w:szCs w:val="21"/>
                <w:u w:val="none"/>
                <w:vertAlign w:val="superscript"/>
              </w:rPr>
              <w:t>3</w:t>
            </w:r>
          </w:p>
        </w:tc>
        <w:tc>
          <w:tcPr>
            <w:tcW w:w="5010" w:type="dxa"/>
            <w:vAlign w:val="center"/>
          </w:tcPr>
          <w:p>
            <w:pPr>
              <w:pStyle w:val="16"/>
              <w:jc w:val="center"/>
              <w:rPr>
                <w:b w:val="0"/>
                <w:bCs/>
                <w:u w:val="none"/>
              </w:rPr>
            </w:pPr>
            <w:r>
              <w:rPr>
                <w:b w:val="0"/>
                <w:bCs/>
                <w:color w:val="000000"/>
                <w:szCs w:val="21"/>
                <w:u w:val="none"/>
              </w:rPr>
              <w:t>采用</w:t>
            </w:r>
            <w:r>
              <w:rPr>
                <w:b w:val="0"/>
                <w:bCs/>
                <w:u w:val="none"/>
              </w:rPr>
              <w:t>HDPE膜防渗，顶部覆膜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topLinePunct/>
              <w:spacing w:line="320" w:lineRule="exact"/>
              <w:jc w:val="center"/>
              <w:rPr>
                <w:b w:val="0"/>
                <w:bCs/>
                <w:color w:val="000000"/>
                <w:szCs w:val="21"/>
                <w:u w:val="none"/>
              </w:rPr>
            </w:pPr>
            <w:r>
              <w:rPr>
                <w:b w:val="0"/>
                <w:bCs/>
                <w:color w:val="000000"/>
                <w:szCs w:val="21"/>
                <w:u w:val="none"/>
              </w:rPr>
              <w:t>3</w:t>
            </w:r>
          </w:p>
        </w:tc>
        <w:tc>
          <w:tcPr>
            <w:tcW w:w="1276" w:type="dxa"/>
            <w:vAlign w:val="center"/>
          </w:tcPr>
          <w:p>
            <w:pPr>
              <w:topLinePunct/>
              <w:spacing w:line="320" w:lineRule="exact"/>
              <w:jc w:val="center"/>
              <w:rPr>
                <w:b w:val="0"/>
                <w:bCs/>
                <w:color w:val="000000"/>
                <w:szCs w:val="21"/>
                <w:u w:val="none"/>
              </w:rPr>
            </w:pPr>
            <w:r>
              <w:rPr>
                <w:b w:val="0"/>
                <w:bCs/>
                <w:color w:val="000000"/>
                <w:szCs w:val="21"/>
                <w:u w:val="none"/>
              </w:rPr>
              <w:t>沼液储存池</w:t>
            </w:r>
          </w:p>
        </w:tc>
        <w:tc>
          <w:tcPr>
            <w:tcW w:w="1985" w:type="dxa"/>
            <w:vAlign w:val="center"/>
          </w:tcPr>
          <w:p>
            <w:pPr>
              <w:topLinePunct/>
              <w:spacing w:line="320" w:lineRule="exact"/>
              <w:jc w:val="center"/>
              <w:rPr>
                <w:b w:val="0"/>
                <w:bCs/>
                <w:color w:val="000000"/>
                <w:szCs w:val="21"/>
                <w:u w:val="none"/>
              </w:rPr>
            </w:pPr>
            <w:r>
              <w:rPr>
                <w:b w:val="0"/>
                <w:bCs/>
                <w:color w:val="000000"/>
                <w:kern w:val="0"/>
                <w:szCs w:val="21"/>
                <w:u w:val="none"/>
              </w:rPr>
              <w:t>总容积</w:t>
            </w:r>
            <w:r>
              <w:rPr>
                <w:rFonts w:hint="eastAsia"/>
                <w:b w:val="0"/>
                <w:bCs/>
                <w:color w:val="000000"/>
                <w:szCs w:val="21"/>
                <w:u w:val="none"/>
                <w:lang w:val="en-US" w:eastAsia="zh-CN"/>
              </w:rPr>
              <w:t>5</w:t>
            </w:r>
            <w:r>
              <w:rPr>
                <w:b w:val="0"/>
                <w:bCs/>
                <w:color w:val="000000"/>
                <w:szCs w:val="21"/>
                <w:u w:val="none"/>
              </w:rPr>
              <w:t>000m</w:t>
            </w:r>
            <w:r>
              <w:rPr>
                <w:b w:val="0"/>
                <w:bCs/>
                <w:color w:val="000000"/>
                <w:szCs w:val="21"/>
                <w:u w:val="none"/>
                <w:vertAlign w:val="superscript"/>
              </w:rPr>
              <w:t>3</w:t>
            </w:r>
          </w:p>
        </w:tc>
        <w:tc>
          <w:tcPr>
            <w:tcW w:w="5010" w:type="dxa"/>
            <w:vAlign w:val="center"/>
          </w:tcPr>
          <w:p>
            <w:pPr>
              <w:topLinePunct/>
              <w:spacing w:line="320" w:lineRule="exact"/>
              <w:jc w:val="center"/>
              <w:rPr>
                <w:b w:val="0"/>
                <w:bCs/>
                <w:color w:val="000000"/>
                <w:szCs w:val="21"/>
                <w:u w:val="none"/>
              </w:rPr>
            </w:pPr>
            <w:r>
              <w:rPr>
                <w:b w:val="0"/>
                <w:bCs/>
                <w:color w:val="000000"/>
                <w:szCs w:val="21"/>
                <w:u w:val="none"/>
              </w:rPr>
              <w:t>1.5MMHDPE防渗膜</w:t>
            </w:r>
          </w:p>
        </w:tc>
      </w:tr>
    </w:tbl>
    <w:p>
      <w:pPr>
        <w:numPr>
          <w:ilvl w:val="0"/>
          <w:numId w:val="3"/>
        </w:numPr>
        <w:topLinePunct/>
        <w:spacing w:line="500" w:lineRule="exact"/>
        <w:rPr>
          <w:b w:val="0"/>
          <w:bCs/>
          <w:color w:val="000000"/>
          <w:sz w:val="24"/>
          <w:u w:val="none"/>
        </w:rPr>
      </w:pPr>
      <w:r>
        <w:rPr>
          <w:b w:val="0"/>
          <w:bCs/>
          <w:color w:val="000000"/>
          <w:sz w:val="24"/>
          <w:u w:val="none"/>
        </w:rPr>
        <w:t>水处理效果的分析</w:t>
      </w:r>
    </w:p>
    <w:p>
      <w:pPr>
        <w:topLinePunct/>
        <w:spacing w:line="500" w:lineRule="exact"/>
        <w:ind w:firstLine="480" w:firstLineChars="200"/>
        <w:rPr>
          <w:b w:val="0"/>
          <w:bCs/>
          <w:color w:val="000000"/>
          <w:sz w:val="24"/>
          <w:u w:val="none"/>
        </w:rPr>
      </w:pPr>
      <w:r>
        <w:rPr>
          <w:b w:val="0"/>
          <w:bCs/>
          <w:color w:val="000000"/>
          <w:sz w:val="24"/>
          <w:u w:val="none"/>
        </w:rPr>
        <w:t>项目废水处理预测结果见表</w:t>
      </w:r>
      <w:r>
        <w:rPr>
          <w:rFonts w:hint="eastAsia"/>
          <w:b w:val="0"/>
          <w:bCs/>
          <w:color w:val="000000"/>
          <w:sz w:val="24"/>
          <w:u w:val="none"/>
          <w:lang w:val="en-US" w:eastAsia="zh-CN"/>
        </w:rPr>
        <w:t>5.2-6</w:t>
      </w:r>
      <w:r>
        <w:rPr>
          <w:b w:val="0"/>
          <w:bCs/>
          <w:color w:val="000000"/>
          <w:sz w:val="24"/>
          <w:u w:val="none"/>
        </w:rPr>
        <w:t>。</w:t>
      </w:r>
    </w:p>
    <w:p>
      <w:pPr>
        <w:topLinePunct/>
        <w:spacing w:beforeLines="50" w:afterLines="50"/>
        <w:jc w:val="center"/>
        <w:rPr>
          <w:b/>
          <w:bCs w:val="0"/>
          <w:color w:val="000000"/>
          <w:szCs w:val="21"/>
          <w:u w:val="none"/>
        </w:rPr>
      </w:pPr>
      <w:r>
        <w:rPr>
          <w:b/>
          <w:bCs w:val="0"/>
          <w:color w:val="000000"/>
          <w:szCs w:val="21"/>
          <w:u w:val="none"/>
        </w:rPr>
        <w:t>表</w:t>
      </w:r>
      <w:r>
        <w:rPr>
          <w:rFonts w:hint="eastAsia"/>
          <w:b/>
          <w:bCs w:val="0"/>
          <w:color w:val="000000"/>
          <w:szCs w:val="21"/>
          <w:u w:val="none"/>
          <w:lang w:val="en-US" w:eastAsia="zh-CN"/>
        </w:rPr>
        <w:t>5.2-6</w:t>
      </w:r>
      <w:r>
        <w:rPr>
          <w:b/>
          <w:bCs w:val="0"/>
          <w:color w:val="000000"/>
          <w:szCs w:val="21"/>
          <w:u w:val="none"/>
        </w:rPr>
        <w:t xml:space="preserve">   废水处理效率及预测结果</w:t>
      </w:r>
    </w:p>
    <w:tbl>
      <w:tblPr>
        <w:tblStyle w:val="45"/>
        <w:tblW w:w="894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526"/>
        <w:gridCol w:w="1456"/>
        <w:gridCol w:w="1491"/>
        <w:gridCol w:w="1491"/>
        <w:gridCol w:w="1491"/>
        <w:gridCol w:w="149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82" w:type="dxa"/>
            <w:gridSpan w:val="2"/>
            <w:vMerge w:val="restart"/>
            <w:vAlign w:val="center"/>
          </w:tcPr>
          <w:p>
            <w:pPr>
              <w:topLinePunct/>
              <w:spacing w:line="320" w:lineRule="exact"/>
              <w:jc w:val="center"/>
              <w:rPr>
                <w:b w:val="0"/>
                <w:bCs/>
                <w:color w:val="000000"/>
                <w:szCs w:val="21"/>
                <w:u w:val="none"/>
              </w:rPr>
            </w:pPr>
            <w:r>
              <w:rPr>
                <w:b w:val="0"/>
                <w:bCs/>
                <w:color w:val="000000"/>
                <w:szCs w:val="21"/>
                <w:u w:val="none"/>
              </w:rPr>
              <w:t>处理工段</w:t>
            </w:r>
          </w:p>
        </w:tc>
        <w:tc>
          <w:tcPr>
            <w:tcW w:w="5964" w:type="dxa"/>
            <w:gridSpan w:val="4"/>
            <w:vAlign w:val="center"/>
          </w:tcPr>
          <w:p>
            <w:pPr>
              <w:topLinePunct/>
              <w:spacing w:line="320" w:lineRule="exact"/>
              <w:jc w:val="center"/>
              <w:rPr>
                <w:b w:val="0"/>
                <w:bCs/>
                <w:color w:val="000000"/>
                <w:szCs w:val="21"/>
                <w:u w:val="none"/>
              </w:rPr>
            </w:pPr>
            <w:r>
              <w:rPr>
                <w:b w:val="0"/>
                <w:bCs/>
                <w:color w:val="000000"/>
                <w:szCs w:val="21"/>
                <w:u w:val="none"/>
              </w:rPr>
              <w:t>主要污染物浓度（mg/L）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982" w:type="dxa"/>
            <w:gridSpan w:val="2"/>
            <w:vMerge w:val="continue"/>
            <w:vAlign w:val="center"/>
          </w:tcPr>
          <w:p>
            <w:pPr>
              <w:topLinePunct/>
              <w:spacing w:line="320" w:lineRule="exact"/>
              <w:jc w:val="center"/>
              <w:rPr>
                <w:b w:val="0"/>
                <w:bCs/>
                <w:color w:val="000000"/>
                <w:szCs w:val="21"/>
                <w:u w:val="none"/>
              </w:rPr>
            </w:pPr>
          </w:p>
        </w:tc>
        <w:tc>
          <w:tcPr>
            <w:tcW w:w="1491" w:type="dxa"/>
            <w:vAlign w:val="center"/>
          </w:tcPr>
          <w:p>
            <w:pPr>
              <w:topLinePunct/>
              <w:spacing w:line="320" w:lineRule="exact"/>
              <w:jc w:val="center"/>
              <w:rPr>
                <w:b w:val="0"/>
                <w:bCs/>
                <w:color w:val="000000"/>
                <w:szCs w:val="21"/>
                <w:u w:val="none"/>
              </w:rPr>
            </w:pPr>
            <w:r>
              <w:rPr>
                <w:b w:val="0"/>
                <w:bCs/>
                <w:color w:val="000000"/>
                <w:szCs w:val="21"/>
                <w:u w:val="none"/>
              </w:rPr>
              <w:t>COD</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BOD</w:t>
            </w:r>
            <w:r>
              <w:rPr>
                <w:b w:val="0"/>
                <w:bCs/>
                <w:color w:val="000000"/>
                <w:szCs w:val="21"/>
                <w:u w:val="none"/>
                <w:vertAlign w:val="subscript"/>
              </w:rPr>
              <w:t>5</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NH</w:t>
            </w:r>
            <w:r>
              <w:rPr>
                <w:b w:val="0"/>
                <w:bCs/>
                <w:color w:val="000000"/>
                <w:szCs w:val="21"/>
                <w:u w:val="none"/>
                <w:vertAlign w:val="subscript"/>
              </w:rPr>
              <w:t>3</w:t>
            </w:r>
            <w:r>
              <w:rPr>
                <w:b w:val="0"/>
                <w:bCs/>
                <w:color w:val="000000"/>
                <w:szCs w:val="21"/>
                <w:u w:val="none"/>
              </w:rPr>
              <w:t>-N</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SS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26" w:type="dxa"/>
            <w:vMerge w:val="restart"/>
            <w:vAlign w:val="center"/>
          </w:tcPr>
          <w:p>
            <w:pPr>
              <w:topLinePunct/>
              <w:spacing w:line="320" w:lineRule="exact"/>
              <w:jc w:val="center"/>
              <w:rPr>
                <w:b w:val="0"/>
                <w:bCs/>
                <w:color w:val="000000"/>
                <w:szCs w:val="21"/>
                <w:u w:val="none"/>
              </w:rPr>
            </w:pPr>
            <w:r>
              <w:rPr>
                <w:b w:val="0"/>
                <w:bCs/>
                <w:color w:val="000000"/>
                <w:szCs w:val="21"/>
                <w:u w:val="none"/>
              </w:rPr>
              <w:t>废水处理系统</w:t>
            </w:r>
          </w:p>
        </w:tc>
        <w:tc>
          <w:tcPr>
            <w:tcW w:w="1456" w:type="dxa"/>
            <w:vAlign w:val="center"/>
          </w:tcPr>
          <w:p>
            <w:pPr>
              <w:topLinePunct/>
              <w:spacing w:line="320" w:lineRule="exact"/>
              <w:jc w:val="center"/>
              <w:rPr>
                <w:b w:val="0"/>
                <w:bCs/>
                <w:color w:val="000000"/>
                <w:szCs w:val="21"/>
                <w:u w:val="none"/>
              </w:rPr>
            </w:pPr>
            <w:r>
              <w:rPr>
                <w:b w:val="0"/>
                <w:bCs/>
                <w:color w:val="000000"/>
                <w:szCs w:val="21"/>
                <w:u w:val="none"/>
              </w:rPr>
              <w:t>进水</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15000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8000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1200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16000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26" w:type="dxa"/>
            <w:vMerge w:val="continue"/>
            <w:vAlign w:val="center"/>
          </w:tcPr>
          <w:p>
            <w:pPr>
              <w:topLinePunct/>
              <w:spacing w:line="320" w:lineRule="exact"/>
              <w:jc w:val="center"/>
              <w:rPr>
                <w:b w:val="0"/>
                <w:bCs/>
                <w:color w:val="000000"/>
                <w:szCs w:val="21"/>
                <w:u w:val="none"/>
              </w:rPr>
            </w:pPr>
          </w:p>
        </w:tc>
        <w:tc>
          <w:tcPr>
            <w:tcW w:w="1456" w:type="dxa"/>
            <w:vAlign w:val="center"/>
          </w:tcPr>
          <w:p>
            <w:pPr>
              <w:topLinePunct/>
              <w:spacing w:line="320" w:lineRule="exact"/>
              <w:jc w:val="center"/>
              <w:rPr>
                <w:b w:val="0"/>
                <w:bCs/>
                <w:color w:val="000000"/>
                <w:szCs w:val="21"/>
                <w:u w:val="none"/>
              </w:rPr>
            </w:pPr>
            <w:r>
              <w:rPr>
                <w:b w:val="0"/>
                <w:bCs/>
                <w:color w:val="000000"/>
                <w:szCs w:val="21"/>
                <w:u w:val="none"/>
              </w:rPr>
              <w:t>去除率</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80%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82.5%</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25%</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87.5%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26" w:type="dxa"/>
            <w:vMerge w:val="continue"/>
            <w:vAlign w:val="center"/>
          </w:tcPr>
          <w:p>
            <w:pPr>
              <w:topLinePunct/>
              <w:spacing w:line="320" w:lineRule="exact"/>
              <w:jc w:val="center"/>
              <w:rPr>
                <w:b w:val="0"/>
                <w:bCs/>
                <w:color w:val="000000"/>
                <w:szCs w:val="21"/>
                <w:u w:val="none"/>
              </w:rPr>
            </w:pPr>
          </w:p>
        </w:tc>
        <w:tc>
          <w:tcPr>
            <w:tcW w:w="1456" w:type="dxa"/>
            <w:vAlign w:val="center"/>
          </w:tcPr>
          <w:p>
            <w:pPr>
              <w:topLinePunct/>
              <w:spacing w:line="320" w:lineRule="exact"/>
              <w:jc w:val="center"/>
              <w:rPr>
                <w:b w:val="0"/>
                <w:bCs/>
                <w:color w:val="000000"/>
                <w:szCs w:val="21"/>
                <w:u w:val="none"/>
              </w:rPr>
            </w:pPr>
            <w:r>
              <w:rPr>
                <w:b w:val="0"/>
                <w:bCs/>
                <w:color w:val="000000"/>
                <w:szCs w:val="21"/>
                <w:u w:val="none"/>
              </w:rPr>
              <w:t>出水</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3000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1400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900</w:t>
            </w:r>
          </w:p>
        </w:tc>
        <w:tc>
          <w:tcPr>
            <w:tcW w:w="1491" w:type="dxa"/>
            <w:vAlign w:val="center"/>
          </w:tcPr>
          <w:p>
            <w:pPr>
              <w:topLinePunct/>
              <w:spacing w:line="320" w:lineRule="exact"/>
              <w:jc w:val="center"/>
              <w:rPr>
                <w:b w:val="0"/>
                <w:bCs/>
                <w:color w:val="000000"/>
                <w:szCs w:val="21"/>
                <w:u w:val="none"/>
              </w:rPr>
            </w:pPr>
            <w:r>
              <w:rPr>
                <w:b w:val="0"/>
                <w:bCs/>
                <w:color w:val="000000"/>
                <w:szCs w:val="21"/>
                <w:u w:val="none"/>
              </w:rPr>
              <w:t>2000</w:t>
            </w:r>
          </w:p>
        </w:tc>
      </w:tr>
    </w:tbl>
    <w:p>
      <w:pPr>
        <w:topLinePunct/>
        <w:spacing w:line="500" w:lineRule="exact"/>
        <w:ind w:firstLine="480" w:firstLineChars="200"/>
        <w:rPr>
          <w:b w:val="0"/>
          <w:bCs/>
          <w:color w:val="000000"/>
          <w:sz w:val="24"/>
          <w:u w:val="none"/>
        </w:rPr>
      </w:pPr>
      <w:r>
        <w:rPr>
          <w:b w:val="0"/>
          <w:bCs/>
          <w:color w:val="000000"/>
          <w:sz w:val="24"/>
          <w:u w:val="none"/>
        </w:rPr>
        <w:t>由表</w:t>
      </w:r>
      <w:r>
        <w:rPr>
          <w:rFonts w:hint="eastAsia"/>
          <w:b w:val="0"/>
          <w:bCs/>
          <w:color w:val="000000"/>
          <w:sz w:val="24"/>
          <w:u w:val="none"/>
          <w:lang w:val="en-US" w:eastAsia="zh-CN"/>
        </w:rPr>
        <w:t>5.2-6</w:t>
      </w:r>
      <w:r>
        <w:rPr>
          <w:b w:val="0"/>
          <w:bCs/>
          <w:color w:val="000000"/>
          <w:sz w:val="24"/>
          <w:u w:val="none"/>
        </w:rPr>
        <w:t>知，养殖区综合废水经污水处置工程处理后，COD、BOD</w:t>
      </w:r>
      <w:r>
        <w:rPr>
          <w:b w:val="0"/>
          <w:bCs/>
          <w:color w:val="000000"/>
          <w:sz w:val="24"/>
          <w:u w:val="none"/>
          <w:vertAlign w:val="subscript"/>
        </w:rPr>
        <w:t>5</w:t>
      </w:r>
      <w:r>
        <w:rPr>
          <w:b w:val="0"/>
          <w:bCs/>
          <w:color w:val="000000"/>
          <w:sz w:val="24"/>
          <w:u w:val="none"/>
        </w:rPr>
        <w:t>、氨氮和SS的去除率分别达到80%、82.5%、25%和87.5%以上，产生的沼液经处理后进入沼液储存池暂存。</w:t>
      </w:r>
    </w:p>
    <w:p>
      <w:pPr>
        <w:topLinePunct/>
        <w:spacing w:line="500" w:lineRule="exact"/>
        <w:ind w:left="480"/>
        <w:rPr>
          <w:b w:val="0"/>
          <w:bCs/>
          <w:color w:val="000000"/>
          <w:sz w:val="24"/>
          <w:u w:val="none"/>
        </w:rPr>
      </w:pPr>
      <w:r>
        <w:rPr>
          <w:rFonts w:hint="eastAsia"/>
          <w:b w:val="0"/>
          <w:bCs/>
          <w:color w:val="000000"/>
          <w:sz w:val="24"/>
          <w:u w:val="none"/>
        </w:rPr>
        <w:t>②</w:t>
      </w:r>
      <w:r>
        <w:rPr>
          <w:b w:val="0"/>
          <w:bCs/>
          <w:color w:val="000000"/>
          <w:sz w:val="24"/>
          <w:u w:val="none"/>
        </w:rPr>
        <w:t>水处理措施经济可行性分析</w:t>
      </w:r>
    </w:p>
    <w:p>
      <w:pPr>
        <w:topLinePunct/>
        <w:spacing w:line="500" w:lineRule="exact"/>
        <w:ind w:firstLine="480" w:firstLineChars="200"/>
        <w:rPr>
          <w:b w:val="0"/>
          <w:bCs/>
          <w:color w:val="000000"/>
          <w:szCs w:val="21"/>
          <w:u w:val="none"/>
        </w:rPr>
      </w:pPr>
      <w:r>
        <w:rPr>
          <w:b w:val="0"/>
          <w:bCs/>
          <w:color w:val="000000"/>
          <w:sz w:val="24"/>
          <w:u w:val="none"/>
        </w:rPr>
        <w:t>环保设施运行费用主要包括：电费，环保人员工资及设备折旧、维护费用。全场污水处理设施运行费用见表</w:t>
      </w:r>
      <w:r>
        <w:rPr>
          <w:rFonts w:hint="eastAsia"/>
          <w:b w:val="0"/>
          <w:bCs/>
          <w:color w:val="000000"/>
          <w:sz w:val="24"/>
          <w:u w:val="none"/>
          <w:lang w:val="en-US" w:eastAsia="zh-CN"/>
        </w:rPr>
        <w:t>5.2-7</w:t>
      </w:r>
      <w:r>
        <w:rPr>
          <w:b w:val="0"/>
          <w:bCs/>
          <w:color w:val="000000"/>
          <w:sz w:val="24"/>
          <w:u w:val="none"/>
        </w:rPr>
        <w:t>。</w:t>
      </w:r>
    </w:p>
    <w:p>
      <w:pPr>
        <w:topLinePunct/>
        <w:spacing w:beforeLines="50" w:afterLines="50"/>
        <w:jc w:val="center"/>
        <w:rPr>
          <w:b/>
          <w:bCs w:val="0"/>
          <w:color w:val="000000"/>
          <w:szCs w:val="21"/>
          <w:u w:val="none"/>
        </w:rPr>
      </w:pPr>
      <w:r>
        <w:rPr>
          <w:b/>
          <w:bCs w:val="0"/>
          <w:color w:val="000000"/>
          <w:szCs w:val="21"/>
          <w:u w:val="none"/>
        </w:rPr>
        <w:t>表</w:t>
      </w:r>
      <w:r>
        <w:rPr>
          <w:rFonts w:hint="eastAsia"/>
          <w:b/>
          <w:bCs w:val="0"/>
          <w:color w:val="000000"/>
          <w:szCs w:val="21"/>
          <w:u w:val="none"/>
          <w:lang w:val="en-US" w:eastAsia="zh-CN"/>
        </w:rPr>
        <w:t>5.2-7</w:t>
      </w:r>
      <w:r>
        <w:rPr>
          <w:b/>
          <w:bCs w:val="0"/>
          <w:color w:val="000000"/>
          <w:szCs w:val="21"/>
          <w:u w:val="none"/>
        </w:rPr>
        <w:t xml:space="preserve">  全场污水处理设施运行费用一览表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3"/>
        <w:gridCol w:w="2101"/>
        <w:gridCol w:w="2551"/>
        <w:gridCol w:w="3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val="0"/>
                <w:bCs/>
                <w:color w:val="000000"/>
                <w:szCs w:val="21"/>
                <w:u w:val="none"/>
              </w:rPr>
            </w:pPr>
            <w:r>
              <w:rPr>
                <w:b w:val="0"/>
                <w:bCs/>
                <w:color w:val="000000"/>
                <w:kern w:val="0"/>
                <w:szCs w:val="21"/>
                <w:u w:val="none"/>
              </w:rPr>
              <w:t>序号</w:t>
            </w:r>
          </w:p>
        </w:tc>
        <w:tc>
          <w:tcPr>
            <w:tcW w:w="2101" w:type="dxa"/>
            <w:vAlign w:val="center"/>
          </w:tcPr>
          <w:p>
            <w:pPr>
              <w:topLinePunct/>
              <w:spacing w:line="360" w:lineRule="exact"/>
              <w:jc w:val="center"/>
              <w:rPr>
                <w:b w:val="0"/>
                <w:bCs/>
                <w:color w:val="000000"/>
                <w:szCs w:val="21"/>
                <w:u w:val="none"/>
              </w:rPr>
            </w:pPr>
            <w:r>
              <w:rPr>
                <w:b w:val="0"/>
                <w:bCs/>
                <w:color w:val="000000"/>
                <w:kern w:val="0"/>
                <w:szCs w:val="21"/>
                <w:u w:val="none"/>
              </w:rPr>
              <w:t>费用名称</w:t>
            </w:r>
          </w:p>
        </w:tc>
        <w:tc>
          <w:tcPr>
            <w:tcW w:w="2551" w:type="dxa"/>
            <w:vAlign w:val="center"/>
          </w:tcPr>
          <w:p>
            <w:pPr>
              <w:topLinePunct/>
              <w:spacing w:line="360" w:lineRule="exact"/>
              <w:jc w:val="center"/>
              <w:rPr>
                <w:b w:val="0"/>
                <w:bCs/>
                <w:color w:val="000000"/>
                <w:kern w:val="0"/>
                <w:szCs w:val="21"/>
                <w:u w:val="none"/>
              </w:rPr>
            </w:pPr>
            <w:r>
              <w:rPr>
                <w:b w:val="0"/>
                <w:bCs/>
                <w:color w:val="000000"/>
                <w:kern w:val="0"/>
                <w:szCs w:val="21"/>
                <w:u w:val="none"/>
              </w:rPr>
              <w:t>费用金额（万元/年）</w:t>
            </w:r>
          </w:p>
        </w:tc>
        <w:tc>
          <w:tcPr>
            <w:tcW w:w="3451" w:type="dxa"/>
            <w:vAlign w:val="center"/>
          </w:tcPr>
          <w:p>
            <w:pPr>
              <w:topLinePunct/>
              <w:spacing w:line="360" w:lineRule="exact"/>
              <w:jc w:val="center"/>
              <w:rPr>
                <w:b w:val="0"/>
                <w:bCs/>
                <w:color w:val="000000"/>
                <w:szCs w:val="21"/>
                <w:u w:val="none"/>
              </w:rPr>
            </w:pPr>
            <w:r>
              <w:rPr>
                <w:b w:val="0"/>
                <w:bCs/>
                <w:color w:val="000000"/>
                <w:kern w:val="0"/>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val="0"/>
                <w:bCs/>
                <w:color w:val="000000"/>
                <w:szCs w:val="21"/>
                <w:u w:val="none"/>
              </w:rPr>
            </w:pPr>
            <w:r>
              <w:rPr>
                <w:b w:val="0"/>
                <w:bCs/>
                <w:color w:val="000000"/>
                <w:kern w:val="0"/>
                <w:szCs w:val="21"/>
                <w:u w:val="none"/>
              </w:rPr>
              <w:t>1</w:t>
            </w:r>
          </w:p>
        </w:tc>
        <w:tc>
          <w:tcPr>
            <w:tcW w:w="2101" w:type="dxa"/>
            <w:vAlign w:val="center"/>
          </w:tcPr>
          <w:p>
            <w:pPr>
              <w:topLinePunct/>
              <w:spacing w:line="360" w:lineRule="exact"/>
              <w:jc w:val="center"/>
              <w:rPr>
                <w:b w:val="0"/>
                <w:bCs/>
                <w:color w:val="000000"/>
                <w:szCs w:val="21"/>
                <w:u w:val="none"/>
              </w:rPr>
            </w:pPr>
            <w:r>
              <w:rPr>
                <w:b w:val="0"/>
                <w:bCs/>
                <w:color w:val="000000"/>
                <w:kern w:val="0"/>
                <w:szCs w:val="21"/>
                <w:u w:val="none"/>
              </w:rPr>
              <w:t>电费</w:t>
            </w:r>
          </w:p>
        </w:tc>
        <w:tc>
          <w:tcPr>
            <w:tcW w:w="2551" w:type="dxa"/>
            <w:vAlign w:val="center"/>
          </w:tcPr>
          <w:p>
            <w:pPr>
              <w:topLinePunct/>
              <w:spacing w:line="360" w:lineRule="exact"/>
              <w:jc w:val="center"/>
              <w:rPr>
                <w:rFonts w:hint="eastAsia" w:eastAsia="宋体"/>
                <w:b w:val="0"/>
                <w:bCs/>
                <w:color w:val="000000"/>
                <w:szCs w:val="21"/>
                <w:u w:val="none"/>
                <w:lang w:eastAsia="zh-CN"/>
              </w:rPr>
            </w:pPr>
            <w:r>
              <w:rPr>
                <w:rFonts w:hint="eastAsia"/>
                <w:b w:val="0"/>
                <w:bCs/>
                <w:color w:val="000000"/>
                <w:szCs w:val="21"/>
                <w:u w:val="none"/>
                <w:lang w:val="en-US" w:eastAsia="zh-CN"/>
              </w:rPr>
              <w:t>3</w:t>
            </w:r>
          </w:p>
        </w:tc>
        <w:tc>
          <w:tcPr>
            <w:tcW w:w="3451" w:type="dxa"/>
            <w:vAlign w:val="center"/>
          </w:tcPr>
          <w:p>
            <w:pPr>
              <w:topLinePunct/>
              <w:spacing w:line="360" w:lineRule="exact"/>
              <w:jc w:val="center"/>
              <w:rPr>
                <w:b w:val="0"/>
                <w:bCs/>
                <w:color w:val="000000"/>
                <w:szCs w:val="21"/>
                <w:u w:val="none"/>
              </w:rPr>
            </w:pPr>
            <w:r>
              <w:rPr>
                <w:rFonts w:hint="eastAsia"/>
                <w:b w:val="0"/>
                <w:bCs/>
                <w:color w:val="000000"/>
                <w:szCs w:val="21"/>
                <w:u w:val="none"/>
                <w:lang w:val="en-US" w:eastAsia="zh-CN"/>
              </w:rPr>
              <w:t>50</w:t>
            </w:r>
            <w:r>
              <w:rPr>
                <w:b w:val="0"/>
                <w:bCs/>
                <w:color w:val="000000"/>
                <w:szCs w:val="21"/>
                <w:u w:val="none"/>
              </w:rPr>
              <w:t>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val="0"/>
                <w:bCs/>
                <w:color w:val="000000"/>
                <w:kern w:val="0"/>
                <w:szCs w:val="21"/>
                <w:u w:val="none"/>
              </w:rPr>
            </w:pPr>
            <w:r>
              <w:rPr>
                <w:b w:val="0"/>
                <w:bCs/>
                <w:color w:val="000000"/>
                <w:kern w:val="0"/>
                <w:szCs w:val="21"/>
                <w:u w:val="none"/>
              </w:rPr>
              <w:t>2</w:t>
            </w:r>
          </w:p>
        </w:tc>
        <w:tc>
          <w:tcPr>
            <w:tcW w:w="2101" w:type="dxa"/>
            <w:vAlign w:val="center"/>
          </w:tcPr>
          <w:p>
            <w:pPr>
              <w:topLinePunct/>
              <w:spacing w:line="360" w:lineRule="exact"/>
              <w:jc w:val="center"/>
              <w:rPr>
                <w:b w:val="0"/>
                <w:bCs/>
                <w:color w:val="000000"/>
                <w:kern w:val="0"/>
                <w:szCs w:val="21"/>
                <w:u w:val="none"/>
              </w:rPr>
            </w:pPr>
            <w:r>
              <w:rPr>
                <w:b w:val="0"/>
                <w:bCs/>
                <w:color w:val="000000"/>
                <w:kern w:val="0"/>
                <w:szCs w:val="21"/>
                <w:u w:val="none"/>
              </w:rPr>
              <w:t>工人工资</w:t>
            </w:r>
          </w:p>
        </w:tc>
        <w:tc>
          <w:tcPr>
            <w:tcW w:w="2551" w:type="dxa"/>
            <w:vAlign w:val="center"/>
          </w:tcPr>
          <w:p>
            <w:pPr>
              <w:topLinePunct/>
              <w:spacing w:line="360" w:lineRule="exact"/>
              <w:jc w:val="center"/>
              <w:rPr>
                <w:b w:val="0"/>
                <w:bCs/>
                <w:color w:val="000000"/>
                <w:szCs w:val="21"/>
                <w:u w:val="none"/>
              </w:rPr>
            </w:pPr>
            <w:r>
              <w:rPr>
                <w:b w:val="0"/>
                <w:bCs/>
                <w:color w:val="000000"/>
                <w:szCs w:val="21"/>
                <w:u w:val="none"/>
              </w:rPr>
              <w:t>6</w:t>
            </w:r>
          </w:p>
        </w:tc>
        <w:tc>
          <w:tcPr>
            <w:tcW w:w="3451" w:type="dxa"/>
            <w:vAlign w:val="center"/>
          </w:tcPr>
          <w:p>
            <w:pPr>
              <w:topLinePunct/>
              <w:spacing w:line="360" w:lineRule="exact"/>
              <w:jc w:val="center"/>
              <w:rPr>
                <w:b w:val="0"/>
                <w:bCs/>
                <w:color w:val="000000"/>
                <w:kern w:val="0"/>
                <w:szCs w:val="21"/>
                <w:u w:val="none"/>
              </w:rPr>
            </w:pPr>
            <w:r>
              <w:rPr>
                <w:b w:val="0"/>
                <w:bCs/>
                <w:color w:val="000000"/>
                <w:kern w:val="0"/>
                <w:szCs w:val="21"/>
                <w:u w:val="none"/>
              </w:rPr>
              <w:t>2人，</w:t>
            </w:r>
            <w:r>
              <w:rPr>
                <w:b w:val="0"/>
                <w:bCs/>
                <w:color w:val="000000"/>
                <w:szCs w:val="21"/>
                <w:u w:val="none"/>
              </w:rPr>
              <w:t>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val="0"/>
                <w:bCs/>
                <w:color w:val="000000"/>
                <w:kern w:val="0"/>
                <w:szCs w:val="21"/>
                <w:u w:val="none"/>
              </w:rPr>
            </w:pPr>
            <w:r>
              <w:rPr>
                <w:b w:val="0"/>
                <w:bCs/>
                <w:color w:val="000000"/>
                <w:kern w:val="0"/>
                <w:szCs w:val="21"/>
                <w:u w:val="none"/>
              </w:rPr>
              <w:t>3</w:t>
            </w:r>
          </w:p>
        </w:tc>
        <w:tc>
          <w:tcPr>
            <w:tcW w:w="2101" w:type="dxa"/>
            <w:vAlign w:val="center"/>
          </w:tcPr>
          <w:p>
            <w:pPr>
              <w:topLinePunct/>
              <w:spacing w:line="360" w:lineRule="exact"/>
              <w:jc w:val="center"/>
              <w:rPr>
                <w:b w:val="0"/>
                <w:bCs/>
                <w:color w:val="000000"/>
                <w:kern w:val="0"/>
                <w:szCs w:val="21"/>
                <w:u w:val="none"/>
              </w:rPr>
            </w:pPr>
            <w:r>
              <w:rPr>
                <w:b w:val="0"/>
                <w:bCs/>
                <w:color w:val="000000"/>
                <w:kern w:val="0"/>
                <w:szCs w:val="21"/>
                <w:u w:val="none"/>
              </w:rPr>
              <w:t>设备折旧、维护</w:t>
            </w:r>
          </w:p>
        </w:tc>
        <w:tc>
          <w:tcPr>
            <w:tcW w:w="2551" w:type="dxa"/>
            <w:vAlign w:val="center"/>
          </w:tcPr>
          <w:p>
            <w:pPr>
              <w:topLinePunct/>
              <w:spacing w:line="360" w:lineRule="exact"/>
              <w:jc w:val="center"/>
              <w:rPr>
                <w:b w:val="0"/>
                <w:bCs/>
                <w:color w:val="000000"/>
                <w:szCs w:val="21"/>
                <w:u w:val="none"/>
              </w:rPr>
            </w:pPr>
            <w:r>
              <w:rPr>
                <w:b w:val="0"/>
                <w:bCs/>
                <w:color w:val="000000"/>
                <w:szCs w:val="21"/>
                <w:u w:val="none"/>
              </w:rPr>
              <w:t>1.5</w:t>
            </w:r>
          </w:p>
        </w:tc>
        <w:tc>
          <w:tcPr>
            <w:tcW w:w="3451" w:type="dxa"/>
            <w:vAlign w:val="center"/>
          </w:tcPr>
          <w:p>
            <w:pPr>
              <w:topLinePunct/>
              <w:spacing w:line="360" w:lineRule="exact"/>
              <w:jc w:val="center"/>
              <w:rPr>
                <w:b w:val="0"/>
                <w:bCs/>
                <w:color w:val="000000"/>
                <w:szCs w:val="21"/>
                <w:u w:val="none"/>
              </w:rPr>
            </w:pPr>
            <w:r>
              <w:rPr>
                <w:b w:val="0"/>
                <w:bCs/>
                <w:color w:val="000000"/>
                <w:szCs w:val="21"/>
                <w:u w:val="none"/>
              </w:rPr>
              <w:t>总投资30万元，按20年折旧期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val="0"/>
                <w:bCs/>
                <w:color w:val="000000"/>
                <w:szCs w:val="21"/>
                <w:u w:val="none"/>
              </w:rPr>
            </w:pPr>
            <w:r>
              <w:rPr>
                <w:b w:val="0"/>
                <w:bCs/>
                <w:color w:val="000000"/>
                <w:szCs w:val="21"/>
                <w:u w:val="none"/>
              </w:rPr>
              <w:t>4</w:t>
            </w:r>
          </w:p>
        </w:tc>
        <w:tc>
          <w:tcPr>
            <w:tcW w:w="2101" w:type="dxa"/>
            <w:vAlign w:val="center"/>
          </w:tcPr>
          <w:p>
            <w:pPr>
              <w:topLinePunct/>
              <w:spacing w:line="360" w:lineRule="exact"/>
              <w:jc w:val="center"/>
              <w:rPr>
                <w:b w:val="0"/>
                <w:bCs/>
                <w:color w:val="000000"/>
                <w:szCs w:val="21"/>
                <w:u w:val="none"/>
              </w:rPr>
            </w:pPr>
            <w:r>
              <w:rPr>
                <w:b w:val="0"/>
                <w:bCs/>
                <w:color w:val="000000"/>
                <w:kern w:val="0"/>
                <w:szCs w:val="21"/>
                <w:u w:val="none"/>
              </w:rPr>
              <w:t>合计</w:t>
            </w:r>
          </w:p>
        </w:tc>
        <w:tc>
          <w:tcPr>
            <w:tcW w:w="2551" w:type="dxa"/>
            <w:vAlign w:val="center"/>
          </w:tcPr>
          <w:p>
            <w:pPr>
              <w:topLinePunct/>
              <w:spacing w:line="360" w:lineRule="exact"/>
              <w:jc w:val="center"/>
              <w:rPr>
                <w:b w:val="0"/>
                <w:bCs/>
                <w:color w:val="000000"/>
                <w:szCs w:val="21"/>
                <w:u w:val="none"/>
              </w:rPr>
            </w:pPr>
            <w:r>
              <w:rPr>
                <w:b w:val="0"/>
                <w:bCs/>
                <w:color w:val="000000"/>
                <w:szCs w:val="21"/>
                <w:u w:val="none"/>
              </w:rPr>
              <w:t>1</w:t>
            </w:r>
            <w:r>
              <w:rPr>
                <w:rFonts w:hint="eastAsia"/>
                <w:b w:val="0"/>
                <w:bCs/>
                <w:color w:val="000000"/>
                <w:szCs w:val="21"/>
                <w:u w:val="none"/>
                <w:lang w:val="en-US" w:eastAsia="zh-CN"/>
              </w:rPr>
              <w:t>0</w:t>
            </w:r>
            <w:r>
              <w:rPr>
                <w:b w:val="0"/>
                <w:bCs/>
                <w:color w:val="000000"/>
                <w:szCs w:val="21"/>
                <w:u w:val="none"/>
              </w:rPr>
              <w:t>.5</w:t>
            </w:r>
          </w:p>
        </w:tc>
        <w:tc>
          <w:tcPr>
            <w:tcW w:w="3451" w:type="dxa"/>
            <w:vAlign w:val="center"/>
          </w:tcPr>
          <w:p>
            <w:pPr>
              <w:topLinePunct/>
              <w:spacing w:line="360" w:lineRule="exact"/>
              <w:jc w:val="center"/>
              <w:rPr>
                <w:b w:val="0"/>
                <w:bCs/>
                <w:color w:val="000000"/>
                <w:szCs w:val="21"/>
                <w:u w:val="none"/>
              </w:rPr>
            </w:pPr>
            <w:r>
              <w:rPr>
                <w:b w:val="0"/>
                <w:bCs/>
                <w:color w:val="000000"/>
                <w:szCs w:val="21"/>
                <w:u w:val="none"/>
              </w:rPr>
              <w:t>/</w:t>
            </w:r>
          </w:p>
        </w:tc>
      </w:tr>
    </w:tbl>
    <w:p>
      <w:pPr>
        <w:tabs>
          <w:tab w:val="left" w:pos="5350"/>
        </w:tabs>
        <w:topLinePunct/>
        <w:adjustRightInd w:val="0"/>
        <w:spacing w:line="520" w:lineRule="exact"/>
        <w:rPr>
          <w:b w:val="0"/>
          <w:bCs/>
          <w:color w:val="000000"/>
          <w:sz w:val="24"/>
          <w:u w:val="none"/>
        </w:rPr>
      </w:pPr>
      <w:r>
        <w:rPr>
          <w:rFonts w:hint="eastAsia"/>
          <w:b w:val="0"/>
          <w:bCs/>
          <w:color w:val="000000"/>
          <w:sz w:val="24"/>
          <w:u w:val="none"/>
          <w:lang w:val="en-US" w:eastAsia="zh-CN"/>
        </w:rPr>
        <w:t>5</w:t>
      </w:r>
      <w:r>
        <w:rPr>
          <w:b w:val="0"/>
          <w:bCs/>
          <w:color w:val="000000"/>
          <w:sz w:val="24"/>
          <w:u w:val="none"/>
        </w:rPr>
        <w:t>.2.1.5沼气综合利用可行性分析</w:t>
      </w:r>
    </w:p>
    <w:p>
      <w:pPr>
        <w:spacing w:line="360" w:lineRule="auto"/>
        <w:ind w:firstLine="360" w:firstLineChars="150"/>
        <w:jc w:val="left"/>
        <w:rPr>
          <w:b w:val="0"/>
          <w:bCs/>
          <w:kern w:val="0"/>
          <w:sz w:val="24"/>
          <w:u w:val="none"/>
        </w:rPr>
      </w:pPr>
      <w:r>
        <w:rPr>
          <w:b w:val="0"/>
          <w:bCs/>
          <w:color w:val="000000"/>
          <w:sz w:val="24"/>
          <w:u w:val="none"/>
        </w:rPr>
        <w:t>根据《规模化畜禽养殖场沼气工程设计规范》中的数据，沼气产生量按照去除1kgCOD产生沼气0.25m</w:t>
      </w:r>
      <w:r>
        <w:rPr>
          <w:b w:val="0"/>
          <w:bCs/>
          <w:color w:val="000000"/>
          <w:sz w:val="24"/>
          <w:u w:val="none"/>
          <w:vertAlign w:val="superscript"/>
        </w:rPr>
        <w:t>3</w:t>
      </w:r>
      <w:r>
        <w:rPr>
          <w:b w:val="0"/>
          <w:bCs/>
          <w:color w:val="000000"/>
          <w:sz w:val="24"/>
          <w:u w:val="none"/>
        </w:rPr>
        <w:t>进行计算。沼气产生量</w:t>
      </w:r>
      <w:r>
        <w:rPr>
          <w:rFonts w:hint="eastAsia"/>
          <w:sz w:val="24"/>
          <w:lang w:val="en-US" w:eastAsia="zh-CN"/>
        </w:rPr>
        <w:t>24500</w:t>
      </w:r>
      <w:r>
        <w:rPr>
          <w:b w:val="0"/>
          <w:bCs/>
          <w:color w:val="000000"/>
          <w:sz w:val="24"/>
          <w:u w:val="none"/>
        </w:rPr>
        <w:t>m</w:t>
      </w:r>
      <w:r>
        <w:rPr>
          <w:b w:val="0"/>
          <w:bCs/>
          <w:color w:val="000000"/>
          <w:sz w:val="24"/>
          <w:u w:val="none"/>
          <w:vertAlign w:val="superscript"/>
        </w:rPr>
        <w:t>3</w:t>
      </w:r>
      <w:r>
        <w:rPr>
          <w:b w:val="0"/>
          <w:bCs/>
          <w:color w:val="000000"/>
          <w:sz w:val="24"/>
          <w:u w:val="none"/>
        </w:rPr>
        <w:t>/a</w:t>
      </w:r>
      <w:r>
        <w:rPr>
          <w:rFonts w:hint="eastAsia"/>
          <w:b w:val="0"/>
          <w:bCs/>
          <w:color w:val="000000"/>
          <w:sz w:val="24"/>
          <w:u w:val="none"/>
          <w:lang w:eastAsia="zh-CN"/>
        </w:rPr>
        <w:t>，</w:t>
      </w:r>
      <w:r>
        <w:rPr>
          <w:sz w:val="24"/>
        </w:rPr>
        <w:t>优先用于食堂灶台，</w:t>
      </w:r>
      <w:r>
        <w:rPr>
          <w:rFonts w:hint="eastAsia"/>
          <w:sz w:val="24"/>
        </w:rPr>
        <w:t>剩余部分</w:t>
      </w:r>
      <w:r>
        <w:rPr>
          <w:rFonts w:hint="eastAsia"/>
          <w:b w:val="0"/>
          <w:bCs/>
          <w:color w:val="000000"/>
          <w:sz w:val="24"/>
          <w:u w:val="none"/>
          <w:lang w:val="en-US" w:eastAsia="zh-CN"/>
        </w:rPr>
        <w:t>火炬燃烧器燃烧排放</w:t>
      </w:r>
      <w:r>
        <w:rPr>
          <w:b w:val="0"/>
          <w:bCs/>
          <w:sz w:val="24"/>
          <w:u w:val="none"/>
        </w:rPr>
        <w:t>。</w:t>
      </w:r>
    </w:p>
    <w:p>
      <w:pPr>
        <w:topLinePunct/>
        <w:adjustRightInd w:val="0"/>
        <w:snapToGrid w:val="0"/>
        <w:spacing w:line="520" w:lineRule="exact"/>
        <w:rPr>
          <w:b w:val="0"/>
          <w:bCs/>
          <w:color w:val="000000"/>
          <w:sz w:val="24"/>
          <w:u w:val="none"/>
        </w:rPr>
      </w:pPr>
      <w:r>
        <w:rPr>
          <w:rFonts w:hint="eastAsia"/>
          <w:b w:val="0"/>
          <w:bCs/>
          <w:color w:val="000000"/>
          <w:sz w:val="24"/>
          <w:u w:val="none"/>
          <w:lang w:val="en-US" w:eastAsia="zh-CN"/>
        </w:rPr>
        <w:t>5</w:t>
      </w:r>
      <w:r>
        <w:rPr>
          <w:b w:val="0"/>
          <w:bCs/>
          <w:color w:val="000000"/>
          <w:sz w:val="24"/>
          <w:u w:val="none"/>
        </w:rPr>
        <w:t>.2.1.6沼液综合利用措施可行性分析</w:t>
      </w:r>
    </w:p>
    <w:p>
      <w:pPr>
        <w:topLinePunct/>
        <w:spacing w:line="520" w:lineRule="exact"/>
        <w:ind w:firstLine="480" w:firstLineChars="200"/>
        <w:rPr>
          <w:b w:val="0"/>
          <w:bCs/>
          <w:color w:val="000000"/>
          <w:sz w:val="24"/>
          <w:u w:val="none"/>
        </w:rPr>
      </w:pPr>
      <w:r>
        <w:rPr>
          <w:rFonts w:hint="eastAsia"/>
          <w:b w:val="0"/>
          <w:bCs/>
          <w:color w:val="000000"/>
          <w:sz w:val="24"/>
          <w:u w:val="none"/>
        </w:rPr>
        <w:t>根据《国务院办公厅关于加快推进畜禽养殖废弃物资源化利用的意见》（国办发〔2017〕48号）、《畜禽粪污土地承载力测算技术指南》和项目工程分析中粪肥产生参数，</w:t>
      </w:r>
      <w:r>
        <w:rPr>
          <w:b w:val="0"/>
          <w:bCs/>
          <w:color w:val="000000"/>
          <w:sz w:val="24"/>
          <w:u w:val="none"/>
        </w:rPr>
        <w:t>本次评价从沼液营养成分、土地消纳能力以及现实操作性等方面来分析沼液农肥利用系统的可行性。</w:t>
      </w:r>
    </w:p>
    <w:p>
      <w:pPr>
        <w:topLinePunct/>
        <w:spacing w:line="520" w:lineRule="exact"/>
        <w:ind w:firstLine="480" w:firstLineChars="200"/>
        <w:rPr>
          <w:b w:val="0"/>
          <w:bCs/>
          <w:color w:val="000000"/>
          <w:sz w:val="24"/>
          <w:u w:val="none"/>
        </w:rPr>
      </w:pPr>
      <w:r>
        <w:rPr>
          <w:b w:val="0"/>
          <w:bCs/>
          <w:color w:val="000000"/>
          <w:sz w:val="24"/>
          <w:u w:val="none"/>
        </w:rPr>
        <w:t>（1）沼液营养成分</w:t>
      </w:r>
    </w:p>
    <w:p>
      <w:pPr>
        <w:topLinePunct/>
        <w:spacing w:line="520" w:lineRule="exact"/>
        <w:ind w:firstLine="480" w:firstLineChars="200"/>
        <w:rPr>
          <w:b w:val="0"/>
          <w:bCs/>
          <w:color w:val="000000"/>
          <w:sz w:val="24"/>
          <w:u w:val="none"/>
        </w:rPr>
      </w:pPr>
      <w:r>
        <w:rPr>
          <w:b w:val="0"/>
          <w:bCs/>
          <w:color w:val="000000"/>
          <w:sz w:val="24"/>
          <w:u w:val="none"/>
        </w:rPr>
        <w:t>根据国内外大量实验研究及实际运用表明，沼液尤其是养殖废水处理后的沼液，不仅含有作物所需求丰富的N、P、K等大量元素外，还含有硼、铜、铁、锰、钙、锌等中微量元素，以及大量的有机质、多种氨基酸和维生素等。施用沼液，不仅能显著改良土壤、增加作物产量、确保</w:t>
      </w:r>
      <w:r>
        <w:rPr>
          <w:rFonts w:hint="eastAsia"/>
          <w:b w:val="0"/>
          <w:bCs/>
          <w:color w:val="000000"/>
          <w:sz w:val="24"/>
          <w:u w:val="none"/>
          <w:lang w:val="en-US" w:eastAsia="zh-CN"/>
        </w:rPr>
        <w:t>治污</w:t>
      </w:r>
      <w:r>
        <w:rPr>
          <w:b w:val="0"/>
          <w:bCs/>
          <w:color w:val="000000"/>
          <w:sz w:val="24"/>
          <w:u w:val="none"/>
        </w:rPr>
        <w:t>生长所需要的良好微生态系统，还有利于增强其抗冻、抗旱、抗虫能力。因此沼液是一种非常理想的肥料。</w:t>
      </w:r>
    </w:p>
    <w:p>
      <w:pPr>
        <w:topLinePunct/>
        <w:spacing w:line="520" w:lineRule="exact"/>
        <w:ind w:firstLine="480"/>
        <w:rPr>
          <w:b w:val="0"/>
          <w:bCs/>
          <w:color w:val="000000"/>
          <w:sz w:val="24"/>
          <w:u w:val="none"/>
        </w:rPr>
      </w:pPr>
      <w:r>
        <w:rPr>
          <w:b w:val="0"/>
          <w:bCs/>
          <w:color w:val="000000"/>
          <w:sz w:val="24"/>
          <w:u w:val="none"/>
        </w:rPr>
        <w:t>（2）土地沼液消纳能力</w:t>
      </w:r>
    </w:p>
    <w:p>
      <w:pPr>
        <w:topLinePunct/>
        <w:spacing w:line="520" w:lineRule="exact"/>
        <w:ind w:firstLine="480"/>
        <w:rPr>
          <w:b w:val="0"/>
          <w:bCs/>
          <w:color w:val="000000"/>
          <w:sz w:val="24"/>
          <w:u w:val="none"/>
        </w:rPr>
      </w:pPr>
      <w:r>
        <w:rPr>
          <w:rFonts w:hint="eastAsia" w:ascii="宋体" w:hAnsi="宋体" w:cs="宋体"/>
          <w:b w:val="0"/>
          <w:bCs/>
          <w:color w:val="000000"/>
          <w:sz w:val="24"/>
          <w:u w:val="none"/>
        </w:rPr>
        <w:t>①</w:t>
      </w:r>
      <w:r>
        <w:rPr>
          <w:rFonts w:hint="eastAsia"/>
          <w:b w:val="0"/>
          <w:bCs/>
          <w:color w:val="000000"/>
          <w:sz w:val="24"/>
          <w:u w:val="none"/>
        </w:rPr>
        <w:t>消纳区域当前土壤养分水平</w:t>
      </w:r>
    </w:p>
    <w:p>
      <w:pPr>
        <w:widowControl/>
        <w:topLinePunct/>
        <w:spacing w:line="520" w:lineRule="exact"/>
        <w:ind w:firstLine="480" w:firstLineChars="200"/>
        <w:jc w:val="left"/>
        <w:rPr>
          <w:b w:val="0"/>
          <w:bCs/>
          <w:color w:val="000000"/>
          <w:sz w:val="24"/>
          <w:u w:val="none"/>
        </w:rPr>
      </w:pPr>
      <w:r>
        <w:rPr>
          <w:b w:val="0"/>
          <w:bCs/>
          <w:color w:val="000000"/>
          <w:sz w:val="24"/>
          <w:u w:val="none"/>
        </w:rPr>
        <w:t>多年来，</w:t>
      </w:r>
      <w:r>
        <w:rPr>
          <w:rFonts w:hint="eastAsia"/>
          <w:b w:val="0"/>
          <w:bCs/>
          <w:color w:val="000000"/>
          <w:sz w:val="24"/>
          <w:u w:val="none"/>
          <w:lang w:eastAsia="zh-CN"/>
        </w:rPr>
        <w:t>正阳县</w:t>
      </w:r>
      <w:r>
        <w:rPr>
          <w:b w:val="0"/>
          <w:bCs/>
          <w:color w:val="000000"/>
          <w:sz w:val="24"/>
          <w:u w:val="none"/>
        </w:rPr>
        <w:t>耕作种植为一年两熟，夏季收获以小麦为主、秋季收获以玉米为主，因此农田消纳主要以小麦-玉米为主。根据近几年测土、试验研究结果，</w:t>
      </w:r>
      <w:r>
        <w:rPr>
          <w:rFonts w:hint="eastAsia"/>
          <w:b w:val="0"/>
          <w:bCs/>
          <w:color w:val="000000"/>
          <w:sz w:val="24"/>
          <w:u w:val="none"/>
          <w:lang w:eastAsia="zh-CN"/>
        </w:rPr>
        <w:t>正阳县</w:t>
      </w:r>
      <w:r>
        <w:rPr>
          <w:b w:val="0"/>
          <w:bCs/>
          <w:color w:val="000000"/>
          <w:sz w:val="24"/>
          <w:u w:val="none"/>
        </w:rPr>
        <w:t>土壤碱解氮含量为57.6mg/kg，土壤贮氮量较低，应注重氮素的补给。</w:t>
      </w:r>
      <w:r>
        <w:rPr>
          <w:rFonts w:hint="eastAsia"/>
          <w:b w:val="0"/>
          <w:bCs/>
          <w:color w:val="000000"/>
          <w:sz w:val="24"/>
          <w:u w:val="none"/>
        </w:rPr>
        <w:t>土壤氮养分水平为</w:t>
      </w:r>
      <w:r>
        <w:rPr>
          <w:rFonts w:hint="eastAsia" w:ascii="宋体" w:hAnsi="宋体"/>
          <w:b w:val="0"/>
          <w:bCs/>
          <w:color w:val="000000"/>
          <w:sz w:val="24"/>
          <w:u w:val="none"/>
        </w:rPr>
        <w:t>Ⅲ</w:t>
      </w:r>
      <w:r>
        <w:rPr>
          <w:rFonts w:hint="eastAsia"/>
          <w:b w:val="0"/>
          <w:bCs/>
          <w:color w:val="000000"/>
          <w:sz w:val="24"/>
          <w:u w:val="none"/>
        </w:rPr>
        <w:t>类水平。</w:t>
      </w:r>
    </w:p>
    <w:p>
      <w:pPr>
        <w:pStyle w:val="14"/>
        <w:ind w:firstLine="482"/>
        <w:rPr>
          <w:b w:val="0"/>
          <w:bCs/>
          <w:u w:val="none"/>
        </w:rPr>
      </w:pPr>
      <w:r>
        <w:rPr>
          <w:rFonts w:hint="eastAsia" w:ascii="宋体" w:hAnsi="宋体" w:cs="宋体"/>
          <w:b w:val="0"/>
          <w:bCs/>
          <w:color w:val="000000"/>
          <w:sz w:val="24"/>
          <w:u w:val="none"/>
        </w:rPr>
        <w:t>②</w:t>
      </w:r>
      <w:r>
        <w:rPr>
          <w:rFonts w:hint="eastAsia"/>
          <w:b w:val="0"/>
          <w:bCs/>
          <w:color w:val="000000"/>
          <w:sz w:val="24"/>
          <w:u w:val="none"/>
        </w:rPr>
        <w:t>本项目沼液氮素含量</w:t>
      </w:r>
    </w:p>
    <w:p>
      <w:pPr>
        <w:topLinePunct/>
        <w:spacing w:line="520" w:lineRule="exact"/>
        <w:ind w:firstLine="480" w:firstLineChars="200"/>
        <w:rPr>
          <w:b w:val="0"/>
          <w:bCs/>
          <w:color w:val="000000"/>
          <w:sz w:val="24"/>
          <w:u w:val="none"/>
        </w:rPr>
      </w:pPr>
      <w:r>
        <w:rPr>
          <w:b w:val="0"/>
          <w:bCs/>
          <w:color w:val="000000"/>
          <w:sz w:val="24"/>
          <w:u w:val="none"/>
        </w:rPr>
        <w:t>沼液中含量最多也是最主要的可被作物吸收利用的为N素。根据工程设计，全场沼液中的氨氮含量为900mg/L，查找类比资料可知，养殖废水中氨氮浓度为总氮的80%左右，则总氮浓度为1125mg/L。</w:t>
      </w:r>
    </w:p>
    <w:p>
      <w:pPr>
        <w:topLinePunct/>
        <w:spacing w:line="520" w:lineRule="exact"/>
        <w:ind w:firstLine="480"/>
        <w:rPr>
          <w:b w:val="0"/>
          <w:bCs/>
          <w:color w:val="000000"/>
          <w:sz w:val="24"/>
          <w:u w:val="none"/>
        </w:rPr>
      </w:pPr>
      <w:r>
        <w:rPr>
          <w:rFonts w:hint="eastAsia" w:ascii="宋体" w:hAnsi="宋体" w:cs="宋体"/>
          <w:b w:val="0"/>
          <w:bCs/>
          <w:color w:val="000000"/>
          <w:sz w:val="24"/>
          <w:u w:val="none"/>
        </w:rPr>
        <w:t>③</w:t>
      </w:r>
      <w:r>
        <w:rPr>
          <w:b w:val="0"/>
          <w:bCs/>
          <w:color w:val="000000"/>
          <w:sz w:val="24"/>
          <w:u w:val="none"/>
        </w:rPr>
        <w:t>消纳能力计算</w:t>
      </w:r>
    </w:p>
    <w:p>
      <w:pPr>
        <w:topLinePunct/>
        <w:spacing w:line="520" w:lineRule="exact"/>
        <w:ind w:firstLine="480"/>
        <w:rPr>
          <w:b w:val="0"/>
          <w:bCs/>
          <w:color w:val="000000"/>
          <w:sz w:val="24"/>
          <w:u w:val="none"/>
        </w:rPr>
      </w:pPr>
      <w:r>
        <w:rPr>
          <w:rFonts w:hint="eastAsia"/>
          <w:b w:val="0"/>
          <w:bCs/>
          <w:color w:val="000000"/>
          <w:sz w:val="24"/>
          <w:u w:val="none"/>
        </w:rPr>
        <w:t>根据《畜禽粪污土地承载力测算技术指南》要求，本项目治污方式为“固体粪便堆肥外供+肥水就地利用”。</w:t>
      </w:r>
    </w:p>
    <w:p>
      <w:pPr>
        <w:widowControl/>
        <w:shd w:val="clear" w:color="auto" w:fill="FFFFFF"/>
        <w:spacing w:line="520" w:lineRule="exact"/>
        <w:ind w:firstLine="480" w:firstLineChars="200"/>
        <w:rPr>
          <w:b w:val="0"/>
          <w:bCs/>
          <w:kern w:val="0"/>
          <w:sz w:val="24"/>
          <w:u w:val="none"/>
        </w:rPr>
      </w:pPr>
      <w:r>
        <w:rPr>
          <w:b w:val="0"/>
          <w:bCs/>
          <w:kern w:val="0"/>
          <w:sz w:val="24"/>
          <w:u w:val="none"/>
        </w:rPr>
        <w:t>（一）粪肥养分供给量</w:t>
      </w:r>
    </w:p>
    <w:p>
      <w:pPr>
        <w:widowControl/>
        <w:shd w:val="clear" w:color="auto" w:fill="FFFFFF"/>
        <w:spacing w:line="600" w:lineRule="atLeast"/>
        <w:jc w:val="left"/>
        <w:rPr>
          <w:b w:val="0"/>
          <w:bCs/>
          <w:kern w:val="0"/>
          <w:sz w:val="24"/>
          <w:u w:val="none"/>
        </w:rPr>
      </w:pPr>
      <w:r>
        <w:rPr>
          <w:rFonts w:hint="eastAsia"/>
          <w:b w:val="0"/>
          <w:bCs/>
          <w:kern w:val="0"/>
          <w:sz w:val="24"/>
          <w:u w:val="none"/>
        </w:rPr>
        <w:drawing>
          <wp:anchor distT="0" distB="0" distL="114300" distR="114300" simplePos="0" relativeHeight="251764736" behindDoc="0" locked="0" layoutInCell="1" allowOverlap="1">
            <wp:simplePos x="0" y="0"/>
            <wp:positionH relativeFrom="column">
              <wp:posOffset>1410970</wp:posOffset>
            </wp:positionH>
            <wp:positionV relativeFrom="paragraph">
              <wp:posOffset>90170</wp:posOffset>
            </wp:positionV>
            <wp:extent cx="2893695" cy="400050"/>
            <wp:effectExtent l="0" t="0" r="1905" b="0"/>
            <wp:wrapNone/>
            <wp:docPr id="2687" name="图片 1" descr="http://www.moa.gov.cn/gk/tzgg_1/tfw/201801/W020180122651078150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 name="图片 1" descr="http://www.moa.gov.cn/gk/tzgg_1/tfw/201801/W020180122651078150186.gif"/>
                    <pic:cNvPicPr>
                      <a:picLocks noChangeAspect="1" noChangeArrowheads="1"/>
                    </pic:cNvPicPr>
                  </pic:nvPicPr>
                  <pic:blipFill>
                    <a:blip r:embed="rId28" cstate="print"/>
                    <a:srcRect/>
                    <a:stretch>
                      <a:fillRect/>
                    </a:stretch>
                  </pic:blipFill>
                  <pic:spPr>
                    <a:xfrm>
                      <a:off x="0" y="0"/>
                      <a:ext cx="2893695" cy="400050"/>
                    </a:xfrm>
                    <a:prstGeom prst="rect">
                      <a:avLst/>
                    </a:prstGeom>
                    <a:noFill/>
                    <a:ln w="9525">
                      <a:noFill/>
                      <a:miter lim="800000"/>
                      <a:headEnd/>
                      <a:tailEnd/>
                    </a:ln>
                  </pic:spPr>
                </pic:pic>
              </a:graphicData>
            </a:graphic>
          </wp:anchor>
        </w:drawing>
      </w:r>
      <w:r>
        <w:rPr>
          <w:rFonts w:hint="eastAsia"/>
          <w:b w:val="0"/>
          <w:bCs/>
          <w:kern w:val="0"/>
          <w:sz w:val="24"/>
          <w:u w:val="none"/>
        </w:rPr>
        <w:t xml:space="preserve">      </w:t>
      </w:r>
      <w:r>
        <w:rPr>
          <w:b w:val="0"/>
          <w:bCs/>
          <w:kern w:val="0"/>
          <w:sz w:val="24"/>
          <w:u w:val="none"/>
        </w:rPr>
        <w:t>粪肥养分供给量=</w:t>
      </w:r>
    </w:p>
    <w:p>
      <w:pPr>
        <w:topLinePunct/>
        <w:spacing w:line="520" w:lineRule="exact"/>
        <w:ind w:firstLine="480"/>
        <w:rPr>
          <w:b w:val="0"/>
          <w:bCs/>
          <w:color w:val="000000"/>
          <w:sz w:val="24"/>
          <w:u w:val="none"/>
        </w:rPr>
      </w:pPr>
      <w:r>
        <w:rPr>
          <w:rFonts w:hint="eastAsia"/>
          <w:b w:val="0"/>
          <w:bCs/>
          <w:color w:val="000000"/>
          <w:sz w:val="24"/>
          <w:u w:val="none"/>
        </w:rPr>
        <w:t>由第二章工程分析可知项目废水总量</w:t>
      </w:r>
      <w:r>
        <w:rPr>
          <w:rFonts w:hint="eastAsia"/>
          <w:b w:val="0"/>
          <w:bCs/>
          <w:color w:val="000000"/>
          <w:sz w:val="24"/>
          <w:u w:val="none"/>
          <w:lang w:val="en-US" w:eastAsia="zh-CN"/>
        </w:rPr>
        <w:t>9024.49</w:t>
      </w:r>
      <w:r>
        <w:rPr>
          <w:b w:val="0"/>
          <w:bCs/>
          <w:sz w:val="24"/>
          <w:u w:val="none"/>
        </w:rPr>
        <w:t>m</w:t>
      </w:r>
      <w:r>
        <w:rPr>
          <w:b w:val="0"/>
          <w:bCs/>
          <w:sz w:val="24"/>
          <w:u w:val="none"/>
          <w:vertAlign w:val="superscript"/>
        </w:rPr>
        <w:t>3</w:t>
      </w:r>
      <w:r>
        <w:rPr>
          <w:b w:val="0"/>
          <w:bCs/>
          <w:sz w:val="24"/>
          <w:u w:val="none"/>
        </w:rPr>
        <w:t>/a</w:t>
      </w:r>
      <w:r>
        <w:rPr>
          <w:rFonts w:hint="eastAsia"/>
          <w:b w:val="0"/>
          <w:bCs/>
          <w:sz w:val="24"/>
          <w:u w:val="none"/>
        </w:rPr>
        <w:t>，氨氮最终产生浓度为900</w:t>
      </w:r>
      <w:r>
        <w:rPr>
          <w:b w:val="0"/>
          <w:bCs/>
          <w:color w:val="000000"/>
          <w:sz w:val="24"/>
          <w:u w:val="none"/>
        </w:rPr>
        <w:t xml:space="preserve"> mg/L</w:t>
      </w:r>
      <w:r>
        <w:rPr>
          <w:rFonts w:hint="eastAsia"/>
          <w:b w:val="0"/>
          <w:bCs/>
          <w:color w:val="000000"/>
          <w:sz w:val="24"/>
          <w:u w:val="none"/>
        </w:rPr>
        <w:t>，折合</w:t>
      </w:r>
      <w:r>
        <w:rPr>
          <w:b w:val="0"/>
          <w:bCs/>
          <w:color w:val="000000"/>
          <w:sz w:val="24"/>
          <w:u w:val="none"/>
        </w:rPr>
        <w:t>总氮浓度为1125mg/L</w:t>
      </w:r>
      <w:r>
        <w:rPr>
          <w:rFonts w:hint="eastAsia"/>
          <w:b w:val="0"/>
          <w:bCs/>
          <w:color w:val="000000"/>
          <w:sz w:val="24"/>
          <w:u w:val="none"/>
        </w:rPr>
        <w:t>，则项目氮素总量为</w:t>
      </w:r>
      <w:r>
        <w:rPr>
          <w:rFonts w:hint="eastAsia"/>
          <w:b w:val="0"/>
          <w:bCs/>
          <w:color w:val="000000"/>
          <w:sz w:val="24"/>
          <w:u w:val="none"/>
          <w:lang w:val="en-US" w:eastAsia="zh-CN"/>
        </w:rPr>
        <w:t>10.15</w:t>
      </w:r>
      <w:r>
        <w:rPr>
          <w:rFonts w:hint="eastAsia"/>
          <w:b w:val="0"/>
          <w:bCs/>
          <w:color w:val="000000"/>
          <w:sz w:val="24"/>
          <w:u w:val="none"/>
        </w:rPr>
        <w:t>t/a。</w:t>
      </w:r>
    </w:p>
    <w:p>
      <w:pPr>
        <w:tabs>
          <w:tab w:val="left" w:pos="615"/>
        </w:tabs>
        <w:spacing w:line="520" w:lineRule="exact"/>
        <w:ind w:firstLine="480" w:firstLineChars="200"/>
        <w:rPr>
          <w:b w:val="0"/>
          <w:bCs/>
          <w:sz w:val="24"/>
          <w:u w:val="none"/>
        </w:rPr>
      </w:pPr>
      <w:r>
        <w:rPr>
          <w:b w:val="0"/>
          <w:bCs/>
          <w:sz w:val="24"/>
          <w:u w:val="none"/>
        </w:rPr>
        <w:t>（二）单位土地粪肥养分需求量</w:t>
      </w:r>
    </w:p>
    <w:p>
      <w:pPr>
        <w:pStyle w:val="14"/>
        <w:ind w:firstLine="402"/>
        <w:rPr>
          <w:b w:val="0"/>
          <w:bCs/>
          <w:u w:val="none"/>
        </w:rPr>
      </w:pPr>
      <w:r>
        <w:rPr>
          <w:b w:val="0"/>
          <w:bCs/>
          <w:u w:val="none"/>
        </w:rPr>
        <w:drawing>
          <wp:inline distT="0" distB="0" distL="0" distR="0">
            <wp:extent cx="5534025" cy="419100"/>
            <wp:effectExtent l="19050" t="0" r="9525" b="0"/>
            <wp:docPr id="25" name="图片 9" descr="C:\Users\wl\AppData\Local\Temp\1571040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C:\Users\wl\AppData\Local\Temp\1571040070(1).png"/>
                    <pic:cNvPicPr>
                      <a:picLocks noChangeAspect="1" noChangeArrowheads="1"/>
                    </pic:cNvPicPr>
                  </pic:nvPicPr>
                  <pic:blipFill>
                    <a:blip r:embed="rId29" cstate="print"/>
                    <a:srcRect/>
                    <a:stretch>
                      <a:fillRect/>
                    </a:stretch>
                  </pic:blipFill>
                  <pic:spPr>
                    <a:xfrm>
                      <a:off x="0" y="0"/>
                      <a:ext cx="5534025" cy="419100"/>
                    </a:xfrm>
                    <a:prstGeom prst="rect">
                      <a:avLst/>
                    </a:prstGeom>
                    <a:noFill/>
                    <a:ln w="9525">
                      <a:noFill/>
                      <a:miter lim="800000"/>
                      <a:headEnd/>
                      <a:tailEnd/>
                    </a:ln>
                  </pic:spPr>
                </pic:pic>
              </a:graphicData>
            </a:graphic>
          </wp:inline>
        </w:drawing>
      </w:r>
    </w:p>
    <w:p>
      <w:pPr>
        <w:widowControl/>
        <w:shd w:val="clear" w:color="auto" w:fill="FFFFFF"/>
        <w:spacing w:line="520" w:lineRule="exact"/>
        <w:ind w:firstLine="480" w:firstLineChars="200"/>
        <w:rPr>
          <w:b w:val="0"/>
          <w:bCs/>
          <w:kern w:val="0"/>
          <w:sz w:val="24"/>
          <w:u w:val="none"/>
        </w:rPr>
      </w:pPr>
      <w:r>
        <w:rPr>
          <w:b w:val="0"/>
          <w:bCs/>
          <w:kern w:val="0"/>
          <w:sz w:val="24"/>
          <w:u w:val="none"/>
        </w:rPr>
        <w:t>单位土地养分需求量：根据《畜禽粪污土地承载力测算技术指南》，单位土地养分需求量为规模养殖场单位面积配套土地种植的各类植物在目标产量下的氮（磷）养分需求量之和；由本指南中的表1每</w:t>
      </w:r>
      <w:r>
        <w:rPr>
          <w:rFonts w:hint="eastAsia"/>
          <w:b w:val="0"/>
          <w:bCs/>
          <w:kern w:val="0"/>
          <w:sz w:val="24"/>
          <w:u w:val="none"/>
          <w:lang w:val="en-US" w:eastAsia="zh-CN"/>
        </w:rPr>
        <w:t>m</w:t>
      </w:r>
      <w:r>
        <w:rPr>
          <w:rFonts w:hint="eastAsia"/>
          <w:b w:val="0"/>
          <w:bCs/>
          <w:kern w:val="0"/>
          <w:sz w:val="24"/>
          <w:u w:val="none"/>
          <w:vertAlign w:val="superscript"/>
          <w:lang w:val="en-US" w:eastAsia="zh-CN"/>
        </w:rPr>
        <w:t>3</w:t>
      </w:r>
      <w:r>
        <w:rPr>
          <w:b w:val="0"/>
          <w:bCs/>
          <w:kern w:val="0"/>
          <w:sz w:val="24"/>
          <w:u w:val="none"/>
        </w:rPr>
        <w:t>的</w:t>
      </w:r>
      <w:r>
        <w:rPr>
          <w:rFonts w:hint="eastAsia"/>
          <w:b w:val="0"/>
          <w:bCs/>
          <w:kern w:val="0"/>
          <w:sz w:val="24"/>
          <w:u w:val="none"/>
          <w:lang w:val="en-US" w:eastAsia="zh-CN"/>
        </w:rPr>
        <w:t>林地</w:t>
      </w:r>
      <w:r>
        <w:rPr>
          <w:b w:val="0"/>
          <w:bCs/>
          <w:kern w:val="0"/>
          <w:sz w:val="24"/>
          <w:u w:val="none"/>
        </w:rPr>
        <w:t>需要吸收氮量分别为3.</w:t>
      </w:r>
      <w:r>
        <w:rPr>
          <w:rFonts w:hint="eastAsia"/>
          <w:b w:val="0"/>
          <w:bCs/>
          <w:kern w:val="0"/>
          <w:sz w:val="24"/>
          <w:u w:val="none"/>
          <w:lang w:val="en-US" w:eastAsia="zh-CN"/>
        </w:rPr>
        <w:t>3</w:t>
      </w:r>
      <w:r>
        <w:rPr>
          <w:b w:val="0"/>
          <w:bCs/>
          <w:kern w:val="0"/>
          <w:sz w:val="24"/>
          <w:u w:val="none"/>
        </w:rPr>
        <w:t>kg；配套</w:t>
      </w:r>
      <w:r>
        <w:rPr>
          <w:rFonts w:hint="eastAsia"/>
          <w:b w:val="0"/>
          <w:bCs/>
          <w:kern w:val="0"/>
          <w:sz w:val="24"/>
          <w:u w:val="none"/>
          <w:lang w:val="en-US" w:eastAsia="zh-CN"/>
        </w:rPr>
        <w:t>林地</w:t>
      </w:r>
      <w:r>
        <w:rPr>
          <w:b w:val="0"/>
          <w:bCs/>
          <w:kern w:val="0"/>
          <w:sz w:val="24"/>
          <w:u w:val="none"/>
        </w:rPr>
        <w:t>单位土地养分需求量为</w:t>
      </w:r>
      <w:r>
        <w:rPr>
          <w:rFonts w:hint="eastAsia"/>
          <w:b w:val="0"/>
          <w:bCs/>
          <w:kern w:val="0"/>
          <w:sz w:val="24"/>
          <w:u w:val="none"/>
          <w:lang w:val="en-US" w:eastAsia="zh-CN"/>
        </w:rPr>
        <w:t>135.3</w:t>
      </w:r>
      <w:r>
        <w:rPr>
          <w:b w:val="0"/>
          <w:bCs/>
          <w:kern w:val="0"/>
          <w:sz w:val="24"/>
          <w:u w:val="none"/>
        </w:rPr>
        <w:t>kg/亩；</w:t>
      </w:r>
    </w:p>
    <w:p>
      <w:pPr>
        <w:widowControl/>
        <w:shd w:val="clear" w:color="auto" w:fill="FFFFFF"/>
        <w:adjustRightInd w:val="0"/>
        <w:spacing w:line="520" w:lineRule="exact"/>
        <w:ind w:left="-105" w:leftChars="-50" w:firstLine="480" w:firstLineChars="200"/>
        <w:rPr>
          <w:b w:val="0"/>
          <w:bCs/>
          <w:kern w:val="0"/>
          <w:sz w:val="24"/>
          <w:u w:val="none"/>
        </w:rPr>
      </w:pPr>
      <w:r>
        <w:rPr>
          <w:rFonts w:hint="eastAsia"/>
          <w:b w:val="0"/>
          <w:bCs/>
          <w:kern w:val="0"/>
          <w:sz w:val="24"/>
          <w:u w:val="none"/>
        </w:rPr>
        <w:t>则项目区单位土地全年粪肥养分需求量为</w:t>
      </w:r>
      <w:r>
        <w:rPr>
          <w:rFonts w:hint="eastAsia"/>
          <w:b w:val="0"/>
          <w:bCs/>
          <w:kern w:val="0"/>
          <w:sz w:val="24"/>
          <w:u w:val="none"/>
          <w:lang w:val="en-US" w:eastAsia="zh-CN"/>
        </w:rPr>
        <w:t>135.3</w:t>
      </w:r>
      <w:r>
        <w:rPr>
          <w:rFonts w:hint="eastAsia"/>
          <w:b w:val="0"/>
          <w:bCs/>
          <w:kern w:val="0"/>
          <w:sz w:val="24"/>
          <w:u w:val="none"/>
        </w:rPr>
        <w:t xml:space="preserve"> kg/亩；因此本项目配套消纳</w:t>
      </w:r>
      <w:r>
        <w:rPr>
          <w:rFonts w:hint="eastAsia"/>
          <w:b w:val="0"/>
          <w:bCs/>
          <w:kern w:val="0"/>
          <w:sz w:val="24"/>
          <w:u w:val="none"/>
          <w:lang w:val="en-US" w:eastAsia="zh-CN"/>
        </w:rPr>
        <w:t>林地</w:t>
      </w:r>
      <w:r>
        <w:rPr>
          <w:rFonts w:hint="eastAsia"/>
          <w:b w:val="0"/>
          <w:bCs/>
          <w:kern w:val="0"/>
          <w:sz w:val="24"/>
          <w:u w:val="none"/>
        </w:rPr>
        <w:t>面积约</w:t>
      </w:r>
      <w:r>
        <w:rPr>
          <w:rFonts w:hint="eastAsia"/>
          <w:b w:val="0"/>
          <w:bCs/>
          <w:kern w:val="0"/>
          <w:sz w:val="24"/>
          <w:u w:val="none"/>
          <w:lang w:val="en-US" w:eastAsia="zh-CN"/>
        </w:rPr>
        <w:t>需75</w:t>
      </w:r>
      <w:r>
        <w:rPr>
          <w:rFonts w:hint="eastAsia"/>
          <w:b w:val="0"/>
          <w:bCs/>
          <w:kern w:val="0"/>
          <w:sz w:val="24"/>
          <w:u w:val="none"/>
        </w:rPr>
        <w:t>亩。</w:t>
      </w:r>
    </w:p>
    <w:p>
      <w:pPr>
        <w:widowControl/>
        <w:topLinePunct/>
        <w:spacing w:line="510" w:lineRule="exact"/>
        <w:ind w:firstLine="480" w:firstLineChars="200"/>
        <w:jc w:val="left"/>
        <w:rPr>
          <w:b w:val="0"/>
          <w:bCs/>
          <w:color w:val="000000"/>
          <w:sz w:val="24"/>
          <w:u w:val="none"/>
        </w:rPr>
      </w:pPr>
      <w:r>
        <w:rPr>
          <w:b w:val="0"/>
          <w:bCs/>
          <w:color w:val="000000"/>
          <w:sz w:val="24"/>
          <w:u w:val="none"/>
        </w:rPr>
        <w:t>（3）沼液利用的现实操作性</w:t>
      </w:r>
    </w:p>
    <w:p>
      <w:pPr>
        <w:widowControl/>
        <w:topLinePunct/>
        <w:spacing w:line="510" w:lineRule="exact"/>
        <w:ind w:firstLine="480" w:firstLineChars="200"/>
        <w:jc w:val="left"/>
        <w:rPr>
          <w:b w:val="0"/>
          <w:bCs/>
          <w:color w:val="000000"/>
          <w:sz w:val="24"/>
          <w:u w:val="none"/>
        </w:rPr>
      </w:pPr>
      <w:r>
        <w:rPr>
          <w:b w:val="0"/>
          <w:bCs/>
          <w:color w:val="000000"/>
          <w:sz w:val="24"/>
          <w:u w:val="none"/>
        </w:rPr>
        <w:t>根据</w:t>
      </w:r>
      <w:r>
        <w:rPr>
          <w:rFonts w:hint="eastAsia"/>
          <w:b w:val="0"/>
          <w:bCs/>
          <w:color w:val="000000"/>
          <w:sz w:val="24"/>
          <w:u w:val="none"/>
          <w:lang w:val="en-US" w:eastAsia="zh-CN"/>
        </w:rPr>
        <w:t>作物冬季禁止或限制施肥灌溉作业的周期，通常冬季期按90~120天计</w:t>
      </w:r>
      <w:r>
        <w:rPr>
          <w:b w:val="0"/>
          <w:bCs/>
          <w:color w:val="000000"/>
          <w:sz w:val="24"/>
          <w:u w:val="none"/>
        </w:rPr>
        <w:t>，因此本评价建议沼液储存池的储存时间按</w:t>
      </w:r>
      <w:r>
        <w:rPr>
          <w:rFonts w:hint="eastAsia"/>
          <w:b w:val="0"/>
          <w:bCs/>
          <w:color w:val="000000"/>
          <w:sz w:val="24"/>
          <w:u w:val="none"/>
          <w:lang w:val="en-US" w:eastAsia="zh-CN"/>
        </w:rPr>
        <w:t>120</w:t>
      </w:r>
      <w:r>
        <w:rPr>
          <w:b w:val="0"/>
          <w:bCs/>
          <w:color w:val="000000"/>
          <w:sz w:val="24"/>
          <w:u w:val="none"/>
        </w:rPr>
        <w:t>天计。项目全场沼液的产生量为</w:t>
      </w:r>
      <w:r>
        <w:rPr>
          <w:rFonts w:hint="eastAsia"/>
          <w:b w:val="0"/>
          <w:bCs/>
          <w:color w:val="000000"/>
          <w:sz w:val="24"/>
          <w:u w:val="none"/>
          <w:lang w:val="en-US" w:eastAsia="zh-CN"/>
        </w:rPr>
        <w:t>9024.49</w:t>
      </w:r>
      <w:r>
        <w:rPr>
          <w:b w:val="0"/>
          <w:bCs/>
          <w:color w:val="000000"/>
          <w:sz w:val="24"/>
          <w:u w:val="none"/>
        </w:rPr>
        <w:t>m</w:t>
      </w:r>
      <w:r>
        <w:rPr>
          <w:b w:val="0"/>
          <w:bCs/>
          <w:color w:val="000000"/>
          <w:sz w:val="24"/>
          <w:u w:val="none"/>
          <w:vertAlign w:val="superscript"/>
        </w:rPr>
        <w:t>3</w:t>
      </w:r>
      <w:r>
        <w:rPr>
          <w:b w:val="0"/>
          <w:bCs/>
          <w:color w:val="000000"/>
          <w:sz w:val="24"/>
          <w:u w:val="none"/>
        </w:rPr>
        <w:t>/a，沼液消纳地面积</w:t>
      </w:r>
      <w:r>
        <w:rPr>
          <w:rFonts w:hint="eastAsia"/>
          <w:b w:val="0"/>
          <w:bCs/>
          <w:color w:val="000000"/>
          <w:sz w:val="24"/>
          <w:u w:val="none"/>
          <w:lang w:val="en-US" w:eastAsia="zh-CN"/>
        </w:rPr>
        <w:t>最少</w:t>
      </w:r>
      <w:r>
        <w:rPr>
          <w:b w:val="0"/>
          <w:bCs/>
          <w:color w:val="000000"/>
          <w:sz w:val="24"/>
          <w:u w:val="none"/>
        </w:rPr>
        <w:t>为</w:t>
      </w:r>
      <w:r>
        <w:rPr>
          <w:rFonts w:hint="eastAsia"/>
          <w:b w:val="0"/>
          <w:bCs/>
          <w:color w:val="000000"/>
          <w:sz w:val="24"/>
          <w:u w:val="none"/>
          <w:lang w:val="en-US" w:eastAsia="zh-CN"/>
        </w:rPr>
        <w:t>75亩</w:t>
      </w:r>
      <w:r>
        <w:rPr>
          <w:b w:val="0"/>
          <w:bCs/>
          <w:color w:val="000000"/>
          <w:sz w:val="24"/>
          <w:u w:val="none"/>
        </w:rPr>
        <w:t>。</w:t>
      </w:r>
    </w:p>
    <w:p>
      <w:pPr>
        <w:spacing w:line="500" w:lineRule="exact"/>
        <w:ind w:firstLine="480" w:firstLineChars="200"/>
        <w:rPr>
          <w:color w:val="000000"/>
          <w:sz w:val="24"/>
        </w:rPr>
      </w:pPr>
      <w:r>
        <w:rPr>
          <w:rFonts w:hint="eastAsia"/>
          <w:color w:val="000000"/>
          <w:sz w:val="24"/>
          <w:lang w:val="en-US" w:eastAsia="zh-CN"/>
        </w:rPr>
        <w:t>类比同类</w:t>
      </w:r>
      <w:r>
        <w:rPr>
          <w:color w:val="000000"/>
          <w:sz w:val="24"/>
        </w:rPr>
        <w:t xml:space="preserve">项目的沼液重金属含量检测数据（检测因子包括铜、锌、铬、镉、砷、汞、铅），其中铜的含量为1.87mg/L，其他因子均未检出。沼液属于液态有机肥，经查阅，目前国家尚未出台液态有机肥标准，因此本项目将参考《有机肥料》（NY525-2012）表2有机肥中重金属限量指标，经对照，本项目沼液中重金属含量能够满足标准要求。 </w:t>
      </w:r>
    </w:p>
    <w:p>
      <w:pPr>
        <w:topLinePunct/>
        <w:spacing w:line="500" w:lineRule="exact"/>
        <w:ind w:firstLine="480" w:firstLineChars="200"/>
        <w:rPr>
          <w:color w:val="000000"/>
          <w:sz w:val="24"/>
        </w:rPr>
      </w:pPr>
      <w:r>
        <w:rPr>
          <w:color w:val="000000"/>
          <w:sz w:val="24"/>
        </w:rPr>
        <w:t>本次评价对沼液</w:t>
      </w:r>
      <w:r>
        <w:rPr>
          <w:rFonts w:hint="eastAsia"/>
          <w:color w:val="000000"/>
          <w:sz w:val="24"/>
          <w:lang w:val="en-US" w:eastAsia="zh-CN"/>
        </w:rPr>
        <w:t>消纳</w:t>
      </w:r>
      <w:r>
        <w:rPr>
          <w:color w:val="000000"/>
          <w:sz w:val="24"/>
        </w:rPr>
        <w:t>区域定期进行观测，场外</w:t>
      </w:r>
      <w:r>
        <w:rPr>
          <w:rFonts w:hint="eastAsia"/>
          <w:color w:val="000000"/>
          <w:sz w:val="24"/>
          <w:lang w:val="en-US" w:eastAsia="zh-CN"/>
        </w:rPr>
        <w:t>消纳区</w:t>
      </w:r>
      <w:r>
        <w:rPr>
          <w:color w:val="000000"/>
          <w:sz w:val="24"/>
        </w:rPr>
        <w:t>设置地下水观测井，建议</w:t>
      </w:r>
      <w:r>
        <w:rPr>
          <w:color w:val="000000"/>
          <w:sz w:val="24"/>
          <w:szCs w:val="21"/>
        </w:rPr>
        <w:t>在配套</w:t>
      </w:r>
      <w:r>
        <w:rPr>
          <w:rFonts w:hint="eastAsia"/>
          <w:color w:val="000000"/>
          <w:sz w:val="24"/>
          <w:szCs w:val="21"/>
          <w:lang w:val="en-US" w:eastAsia="zh-CN"/>
        </w:rPr>
        <w:t>林地</w:t>
      </w:r>
      <w:r>
        <w:rPr>
          <w:color w:val="000000"/>
          <w:sz w:val="24"/>
          <w:szCs w:val="21"/>
        </w:rPr>
        <w:t>西侧和东侧方位各设置1口地下水观测井，</w:t>
      </w:r>
      <w:r>
        <w:rPr>
          <w:color w:val="000000"/>
          <w:sz w:val="24"/>
        </w:rPr>
        <w:t>观察沼液长期施肥对地下水的累积性影响。</w:t>
      </w:r>
    </w:p>
    <w:p>
      <w:pPr>
        <w:keepNext/>
        <w:keepLines/>
        <w:topLinePunct/>
        <w:spacing w:line="600" w:lineRule="exact"/>
        <w:ind w:firstLine="240" w:firstLineChars="100"/>
        <w:jc w:val="left"/>
        <w:outlineLvl w:val="2"/>
        <w:rPr>
          <w:b/>
          <w:bCs/>
          <w:color w:val="000000"/>
          <w:sz w:val="24"/>
          <w:szCs w:val="32"/>
        </w:rPr>
      </w:pPr>
      <w:r>
        <w:rPr>
          <w:rFonts w:hint="eastAsia"/>
          <w:b/>
          <w:bCs/>
          <w:color w:val="000000"/>
          <w:sz w:val="24"/>
          <w:szCs w:val="32"/>
          <w:lang w:val="en-US" w:eastAsia="zh-CN"/>
        </w:rPr>
        <w:t>5</w:t>
      </w:r>
      <w:r>
        <w:rPr>
          <w:b/>
          <w:bCs/>
          <w:color w:val="000000"/>
          <w:sz w:val="24"/>
          <w:szCs w:val="32"/>
        </w:rPr>
        <w:t>.2.2地下水污染防治措施</w:t>
      </w:r>
    </w:p>
    <w:p>
      <w:pPr>
        <w:topLinePunct/>
        <w:spacing w:line="500" w:lineRule="exact"/>
        <w:ind w:firstLine="480" w:firstLineChars="200"/>
        <w:rPr>
          <w:color w:val="000000"/>
          <w:sz w:val="24"/>
        </w:rPr>
      </w:pPr>
      <w:r>
        <w:rPr>
          <w:color w:val="000000"/>
          <w:sz w:val="24"/>
        </w:rPr>
        <w:t>项目产生的废水主要废养殖废水和员工生活污水，经管道收集后自流至污水处理系统统一处理，其中养殖废水为高浓度有机废水，经厌氧反应处理后用于附近</w:t>
      </w:r>
      <w:r>
        <w:rPr>
          <w:rFonts w:hint="eastAsia"/>
          <w:color w:val="000000"/>
          <w:sz w:val="24"/>
          <w:lang w:val="en-US" w:eastAsia="zh-CN"/>
        </w:rPr>
        <w:t>林地</w:t>
      </w:r>
      <w:r>
        <w:rPr>
          <w:color w:val="000000"/>
          <w:sz w:val="24"/>
        </w:rPr>
        <w:t>施肥，雨季及非施肥期暂存在场区沼液池中，本次评价主要从以下方面分析运营期废水对地下水水质的影响。</w:t>
      </w:r>
    </w:p>
    <w:p>
      <w:pPr>
        <w:topLinePunct/>
        <w:spacing w:line="500" w:lineRule="exact"/>
        <w:ind w:firstLine="480" w:firstLineChars="200"/>
        <w:rPr>
          <w:color w:val="000000"/>
          <w:sz w:val="24"/>
        </w:rPr>
      </w:pPr>
      <w:r>
        <w:rPr>
          <w:color w:val="000000"/>
          <w:sz w:val="24"/>
        </w:rPr>
        <w:t>（1）地下水污染途径及防治措施分析</w:t>
      </w:r>
    </w:p>
    <w:p>
      <w:pPr>
        <w:topLinePunct/>
        <w:adjustRightInd w:val="0"/>
        <w:snapToGrid w:val="0"/>
        <w:spacing w:line="500" w:lineRule="exact"/>
        <w:ind w:firstLine="480" w:firstLineChars="200"/>
        <w:rPr>
          <w:color w:val="000000"/>
          <w:sz w:val="24"/>
        </w:rPr>
      </w:pPr>
      <w:r>
        <w:rPr>
          <w:color w:val="000000"/>
          <w:sz w:val="24"/>
        </w:rPr>
        <w:t>污染物从污染源进入地下水所经过路径称为地下水污染途径，地下水污染途径是多种多样的。本项目营运期环境影响因素主要为生活污水、养殖废水、猪粪和沼渣。以上污染因素如不加以管理，污水处理池及储存池存在下渗污染地下水的隐患；猪粪、沼渣乱堆乱放，可能转入环境空气或地表水体，并通过下渗影响到地下水环境。</w:t>
      </w:r>
    </w:p>
    <w:p>
      <w:pPr>
        <w:topLinePunct/>
        <w:adjustRightInd w:val="0"/>
        <w:snapToGrid w:val="0"/>
        <w:spacing w:line="520" w:lineRule="exact"/>
        <w:ind w:firstLine="480" w:firstLineChars="200"/>
        <w:rPr>
          <w:color w:val="000000"/>
          <w:sz w:val="24"/>
        </w:rPr>
      </w:pPr>
      <w:r>
        <w:rPr>
          <w:color w:val="000000"/>
          <w:sz w:val="24"/>
        </w:rPr>
        <w:t>根据《畜禽养殖业污染防治技术规范》（HJ/T81－2001）规定：</w:t>
      </w:r>
    </w:p>
    <w:p>
      <w:pPr>
        <w:topLinePunct/>
        <w:adjustRightInd w:val="0"/>
        <w:snapToGrid w:val="0"/>
        <w:spacing w:line="520" w:lineRule="exact"/>
        <w:ind w:firstLine="480" w:firstLineChars="200"/>
        <w:rPr>
          <w:color w:val="000000"/>
          <w:sz w:val="24"/>
        </w:rPr>
      </w:pPr>
      <w:r>
        <w:rPr>
          <w:color w:val="000000"/>
          <w:sz w:val="24"/>
        </w:rPr>
        <w:t>1、养殖场的排水系统应实行雨水和污水收集输送系统分离，在场区内外设置的污水收集输送系统，不得采取明沟布设。</w:t>
      </w:r>
    </w:p>
    <w:p>
      <w:pPr>
        <w:widowControl/>
        <w:topLinePunct/>
        <w:adjustRightInd w:val="0"/>
        <w:snapToGrid w:val="0"/>
        <w:spacing w:line="520" w:lineRule="exact"/>
        <w:ind w:firstLine="480" w:firstLineChars="200"/>
        <w:jc w:val="left"/>
        <w:rPr>
          <w:color w:val="000000"/>
          <w:sz w:val="24"/>
        </w:rPr>
      </w:pPr>
      <w:r>
        <w:rPr>
          <w:color w:val="000000"/>
          <w:sz w:val="24"/>
        </w:rPr>
        <w:t>2、贮存设施应采取有效的防渗处理工艺，防止畜禽粪便污染地下水。</w:t>
      </w:r>
    </w:p>
    <w:p>
      <w:pPr>
        <w:widowControl/>
        <w:topLinePunct/>
        <w:adjustRightInd w:val="0"/>
        <w:snapToGrid w:val="0"/>
        <w:spacing w:line="520" w:lineRule="exact"/>
        <w:ind w:firstLine="480" w:firstLineChars="200"/>
        <w:jc w:val="left"/>
        <w:rPr>
          <w:color w:val="000000"/>
          <w:sz w:val="24"/>
        </w:rPr>
      </w:pPr>
      <w:r>
        <w:rPr>
          <w:color w:val="000000"/>
          <w:sz w:val="24"/>
        </w:rPr>
        <w:t>3、贮存设施应采取设置顶盖等防止降雨(水)进入的措施。</w:t>
      </w:r>
    </w:p>
    <w:p>
      <w:pPr>
        <w:topLinePunct/>
        <w:adjustRightInd w:val="0"/>
        <w:snapToGrid w:val="0"/>
        <w:spacing w:line="520" w:lineRule="exact"/>
        <w:ind w:firstLine="480" w:firstLineChars="200"/>
        <w:rPr>
          <w:color w:val="000000"/>
          <w:sz w:val="24"/>
        </w:rPr>
      </w:pPr>
      <w:r>
        <w:rPr>
          <w:color w:val="000000"/>
          <w:sz w:val="24"/>
        </w:rPr>
        <w:t>因此，企业必须建设雨、污分流管网，雨水管网建设时，可设置为明沟，沟深约20～30cm即可。排污沟应采取暗沟形式，同时应具备防止淤积以利于定期清理的条件，排污沟应采取硬化措施。</w:t>
      </w:r>
    </w:p>
    <w:p>
      <w:pPr>
        <w:topLinePunct/>
        <w:adjustRightInd w:val="0"/>
        <w:snapToGrid w:val="0"/>
        <w:spacing w:line="500" w:lineRule="exact"/>
        <w:ind w:firstLine="480" w:firstLineChars="200"/>
        <w:rPr>
          <w:color w:val="000000"/>
          <w:sz w:val="24"/>
        </w:rPr>
      </w:pPr>
      <w:r>
        <w:rPr>
          <w:color w:val="000000"/>
          <w:sz w:val="24"/>
        </w:rPr>
        <w:t>项目地下水污染防治措施详见表</w:t>
      </w:r>
      <w:r>
        <w:rPr>
          <w:rFonts w:hint="eastAsia"/>
          <w:color w:val="000000"/>
          <w:sz w:val="24"/>
          <w:lang w:val="en-US" w:eastAsia="zh-CN"/>
        </w:rPr>
        <w:t>5.2-8</w:t>
      </w:r>
      <w:r>
        <w:rPr>
          <w:color w:val="000000"/>
          <w:sz w:val="24"/>
        </w:rPr>
        <w:t>。</w:t>
      </w:r>
    </w:p>
    <w:p>
      <w:pPr>
        <w:topLinePunct/>
        <w:adjustRightInd w:val="0"/>
        <w:snapToGrid w:val="0"/>
        <w:spacing w:beforeLines="50" w:afterLines="50"/>
        <w:ind w:firstLine="420" w:firstLineChars="200"/>
        <w:jc w:val="center"/>
        <w:rPr>
          <w:b/>
          <w:color w:val="000000"/>
          <w:szCs w:val="21"/>
        </w:rPr>
      </w:pPr>
      <w:r>
        <w:rPr>
          <w:b/>
          <w:color w:val="000000"/>
          <w:szCs w:val="21"/>
        </w:rPr>
        <w:t>表</w:t>
      </w:r>
      <w:r>
        <w:rPr>
          <w:rFonts w:hint="eastAsia"/>
          <w:b/>
          <w:color w:val="000000"/>
          <w:szCs w:val="21"/>
          <w:lang w:val="en-US" w:eastAsia="zh-CN"/>
        </w:rPr>
        <w:t>5.2-8</w:t>
      </w:r>
      <w:r>
        <w:rPr>
          <w:b/>
          <w:color w:val="000000"/>
          <w:szCs w:val="21"/>
        </w:rPr>
        <w:t xml:space="preserve">   项目地下水污染防治措施一览表</w:t>
      </w:r>
    </w:p>
    <w:tbl>
      <w:tblPr>
        <w:tblStyle w:val="45"/>
        <w:tblW w:w="87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004"/>
        <w:gridCol w:w="5023"/>
        <w:gridCol w:w="2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tcMar>
              <w:left w:w="0" w:type="dxa"/>
              <w:right w:w="0" w:type="dxa"/>
            </w:tcMar>
            <w:vAlign w:val="center"/>
          </w:tcPr>
          <w:p>
            <w:pPr>
              <w:topLinePunct/>
              <w:adjustRightInd w:val="0"/>
              <w:snapToGrid w:val="0"/>
              <w:spacing w:line="320" w:lineRule="atLeast"/>
              <w:jc w:val="center"/>
              <w:rPr>
                <w:b/>
                <w:color w:val="000000"/>
                <w:szCs w:val="21"/>
              </w:rPr>
            </w:pPr>
            <w:r>
              <w:rPr>
                <w:b/>
                <w:color w:val="000000"/>
                <w:szCs w:val="21"/>
              </w:rPr>
              <w:t>序号</w:t>
            </w:r>
          </w:p>
        </w:tc>
        <w:tc>
          <w:tcPr>
            <w:tcW w:w="1004" w:type="dxa"/>
            <w:tcMar>
              <w:left w:w="0" w:type="dxa"/>
              <w:right w:w="0" w:type="dxa"/>
            </w:tcMar>
            <w:vAlign w:val="center"/>
          </w:tcPr>
          <w:p>
            <w:pPr>
              <w:topLinePunct/>
              <w:adjustRightInd w:val="0"/>
              <w:snapToGrid w:val="0"/>
              <w:spacing w:line="320" w:lineRule="atLeast"/>
              <w:jc w:val="center"/>
              <w:rPr>
                <w:b/>
                <w:color w:val="000000"/>
                <w:szCs w:val="21"/>
              </w:rPr>
            </w:pPr>
            <w:r>
              <w:rPr>
                <w:b/>
                <w:color w:val="000000"/>
                <w:szCs w:val="21"/>
              </w:rPr>
              <w:t>项目</w:t>
            </w:r>
          </w:p>
        </w:tc>
        <w:tc>
          <w:tcPr>
            <w:tcW w:w="5023" w:type="dxa"/>
            <w:tcMar>
              <w:left w:w="0" w:type="dxa"/>
              <w:right w:w="0" w:type="dxa"/>
            </w:tcMar>
            <w:vAlign w:val="center"/>
          </w:tcPr>
          <w:p>
            <w:pPr>
              <w:topLinePunct/>
              <w:adjustRightInd w:val="0"/>
              <w:snapToGrid w:val="0"/>
              <w:spacing w:line="320" w:lineRule="atLeast"/>
              <w:jc w:val="center"/>
              <w:rPr>
                <w:b/>
                <w:color w:val="000000"/>
                <w:szCs w:val="21"/>
              </w:rPr>
            </w:pPr>
            <w:r>
              <w:rPr>
                <w:b/>
                <w:color w:val="000000"/>
                <w:szCs w:val="21"/>
              </w:rPr>
              <w:t>保护措施</w:t>
            </w:r>
          </w:p>
        </w:tc>
        <w:tc>
          <w:tcPr>
            <w:tcW w:w="2223" w:type="dxa"/>
            <w:tcMar>
              <w:left w:w="0" w:type="dxa"/>
              <w:right w:w="0" w:type="dxa"/>
            </w:tcMar>
            <w:vAlign w:val="center"/>
          </w:tcPr>
          <w:p>
            <w:pPr>
              <w:topLinePunct/>
              <w:adjustRightInd w:val="0"/>
              <w:snapToGrid w:val="0"/>
              <w:spacing w:line="320" w:lineRule="atLeast"/>
              <w:jc w:val="center"/>
              <w:rPr>
                <w:b/>
                <w:color w:val="000000"/>
                <w:szCs w:val="21"/>
              </w:rPr>
            </w:pPr>
            <w:r>
              <w:rPr>
                <w:b/>
                <w:color w:val="000000"/>
                <w:szCs w:val="21"/>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0"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1</w:t>
            </w:r>
          </w:p>
        </w:tc>
        <w:tc>
          <w:tcPr>
            <w:tcW w:w="1004"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沼液储存池</w:t>
            </w:r>
          </w:p>
        </w:tc>
        <w:tc>
          <w:tcPr>
            <w:tcW w:w="5023" w:type="dxa"/>
            <w:tcMar>
              <w:left w:w="0" w:type="dxa"/>
              <w:right w:w="0" w:type="dxa"/>
            </w:tcMar>
            <w:vAlign w:val="center"/>
          </w:tcPr>
          <w:p>
            <w:pPr>
              <w:topLinePunct/>
              <w:adjustRightInd w:val="0"/>
              <w:snapToGrid w:val="0"/>
              <w:spacing w:line="320" w:lineRule="atLeast"/>
              <w:rPr>
                <w:color w:val="000000"/>
                <w:szCs w:val="21"/>
              </w:rPr>
            </w:pPr>
            <w:r>
              <w:rPr>
                <w:color w:val="000000"/>
                <w:szCs w:val="21"/>
              </w:rPr>
              <w:t>沼液储存池为满足农闲期沼液产生量，容积不小于</w:t>
            </w:r>
            <w:r>
              <w:rPr>
                <w:rFonts w:hint="eastAsia"/>
                <w:color w:val="000000"/>
                <w:szCs w:val="21"/>
                <w:lang w:eastAsia="zh-CN"/>
              </w:rPr>
              <w:t>166天</w:t>
            </w:r>
            <w:r>
              <w:rPr>
                <w:color w:val="000000"/>
                <w:szCs w:val="21"/>
              </w:rPr>
              <w:t>的全场废水产生量，并</w:t>
            </w:r>
            <w:r>
              <w:rPr>
                <w:color w:val="000000"/>
              </w:rPr>
              <w:t>采用</w:t>
            </w:r>
            <w:r>
              <w:rPr>
                <w:color w:val="000000"/>
                <w:szCs w:val="21"/>
              </w:rPr>
              <w:t>HDPE膜+素土夯实</w:t>
            </w:r>
            <w:r>
              <w:rPr>
                <w:color w:val="000000"/>
              </w:rPr>
              <w:t>防渗</w:t>
            </w:r>
            <w:r>
              <w:rPr>
                <w:color w:val="000000"/>
                <w:szCs w:val="21"/>
              </w:rPr>
              <w:t>处理措施，合理控制施肥频次和施肥量，尽量避开雨天施肥</w:t>
            </w:r>
          </w:p>
        </w:tc>
        <w:tc>
          <w:tcPr>
            <w:tcW w:w="2223" w:type="dxa"/>
            <w:vMerge w:val="restart"/>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各反应池及储存池均符合《规模化畜禽养殖场沼气工程设计规范》（NY/T1222）和《混凝土结构设计规范》（GB50010）的要求，具备“防渗、防雨、防溢”的三防措施；畜禽粪便的贮存相关要求，应具备防渗、防风、防雨的“三防”措施，雨污分流</w:t>
            </w:r>
          </w:p>
          <w:p>
            <w:pPr>
              <w:topLinePunct/>
              <w:adjustRightInd w:val="0"/>
              <w:snapToGrid w:val="0"/>
              <w:spacing w:line="320" w:lineRule="atLeast"/>
              <w:jc w:val="center"/>
              <w:rPr>
                <w:color w:val="000000"/>
                <w:szCs w:val="21"/>
              </w:rPr>
            </w:pPr>
            <w:r>
              <w:rPr>
                <w:color w:val="000000"/>
                <w:szCs w:val="21"/>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0" w:type="dxa"/>
            <w:tcMar>
              <w:left w:w="0" w:type="dxa"/>
              <w:right w:w="0" w:type="dxa"/>
            </w:tcMar>
            <w:vAlign w:val="center"/>
          </w:tcPr>
          <w:p>
            <w:pPr>
              <w:topLinePunct/>
              <w:spacing w:line="240" w:lineRule="atLeast"/>
              <w:jc w:val="center"/>
              <w:rPr>
                <w:color w:val="000000"/>
                <w:szCs w:val="21"/>
              </w:rPr>
            </w:pPr>
            <w:r>
              <w:rPr>
                <w:color w:val="000000"/>
                <w:szCs w:val="21"/>
              </w:rPr>
              <w:t>2</w:t>
            </w:r>
          </w:p>
        </w:tc>
        <w:tc>
          <w:tcPr>
            <w:tcW w:w="1004" w:type="dxa"/>
            <w:tcMar>
              <w:left w:w="0" w:type="dxa"/>
              <w:right w:w="0" w:type="dxa"/>
            </w:tcMar>
            <w:vAlign w:val="center"/>
          </w:tcPr>
          <w:p>
            <w:pPr>
              <w:topLinePunct/>
              <w:spacing w:line="240" w:lineRule="atLeast"/>
              <w:jc w:val="center"/>
              <w:rPr>
                <w:color w:val="000000"/>
                <w:szCs w:val="21"/>
              </w:rPr>
            </w:pPr>
            <w:r>
              <w:rPr>
                <w:color w:val="000000"/>
                <w:szCs w:val="21"/>
              </w:rPr>
              <w:t>养殖区</w:t>
            </w:r>
          </w:p>
        </w:tc>
        <w:tc>
          <w:tcPr>
            <w:tcW w:w="5023" w:type="dxa"/>
            <w:tcMar>
              <w:left w:w="0" w:type="dxa"/>
              <w:right w:w="0" w:type="dxa"/>
            </w:tcMar>
            <w:vAlign w:val="center"/>
          </w:tcPr>
          <w:p>
            <w:pPr>
              <w:topLinePunct/>
              <w:spacing w:line="240" w:lineRule="atLeast"/>
              <w:jc w:val="left"/>
              <w:rPr>
                <w:color w:val="000000"/>
                <w:szCs w:val="21"/>
              </w:rPr>
            </w:pPr>
            <w:r>
              <w:rPr>
                <w:color w:val="000000"/>
              </w:rPr>
              <w:t>养殖区猪舍底部采用</w:t>
            </w:r>
            <w:r>
              <w:rPr>
                <w:color w:val="000000"/>
                <w:szCs w:val="21"/>
              </w:rPr>
              <w:t>混凝土</w:t>
            </w:r>
            <w:r>
              <w:rPr>
                <w:color w:val="000000"/>
              </w:rPr>
              <w:t>防渗</w:t>
            </w:r>
          </w:p>
        </w:tc>
        <w:tc>
          <w:tcPr>
            <w:tcW w:w="2223" w:type="dxa"/>
            <w:vMerge w:val="continue"/>
            <w:tcMar>
              <w:left w:w="0" w:type="dxa"/>
              <w:right w:w="0" w:type="dxa"/>
            </w:tcMar>
            <w:vAlign w:val="center"/>
          </w:tcPr>
          <w:p>
            <w:pPr>
              <w:topLinePunct/>
              <w:adjustRightInd w:val="0"/>
              <w:snapToGrid w:val="0"/>
              <w:spacing w:line="320" w:lineRule="atLeas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10"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3</w:t>
            </w:r>
          </w:p>
        </w:tc>
        <w:tc>
          <w:tcPr>
            <w:tcW w:w="1004"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污水处理系统</w:t>
            </w:r>
          </w:p>
        </w:tc>
        <w:tc>
          <w:tcPr>
            <w:tcW w:w="5023" w:type="dxa"/>
            <w:tcMar>
              <w:left w:w="0" w:type="dxa"/>
              <w:right w:w="0" w:type="dxa"/>
            </w:tcMar>
            <w:vAlign w:val="center"/>
          </w:tcPr>
          <w:p>
            <w:pPr>
              <w:topLinePunct/>
              <w:adjustRightInd w:val="0"/>
              <w:snapToGrid w:val="0"/>
              <w:spacing w:line="320" w:lineRule="atLeast"/>
              <w:rPr>
                <w:color w:val="000000"/>
                <w:szCs w:val="21"/>
              </w:rPr>
            </w:pPr>
            <w:r>
              <w:rPr>
                <w:color w:val="000000"/>
                <w:szCs w:val="21"/>
              </w:rPr>
              <w:t>收集池采用混凝土防渗措施，评价要求严格做好防渗措施</w:t>
            </w:r>
          </w:p>
        </w:tc>
        <w:tc>
          <w:tcPr>
            <w:tcW w:w="2223" w:type="dxa"/>
            <w:vMerge w:val="continue"/>
            <w:tcMar>
              <w:left w:w="0" w:type="dxa"/>
              <w:right w:w="0" w:type="dxa"/>
            </w:tcMar>
            <w:vAlign w:val="center"/>
          </w:tcPr>
          <w:p>
            <w:pPr>
              <w:topLinePunct/>
              <w:adjustRightInd w:val="0"/>
              <w:snapToGrid w:val="0"/>
              <w:spacing w:line="320" w:lineRule="atLeas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10"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4</w:t>
            </w:r>
          </w:p>
        </w:tc>
        <w:tc>
          <w:tcPr>
            <w:tcW w:w="1004"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固粪处置区</w:t>
            </w:r>
          </w:p>
        </w:tc>
        <w:tc>
          <w:tcPr>
            <w:tcW w:w="5023" w:type="dxa"/>
            <w:tcMar>
              <w:left w:w="0" w:type="dxa"/>
              <w:right w:w="0" w:type="dxa"/>
            </w:tcMar>
            <w:vAlign w:val="center"/>
          </w:tcPr>
          <w:p>
            <w:pPr>
              <w:topLinePunct/>
              <w:adjustRightInd w:val="0"/>
              <w:snapToGrid w:val="0"/>
              <w:spacing w:line="320" w:lineRule="atLeast"/>
              <w:rPr>
                <w:color w:val="000000"/>
                <w:szCs w:val="21"/>
              </w:rPr>
            </w:pPr>
            <w:r>
              <w:rPr>
                <w:color w:val="000000"/>
                <w:szCs w:val="21"/>
              </w:rPr>
              <w:t>地面进行混凝土防渗，加盖顶棚，三周设置围挡，防止雨水进入造成下溢流污染</w:t>
            </w:r>
          </w:p>
        </w:tc>
        <w:tc>
          <w:tcPr>
            <w:tcW w:w="2223" w:type="dxa"/>
            <w:vMerge w:val="continue"/>
            <w:tcMar>
              <w:left w:w="0" w:type="dxa"/>
              <w:right w:w="0" w:type="dxa"/>
            </w:tcMar>
            <w:vAlign w:val="center"/>
          </w:tcPr>
          <w:p>
            <w:pPr>
              <w:topLinePunct/>
              <w:adjustRightInd w:val="0"/>
              <w:snapToGrid w:val="0"/>
              <w:spacing w:line="320" w:lineRule="atLeas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10"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5</w:t>
            </w:r>
          </w:p>
        </w:tc>
        <w:tc>
          <w:tcPr>
            <w:tcW w:w="1004"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排污沟</w:t>
            </w:r>
          </w:p>
        </w:tc>
        <w:tc>
          <w:tcPr>
            <w:tcW w:w="5023" w:type="dxa"/>
            <w:tcMar>
              <w:left w:w="0" w:type="dxa"/>
              <w:right w:w="0" w:type="dxa"/>
            </w:tcMar>
            <w:vAlign w:val="center"/>
          </w:tcPr>
          <w:p>
            <w:pPr>
              <w:topLinePunct/>
              <w:adjustRightInd w:val="0"/>
              <w:snapToGrid w:val="0"/>
              <w:spacing w:line="320" w:lineRule="atLeast"/>
              <w:rPr>
                <w:color w:val="000000"/>
                <w:szCs w:val="21"/>
              </w:rPr>
            </w:pPr>
            <w:r>
              <w:rPr>
                <w:color w:val="000000"/>
                <w:szCs w:val="21"/>
              </w:rPr>
              <w:t>采取暗沟形式，具备防止淤集以利于定期清理的条件，排污沟应采取硬化措施</w:t>
            </w:r>
          </w:p>
        </w:tc>
        <w:tc>
          <w:tcPr>
            <w:tcW w:w="2223" w:type="dxa"/>
            <w:vMerge w:val="continue"/>
            <w:tcMar>
              <w:left w:w="0" w:type="dxa"/>
              <w:right w:w="0" w:type="dxa"/>
            </w:tcMar>
            <w:vAlign w:val="center"/>
          </w:tcPr>
          <w:p>
            <w:pPr>
              <w:topLinePunct/>
              <w:adjustRightInd w:val="0"/>
              <w:snapToGrid w:val="0"/>
              <w:spacing w:line="320" w:lineRule="atLeas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6</w:t>
            </w:r>
          </w:p>
        </w:tc>
        <w:tc>
          <w:tcPr>
            <w:tcW w:w="1004" w:type="dxa"/>
            <w:tcMar>
              <w:left w:w="0" w:type="dxa"/>
              <w:right w:w="0" w:type="dxa"/>
            </w:tcMar>
            <w:vAlign w:val="center"/>
          </w:tcPr>
          <w:p>
            <w:pPr>
              <w:topLinePunct/>
              <w:adjustRightInd w:val="0"/>
              <w:snapToGrid w:val="0"/>
              <w:spacing w:line="320" w:lineRule="atLeast"/>
              <w:jc w:val="center"/>
              <w:rPr>
                <w:color w:val="000000"/>
                <w:szCs w:val="21"/>
              </w:rPr>
            </w:pPr>
            <w:r>
              <w:rPr>
                <w:color w:val="000000"/>
                <w:szCs w:val="21"/>
              </w:rPr>
              <w:t>场区雨、污管网</w:t>
            </w:r>
          </w:p>
        </w:tc>
        <w:tc>
          <w:tcPr>
            <w:tcW w:w="5023" w:type="dxa"/>
            <w:tcMar>
              <w:left w:w="0" w:type="dxa"/>
              <w:right w:w="0" w:type="dxa"/>
            </w:tcMar>
            <w:vAlign w:val="center"/>
          </w:tcPr>
          <w:p>
            <w:pPr>
              <w:topLinePunct/>
              <w:adjustRightInd w:val="0"/>
              <w:snapToGrid w:val="0"/>
              <w:spacing w:line="320" w:lineRule="atLeast"/>
              <w:rPr>
                <w:color w:val="000000"/>
                <w:szCs w:val="21"/>
              </w:rPr>
            </w:pPr>
            <w:r>
              <w:rPr>
                <w:color w:val="000000"/>
                <w:szCs w:val="21"/>
              </w:rPr>
              <w:t>雨污分流、按照畜禽养殖业污染防治技术规范要求进行建设</w:t>
            </w:r>
          </w:p>
        </w:tc>
        <w:tc>
          <w:tcPr>
            <w:tcW w:w="2223" w:type="dxa"/>
            <w:vMerge w:val="continue"/>
            <w:tcMar>
              <w:left w:w="0" w:type="dxa"/>
              <w:right w:w="0" w:type="dxa"/>
            </w:tcMar>
            <w:vAlign w:val="center"/>
          </w:tcPr>
          <w:p>
            <w:pPr>
              <w:topLinePunct/>
              <w:adjustRightInd w:val="0"/>
              <w:snapToGrid w:val="0"/>
              <w:spacing w:line="320" w:lineRule="atLeast"/>
              <w:jc w:val="center"/>
              <w:rPr>
                <w:color w:val="000000"/>
                <w:szCs w:val="21"/>
              </w:rPr>
            </w:pPr>
          </w:p>
        </w:tc>
      </w:tr>
    </w:tbl>
    <w:p>
      <w:pPr>
        <w:topLinePunct/>
        <w:spacing w:line="500" w:lineRule="exact"/>
        <w:ind w:firstLine="480" w:firstLineChars="200"/>
        <w:rPr>
          <w:color w:val="000000"/>
          <w:sz w:val="24"/>
        </w:rPr>
      </w:pPr>
      <w:r>
        <w:rPr>
          <w:color w:val="000000"/>
          <w:sz w:val="24"/>
        </w:rPr>
        <w:t>（2）分区防渗措施</w:t>
      </w:r>
    </w:p>
    <w:p>
      <w:pPr>
        <w:topLinePunct/>
        <w:adjustRightInd w:val="0"/>
        <w:spacing w:line="500" w:lineRule="exact"/>
        <w:ind w:firstLine="480" w:firstLineChars="200"/>
        <w:rPr>
          <w:color w:val="000000"/>
          <w:sz w:val="24"/>
        </w:rPr>
      </w:pPr>
      <w:r>
        <w:rPr>
          <w:color w:val="000000"/>
          <w:sz w:val="24"/>
        </w:rPr>
        <w:t>项目防渗工程污染防治分区情况如下表。</w:t>
      </w:r>
    </w:p>
    <w:p>
      <w:pPr>
        <w:topLinePunct/>
        <w:spacing w:beforeLines="50" w:afterLines="50"/>
        <w:jc w:val="center"/>
        <w:rPr>
          <w:b/>
          <w:color w:val="000000"/>
        </w:rPr>
      </w:pPr>
      <w:r>
        <w:rPr>
          <w:b/>
          <w:color w:val="000000"/>
        </w:rPr>
        <w:t>表</w:t>
      </w:r>
      <w:r>
        <w:rPr>
          <w:rFonts w:hint="eastAsia"/>
          <w:b/>
          <w:color w:val="000000"/>
          <w:lang w:val="en-US" w:eastAsia="zh-CN"/>
        </w:rPr>
        <w:t>5.2-9</w:t>
      </w:r>
      <w:r>
        <w:rPr>
          <w:b/>
          <w:color w:val="000000"/>
        </w:rPr>
        <w:t xml:space="preserve">  项目防渗工程污染防治分区</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797"/>
        <w:gridCol w:w="2443"/>
        <w:gridCol w:w="1868"/>
        <w:gridCol w:w="1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color w:val="000000"/>
                <w:szCs w:val="21"/>
              </w:rPr>
            </w:pPr>
            <w:r>
              <w:rPr>
                <w:b/>
                <w:color w:val="000000"/>
                <w:szCs w:val="21"/>
              </w:rPr>
              <w:t>序号</w:t>
            </w:r>
          </w:p>
        </w:tc>
        <w:tc>
          <w:tcPr>
            <w:tcW w:w="1797" w:type="dxa"/>
            <w:vAlign w:val="center"/>
          </w:tcPr>
          <w:p>
            <w:pPr>
              <w:topLinePunct/>
              <w:spacing w:line="240" w:lineRule="exact"/>
              <w:jc w:val="center"/>
              <w:rPr>
                <w:b/>
                <w:color w:val="000000"/>
                <w:szCs w:val="21"/>
              </w:rPr>
            </w:pPr>
            <w:r>
              <w:rPr>
                <w:b/>
                <w:color w:val="000000"/>
                <w:szCs w:val="21"/>
              </w:rPr>
              <w:t>名称</w:t>
            </w:r>
          </w:p>
        </w:tc>
        <w:tc>
          <w:tcPr>
            <w:tcW w:w="2443" w:type="dxa"/>
            <w:vAlign w:val="center"/>
          </w:tcPr>
          <w:p>
            <w:pPr>
              <w:topLinePunct/>
              <w:spacing w:line="240" w:lineRule="exact"/>
              <w:jc w:val="center"/>
              <w:rPr>
                <w:b/>
                <w:color w:val="000000"/>
                <w:szCs w:val="21"/>
              </w:rPr>
            </w:pPr>
            <w:r>
              <w:rPr>
                <w:b/>
                <w:color w:val="000000"/>
                <w:szCs w:val="21"/>
              </w:rPr>
              <w:t>防渗区域及部位</w:t>
            </w:r>
          </w:p>
        </w:tc>
        <w:tc>
          <w:tcPr>
            <w:tcW w:w="1868" w:type="dxa"/>
            <w:vAlign w:val="center"/>
          </w:tcPr>
          <w:p>
            <w:pPr>
              <w:topLinePunct/>
              <w:spacing w:line="240" w:lineRule="exact"/>
              <w:jc w:val="center"/>
              <w:rPr>
                <w:b/>
                <w:color w:val="000000"/>
                <w:szCs w:val="21"/>
              </w:rPr>
            </w:pPr>
            <w:r>
              <w:rPr>
                <w:b/>
                <w:color w:val="000000"/>
                <w:szCs w:val="21"/>
              </w:rPr>
              <w:t>防渗分区等级</w:t>
            </w:r>
          </w:p>
        </w:tc>
        <w:tc>
          <w:tcPr>
            <w:tcW w:w="1939" w:type="dxa"/>
            <w:vAlign w:val="center"/>
          </w:tcPr>
          <w:p>
            <w:pPr>
              <w:topLinePunct/>
              <w:spacing w:line="240" w:lineRule="exact"/>
              <w:jc w:val="center"/>
              <w:rPr>
                <w:b/>
                <w:color w:val="000000"/>
                <w:szCs w:val="21"/>
              </w:rPr>
            </w:pPr>
            <w:r>
              <w:rPr>
                <w:b/>
                <w:color w:val="000000"/>
                <w:szCs w:val="21"/>
              </w:rPr>
              <w:t>图中颜色区域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color w:val="000000"/>
                <w:szCs w:val="21"/>
              </w:rPr>
            </w:pPr>
            <w:r>
              <w:rPr>
                <w:color w:val="000000"/>
                <w:szCs w:val="21"/>
              </w:rPr>
              <w:t>1</w:t>
            </w:r>
          </w:p>
        </w:tc>
        <w:tc>
          <w:tcPr>
            <w:tcW w:w="1797" w:type="dxa"/>
            <w:vAlign w:val="center"/>
          </w:tcPr>
          <w:p>
            <w:pPr>
              <w:topLinePunct/>
              <w:spacing w:line="240" w:lineRule="exact"/>
              <w:jc w:val="center"/>
              <w:rPr>
                <w:color w:val="000000"/>
                <w:szCs w:val="21"/>
              </w:rPr>
            </w:pPr>
            <w:r>
              <w:rPr>
                <w:color w:val="000000"/>
                <w:szCs w:val="21"/>
              </w:rPr>
              <w:t>养殖区</w:t>
            </w:r>
          </w:p>
        </w:tc>
        <w:tc>
          <w:tcPr>
            <w:tcW w:w="2443" w:type="dxa"/>
            <w:vAlign w:val="center"/>
          </w:tcPr>
          <w:p>
            <w:pPr>
              <w:topLinePunct/>
              <w:spacing w:line="240" w:lineRule="exact"/>
              <w:jc w:val="center"/>
              <w:rPr>
                <w:color w:val="000000"/>
                <w:szCs w:val="21"/>
              </w:rPr>
            </w:pPr>
            <w:r>
              <w:rPr>
                <w:color w:val="000000"/>
                <w:szCs w:val="21"/>
              </w:rPr>
              <w:t>粪沟、尿道</w:t>
            </w:r>
          </w:p>
        </w:tc>
        <w:tc>
          <w:tcPr>
            <w:tcW w:w="1868" w:type="dxa"/>
            <w:vAlign w:val="center"/>
          </w:tcPr>
          <w:p>
            <w:pPr>
              <w:topLinePunct/>
              <w:spacing w:line="240" w:lineRule="exact"/>
              <w:jc w:val="center"/>
              <w:rPr>
                <w:color w:val="000000"/>
                <w:szCs w:val="21"/>
              </w:rPr>
            </w:pPr>
            <w:r>
              <w:rPr>
                <w:color w:val="000000"/>
                <w:szCs w:val="21"/>
              </w:rPr>
              <w:t>重点</w:t>
            </w:r>
          </w:p>
        </w:tc>
        <w:tc>
          <w:tcPr>
            <w:tcW w:w="1939" w:type="dxa"/>
          </w:tcPr>
          <w:p>
            <w:pPr>
              <w:topLinePunct/>
              <w:spacing w:line="240" w:lineRule="exact"/>
              <w:jc w:val="center"/>
              <w:rPr>
                <w:color w:val="000000"/>
                <w:szCs w:val="21"/>
              </w:rPr>
            </w:pPr>
            <w:r>
              <w:rPr>
                <w:color w:val="000000"/>
                <w:szCs w:val="21"/>
              </w:rPr>
              <w:pict>
                <v:rect id="_x0000_s4568" o:spid="_x0000_s4568" o:spt="1" style="position:absolute;left:0pt;margin-left:32.5pt;margin-top:5.2pt;height:8.25pt;width:21pt;z-index:251661312;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color w:val="000000"/>
                <w:szCs w:val="21"/>
              </w:rPr>
            </w:pPr>
            <w:r>
              <w:rPr>
                <w:color w:val="000000"/>
                <w:szCs w:val="21"/>
              </w:rPr>
              <w:t>2</w:t>
            </w:r>
          </w:p>
        </w:tc>
        <w:tc>
          <w:tcPr>
            <w:tcW w:w="1797" w:type="dxa"/>
            <w:vAlign w:val="center"/>
          </w:tcPr>
          <w:p>
            <w:pPr>
              <w:topLinePunct/>
              <w:spacing w:line="240" w:lineRule="exact"/>
              <w:jc w:val="center"/>
              <w:rPr>
                <w:color w:val="000000"/>
                <w:szCs w:val="21"/>
              </w:rPr>
            </w:pPr>
            <w:r>
              <w:rPr>
                <w:color w:val="000000"/>
                <w:szCs w:val="21"/>
              </w:rPr>
              <w:t>固粪处置区</w:t>
            </w:r>
          </w:p>
        </w:tc>
        <w:tc>
          <w:tcPr>
            <w:tcW w:w="2443" w:type="dxa"/>
            <w:vAlign w:val="center"/>
          </w:tcPr>
          <w:p>
            <w:pPr>
              <w:topLinePunct/>
              <w:spacing w:line="240" w:lineRule="exact"/>
              <w:jc w:val="center"/>
              <w:rPr>
                <w:color w:val="000000"/>
                <w:szCs w:val="21"/>
              </w:rPr>
            </w:pPr>
            <w:r>
              <w:rPr>
                <w:color w:val="000000"/>
                <w:szCs w:val="21"/>
              </w:rPr>
              <w:t>固粪处置区地面</w:t>
            </w:r>
          </w:p>
        </w:tc>
        <w:tc>
          <w:tcPr>
            <w:tcW w:w="1868" w:type="dxa"/>
            <w:vAlign w:val="center"/>
          </w:tcPr>
          <w:p>
            <w:pPr>
              <w:topLinePunct/>
              <w:spacing w:line="240" w:lineRule="exact"/>
              <w:jc w:val="center"/>
              <w:rPr>
                <w:color w:val="000000"/>
                <w:szCs w:val="21"/>
              </w:rPr>
            </w:pPr>
            <w:r>
              <w:rPr>
                <w:color w:val="000000"/>
                <w:szCs w:val="21"/>
              </w:rPr>
              <w:t>重点</w:t>
            </w:r>
          </w:p>
        </w:tc>
        <w:tc>
          <w:tcPr>
            <w:tcW w:w="1939" w:type="dxa"/>
          </w:tcPr>
          <w:p>
            <w:pPr>
              <w:topLinePunct/>
              <w:spacing w:line="240" w:lineRule="exact"/>
              <w:jc w:val="center"/>
              <w:rPr>
                <w:color w:val="000000"/>
                <w:szCs w:val="21"/>
              </w:rPr>
            </w:pPr>
            <w:r>
              <w:rPr>
                <w:color w:val="000000"/>
                <w:szCs w:val="21"/>
              </w:rPr>
              <w:pict>
                <v:rect id="_x0000_s4569" o:spid="_x0000_s4569" o:spt="1" style="position:absolute;left:0pt;margin-left:32.5pt;margin-top:3.85pt;height:8.25pt;width:21pt;z-index:251696128;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color w:val="000000"/>
                <w:szCs w:val="21"/>
              </w:rPr>
            </w:pPr>
            <w:r>
              <w:rPr>
                <w:color w:val="000000"/>
                <w:szCs w:val="21"/>
              </w:rPr>
              <w:t>3</w:t>
            </w:r>
          </w:p>
        </w:tc>
        <w:tc>
          <w:tcPr>
            <w:tcW w:w="1797" w:type="dxa"/>
            <w:vAlign w:val="center"/>
          </w:tcPr>
          <w:p>
            <w:pPr>
              <w:topLinePunct/>
              <w:spacing w:line="240" w:lineRule="exact"/>
              <w:jc w:val="center"/>
              <w:rPr>
                <w:color w:val="000000"/>
                <w:szCs w:val="21"/>
              </w:rPr>
            </w:pPr>
            <w:r>
              <w:rPr>
                <w:color w:val="000000"/>
                <w:szCs w:val="21"/>
              </w:rPr>
              <w:t>污水处理区</w:t>
            </w:r>
          </w:p>
        </w:tc>
        <w:tc>
          <w:tcPr>
            <w:tcW w:w="2443" w:type="dxa"/>
            <w:vAlign w:val="center"/>
          </w:tcPr>
          <w:p>
            <w:pPr>
              <w:topLinePunct/>
              <w:spacing w:line="240" w:lineRule="exact"/>
              <w:jc w:val="center"/>
              <w:rPr>
                <w:color w:val="000000"/>
                <w:szCs w:val="21"/>
              </w:rPr>
            </w:pPr>
            <w:r>
              <w:rPr>
                <w:color w:val="000000"/>
                <w:szCs w:val="21"/>
              </w:rPr>
              <w:t>池底、池壁</w:t>
            </w:r>
          </w:p>
        </w:tc>
        <w:tc>
          <w:tcPr>
            <w:tcW w:w="1868" w:type="dxa"/>
            <w:vAlign w:val="center"/>
          </w:tcPr>
          <w:p>
            <w:pPr>
              <w:topLinePunct/>
              <w:spacing w:line="240" w:lineRule="exact"/>
              <w:jc w:val="center"/>
              <w:rPr>
                <w:color w:val="000000"/>
                <w:szCs w:val="21"/>
              </w:rPr>
            </w:pPr>
            <w:r>
              <w:rPr>
                <w:color w:val="000000"/>
                <w:szCs w:val="21"/>
              </w:rPr>
              <w:t>重点</w:t>
            </w:r>
          </w:p>
        </w:tc>
        <w:tc>
          <w:tcPr>
            <w:tcW w:w="1939" w:type="dxa"/>
          </w:tcPr>
          <w:p>
            <w:pPr>
              <w:topLinePunct/>
              <w:spacing w:line="240" w:lineRule="exact"/>
              <w:jc w:val="center"/>
              <w:rPr>
                <w:color w:val="000000"/>
                <w:szCs w:val="21"/>
              </w:rPr>
            </w:pPr>
            <w:r>
              <w:rPr>
                <w:color w:val="000000"/>
                <w:szCs w:val="21"/>
              </w:rPr>
              <w:pict>
                <v:rect id="_x0000_s4570" o:spid="_x0000_s4570" o:spt="1" style="position:absolute;left:0pt;margin-left:33.25pt;margin-top:3.1pt;height:8.25pt;width:21pt;z-index:251697152;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color w:val="000000"/>
                <w:szCs w:val="21"/>
              </w:rPr>
            </w:pPr>
            <w:r>
              <w:rPr>
                <w:color w:val="000000"/>
                <w:szCs w:val="21"/>
              </w:rPr>
              <w:t>4</w:t>
            </w:r>
          </w:p>
        </w:tc>
        <w:tc>
          <w:tcPr>
            <w:tcW w:w="1797" w:type="dxa"/>
            <w:vAlign w:val="center"/>
          </w:tcPr>
          <w:p>
            <w:pPr>
              <w:topLinePunct/>
              <w:spacing w:line="240" w:lineRule="exact"/>
              <w:jc w:val="center"/>
              <w:rPr>
                <w:color w:val="000000"/>
                <w:szCs w:val="21"/>
              </w:rPr>
            </w:pPr>
            <w:r>
              <w:rPr>
                <w:color w:val="000000"/>
                <w:szCs w:val="21"/>
              </w:rPr>
              <w:t>沼液储存池</w:t>
            </w:r>
          </w:p>
        </w:tc>
        <w:tc>
          <w:tcPr>
            <w:tcW w:w="2443" w:type="dxa"/>
            <w:vAlign w:val="center"/>
          </w:tcPr>
          <w:p>
            <w:pPr>
              <w:topLinePunct/>
              <w:spacing w:line="240" w:lineRule="exact"/>
              <w:jc w:val="center"/>
              <w:rPr>
                <w:color w:val="000000"/>
                <w:szCs w:val="21"/>
              </w:rPr>
            </w:pPr>
            <w:r>
              <w:rPr>
                <w:color w:val="000000"/>
                <w:szCs w:val="21"/>
              </w:rPr>
              <w:t>池底、池壁</w:t>
            </w:r>
          </w:p>
        </w:tc>
        <w:tc>
          <w:tcPr>
            <w:tcW w:w="1868" w:type="dxa"/>
            <w:vAlign w:val="center"/>
          </w:tcPr>
          <w:p>
            <w:pPr>
              <w:topLinePunct/>
              <w:spacing w:line="240" w:lineRule="exact"/>
              <w:jc w:val="center"/>
              <w:rPr>
                <w:color w:val="000000"/>
                <w:szCs w:val="21"/>
              </w:rPr>
            </w:pPr>
            <w:r>
              <w:rPr>
                <w:color w:val="000000"/>
                <w:szCs w:val="21"/>
              </w:rPr>
              <w:t>重点</w:t>
            </w:r>
          </w:p>
        </w:tc>
        <w:tc>
          <w:tcPr>
            <w:tcW w:w="1939" w:type="dxa"/>
          </w:tcPr>
          <w:p>
            <w:pPr>
              <w:topLinePunct/>
              <w:spacing w:line="240" w:lineRule="exact"/>
              <w:jc w:val="center"/>
              <w:rPr>
                <w:color w:val="000000"/>
                <w:szCs w:val="21"/>
              </w:rPr>
            </w:pPr>
            <w:r>
              <w:rPr>
                <w:color w:val="000000"/>
                <w:szCs w:val="21"/>
              </w:rPr>
              <w:pict>
                <v:rect id="_x0000_s4571" o:spid="_x0000_s4571" o:spt="1" style="position:absolute;left:0pt;margin-left:32.5pt;margin-top:4pt;height:8.25pt;width:21pt;z-index:251698176;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color w:val="000000"/>
                <w:szCs w:val="21"/>
              </w:rPr>
            </w:pPr>
            <w:r>
              <w:rPr>
                <w:color w:val="000000"/>
                <w:szCs w:val="21"/>
              </w:rPr>
              <w:t>5</w:t>
            </w:r>
          </w:p>
        </w:tc>
        <w:tc>
          <w:tcPr>
            <w:tcW w:w="1797" w:type="dxa"/>
            <w:vAlign w:val="center"/>
          </w:tcPr>
          <w:p>
            <w:pPr>
              <w:topLinePunct/>
              <w:spacing w:line="240" w:lineRule="exact"/>
              <w:jc w:val="center"/>
              <w:rPr>
                <w:color w:val="000000"/>
                <w:szCs w:val="21"/>
              </w:rPr>
            </w:pPr>
            <w:r>
              <w:rPr>
                <w:color w:val="000000"/>
                <w:szCs w:val="21"/>
              </w:rPr>
              <w:t>其他区域</w:t>
            </w:r>
          </w:p>
        </w:tc>
        <w:tc>
          <w:tcPr>
            <w:tcW w:w="2443" w:type="dxa"/>
            <w:vAlign w:val="center"/>
          </w:tcPr>
          <w:p>
            <w:pPr>
              <w:topLinePunct/>
              <w:spacing w:line="240" w:lineRule="exact"/>
              <w:jc w:val="center"/>
              <w:rPr>
                <w:color w:val="000000"/>
                <w:szCs w:val="21"/>
              </w:rPr>
            </w:pPr>
            <w:r>
              <w:rPr>
                <w:color w:val="000000"/>
                <w:szCs w:val="21"/>
              </w:rPr>
              <w:t>地面</w:t>
            </w:r>
          </w:p>
        </w:tc>
        <w:tc>
          <w:tcPr>
            <w:tcW w:w="1868" w:type="dxa"/>
            <w:vAlign w:val="center"/>
          </w:tcPr>
          <w:p>
            <w:pPr>
              <w:topLinePunct/>
              <w:spacing w:line="240" w:lineRule="exact"/>
              <w:jc w:val="center"/>
              <w:rPr>
                <w:color w:val="000000"/>
                <w:szCs w:val="21"/>
              </w:rPr>
            </w:pPr>
            <w:r>
              <w:rPr>
                <w:color w:val="000000"/>
                <w:szCs w:val="21"/>
              </w:rPr>
              <w:t>一般</w:t>
            </w:r>
          </w:p>
        </w:tc>
        <w:tc>
          <w:tcPr>
            <w:tcW w:w="1939" w:type="dxa"/>
            <w:vAlign w:val="center"/>
          </w:tcPr>
          <w:p>
            <w:pPr>
              <w:topLinePunct/>
              <w:spacing w:line="240" w:lineRule="exact"/>
              <w:jc w:val="center"/>
              <w:rPr>
                <w:color w:val="000000"/>
                <w:szCs w:val="21"/>
              </w:rPr>
            </w:pPr>
            <w:r>
              <w:rPr>
                <w:color w:val="000000"/>
                <w:szCs w:val="21"/>
              </w:rPr>
              <w:pict>
                <v:rect id="_x0000_s4572" o:spid="_x0000_s4572" o:spt="1" style="position:absolute;left:0pt;margin-left:34.25pt;margin-top:3.15pt;height:8.25pt;width:21pt;z-index:251699200;mso-width-relative:page;mso-height-relative:page;" fillcolor="#00B050" filled="f" stroked="t" coordsize="21600,21600">
                  <v:path/>
                  <v:fill on="f" opacity="32768f" focussize="0,0"/>
                  <v:stroke weight="1.5pt" color="#00B050"/>
                  <v:imagedata o:title=""/>
                  <o:lock v:ext="edit"/>
                </v:rect>
              </w:pict>
            </w:r>
          </w:p>
        </w:tc>
      </w:tr>
    </w:tbl>
    <w:p>
      <w:pPr>
        <w:topLinePunct/>
        <w:spacing w:line="500" w:lineRule="exact"/>
        <w:ind w:firstLine="480" w:firstLineChars="200"/>
        <w:rPr>
          <w:color w:val="000000"/>
          <w:sz w:val="24"/>
        </w:rPr>
      </w:pPr>
      <w:r>
        <w:rPr>
          <w:color w:val="000000"/>
          <w:sz w:val="24"/>
        </w:rPr>
        <w:t>养殖区（猪舍底部）、固粪处置区、污水处理区、沼液储存区重点防渗，养殖区（猪舍底部）、收集池采用混凝土防渗，渗透系数能够达到4.19×10</w:t>
      </w:r>
      <w:r>
        <w:rPr>
          <w:color w:val="000000"/>
          <w:sz w:val="24"/>
          <w:vertAlign w:val="superscript"/>
        </w:rPr>
        <w:t>-9</w:t>
      </w:r>
      <w:r>
        <w:rPr>
          <w:color w:val="000000"/>
          <w:sz w:val="24"/>
        </w:rPr>
        <w:t>cm/s；沼液储存池采用HDPE膜+素土夯实防渗，HDPE膜抗渗能力比较强，渗透系数能够达到1.0×10</w:t>
      </w:r>
      <w:r>
        <w:rPr>
          <w:color w:val="000000"/>
          <w:sz w:val="24"/>
          <w:vertAlign w:val="superscript"/>
        </w:rPr>
        <w:t>-10</w:t>
      </w:r>
      <w:r>
        <w:rPr>
          <w:color w:val="000000"/>
          <w:sz w:val="24"/>
        </w:rPr>
        <w:t>cm/s；场区道路采用水泥防渗。</w:t>
      </w:r>
    </w:p>
    <w:p>
      <w:pPr>
        <w:topLinePunct/>
        <w:spacing w:line="500" w:lineRule="exact"/>
        <w:ind w:firstLine="480" w:firstLineChars="200"/>
        <w:rPr>
          <w:bCs/>
          <w:color w:val="000000"/>
          <w:sz w:val="24"/>
        </w:rPr>
      </w:pPr>
      <w:r>
        <w:rPr>
          <w:color w:val="000000"/>
          <w:sz w:val="24"/>
        </w:rPr>
        <w:t>（3）</w:t>
      </w:r>
      <w:r>
        <w:rPr>
          <w:bCs/>
          <w:color w:val="000000"/>
          <w:sz w:val="24"/>
        </w:rPr>
        <w:t>预防地下水污染物的要求及环境管理建议</w:t>
      </w:r>
    </w:p>
    <w:p>
      <w:pPr>
        <w:topLinePunct/>
        <w:spacing w:line="500" w:lineRule="exact"/>
        <w:ind w:firstLine="482"/>
        <w:rPr>
          <w:color w:val="000000"/>
          <w:sz w:val="24"/>
        </w:rPr>
      </w:pPr>
      <w:r>
        <w:rPr>
          <w:color w:val="000000"/>
          <w:sz w:val="24"/>
        </w:rPr>
        <w:t>项目在施工阶段，应充分做好排污管道的防渗处理，杜绝污水渗漏，确保污水收集处理系统衔接良好，严格用水管理，防止污水“跑、冒、滴、漏”现象的发生，这样可以保证项目区内产生的全部废水汇集到污水处理站集中处理，可以很大程度的消除污染物排放对周边地区地下水环境的影响。运营期环境建议严格按照以下要求进行管理：</w:t>
      </w:r>
    </w:p>
    <w:p>
      <w:pPr>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《畜禽养殖业污染防治技术规范》（HJ/T81－2001）规定，养殖场的排水系统应实施雨水和污水收集输送系统分离，在场区内设置的污水收集输送系统，不得采用明沟布设。</w:t>
      </w:r>
    </w:p>
    <w:p>
      <w:pPr>
        <w:topLinePunct/>
        <w:spacing w:line="500" w:lineRule="exact"/>
        <w:ind w:firstLine="480" w:firstLineChars="200"/>
        <w:rPr>
          <w:color w:val="000000"/>
          <w:sz w:val="24"/>
        </w:rPr>
      </w:pPr>
      <w:r>
        <w:rPr>
          <w:rFonts w:hint="eastAsia" w:ascii="宋体" w:hAnsi="宋体" w:cs="宋体"/>
          <w:color w:val="000000"/>
          <w:sz w:val="24"/>
        </w:rPr>
        <w:t>②</w:t>
      </w:r>
      <w:r>
        <w:rPr>
          <w:color w:val="000000"/>
          <w:sz w:val="24"/>
        </w:rPr>
        <w:t>废水、猪粪贮存设施应采取有效的防渗处理工艺，防止废水、粪便淋滤液污染地下水。</w:t>
      </w:r>
    </w:p>
    <w:p>
      <w:pPr>
        <w:topLinePunct/>
        <w:spacing w:line="500" w:lineRule="exact"/>
        <w:ind w:firstLine="480" w:firstLineChars="200"/>
        <w:rPr>
          <w:color w:val="000000"/>
          <w:sz w:val="24"/>
        </w:rPr>
      </w:pPr>
      <w:r>
        <w:rPr>
          <w:color w:val="000000"/>
          <w:sz w:val="24"/>
        </w:rPr>
        <w:t>沼液储存池池壁在清场夯压的基础上采用铺设HDPE膜+素土夯实进行防渗，底部设置排气沟，最底部排气沟中放置排水管，并设置导流渠，以防止污染地下水，同时各废水输送管道应做到防泄露、跑冒等；</w:t>
      </w:r>
    </w:p>
    <w:p>
      <w:pPr>
        <w:topLinePunct/>
        <w:spacing w:line="500" w:lineRule="exact"/>
        <w:ind w:firstLine="480" w:firstLineChars="200"/>
        <w:rPr>
          <w:color w:val="000000"/>
          <w:sz w:val="24"/>
        </w:rPr>
      </w:pPr>
      <w:r>
        <w:rPr>
          <w:color w:val="000000"/>
          <w:sz w:val="24"/>
        </w:rPr>
        <w:t>根据《畜禽养殖业污染源总量减排技术指导意见（试行）》（豫环文（2012）99号文）中的相关要求，固粪处置区应采取有效的防雨、防渗漏、防溢流措施。堆放场宜为15～20厘米水泥地面、坡度2%以上；三周砌筑1米高的砖墙；其上搭建雨棚，防止降雨(水)的进入；固粪处置区内还应设渗滤水收集沟，并与污水收集系统相连。与畜禽舍之间保持200~300米的距离，若因场地或地形因素达不到此要求，可在畜禽舍与粪便堆放场之间建设隔离墙，并适当绿化。防止污水渗漏对地下水造成污染。因此，本项目固粪处置区“三防”措施应严格按照以上要求执行。</w:t>
      </w:r>
    </w:p>
    <w:p>
      <w:pPr>
        <w:topLinePunct/>
        <w:spacing w:line="500" w:lineRule="exact"/>
        <w:ind w:firstLine="480" w:firstLineChars="200"/>
        <w:rPr>
          <w:color w:val="000000"/>
          <w:sz w:val="24"/>
        </w:rPr>
      </w:pPr>
      <w:r>
        <w:rPr>
          <w:rFonts w:hint="eastAsia" w:ascii="宋体" w:hAnsi="宋体" w:cs="宋体"/>
          <w:color w:val="000000"/>
          <w:sz w:val="24"/>
        </w:rPr>
        <w:t>③</w:t>
      </w:r>
      <w:r>
        <w:rPr>
          <w:color w:val="000000"/>
          <w:sz w:val="24"/>
        </w:rPr>
        <w:t>做好收集池、</w:t>
      </w:r>
      <w:r>
        <w:rPr>
          <w:rFonts w:hint="eastAsia"/>
          <w:color w:val="000000"/>
          <w:sz w:val="24"/>
          <w:lang w:eastAsia="zh-CN"/>
        </w:rPr>
        <w:t>黑膜</w:t>
      </w:r>
      <w:r>
        <w:rPr>
          <w:color w:val="000000"/>
          <w:sz w:val="24"/>
        </w:rPr>
        <w:t>沼气池、排水沟、沼液储存池等的防渗工作，应充分考虑农间作期间影响和雨季影响，能够保证有足够的容量以容纳养殖场产生的废水。养殖场污水处理系统的各个池子应按期清淤，各池建设时应高出地面至少20cm以上，以保证大雨时雨水不进入、污水不外溢。</w:t>
      </w:r>
    </w:p>
    <w:p>
      <w:pPr>
        <w:topLinePunct/>
        <w:spacing w:line="500" w:lineRule="exact"/>
        <w:ind w:firstLine="480" w:firstLineChars="200"/>
        <w:rPr>
          <w:color w:val="000000"/>
          <w:sz w:val="24"/>
        </w:rPr>
      </w:pPr>
      <w:r>
        <w:rPr>
          <w:color w:val="000000"/>
          <w:sz w:val="24"/>
        </w:rPr>
        <w:fldChar w:fldCharType="begin"/>
      </w:r>
      <w:r>
        <w:rPr>
          <w:color w:val="000000"/>
          <w:sz w:val="24"/>
        </w:rPr>
        <w:instrText xml:space="preserve">= 4 \* GB3</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肥水适当施用，由企业结合天气状况、当地土地消纳能力、当地农田施肥规律等定时定量合理施肥，防止过度施肥而影响地下水环境。并且，防止在雨天进行施肥，以避免肥水随雨水垂直径流进入地下水体，造成污染。</w:t>
      </w:r>
    </w:p>
    <w:p>
      <w:pPr>
        <w:topLinePunct/>
        <w:spacing w:line="500" w:lineRule="exact"/>
        <w:ind w:firstLine="480" w:firstLineChars="200"/>
        <w:rPr>
          <w:color w:val="000000"/>
          <w:sz w:val="24"/>
        </w:rPr>
      </w:pPr>
      <w:r>
        <w:rPr>
          <w:color w:val="000000"/>
          <w:sz w:val="24"/>
        </w:rPr>
        <w:t>（4）管理措施</w:t>
      </w:r>
    </w:p>
    <w:p>
      <w:pPr>
        <w:topLinePunct/>
        <w:spacing w:line="500" w:lineRule="exact"/>
        <w:ind w:firstLine="480" w:firstLineChars="200"/>
        <w:rPr>
          <w:color w:val="000000"/>
          <w:sz w:val="24"/>
        </w:rPr>
      </w:pPr>
      <w:r>
        <w:rPr>
          <w:color w:val="000000"/>
          <w:sz w:val="24"/>
        </w:rPr>
        <w:t>成立事故处理组织，一旦发生废水事故排放，应立即组织人力、物力和财力加紧对设备进行维修，同时对废水进行回收、拦截，以防止污染地下水；</w:t>
      </w:r>
    </w:p>
    <w:p>
      <w:pPr>
        <w:topLinePunct/>
        <w:spacing w:line="500" w:lineRule="exact"/>
        <w:ind w:firstLine="480" w:firstLineChars="200"/>
        <w:rPr>
          <w:color w:val="000000"/>
          <w:sz w:val="24"/>
        </w:rPr>
      </w:pPr>
      <w:r>
        <w:rPr>
          <w:color w:val="000000"/>
          <w:sz w:val="24"/>
        </w:rPr>
        <w:t>综上分析，建设项目场区地下水敏感性差，污染物排放简单，在落实好防渗、防污措施后，本项目污染物能得到有效处理，对地下水水质影响较小，项目的建设不会产生其他环境地质问题，因此对地下水环境质量影响较小。</w:t>
      </w:r>
    </w:p>
    <w:p>
      <w:pPr>
        <w:keepNext/>
        <w:keepLines/>
        <w:topLinePunct/>
        <w:spacing w:line="600" w:lineRule="exact"/>
        <w:jc w:val="left"/>
        <w:outlineLvl w:val="2"/>
        <w:rPr>
          <w:rFonts w:hint="eastAsia"/>
          <w:b/>
          <w:bCs/>
          <w:color w:val="000000"/>
          <w:sz w:val="24"/>
          <w:szCs w:val="32"/>
          <w:lang w:val="en-US" w:eastAsia="zh-CN"/>
        </w:rPr>
      </w:pPr>
      <w:r>
        <w:rPr>
          <w:rFonts w:hint="eastAsia"/>
          <w:b/>
          <w:bCs/>
          <w:color w:val="000000"/>
          <w:sz w:val="24"/>
          <w:szCs w:val="32"/>
          <w:lang w:val="en-US" w:eastAsia="zh-CN"/>
        </w:rPr>
        <w:t>5.2.3废气污染防治措施分析</w:t>
      </w:r>
    </w:p>
    <w:p>
      <w:pPr>
        <w:topLinePunct/>
        <w:adjustRightInd w:val="0"/>
        <w:snapToGrid w:val="0"/>
        <w:spacing w:line="520" w:lineRule="exact"/>
        <w:rPr>
          <w:b w:val="0"/>
          <w:bCs w:val="0"/>
          <w:color w:val="000000"/>
          <w:sz w:val="24"/>
          <w:u w:val="none"/>
        </w:rPr>
      </w:pPr>
      <w:r>
        <w:rPr>
          <w:rFonts w:hint="eastAsia"/>
          <w:b w:val="0"/>
          <w:bCs w:val="0"/>
          <w:color w:val="000000"/>
          <w:sz w:val="24"/>
          <w:u w:val="none"/>
          <w:lang w:val="en-US" w:eastAsia="zh-CN"/>
        </w:rPr>
        <w:t>5</w:t>
      </w:r>
      <w:r>
        <w:rPr>
          <w:b w:val="0"/>
          <w:bCs w:val="0"/>
          <w:color w:val="000000"/>
          <w:sz w:val="24"/>
          <w:u w:val="none"/>
        </w:rPr>
        <w:t>.2.3.1恶臭</w:t>
      </w:r>
    </w:p>
    <w:p>
      <w:pPr>
        <w:topLinePunct/>
        <w:adjustRightInd w:val="0"/>
        <w:snapToGrid w:val="0"/>
        <w:spacing w:line="520" w:lineRule="exact"/>
        <w:ind w:firstLine="480" w:firstLineChars="200"/>
        <w:rPr>
          <w:b w:val="0"/>
          <w:bCs w:val="0"/>
          <w:color w:val="000000"/>
          <w:sz w:val="24"/>
          <w:u w:val="none"/>
        </w:rPr>
      </w:pPr>
      <w:r>
        <w:rPr>
          <w:b w:val="0"/>
          <w:bCs w:val="0"/>
          <w:color w:val="000000"/>
          <w:sz w:val="24"/>
          <w:u w:val="none"/>
        </w:rPr>
        <w:t>（1）恶臭产生的场所</w:t>
      </w:r>
    </w:p>
    <w:p>
      <w:pPr>
        <w:topLinePunct/>
        <w:adjustRightInd w:val="0"/>
        <w:snapToGrid w:val="0"/>
        <w:spacing w:line="520" w:lineRule="exact"/>
        <w:ind w:firstLine="480" w:firstLineChars="200"/>
        <w:rPr>
          <w:b w:val="0"/>
          <w:bCs w:val="0"/>
          <w:color w:val="000000"/>
          <w:sz w:val="24"/>
          <w:u w:val="none"/>
        </w:rPr>
      </w:pPr>
      <w:r>
        <w:rPr>
          <w:b w:val="0"/>
          <w:bCs w:val="0"/>
          <w:color w:val="000000"/>
          <w:sz w:val="24"/>
          <w:u w:val="none"/>
        </w:rPr>
        <w:t>恶臭在养殖场和处理场等处均可产生，影响畜禽场恶臭产生的的主要原因是清粪方式、管理水平、粪便和污水处理程度，同时也与场址选择、场地规划和布局、畜舍设计、畜舍通风等有关。</w:t>
      </w:r>
    </w:p>
    <w:p>
      <w:pPr>
        <w:topLinePunct/>
        <w:adjustRightInd w:val="0"/>
        <w:snapToGrid w:val="0"/>
        <w:spacing w:line="520" w:lineRule="exact"/>
        <w:ind w:firstLine="480" w:firstLineChars="200"/>
        <w:rPr>
          <w:b w:val="0"/>
          <w:bCs w:val="0"/>
          <w:color w:val="000000"/>
          <w:sz w:val="24"/>
          <w:u w:val="none"/>
        </w:rPr>
      </w:pPr>
      <w:r>
        <w:rPr>
          <w:b w:val="0"/>
          <w:bCs w:val="0"/>
          <w:color w:val="000000"/>
          <w:sz w:val="24"/>
          <w:u w:val="none"/>
        </w:rPr>
        <w:t>恶臭的成分十分复杂，因家畜的种类、清粪方式、日粮组成、粪便和污水处理等不同而异，有机成分是硫醇类、胺类、吲哚、挥发性有机酸、酚类、醛类、酮类、醇类以及含氮杂环化合物等，无机成分主要是NH</w:t>
      </w:r>
      <w:r>
        <w:rPr>
          <w:b w:val="0"/>
          <w:bCs w:val="0"/>
          <w:color w:val="000000"/>
          <w:sz w:val="24"/>
          <w:u w:val="none"/>
          <w:vertAlign w:val="subscript"/>
        </w:rPr>
        <w:t>3</w:t>
      </w:r>
      <w:r>
        <w:rPr>
          <w:b w:val="0"/>
          <w:bCs w:val="0"/>
          <w:color w:val="000000"/>
          <w:sz w:val="24"/>
          <w:u w:val="none"/>
        </w:rPr>
        <w:t>和H</w:t>
      </w:r>
      <w:r>
        <w:rPr>
          <w:b w:val="0"/>
          <w:bCs w:val="0"/>
          <w:color w:val="000000"/>
          <w:sz w:val="24"/>
          <w:u w:val="none"/>
          <w:vertAlign w:val="subscript"/>
        </w:rPr>
        <w:t>2</w:t>
      </w:r>
      <w:r>
        <w:rPr>
          <w:b w:val="0"/>
          <w:bCs w:val="0"/>
          <w:color w:val="000000"/>
          <w:sz w:val="24"/>
          <w:u w:val="none"/>
        </w:rPr>
        <w:t>S。</w:t>
      </w:r>
    </w:p>
    <w:p>
      <w:pPr>
        <w:topLinePunct/>
        <w:adjustRightInd w:val="0"/>
        <w:snapToGrid w:val="0"/>
        <w:spacing w:line="520" w:lineRule="exact"/>
        <w:ind w:firstLine="480" w:firstLineChars="200"/>
        <w:rPr>
          <w:b w:val="0"/>
          <w:bCs w:val="0"/>
          <w:color w:val="000000"/>
          <w:sz w:val="24"/>
          <w:u w:val="none"/>
        </w:rPr>
      </w:pPr>
      <w:r>
        <w:rPr>
          <w:b w:val="0"/>
          <w:bCs w:val="0"/>
          <w:color w:val="000000"/>
          <w:sz w:val="24"/>
          <w:u w:val="none"/>
        </w:rPr>
        <w:t>（2）恶臭污染防治措施</w:t>
      </w:r>
    </w:p>
    <w:p>
      <w:pPr>
        <w:topLinePunct/>
        <w:adjustRightInd w:val="0"/>
        <w:snapToGrid w:val="0"/>
        <w:spacing w:line="520" w:lineRule="exact"/>
        <w:ind w:firstLine="480" w:firstLineChars="200"/>
        <w:rPr>
          <w:b w:val="0"/>
          <w:bCs w:val="0"/>
          <w:color w:val="000000"/>
          <w:sz w:val="24"/>
          <w:u w:val="none"/>
        </w:rPr>
      </w:pPr>
      <w:r>
        <w:rPr>
          <w:b w:val="0"/>
          <w:bCs w:val="0"/>
          <w:color w:val="000000"/>
          <w:sz w:val="24"/>
          <w:u w:val="none"/>
        </w:rPr>
        <w:t>由于猪舍的恶臭污染源很分散，集中处理困难，最有效的控制方法是预防为主，在恶臭产生的源头就地处理。本评价主要提出如下措施减降恶臭污染物的产生：</w:t>
      </w:r>
    </w:p>
    <w:p>
      <w:pPr>
        <w:topLinePunct/>
        <w:adjustRightInd w:val="0"/>
        <w:snapToGrid w:val="0"/>
        <w:spacing w:line="520" w:lineRule="exact"/>
        <w:ind w:firstLine="480" w:firstLineChars="200"/>
        <w:rPr>
          <w:b w:val="0"/>
          <w:bCs w:val="0"/>
          <w:color w:val="000000"/>
          <w:sz w:val="24"/>
          <w:u w:val="none"/>
        </w:rPr>
      </w:pPr>
      <w:r>
        <w:rPr>
          <w:rFonts w:hint="eastAsia" w:ascii="宋体" w:hAnsi="宋体" w:cs="宋体"/>
          <w:b w:val="0"/>
          <w:bCs w:val="0"/>
          <w:color w:val="000000"/>
          <w:sz w:val="24"/>
          <w:u w:val="none"/>
        </w:rPr>
        <w:t>①</w:t>
      </w:r>
      <w:r>
        <w:rPr>
          <w:b w:val="0"/>
          <w:bCs w:val="0"/>
          <w:color w:val="000000"/>
          <w:sz w:val="24"/>
          <w:u w:val="none"/>
        </w:rPr>
        <w:t xml:space="preserve"> 源头控制</w:t>
      </w:r>
    </w:p>
    <w:p>
      <w:pPr>
        <w:topLinePunct/>
        <w:spacing w:line="520" w:lineRule="exact"/>
        <w:ind w:firstLine="480" w:firstLineChars="200"/>
        <w:rPr>
          <w:b w:val="0"/>
          <w:bCs w:val="0"/>
          <w:color w:val="000000"/>
          <w:sz w:val="24"/>
          <w:u w:val="none"/>
        </w:rPr>
      </w:pPr>
      <w:r>
        <w:rPr>
          <w:b w:val="0"/>
          <w:bCs w:val="0"/>
          <w:iCs/>
          <w:color w:val="000000"/>
          <w:sz w:val="24"/>
          <w:szCs w:val="28"/>
          <w:u w:val="none"/>
        </w:rPr>
        <w:t>通过控制饲养密度，并加强舍内通风，及时清理猪舍，猪粪、沼渣等应及时加工或外运，尽量减少其在场内的堆存时间和堆存量；搞好场区环境卫生，采用节水型饮水器，猪舍及时冲洗；</w:t>
      </w:r>
    </w:p>
    <w:p>
      <w:pPr>
        <w:topLinePunct/>
        <w:spacing w:line="520" w:lineRule="exact"/>
        <w:ind w:firstLine="480" w:firstLineChars="200"/>
        <w:rPr>
          <w:b w:val="0"/>
          <w:bCs w:val="0"/>
          <w:color w:val="000000"/>
          <w:sz w:val="24"/>
          <w:u w:val="none"/>
        </w:rPr>
      </w:pPr>
      <w:r>
        <w:rPr>
          <w:b w:val="0"/>
          <w:bCs w:val="0"/>
          <w:color w:val="000000"/>
          <w:sz w:val="24"/>
          <w:szCs w:val="28"/>
          <w:u w:val="none"/>
        </w:rPr>
        <w:t>温度高时恶臭气体浓度高，猪粪在1～2周后发酵较快，粪便暴露面积大的发酵率高。猪舍使用漏缝地板，保证粪便冷却，并尽快从猪舍内清粪，在猪舍内加强通风，加速粪便干燥，可减少猪粪污染</w:t>
      </w:r>
      <w:r>
        <w:rPr>
          <w:b w:val="0"/>
          <w:bCs w:val="0"/>
          <w:color w:val="000000"/>
          <w:sz w:val="24"/>
          <w:u w:val="none"/>
        </w:rPr>
        <w:t>；</w:t>
      </w:r>
    </w:p>
    <w:p>
      <w:pPr>
        <w:tabs>
          <w:tab w:val="left" w:pos="7380"/>
        </w:tabs>
        <w:topLinePunct/>
        <w:adjustRightInd w:val="0"/>
        <w:snapToGrid w:val="0"/>
        <w:spacing w:line="520" w:lineRule="exact"/>
        <w:ind w:firstLine="480" w:firstLineChars="200"/>
        <w:rPr>
          <w:b w:val="0"/>
          <w:bCs w:val="0"/>
          <w:color w:val="000000"/>
          <w:sz w:val="24"/>
          <w:szCs w:val="28"/>
          <w:u w:val="none"/>
        </w:rPr>
      </w:pPr>
      <w:r>
        <w:rPr>
          <w:b w:val="0"/>
          <w:bCs w:val="0"/>
          <w:color w:val="000000"/>
          <w:sz w:val="24"/>
          <w:u w:val="none"/>
        </w:rPr>
        <w:t>通过</w:t>
      </w:r>
      <w:r>
        <w:rPr>
          <w:b w:val="0"/>
          <w:bCs w:val="0"/>
          <w:color w:val="000000"/>
          <w:sz w:val="24"/>
          <w:szCs w:val="28"/>
          <w:u w:val="none"/>
        </w:rPr>
        <w:t>合理搭配日粮</w:t>
      </w:r>
      <w:r>
        <w:rPr>
          <w:b w:val="0"/>
          <w:bCs w:val="0"/>
          <w:color w:val="000000"/>
          <w:sz w:val="24"/>
          <w:u w:val="none"/>
        </w:rPr>
        <w:t>；</w:t>
      </w:r>
      <w:r>
        <w:rPr>
          <w:b w:val="0"/>
          <w:bCs w:val="0"/>
          <w:color w:val="000000"/>
          <w:sz w:val="24"/>
          <w:szCs w:val="28"/>
          <w:u w:val="none"/>
        </w:rPr>
        <w:t>而减轻环境中的恶臭，减少蚊蝇孪生。</w:t>
      </w:r>
    </w:p>
    <w:p>
      <w:pPr>
        <w:pStyle w:val="38"/>
        <w:topLinePunct/>
        <w:adjustRightInd w:val="0"/>
        <w:snapToGrid w:val="0"/>
        <w:spacing w:after="0" w:line="520" w:lineRule="exact"/>
        <w:ind w:firstLine="480" w:firstLineChars="200"/>
        <w:rPr>
          <w:b w:val="0"/>
          <w:bCs w:val="0"/>
          <w:color w:val="000000"/>
          <w:sz w:val="24"/>
          <w:u w:val="none"/>
        </w:rPr>
      </w:pPr>
      <w:r>
        <w:rPr>
          <w:rFonts w:hint="eastAsia" w:ascii="宋体" w:hAnsi="宋体" w:cs="宋体"/>
          <w:b w:val="0"/>
          <w:bCs w:val="0"/>
          <w:color w:val="000000"/>
          <w:sz w:val="24"/>
          <w:u w:val="none"/>
        </w:rPr>
        <w:t>②</w:t>
      </w:r>
      <w:r>
        <w:rPr>
          <w:b w:val="0"/>
          <w:bCs w:val="0"/>
          <w:color w:val="000000"/>
          <w:sz w:val="24"/>
          <w:u w:val="none"/>
        </w:rPr>
        <w:t>过程整治</w:t>
      </w:r>
    </w:p>
    <w:p>
      <w:pPr>
        <w:pStyle w:val="14"/>
        <w:topLinePunct/>
        <w:adjustRightInd w:val="0"/>
        <w:snapToGrid w:val="0"/>
        <w:spacing w:line="520" w:lineRule="exact"/>
        <w:ind w:firstLine="482"/>
        <w:rPr>
          <w:b w:val="0"/>
          <w:bCs w:val="0"/>
          <w:color w:val="000000"/>
          <w:sz w:val="24"/>
          <w:u w:val="none"/>
        </w:rPr>
      </w:pPr>
      <w:r>
        <w:rPr>
          <w:b w:val="0"/>
          <w:bCs w:val="0"/>
          <w:color w:val="000000"/>
          <w:sz w:val="24"/>
          <w:u w:val="none"/>
        </w:rPr>
        <w:t>猪场采用“漏缝板+干清粪”工艺，项目采用墙体集热板、猪舍内热交换器、红外灯和喷雾降温相结合的方式进行猪舍内部温度控制。猪转栏时利用高压水枪冲圈消毒，夏季加强猪舍通风，降低舍内有害气体浓度，产生的粪渣等固废及时运至贮存或处理场所，以减少污染。</w:t>
      </w:r>
    </w:p>
    <w:p>
      <w:pPr>
        <w:pStyle w:val="14"/>
        <w:topLinePunct/>
        <w:adjustRightInd w:val="0"/>
        <w:snapToGrid w:val="0"/>
        <w:spacing w:line="520" w:lineRule="exact"/>
        <w:ind w:firstLine="482"/>
        <w:rPr>
          <w:b w:val="0"/>
          <w:bCs w:val="0"/>
          <w:color w:val="000000"/>
          <w:sz w:val="24"/>
          <w:u w:val="none"/>
        </w:rPr>
      </w:pPr>
      <w:r>
        <w:rPr>
          <w:b w:val="0"/>
          <w:bCs w:val="0"/>
          <w:color w:val="000000"/>
          <w:sz w:val="24"/>
          <w:u w:val="none"/>
        </w:rPr>
        <w:t>猪粪及沼渣及时运往固粪处置区，固粪处置区场设置顶棚，即能防雨又能保持通风，三面设置围堰。</w:t>
      </w:r>
    </w:p>
    <w:p>
      <w:pPr>
        <w:pStyle w:val="14"/>
        <w:topLinePunct/>
        <w:adjustRightInd w:val="0"/>
        <w:snapToGrid w:val="0"/>
        <w:spacing w:line="520" w:lineRule="exact"/>
        <w:ind w:firstLine="482"/>
        <w:rPr>
          <w:b w:val="0"/>
          <w:bCs w:val="0"/>
          <w:color w:val="000000"/>
          <w:sz w:val="24"/>
          <w:u w:val="none"/>
        </w:rPr>
      </w:pPr>
      <w:r>
        <w:rPr>
          <w:b w:val="0"/>
          <w:bCs w:val="0"/>
          <w:color w:val="000000"/>
          <w:sz w:val="24"/>
          <w:u w:val="none"/>
        </w:rPr>
        <w:t>加强养殖场生产管理，并对工作人员强化知识培训，提高饲养人员操作技能；</w:t>
      </w:r>
    </w:p>
    <w:p>
      <w:pPr>
        <w:pStyle w:val="14"/>
        <w:topLinePunct/>
        <w:adjustRightInd w:val="0"/>
        <w:snapToGrid w:val="0"/>
        <w:spacing w:line="520" w:lineRule="exact"/>
        <w:ind w:firstLine="482"/>
        <w:rPr>
          <w:b w:val="0"/>
          <w:bCs w:val="0"/>
          <w:color w:val="000000"/>
          <w:sz w:val="24"/>
          <w:u w:val="none"/>
        </w:rPr>
      </w:pPr>
      <w:r>
        <w:rPr>
          <w:b w:val="0"/>
          <w:bCs w:val="0"/>
          <w:color w:val="000000"/>
          <w:sz w:val="24"/>
          <w:u w:val="none"/>
        </w:rPr>
        <w:t>场区布置按功能区进行相应划分，各构筑物之间设绿化隔离带，特别是沼液储存池四周应加强绿化，易种植椿树、法国梧桐、枸杞树、柏树、小叶女贞等具有吸附恶臭功能的绿色植物，并配合种植草木、灌木等，实现立体绿化，利用绿色植物的吸收作用，以减少恶臭气体的逸散，减轻恶臭等对周围环境的影响；</w:t>
      </w:r>
    </w:p>
    <w:p>
      <w:pPr>
        <w:pStyle w:val="38"/>
        <w:topLinePunct/>
        <w:adjustRightInd w:val="0"/>
        <w:snapToGrid w:val="0"/>
        <w:spacing w:after="0" w:line="500" w:lineRule="exact"/>
        <w:ind w:firstLine="480" w:firstLineChars="200"/>
        <w:rPr>
          <w:b w:val="0"/>
          <w:bCs w:val="0"/>
          <w:color w:val="000000"/>
          <w:sz w:val="24"/>
          <w:u w:val="none"/>
        </w:rPr>
      </w:pPr>
      <w:r>
        <w:rPr>
          <w:rFonts w:hint="eastAsia" w:ascii="宋体" w:hAnsi="宋体" w:cs="宋体"/>
          <w:b w:val="0"/>
          <w:bCs w:val="0"/>
          <w:color w:val="000000"/>
          <w:sz w:val="24"/>
          <w:u w:val="none"/>
        </w:rPr>
        <w:t>③</w:t>
      </w:r>
      <w:r>
        <w:rPr>
          <w:b w:val="0"/>
          <w:bCs w:val="0"/>
          <w:color w:val="000000"/>
          <w:sz w:val="24"/>
          <w:u w:val="none"/>
        </w:rPr>
        <w:t>终端处理</w:t>
      </w:r>
    </w:p>
    <w:p>
      <w:pPr>
        <w:pStyle w:val="27"/>
        <w:topLinePunct/>
        <w:spacing w:after="0" w:line="500" w:lineRule="exact"/>
        <w:ind w:left="0" w:leftChars="0" w:firstLine="480" w:firstLineChars="200"/>
        <w:rPr>
          <w:b w:val="0"/>
          <w:bCs w:val="0"/>
          <w:color w:val="000000"/>
          <w:sz w:val="24"/>
          <w:u w:val="none"/>
        </w:rPr>
      </w:pPr>
      <w:r>
        <w:rPr>
          <w:b w:val="0"/>
          <w:bCs w:val="0"/>
          <w:color w:val="000000"/>
          <w:sz w:val="24"/>
          <w:u w:val="none"/>
        </w:rPr>
        <w:t>产生的恶臭用多种化学和生物产品来控制恶臭。评价建议夏季高温天气在养殖区、污水处理站、固粪处置区附近喷洒除臭剂进行处理，多用强氧化剂和杀菌剂等消除微生物产生的臭味或化学氧化臭味物质。</w:t>
      </w:r>
    </w:p>
    <w:p>
      <w:pPr>
        <w:pStyle w:val="27"/>
        <w:topLinePunct/>
        <w:spacing w:after="0" w:line="500" w:lineRule="exact"/>
        <w:ind w:left="0" w:leftChars="0" w:firstLine="480" w:firstLineChars="200"/>
        <w:rPr>
          <w:b w:val="0"/>
          <w:bCs w:val="0"/>
          <w:color w:val="000000"/>
          <w:sz w:val="24"/>
          <w:u w:val="none"/>
        </w:rPr>
      </w:pPr>
      <w:r>
        <w:rPr>
          <w:b w:val="0"/>
          <w:bCs w:val="0"/>
          <w:color w:val="000000"/>
          <w:sz w:val="24"/>
          <w:u w:val="none"/>
        </w:rPr>
        <w:t>本项目使用养殖场专用植物性除臭剂，该种除臭剂主要成分为活性醛基芳香香料、樟树、桉树、柏木、香茅等天然植物提取物，无毒、无刺激、无腐蚀性，杀菌功能强。植物性除臭剂通过4种物理化学作用力将臭气分子捕捉：范德华力、耦合力、化学反应力、吸附力，植物型除臭剂可以有效去除硫化氢、氨气、二氧化硫、甲硫醇、胺等多种常见的恶臭气体，也可以用于去除工业领域产生的特种恶臭气味。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简单的气味掩盖作用，而是利用植物提取液中的活性成分与不能和活性基(-CHO)反应的成分进行再次作用，使其失去原来的气味，藉此实现对发挥性恶臭物质的有效削减和消除。</w:t>
      </w:r>
    </w:p>
    <w:p>
      <w:pPr>
        <w:topLinePunct/>
        <w:adjustRightInd w:val="0"/>
        <w:snapToGrid w:val="0"/>
        <w:spacing w:line="520" w:lineRule="exact"/>
        <w:ind w:firstLine="480" w:firstLineChars="200"/>
        <w:rPr>
          <w:b w:val="0"/>
          <w:bCs w:val="0"/>
          <w:color w:val="000000"/>
          <w:sz w:val="24"/>
          <w:u w:val="none"/>
        </w:rPr>
      </w:pPr>
      <w:r>
        <w:rPr>
          <w:b w:val="0"/>
          <w:bCs w:val="0"/>
          <w:color w:val="000000"/>
          <w:sz w:val="24"/>
          <w:u w:val="none"/>
        </w:rPr>
        <w:t>采用上述措施治理后，可有效减轻项目恶臭污染影响，评价预测场界排放臭气浓度能够满足《畜禽养殖业污染物排放标准》（GB18596－2001）中表7要求，在场界外500m范围内不得新建学校、医院、居民区等环境敏感点。</w:t>
      </w:r>
    </w:p>
    <w:p>
      <w:pPr>
        <w:topLinePunct/>
        <w:spacing w:beforeLines="50" w:afterLines="50"/>
        <w:ind w:firstLine="420" w:firstLineChars="200"/>
        <w:jc w:val="center"/>
        <w:rPr>
          <w:b w:val="0"/>
          <w:bCs w:val="0"/>
          <w:color w:val="000000"/>
          <w:szCs w:val="21"/>
          <w:u w:val="none"/>
        </w:rPr>
      </w:pPr>
      <w:r>
        <w:rPr>
          <w:b/>
          <w:bCs/>
          <w:color w:val="000000"/>
          <w:szCs w:val="21"/>
          <w:u w:val="none"/>
        </w:rPr>
        <w:t>表</w:t>
      </w:r>
      <w:r>
        <w:rPr>
          <w:rFonts w:hint="eastAsia"/>
          <w:b/>
          <w:bCs/>
          <w:color w:val="000000"/>
          <w:szCs w:val="21"/>
          <w:u w:val="none"/>
          <w:lang w:val="en-US" w:eastAsia="zh-CN"/>
        </w:rPr>
        <w:t xml:space="preserve">5.2-10  </w:t>
      </w:r>
      <w:r>
        <w:rPr>
          <w:b/>
          <w:bCs/>
          <w:color w:val="000000"/>
          <w:szCs w:val="21"/>
          <w:u w:val="none"/>
        </w:rPr>
        <w:t>工程废气污染防治措施一栏表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12"/>
        <w:gridCol w:w="2269"/>
        <w:gridCol w:w="3401"/>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81" w:type="dxa"/>
            <w:vAlign w:val="center"/>
          </w:tcPr>
          <w:p>
            <w:pPr>
              <w:topLinePunct/>
              <w:adjustRightInd w:val="0"/>
              <w:snapToGrid w:val="0"/>
              <w:jc w:val="center"/>
              <w:rPr>
                <w:b w:val="0"/>
                <w:bCs w:val="0"/>
                <w:color w:val="000000"/>
                <w:szCs w:val="21"/>
                <w:u w:val="none"/>
              </w:rPr>
            </w:pPr>
            <w:r>
              <w:rPr>
                <w:b w:val="0"/>
                <w:bCs w:val="0"/>
                <w:color w:val="000000"/>
                <w:szCs w:val="21"/>
                <w:u w:val="none"/>
              </w:rPr>
              <w:t>序号</w:t>
            </w:r>
          </w:p>
        </w:tc>
        <w:tc>
          <w:tcPr>
            <w:tcW w:w="1512" w:type="dxa"/>
            <w:vAlign w:val="center"/>
          </w:tcPr>
          <w:p>
            <w:pPr>
              <w:topLinePunct/>
              <w:adjustRightInd w:val="0"/>
              <w:snapToGrid w:val="0"/>
              <w:jc w:val="center"/>
              <w:rPr>
                <w:b w:val="0"/>
                <w:bCs w:val="0"/>
                <w:color w:val="000000"/>
                <w:szCs w:val="21"/>
                <w:u w:val="none"/>
              </w:rPr>
            </w:pPr>
            <w:r>
              <w:rPr>
                <w:b w:val="0"/>
                <w:bCs w:val="0"/>
                <w:color w:val="000000"/>
                <w:szCs w:val="21"/>
                <w:u w:val="none"/>
              </w:rPr>
              <w:t>排放源</w:t>
            </w:r>
          </w:p>
        </w:tc>
        <w:tc>
          <w:tcPr>
            <w:tcW w:w="2269" w:type="dxa"/>
            <w:vAlign w:val="center"/>
          </w:tcPr>
          <w:p>
            <w:pPr>
              <w:topLinePunct/>
              <w:adjustRightInd w:val="0"/>
              <w:snapToGrid w:val="0"/>
              <w:jc w:val="center"/>
              <w:rPr>
                <w:b w:val="0"/>
                <w:bCs w:val="0"/>
                <w:color w:val="000000"/>
                <w:szCs w:val="21"/>
                <w:u w:val="none"/>
              </w:rPr>
            </w:pPr>
            <w:r>
              <w:rPr>
                <w:b w:val="0"/>
                <w:bCs w:val="0"/>
                <w:color w:val="000000"/>
                <w:szCs w:val="21"/>
                <w:u w:val="none"/>
              </w:rPr>
              <w:t>防治措施</w:t>
            </w:r>
          </w:p>
        </w:tc>
        <w:tc>
          <w:tcPr>
            <w:tcW w:w="3401" w:type="dxa"/>
          </w:tcPr>
          <w:p>
            <w:pPr>
              <w:topLinePunct/>
              <w:adjustRightInd w:val="0"/>
              <w:snapToGrid w:val="0"/>
              <w:jc w:val="center"/>
              <w:rPr>
                <w:b w:val="0"/>
                <w:bCs w:val="0"/>
                <w:color w:val="000000"/>
                <w:szCs w:val="21"/>
                <w:u w:val="none"/>
              </w:rPr>
            </w:pPr>
            <w:r>
              <w:rPr>
                <w:b w:val="0"/>
                <w:bCs w:val="0"/>
                <w:color w:val="000000"/>
                <w:szCs w:val="21"/>
                <w:u w:val="none"/>
              </w:rPr>
              <w:t>实施方案</w:t>
            </w:r>
          </w:p>
        </w:tc>
        <w:tc>
          <w:tcPr>
            <w:tcW w:w="1183" w:type="dxa"/>
            <w:vAlign w:val="center"/>
          </w:tcPr>
          <w:p>
            <w:pPr>
              <w:topLinePunct/>
              <w:adjustRightInd w:val="0"/>
              <w:snapToGrid w:val="0"/>
              <w:jc w:val="center"/>
              <w:rPr>
                <w:b w:val="0"/>
                <w:bCs w:val="0"/>
                <w:color w:val="000000"/>
                <w:szCs w:val="21"/>
                <w:u w:val="none"/>
              </w:rPr>
            </w:pPr>
            <w:r>
              <w:rPr>
                <w:b w:val="0"/>
                <w:bCs w:val="0"/>
                <w:color w:val="000000"/>
                <w:szCs w:val="21"/>
                <w:u w:val="none"/>
              </w:rPr>
              <w:t>治理目标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81" w:type="dxa"/>
            <w:vAlign w:val="center"/>
          </w:tcPr>
          <w:p>
            <w:pPr>
              <w:topLinePunct/>
              <w:adjustRightInd w:val="0"/>
              <w:snapToGrid w:val="0"/>
              <w:jc w:val="center"/>
              <w:rPr>
                <w:b w:val="0"/>
                <w:bCs w:val="0"/>
                <w:color w:val="000000"/>
                <w:szCs w:val="21"/>
                <w:u w:val="none"/>
              </w:rPr>
            </w:pPr>
            <w:r>
              <w:rPr>
                <w:b w:val="0"/>
                <w:bCs w:val="0"/>
                <w:color w:val="000000"/>
                <w:szCs w:val="21"/>
                <w:u w:val="none"/>
              </w:rPr>
              <w:t>1</w:t>
            </w:r>
          </w:p>
        </w:tc>
        <w:tc>
          <w:tcPr>
            <w:tcW w:w="1512" w:type="dxa"/>
            <w:vAlign w:val="center"/>
          </w:tcPr>
          <w:p>
            <w:pPr>
              <w:topLinePunct/>
              <w:adjustRightInd w:val="0"/>
              <w:snapToGrid w:val="0"/>
              <w:jc w:val="center"/>
              <w:rPr>
                <w:b w:val="0"/>
                <w:bCs w:val="0"/>
                <w:color w:val="000000"/>
                <w:szCs w:val="21"/>
                <w:u w:val="none"/>
              </w:rPr>
            </w:pPr>
            <w:r>
              <w:rPr>
                <w:b w:val="0"/>
                <w:bCs w:val="0"/>
                <w:color w:val="000000"/>
                <w:szCs w:val="21"/>
                <w:u w:val="none"/>
              </w:rPr>
              <w:t>猪舍</w:t>
            </w:r>
          </w:p>
        </w:tc>
        <w:tc>
          <w:tcPr>
            <w:tcW w:w="2269" w:type="dxa"/>
            <w:vAlign w:val="center"/>
          </w:tcPr>
          <w:p>
            <w:pPr>
              <w:topLinePunct/>
              <w:adjustRightInd w:val="0"/>
              <w:snapToGrid w:val="0"/>
              <w:jc w:val="center"/>
              <w:rPr>
                <w:b w:val="0"/>
                <w:bCs w:val="0"/>
                <w:color w:val="000000"/>
                <w:szCs w:val="21"/>
                <w:u w:val="none"/>
              </w:rPr>
            </w:pPr>
            <w:r>
              <w:rPr>
                <w:b w:val="0"/>
                <w:bCs w:val="0"/>
                <w:color w:val="000000"/>
                <w:szCs w:val="21"/>
                <w:u w:val="none"/>
              </w:rPr>
              <w:t>定期冲圈，猪舍周边喷洒除臭剂</w:t>
            </w:r>
          </w:p>
        </w:tc>
        <w:tc>
          <w:tcPr>
            <w:tcW w:w="3401" w:type="dxa"/>
          </w:tcPr>
          <w:p>
            <w:pPr>
              <w:topLinePunct/>
              <w:adjustRightInd w:val="0"/>
              <w:snapToGrid w:val="0"/>
              <w:rPr>
                <w:b w:val="0"/>
                <w:bCs w:val="0"/>
                <w:color w:val="000000"/>
                <w:szCs w:val="21"/>
                <w:u w:val="none"/>
              </w:rPr>
            </w:pPr>
            <w:r>
              <w:rPr>
                <w:b w:val="0"/>
                <w:bCs w:val="0"/>
                <w:color w:val="000000"/>
                <w:szCs w:val="21"/>
                <w:u w:val="none"/>
              </w:rPr>
              <w:t>猪转栏时利用高压水枪彻底冲圈消毒，人工喷洒除臭剂，喷洒频率为：前期连续喷洒3天，之后每隔5天喷洒一次</w:t>
            </w:r>
          </w:p>
        </w:tc>
        <w:tc>
          <w:tcPr>
            <w:tcW w:w="1183" w:type="dxa"/>
            <w:vMerge w:val="restart"/>
            <w:vAlign w:val="center"/>
          </w:tcPr>
          <w:p>
            <w:pPr>
              <w:topLinePunct/>
              <w:adjustRightInd w:val="0"/>
              <w:snapToGrid w:val="0"/>
              <w:rPr>
                <w:b w:val="0"/>
                <w:bCs w:val="0"/>
                <w:color w:val="000000"/>
                <w:szCs w:val="21"/>
                <w:u w:val="none"/>
              </w:rPr>
            </w:pPr>
            <w:r>
              <w:rPr>
                <w:b w:val="0"/>
                <w:bCs w:val="0"/>
                <w:color w:val="000000"/>
                <w:szCs w:val="21"/>
                <w:u w:val="none"/>
              </w:rPr>
              <w:t>满足《恶臭污染物排放标准》表1中二级标准要求。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1" w:type="dxa"/>
            <w:vAlign w:val="center"/>
          </w:tcPr>
          <w:p>
            <w:pPr>
              <w:topLinePunct/>
              <w:adjustRightInd w:val="0"/>
              <w:snapToGrid w:val="0"/>
              <w:jc w:val="center"/>
              <w:rPr>
                <w:b w:val="0"/>
                <w:bCs w:val="0"/>
                <w:color w:val="000000"/>
                <w:szCs w:val="21"/>
                <w:u w:val="none"/>
              </w:rPr>
            </w:pPr>
            <w:r>
              <w:rPr>
                <w:b w:val="0"/>
                <w:bCs w:val="0"/>
                <w:color w:val="000000"/>
                <w:szCs w:val="21"/>
                <w:u w:val="none"/>
              </w:rPr>
              <w:t>2</w:t>
            </w:r>
          </w:p>
        </w:tc>
        <w:tc>
          <w:tcPr>
            <w:tcW w:w="1512" w:type="dxa"/>
            <w:vAlign w:val="center"/>
          </w:tcPr>
          <w:p>
            <w:pPr>
              <w:topLinePunct/>
              <w:adjustRightInd w:val="0"/>
              <w:snapToGrid w:val="0"/>
              <w:jc w:val="center"/>
              <w:rPr>
                <w:b w:val="0"/>
                <w:bCs w:val="0"/>
                <w:color w:val="000000"/>
                <w:szCs w:val="21"/>
                <w:u w:val="none"/>
              </w:rPr>
            </w:pPr>
            <w:r>
              <w:rPr>
                <w:b w:val="0"/>
                <w:bCs w:val="0"/>
                <w:color w:val="000000"/>
                <w:szCs w:val="21"/>
                <w:u w:val="none"/>
              </w:rPr>
              <w:t>固粪处置区</w:t>
            </w:r>
          </w:p>
        </w:tc>
        <w:tc>
          <w:tcPr>
            <w:tcW w:w="2269" w:type="dxa"/>
            <w:vAlign w:val="center"/>
          </w:tcPr>
          <w:p>
            <w:pPr>
              <w:topLinePunct/>
              <w:adjustRightInd w:val="0"/>
              <w:snapToGrid w:val="0"/>
              <w:jc w:val="center"/>
              <w:rPr>
                <w:b w:val="0"/>
                <w:bCs w:val="0"/>
                <w:color w:val="000000"/>
                <w:szCs w:val="21"/>
                <w:u w:val="none"/>
              </w:rPr>
            </w:pPr>
            <w:r>
              <w:rPr>
                <w:b w:val="0"/>
                <w:bCs w:val="0"/>
                <w:color w:val="000000"/>
                <w:szCs w:val="21"/>
                <w:u w:val="none"/>
              </w:rPr>
              <w:t>加强通风，喷洒除臭剂</w:t>
            </w:r>
          </w:p>
        </w:tc>
        <w:tc>
          <w:tcPr>
            <w:tcW w:w="3401" w:type="dxa"/>
          </w:tcPr>
          <w:p>
            <w:pPr>
              <w:topLinePunct/>
              <w:adjustRightInd w:val="0"/>
              <w:snapToGrid w:val="0"/>
              <w:rPr>
                <w:b w:val="0"/>
                <w:bCs w:val="0"/>
                <w:color w:val="000000"/>
                <w:szCs w:val="21"/>
                <w:u w:val="none"/>
              </w:rPr>
            </w:pPr>
            <w:r>
              <w:rPr>
                <w:b w:val="0"/>
                <w:bCs w:val="0"/>
                <w:color w:val="000000"/>
                <w:szCs w:val="21"/>
                <w:u w:val="none"/>
              </w:rPr>
              <w:t xml:space="preserve">设置顶棚，三面设置围堰，人工喷洒除臭剂，喷洒频率为：每次翻堆时人工喷洒 </w:t>
            </w:r>
          </w:p>
        </w:tc>
        <w:tc>
          <w:tcPr>
            <w:tcW w:w="1183" w:type="dxa"/>
            <w:vMerge w:val="continue"/>
            <w:vAlign w:val="center"/>
          </w:tcPr>
          <w:p>
            <w:pPr>
              <w:topLinePunct/>
              <w:adjustRightInd w:val="0"/>
              <w:snapToGrid w:val="0"/>
              <w:rPr>
                <w:b w:val="0"/>
                <w:bCs w:val="0"/>
                <w:color w:val="00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1" w:type="dxa"/>
            <w:vAlign w:val="center"/>
          </w:tcPr>
          <w:p>
            <w:pPr>
              <w:topLinePunct/>
              <w:adjustRightInd w:val="0"/>
              <w:snapToGrid w:val="0"/>
              <w:jc w:val="center"/>
              <w:rPr>
                <w:b w:val="0"/>
                <w:bCs w:val="0"/>
                <w:color w:val="000000"/>
                <w:szCs w:val="21"/>
                <w:u w:val="none"/>
              </w:rPr>
            </w:pPr>
            <w:r>
              <w:rPr>
                <w:b w:val="0"/>
                <w:bCs w:val="0"/>
                <w:color w:val="000000"/>
                <w:szCs w:val="21"/>
                <w:u w:val="none"/>
              </w:rPr>
              <w:t>3</w:t>
            </w:r>
          </w:p>
        </w:tc>
        <w:tc>
          <w:tcPr>
            <w:tcW w:w="1512" w:type="dxa"/>
            <w:vAlign w:val="center"/>
          </w:tcPr>
          <w:p>
            <w:pPr>
              <w:topLinePunct/>
              <w:adjustRightInd w:val="0"/>
              <w:snapToGrid w:val="0"/>
              <w:jc w:val="center"/>
              <w:rPr>
                <w:b w:val="0"/>
                <w:bCs w:val="0"/>
                <w:color w:val="000000"/>
                <w:szCs w:val="21"/>
                <w:u w:val="none"/>
              </w:rPr>
            </w:pPr>
            <w:r>
              <w:rPr>
                <w:b w:val="0"/>
                <w:bCs w:val="0"/>
                <w:color w:val="000000"/>
                <w:szCs w:val="21"/>
                <w:u w:val="none"/>
              </w:rPr>
              <w:t>污水处理站</w:t>
            </w:r>
          </w:p>
        </w:tc>
        <w:tc>
          <w:tcPr>
            <w:tcW w:w="2269" w:type="dxa"/>
            <w:vAlign w:val="center"/>
          </w:tcPr>
          <w:p>
            <w:pPr>
              <w:topLinePunct/>
              <w:jc w:val="center"/>
              <w:rPr>
                <w:b w:val="0"/>
                <w:bCs w:val="0"/>
                <w:color w:val="000000"/>
                <w:szCs w:val="21"/>
                <w:u w:val="none"/>
              </w:rPr>
            </w:pPr>
            <w:r>
              <w:rPr>
                <w:b w:val="0"/>
                <w:bCs w:val="0"/>
                <w:color w:val="000000"/>
                <w:szCs w:val="21"/>
                <w:u w:val="none"/>
              </w:rPr>
              <w:t>加强管理，喷洒除臭剂</w:t>
            </w:r>
          </w:p>
        </w:tc>
        <w:tc>
          <w:tcPr>
            <w:tcW w:w="3401" w:type="dxa"/>
          </w:tcPr>
          <w:p>
            <w:pPr>
              <w:topLinePunct/>
              <w:adjustRightInd w:val="0"/>
              <w:snapToGrid w:val="0"/>
              <w:rPr>
                <w:b w:val="0"/>
                <w:bCs w:val="0"/>
                <w:color w:val="000000"/>
                <w:szCs w:val="21"/>
                <w:u w:val="none"/>
              </w:rPr>
            </w:pPr>
            <w:r>
              <w:rPr>
                <w:b w:val="0"/>
                <w:bCs w:val="0"/>
                <w:color w:val="000000"/>
                <w:szCs w:val="21"/>
                <w:u w:val="none"/>
              </w:rPr>
              <w:t>对操作人员强化培训，并配合喷洒除臭剂，喷洒频率为：前期连续喷洒3天，之后每隔5天喷洒一次</w:t>
            </w:r>
          </w:p>
        </w:tc>
        <w:tc>
          <w:tcPr>
            <w:tcW w:w="1183" w:type="dxa"/>
            <w:vMerge w:val="continue"/>
            <w:vAlign w:val="center"/>
          </w:tcPr>
          <w:p>
            <w:pPr>
              <w:topLinePunct/>
              <w:adjustRightInd w:val="0"/>
              <w:snapToGrid w:val="0"/>
              <w:rPr>
                <w:b w:val="0"/>
                <w:bCs w:val="0"/>
                <w:color w:val="00000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81" w:type="dxa"/>
            <w:vAlign w:val="center"/>
          </w:tcPr>
          <w:p>
            <w:pPr>
              <w:topLinePunct/>
              <w:adjustRightInd w:val="0"/>
              <w:snapToGrid w:val="0"/>
              <w:jc w:val="center"/>
              <w:rPr>
                <w:b w:val="0"/>
                <w:bCs w:val="0"/>
                <w:color w:val="000000"/>
                <w:szCs w:val="21"/>
                <w:u w:val="none"/>
              </w:rPr>
            </w:pPr>
            <w:r>
              <w:rPr>
                <w:b w:val="0"/>
                <w:bCs w:val="0"/>
                <w:color w:val="000000"/>
                <w:szCs w:val="21"/>
                <w:u w:val="none"/>
              </w:rPr>
              <w:t>4</w:t>
            </w:r>
          </w:p>
        </w:tc>
        <w:tc>
          <w:tcPr>
            <w:tcW w:w="1512" w:type="dxa"/>
            <w:vAlign w:val="center"/>
          </w:tcPr>
          <w:p>
            <w:pPr>
              <w:topLinePunct/>
              <w:adjustRightInd w:val="0"/>
              <w:snapToGrid w:val="0"/>
              <w:jc w:val="center"/>
              <w:rPr>
                <w:b w:val="0"/>
                <w:bCs w:val="0"/>
                <w:color w:val="000000"/>
                <w:szCs w:val="21"/>
                <w:u w:val="none"/>
              </w:rPr>
            </w:pPr>
            <w:r>
              <w:rPr>
                <w:b w:val="0"/>
                <w:bCs w:val="0"/>
                <w:color w:val="000000"/>
                <w:szCs w:val="21"/>
                <w:u w:val="none"/>
              </w:rPr>
              <w:t>沼液储存池</w:t>
            </w:r>
          </w:p>
        </w:tc>
        <w:tc>
          <w:tcPr>
            <w:tcW w:w="2269" w:type="dxa"/>
            <w:vAlign w:val="center"/>
          </w:tcPr>
          <w:p>
            <w:pPr>
              <w:topLinePunct/>
              <w:jc w:val="center"/>
              <w:rPr>
                <w:b w:val="0"/>
                <w:bCs w:val="0"/>
                <w:color w:val="000000"/>
                <w:szCs w:val="21"/>
                <w:u w:val="none"/>
              </w:rPr>
            </w:pPr>
            <w:r>
              <w:rPr>
                <w:b w:val="0"/>
                <w:bCs w:val="0"/>
                <w:color w:val="000000"/>
                <w:szCs w:val="21"/>
                <w:u w:val="none"/>
              </w:rPr>
              <w:t>周边绿化</w:t>
            </w:r>
          </w:p>
        </w:tc>
        <w:tc>
          <w:tcPr>
            <w:tcW w:w="3401" w:type="dxa"/>
          </w:tcPr>
          <w:p>
            <w:pPr>
              <w:topLinePunct/>
              <w:adjustRightInd w:val="0"/>
              <w:snapToGrid w:val="0"/>
              <w:rPr>
                <w:b w:val="0"/>
                <w:bCs w:val="0"/>
                <w:color w:val="000000"/>
                <w:szCs w:val="21"/>
                <w:u w:val="none"/>
              </w:rPr>
            </w:pPr>
            <w:r>
              <w:rPr>
                <w:b w:val="0"/>
                <w:bCs w:val="0"/>
                <w:color w:val="000000"/>
                <w:szCs w:val="21"/>
                <w:u w:val="none"/>
              </w:rPr>
              <w:t>四周加强绿化，主要种植草木、灌木、乔木等间隔立体绿化</w:t>
            </w:r>
          </w:p>
        </w:tc>
        <w:tc>
          <w:tcPr>
            <w:tcW w:w="1183" w:type="dxa"/>
            <w:vMerge w:val="continue"/>
            <w:vAlign w:val="center"/>
          </w:tcPr>
          <w:p>
            <w:pPr>
              <w:topLinePunct/>
              <w:adjustRightInd w:val="0"/>
              <w:snapToGrid w:val="0"/>
              <w:rPr>
                <w:b w:val="0"/>
                <w:bCs w:val="0"/>
                <w:color w:val="000000"/>
                <w:szCs w:val="21"/>
                <w:u w:val="none"/>
              </w:rPr>
            </w:pPr>
          </w:p>
        </w:tc>
      </w:tr>
    </w:tbl>
    <w:p>
      <w:pPr>
        <w:topLinePunct/>
        <w:adjustRightInd w:val="0"/>
        <w:snapToGrid w:val="0"/>
        <w:spacing w:line="520" w:lineRule="exact"/>
        <w:rPr>
          <w:b w:val="0"/>
          <w:bCs w:val="0"/>
          <w:color w:val="000000"/>
          <w:sz w:val="24"/>
          <w:u w:val="none"/>
        </w:rPr>
      </w:pPr>
      <w:r>
        <w:rPr>
          <w:rFonts w:hint="eastAsia"/>
          <w:b w:val="0"/>
          <w:bCs w:val="0"/>
          <w:color w:val="000000"/>
          <w:sz w:val="24"/>
          <w:u w:val="none"/>
          <w:lang w:val="en-US" w:eastAsia="zh-CN"/>
        </w:rPr>
        <w:t>5</w:t>
      </w:r>
      <w:r>
        <w:rPr>
          <w:b w:val="0"/>
          <w:bCs w:val="0"/>
          <w:color w:val="000000"/>
          <w:sz w:val="24"/>
          <w:u w:val="none"/>
        </w:rPr>
        <w:t>.2.3.2沼气和天然气燃烧废气</w:t>
      </w:r>
    </w:p>
    <w:p>
      <w:pPr>
        <w:widowControl/>
        <w:spacing w:line="520" w:lineRule="exact"/>
        <w:ind w:firstLine="480" w:firstLineChars="200"/>
        <w:rPr>
          <w:b w:val="0"/>
          <w:bCs w:val="0"/>
          <w:color w:val="000000"/>
          <w:sz w:val="24"/>
          <w:u w:val="none"/>
        </w:rPr>
      </w:pPr>
      <w:r>
        <w:rPr>
          <w:rFonts w:hAnsi="宋体"/>
          <w:sz w:val="24"/>
        </w:rPr>
        <w:t>项目沼气</w:t>
      </w:r>
      <w:r>
        <w:rPr>
          <w:rFonts w:hint="eastAsia" w:hAnsi="宋体"/>
          <w:sz w:val="24"/>
        </w:rPr>
        <w:t>火炬燃烧</w:t>
      </w:r>
      <w:r>
        <w:rPr>
          <w:rFonts w:hAnsi="宋体"/>
          <w:sz w:val="24"/>
        </w:rPr>
        <w:t>年排放废气量为</w:t>
      </w:r>
      <w:r>
        <w:rPr>
          <w:rFonts w:hint="eastAsia"/>
          <w:sz w:val="24"/>
          <w:lang w:val="en-US" w:eastAsia="zh-CN"/>
        </w:rPr>
        <w:t>333835</w:t>
      </w:r>
      <w:r>
        <w:rPr>
          <w:sz w:val="24"/>
        </w:rPr>
        <w:t>m</w:t>
      </w:r>
      <w:r>
        <w:rPr>
          <w:sz w:val="24"/>
          <w:vertAlign w:val="superscript"/>
        </w:rPr>
        <w:t>3</w:t>
      </w:r>
      <w:r>
        <w:rPr>
          <w:sz w:val="24"/>
        </w:rPr>
        <w:t>/a</w:t>
      </w:r>
      <w:r>
        <w:rPr>
          <w:rFonts w:hAnsi="宋体"/>
          <w:sz w:val="24"/>
        </w:rPr>
        <w:t>，脱硫后的沼气燃烧废气中</w:t>
      </w:r>
      <w:r>
        <w:rPr>
          <w:sz w:val="24"/>
        </w:rPr>
        <w:t>SO</w:t>
      </w:r>
      <w:r>
        <w:rPr>
          <w:sz w:val="24"/>
          <w:vertAlign w:val="subscript"/>
        </w:rPr>
        <w:t>2</w:t>
      </w:r>
      <w:r>
        <w:rPr>
          <w:rFonts w:hAnsi="宋体"/>
          <w:sz w:val="24"/>
        </w:rPr>
        <w:t>排放量</w:t>
      </w:r>
      <w:r>
        <w:rPr>
          <w:sz w:val="24"/>
        </w:rPr>
        <w:t>0.0</w:t>
      </w:r>
      <w:r>
        <w:rPr>
          <w:rFonts w:hint="eastAsia"/>
          <w:sz w:val="24"/>
        </w:rPr>
        <w:t>0</w:t>
      </w:r>
      <w:r>
        <w:rPr>
          <w:rFonts w:hint="eastAsia"/>
          <w:sz w:val="24"/>
          <w:lang w:val="en-US" w:eastAsia="zh-CN"/>
        </w:rPr>
        <w:t>07</w:t>
      </w:r>
      <w:r>
        <w:rPr>
          <w:sz w:val="24"/>
        </w:rPr>
        <w:t>t/a</w:t>
      </w:r>
      <w:r>
        <w:rPr>
          <w:rFonts w:hAnsi="宋体"/>
          <w:sz w:val="24"/>
        </w:rPr>
        <w:t>、</w:t>
      </w:r>
      <w:r>
        <w:rPr>
          <w:rFonts w:hint="eastAsia" w:hAnsi="宋体"/>
          <w:sz w:val="24"/>
        </w:rPr>
        <w:t>排放速率0.000</w:t>
      </w:r>
      <w:r>
        <w:rPr>
          <w:rFonts w:hint="eastAsia" w:hAnsi="宋体"/>
          <w:sz w:val="24"/>
          <w:lang w:val="en-US" w:eastAsia="zh-CN"/>
        </w:rPr>
        <w:t>5</w:t>
      </w:r>
      <w:r>
        <w:rPr>
          <w:rFonts w:hint="eastAsia" w:hAnsi="宋体"/>
          <w:sz w:val="24"/>
        </w:rPr>
        <w:t>kg/h，</w:t>
      </w:r>
      <w:r>
        <w:rPr>
          <w:rFonts w:hAnsi="宋体"/>
          <w:sz w:val="24"/>
        </w:rPr>
        <w:t>排放浓度为</w:t>
      </w:r>
      <w:r>
        <w:rPr>
          <w:rFonts w:hint="eastAsia"/>
          <w:sz w:val="24"/>
          <w:lang w:val="en-US" w:eastAsia="zh-CN"/>
        </w:rPr>
        <w:t>2.09</w:t>
      </w:r>
      <w:r>
        <w:rPr>
          <w:sz w:val="24"/>
        </w:rPr>
        <w:t>mg/m</w:t>
      </w:r>
      <w:r>
        <w:rPr>
          <w:sz w:val="24"/>
          <w:vertAlign w:val="superscript"/>
        </w:rPr>
        <w:t>3</w:t>
      </w:r>
      <w:r>
        <w:rPr>
          <w:rFonts w:hAnsi="宋体"/>
          <w:sz w:val="24"/>
        </w:rPr>
        <w:t>，</w:t>
      </w:r>
      <w:r>
        <w:rPr>
          <w:iCs/>
          <w:sz w:val="24"/>
        </w:rPr>
        <w:t>NO</w:t>
      </w:r>
      <w:r>
        <w:rPr>
          <w:iCs/>
          <w:sz w:val="24"/>
          <w:vertAlign w:val="subscript"/>
        </w:rPr>
        <w:t>X</w:t>
      </w:r>
      <w:r>
        <w:rPr>
          <w:rFonts w:hAnsi="宋体"/>
          <w:iCs/>
          <w:sz w:val="24"/>
        </w:rPr>
        <w:t>排放量为</w:t>
      </w:r>
      <w:r>
        <w:rPr>
          <w:iCs/>
          <w:sz w:val="24"/>
        </w:rPr>
        <w:t>0.</w:t>
      </w:r>
      <w:r>
        <w:rPr>
          <w:rFonts w:hint="eastAsia"/>
          <w:iCs/>
          <w:sz w:val="24"/>
          <w:lang w:val="en-US" w:eastAsia="zh-CN"/>
        </w:rPr>
        <w:t>026</w:t>
      </w:r>
      <w:r>
        <w:rPr>
          <w:iCs/>
          <w:sz w:val="24"/>
        </w:rPr>
        <w:t>t/a</w:t>
      </w:r>
      <w:r>
        <w:rPr>
          <w:rFonts w:hAnsi="宋体"/>
          <w:iCs/>
          <w:sz w:val="24"/>
        </w:rPr>
        <w:t>，</w:t>
      </w:r>
      <w:r>
        <w:rPr>
          <w:rFonts w:hint="eastAsia" w:hAnsi="宋体"/>
          <w:iCs/>
          <w:sz w:val="24"/>
        </w:rPr>
        <w:t>排放速率0.0</w:t>
      </w:r>
      <w:r>
        <w:rPr>
          <w:rFonts w:hint="eastAsia" w:hAnsi="宋体"/>
          <w:iCs/>
          <w:sz w:val="24"/>
          <w:lang w:val="en-US" w:eastAsia="zh-CN"/>
        </w:rPr>
        <w:t>18</w:t>
      </w:r>
      <w:r>
        <w:rPr>
          <w:rFonts w:hint="eastAsia" w:hAnsi="宋体"/>
          <w:sz w:val="24"/>
        </w:rPr>
        <w:t>kg/h</w:t>
      </w:r>
      <w:r>
        <w:rPr>
          <w:rFonts w:hint="eastAsia" w:hAnsi="宋体"/>
          <w:iCs/>
          <w:sz w:val="24"/>
        </w:rPr>
        <w:t>，</w:t>
      </w:r>
      <w:r>
        <w:rPr>
          <w:rFonts w:hAnsi="宋体"/>
          <w:iCs/>
          <w:sz w:val="24"/>
        </w:rPr>
        <w:t>排放浓度为</w:t>
      </w:r>
      <w:r>
        <w:rPr>
          <w:rFonts w:hint="eastAsia"/>
          <w:sz w:val="24"/>
          <w:lang w:val="en-US" w:eastAsia="zh-CN"/>
        </w:rPr>
        <w:t>78</w:t>
      </w:r>
      <w:r>
        <w:rPr>
          <w:sz w:val="24"/>
        </w:rPr>
        <w:t>mg/m</w:t>
      </w:r>
      <w:r>
        <w:rPr>
          <w:sz w:val="24"/>
          <w:vertAlign w:val="superscript"/>
        </w:rPr>
        <w:t>3</w:t>
      </w:r>
      <w:r>
        <w:rPr>
          <w:rFonts w:hAnsi="宋体"/>
          <w:sz w:val="24"/>
        </w:rPr>
        <w:t>。</w:t>
      </w:r>
      <w:r>
        <w:rPr>
          <w:rFonts w:hAnsi="宋体"/>
          <w:iCs/>
          <w:sz w:val="24"/>
        </w:rPr>
        <w:t>排放烟气</w:t>
      </w:r>
      <w:r>
        <w:rPr>
          <w:rFonts w:hAnsi="宋体"/>
          <w:sz w:val="24"/>
        </w:rPr>
        <w:t>经风机引出后由</w:t>
      </w:r>
      <w:r>
        <w:rPr>
          <w:sz w:val="24"/>
        </w:rPr>
        <w:t>8m</w:t>
      </w:r>
      <w:r>
        <w:rPr>
          <w:rFonts w:hAnsi="宋体"/>
          <w:sz w:val="24"/>
        </w:rPr>
        <w:t>高烟囱排放，满足《大气污染物</w:t>
      </w:r>
      <w:r>
        <w:rPr>
          <w:rFonts w:hint="eastAsia" w:hAnsi="宋体"/>
          <w:sz w:val="24"/>
        </w:rPr>
        <w:t>综合</w:t>
      </w:r>
      <w:r>
        <w:rPr>
          <w:rFonts w:hAnsi="宋体"/>
          <w:sz w:val="24"/>
        </w:rPr>
        <w:t>排放标准》（</w:t>
      </w:r>
      <w:r>
        <w:rPr>
          <w:sz w:val="24"/>
        </w:rPr>
        <w:t>GB16297-1996</w:t>
      </w:r>
      <w:r>
        <w:rPr>
          <w:rFonts w:hAnsi="宋体"/>
          <w:sz w:val="24"/>
        </w:rPr>
        <w:t>）表</w:t>
      </w:r>
      <w:r>
        <w:rPr>
          <w:sz w:val="24"/>
        </w:rPr>
        <w:t>2</w:t>
      </w:r>
      <w:r>
        <w:rPr>
          <w:rFonts w:hAnsi="宋体"/>
          <w:sz w:val="24"/>
        </w:rPr>
        <w:t>标准</w:t>
      </w:r>
      <w:r>
        <w:rPr>
          <w:rFonts w:hint="eastAsia" w:hAnsi="宋体"/>
          <w:sz w:val="24"/>
        </w:rPr>
        <w:t>中</w:t>
      </w:r>
      <w:r>
        <w:rPr>
          <w:rFonts w:hAnsi="宋体"/>
          <w:sz w:val="24"/>
        </w:rPr>
        <w:t>严格</w:t>
      </w:r>
      <w:r>
        <w:rPr>
          <w:rFonts w:hint="eastAsia" w:hAnsi="宋体"/>
          <w:sz w:val="24"/>
        </w:rPr>
        <w:t>50</w:t>
      </w:r>
      <w:r>
        <w:rPr>
          <w:rFonts w:hAnsi="宋体"/>
          <w:sz w:val="24"/>
        </w:rPr>
        <w:t>%要求（</w:t>
      </w:r>
      <w:r>
        <w:rPr>
          <w:sz w:val="24"/>
        </w:rPr>
        <w:t>SO</w:t>
      </w:r>
      <w:r>
        <w:rPr>
          <w:sz w:val="24"/>
          <w:vertAlign w:val="subscript"/>
        </w:rPr>
        <w:t>2</w:t>
      </w:r>
      <w:r>
        <w:rPr>
          <w:sz w:val="24"/>
        </w:rPr>
        <w:t>≤</w:t>
      </w:r>
      <w:r>
        <w:rPr>
          <w:rFonts w:hint="eastAsia"/>
          <w:sz w:val="24"/>
        </w:rPr>
        <w:t>0.853</w:t>
      </w:r>
      <w:r>
        <w:rPr>
          <w:rFonts w:hint="eastAsia" w:hAnsi="宋体"/>
          <w:sz w:val="24"/>
        </w:rPr>
        <w:t>kg/h</w:t>
      </w:r>
      <w:r>
        <w:rPr>
          <w:rFonts w:hint="eastAsia"/>
          <w:sz w:val="24"/>
        </w:rPr>
        <w:t>，</w:t>
      </w:r>
      <w:r>
        <w:rPr>
          <w:iCs/>
          <w:sz w:val="24"/>
        </w:rPr>
        <w:t>NO</w:t>
      </w:r>
      <w:r>
        <w:rPr>
          <w:iCs/>
          <w:sz w:val="24"/>
          <w:vertAlign w:val="subscript"/>
        </w:rPr>
        <w:t>X</w:t>
      </w:r>
      <w:r>
        <w:rPr>
          <w:sz w:val="24"/>
        </w:rPr>
        <w:t>≤</w:t>
      </w:r>
      <w:r>
        <w:rPr>
          <w:rFonts w:hint="eastAsia"/>
          <w:sz w:val="24"/>
        </w:rPr>
        <w:t>0.259</w:t>
      </w:r>
      <w:r>
        <w:rPr>
          <w:rFonts w:hint="eastAsia" w:hAnsi="宋体"/>
          <w:sz w:val="24"/>
        </w:rPr>
        <w:t>kg/h</w:t>
      </w:r>
      <w:r>
        <w:rPr>
          <w:rFonts w:hAnsi="宋体"/>
          <w:sz w:val="24"/>
        </w:rPr>
        <w:t>）</w:t>
      </w:r>
      <w:r>
        <w:rPr>
          <w:b w:val="0"/>
          <w:bCs w:val="0"/>
          <w:color w:val="000000"/>
          <w:sz w:val="24"/>
          <w:u w:val="none"/>
        </w:rPr>
        <w:t>。</w:t>
      </w:r>
    </w:p>
    <w:p>
      <w:pPr>
        <w:topLinePunct/>
        <w:adjustRightInd w:val="0"/>
        <w:snapToGrid w:val="0"/>
        <w:spacing w:line="600" w:lineRule="exact"/>
        <w:outlineLvl w:val="2"/>
        <w:rPr>
          <w:b/>
          <w:bCs/>
          <w:color w:val="000000"/>
          <w:sz w:val="24"/>
        </w:rPr>
      </w:pPr>
      <w:r>
        <w:rPr>
          <w:rFonts w:hint="eastAsia"/>
          <w:b/>
          <w:bCs/>
          <w:color w:val="000000"/>
          <w:sz w:val="24"/>
          <w:lang w:val="en-US" w:eastAsia="zh-CN"/>
        </w:rPr>
        <w:t>5</w:t>
      </w:r>
      <w:r>
        <w:rPr>
          <w:b/>
          <w:bCs/>
          <w:color w:val="000000"/>
          <w:sz w:val="24"/>
        </w:rPr>
        <w:t>.2.4噪声污染防治措施分析</w:t>
      </w:r>
    </w:p>
    <w:p>
      <w:pPr>
        <w:tabs>
          <w:tab w:val="right" w:leader="dot" w:pos="8647"/>
        </w:tabs>
        <w:adjustRightInd w:val="0"/>
        <w:snapToGrid w:val="0"/>
        <w:spacing w:line="500" w:lineRule="exact"/>
        <w:ind w:firstLine="570"/>
        <w:rPr>
          <w:bCs/>
          <w:color w:val="000000"/>
          <w:sz w:val="24"/>
        </w:rPr>
      </w:pPr>
      <w:r>
        <w:rPr>
          <w:bCs/>
          <w:color w:val="000000"/>
          <w:sz w:val="24"/>
        </w:rPr>
        <w:t>本工程噪声主要为猪叫声、猪舍降温配套负压风机、粪污处理设施等设备运行时产生的噪声，根据类比调查，其源强为70～85dB(A)。</w:t>
      </w:r>
    </w:p>
    <w:p>
      <w:pPr>
        <w:adjustRightInd w:val="0"/>
        <w:snapToGrid w:val="0"/>
        <w:spacing w:line="520" w:lineRule="exact"/>
        <w:ind w:firstLine="570"/>
        <w:rPr>
          <w:bCs/>
          <w:color w:val="000000"/>
          <w:sz w:val="24"/>
        </w:rPr>
      </w:pPr>
      <w:r>
        <w:rPr>
          <w:color w:val="000000"/>
          <w:sz w:val="24"/>
        </w:rPr>
        <w:t>工程采取以下措施来进行：</w:t>
      </w:r>
    </w:p>
    <w:p>
      <w:pPr>
        <w:adjustRightInd w:val="0"/>
        <w:snapToGrid w:val="0"/>
        <w:spacing w:line="520" w:lineRule="exact"/>
        <w:ind w:firstLine="570"/>
        <w:rPr>
          <w:color w:val="000000"/>
          <w:sz w:val="24"/>
        </w:rPr>
      </w:pPr>
      <w:r>
        <w:rPr>
          <w:color w:val="000000"/>
          <w:sz w:val="24"/>
        </w:rPr>
        <w:t>（1）企业在设备选型上，应选择低噪声风机、空压机、水泵设备，以防止项目运营期间产生的噪声源叠加，对区域环境产生较大影响。</w:t>
      </w:r>
    </w:p>
    <w:p>
      <w:pPr>
        <w:adjustRightInd w:val="0"/>
        <w:snapToGrid w:val="0"/>
        <w:spacing w:line="520" w:lineRule="exact"/>
        <w:ind w:firstLine="570"/>
        <w:rPr>
          <w:color w:val="000000"/>
          <w:sz w:val="24"/>
        </w:rPr>
      </w:pPr>
      <w:r>
        <w:rPr>
          <w:color w:val="000000"/>
          <w:sz w:val="24"/>
        </w:rPr>
        <w:t>（2）对风机、水泵设备安装减振垫进行设备基础减振处理，根据噪声衰减规律分析：</w:t>
      </w:r>
      <w:r>
        <w:rPr>
          <w:bCs/>
          <w:color w:val="000000"/>
          <w:sz w:val="24"/>
        </w:rPr>
        <w:t>经基础减振（减轻振动及不固定配件摆动噪声）及隔声措施噪声衰减可以达到15～25dB(A)</w:t>
      </w:r>
      <w:r>
        <w:rPr>
          <w:color w:val="000000"/>
          <w:sz w:val="24"/>
        </w:rPr>
        <w:t>。</w:t>
      </w:r>
    </w:p>
    <w:p>
      <w:pPr>
        <w:adjustRightInd w:val="0"/>
        <w:snapToGrid w:val="0"/>
        <w:spacing w:line="520" w:lineRule="exact"/>
        <w:ind w:firstLine="480" w:firstLineChars="200"/>
        <w:rPr>
          <w:color w:val="000000"/>
          <w:sz w:val="24"/>
        </w:rPr>
      </w:pPr>
      <w:r>
        <w:rPr>
          <w:color w:val="000000"/>
          <w:sz w:val="24"/>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adjustRightInd w:val="0"/>
        <w:snapToGrid w:val="0"/>
        <w:spacing w:line="520" w:lineRule="exact"/>
        <w:ind w:firstLine="480" w:firstLineChars="200"/>
        <w:rPr>
          <w:color w:val="000000"/>
          <w:sz w:val="24"/>
        </w:rPr>
      </w:pPr>
      <w:r>
        <w:rPr>
          <w:color w:val="000000"/>
          <w:sz w:val="24"/>
        </w:rPr>
        <w:t>（4）评价要求噪声源强较高的设备，尽量往场区内部布置，因距离的原因实现噪声衰减。</w:t>
      </w:r>
    </w:p>
    <w:p>
      <w:pPr>
        <w:topLinePunct/>
        <w:adjustRightInd w:val="0"/>
        <w:snapToGrid w:val="0"/>
        <w:spacing w:line="500" w:lineRule="exact"/>
        <w:ind w:firstLine="600" w:firstLineChars="250"/>
        <w:rPr>
          <w:color w:val="000000"/>
          <w:sz w:val="24"/>
        </w:rPr>
      </w:pPr>
      <w:r>
        <w:rPr>
          <w:color w:val="000000"/>
          <w:sz w:val="24"/>
        </w:rPr>
        <w:t>经采取以上措施，噪声可衰减约15~25dB(A)，再经一定距离衰减后，预测厂界噪声满足《工业企业厂界环境噪声排放标准》（GB12348－2008）2类标准的要求。</w:t>
      </w:r>
    </w:p>
    <w:p>
      <w:pPr>
        <w:topLinePunct/>
        <w:adjustRightInd w:val="0"/>
        <w:snapToGrid w:val="0"/>
        <w:spacing w:line="600" w:lineRule="exact"/>
        <w:outlineLvl w:val="2"/>
        <w:rPr>
          <w:b/>
          <w:bCs/>
          <w:color w:val="000000"/>
          <w:sz w:val="24"/>
        </w:rPr>
      </w:pPr>
      <w:r>
        <w:rPr>
          <w:rFonts w:hint="eastAsia"/>
          <w:b/>
          <w:bCs/>
          <w:color w:val="000000"/>
          <w:sz w:val="24"/>
          <w:lang w:val="en-US" w:eastAsia="zh-CN"/>
        </w:rPr>
        <w:t>5</w:t>
      </w:r>
      <w:r>
        <w:rPr>
          <w:b/>
          <w:bCs/>
          <w:color w:val="000000"/>
          <w:sz w:val="24"/>
        </w:rPr>
        <w:t>.2.5固废污染防治措施</w:t>
      </w:r>
    </w:p>
    <w:p>
      <w:pPr>
        <w:topLinePunct/>
        <w:adjustRightInd w:val="0"/>
        <w:snapToGrid w:val="0"/>
        <w:spacing w:line="520" w:lineRule="exact"/>
        <w:ind w:firstLine="480" w:firstLineChars="200"/>
        <w:rPr>
          <w:bCs/>
          <w:color w:val="000000"/>
          <w:sz w:val="24"/>
        </w:rPr>
      </w:pPr>
      <w:r>
        <w:rPr>
          <w:color w:val="000000"/>
          <w:sz w:val="24"/>
        </w:rPr>
        <w:t>本项目</w:t>
      </w:r>
      <w:r>
        <w:rPr>
          <w:color w:val="000000"/>
          <w:spacing w:val="10"/>
          <w:sz w:val="24"/>
        </w:rPr>
        <w:t>产生的固体废物主要</w:t>
      </w:r>
      <w:r>
        <w:rPr>
          <w:color w:val="000000"/>
          <w:sz w:val="24"/>
        </w:rPr>
        <w:t>包括猪粪固形物、</w:t>
      </w:r>
      <w:r>
        <w:rPr>
          <w:bCs/>
          <w:color w:val="000000"/>
          <w:sz w:val="24"/>
        </w:rPr>
        <w:t>厌氧发酵后的沼渣、</w:t>
      </w:r>
      <w:r>
        <w:rPr>
          <w:color w:val="000000"/>
          <w:sz w:val="24"/>
        </w:rPr>
        <w:t>养殖过程产生的病死猪尸及疾病防疫产生的医疗废物、废脱硫剂和职工生活垃圾。</w:t>
      </w:r>
      <w:r>
        <w:rPr>
          <w:bCs/>
          <w:color w:val="000000"/>
          <w:sz w:val="24"/>
        </w:rPr>
        <w:t>固废污染产生及防治措施见表</w:t>
      </w:r>
      <w:r>
        <w:rPr>
          <w:rFonts w:hint="eastAsia"/>
          <w:bCs/>
          <w:color w:val="000000"/>
          <w:sz w:val="24"/>
          <w:lang w:val="en-US" w:eastAsia="zh-CN"/>
        </w:rPr>
        <w:t>5.2-11</w:t>
      </w:r>
      <w:r>
        <w:rPr>
          <w:bCs/>
          <w:color w:val="000000"/>
          <w:sz w:val="24"/>
        </w:rPr>
        <w:t>。</w:t>
      </w:r>
    </w:p>
    <w:p>
      <w:pPr>
        <w:topLinePunct/>
        <w:spacing w:line="500" w:lineRule="exact"/>
        <w:ind w:firstLine="420" w:firstLineChars="200"/>
        <w:jc w:val="center"/>
        <w:rPr>
          <w:b/>
          <w:bCs/>
          <w:color w:val="000000"/>
          <w:szCs w:val="21"/>
        </w:rPr>
      </w:pPr>
      <w:r>
        <w:rPr>
          <w:b/>
          <w:bCs/>
          <w:color w:val="000000"/>
          <w:szCs w:val="21"/>
        </w:rPr>
        <w:t>表</w:t>
      </w:r>
      <w:r>
        <w:rPr>
          <w:rFonts w:hint="eastAsia"/>
          <w:b/>
          <w:bCs/>
          <w:color w:val="000000"/>
          <w:szCs w:val="21"/>
          <w:lang w:val="en-US" w:eastAsia="zh-CN"/>
        </w:rPr>
        <w:t xml:space="preserve">5.2-11  </w:t>
      </w:r>
      <w:r>
        <w:rPr>
          <w:b/>
          <w:bCs/>
          <w:color w:val="000000"/>
          <w:szCs w:val="21"/>
        </w:rPr>
        <w:t xml:space="preserve"> 固体废物产排情况及处置措施一览表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66"/>
        <w:gridCol w:w="1276"/>
        <w:gridCol w:w="1274"/>
        <w:gridCol w:w="993"/>
        <w:gridCol w:w="2614"/>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7" w:type="dxa"/>
            <w:tcMar>
              <w:top w:w="0" w:type="dxa"/>
              <w:left w:w="28" w:type="dxa"/>
              <w:bottom w:w="0" w:type="dxa"/>
              <w:right w:w="28" w:type="dxa"/>
            </w:tcMar>
            <w:vAlign w:val="center"/>
          </w:tcPr>
          <w:p>
            <w:pPr>
              <w:jc w:val="center"/>
              <w:rPr>
                <w:b/>
                <w:bCs/>
                <w:szCs w:val="21"/>
              </w:rPr>
            </w:pPr>
            <w:r>
              <w:rPr>
                <w:b/>
                <w:bCs/>
                <w:szCs w:val="21"/>
              </w:rPr>
              <w:t>序号</w:t>
            </w:r>
          </w:p>
        </w:tc>
        <w:tc>
          <w:tcPr>
            <w:tcW w:w="1566" w:type="dxa"/>
            <w:tcMar>
              <w:top w:w="0" w:type="dxa"/>
              <w:left w:w="28" w:type="dxa"/>
              <w:bottom w:w="0" w:type="dxa"/>
              <w:right w:w="28" w:type="dxa"/>
            </w:tcMar>
            <w:vAlign w:val="center"/>
          </w:tcPr>
          <w:p>
            <w:pPr>
              <w:jc w:val="center"/>
              <w:rPr>
                <w:b/>
                <w:bCs/>
                <w:szCs w:val="21"/>
              </w:rPr>
            </w:pPr>
            <w:r>
              <w:rPr>
                <w:b/>
                <w:bCs/>
                <w:szCs w:val="21"/>
              </w:rPr>
              <w:t>产生环节</w:t>
            </w:r>
          </w:p>
        </w:tc>
        <w:tc>
          <w:tcPr>
            <w:tcW w:w="1276" w:type="dxa"/>
            <w:tcMar>
              <w:top w:w="0" w:type="dxa"/>
              <w:left w:w="28" w:type="dxa"/>
              <w:bottom w:w="0" w:type="dxa"/>
              <w:right w:w="28" w:type="dxa"/>
            </w:tcMar>
            <w:vAlign w:val="center"/>
          </w:tcPr>
          <w:p>
            <w:pPr>
              <w:jc w:val="center"/>
              <w:rPr>
                <w:b/>
                <w:bCs/>
                <w:szCs w:val="21"/>
              </w:rPr>
            </w:pPr>
            <w:r>
              <w:rPr>
                <w:b/>
                <w:bCs/>
                <w:szCs w:val="21"/>
              </w:rPr>
              <w:t>名称</w:t>
            </w:r>
          </w:p>
        </w:tc>
        <w:tc>
          <w:tcPr>
            <w:tcW w:w="1274" w:type="dxa"/>
            <w:tcMar>
              <w:top w:w="0" w:type="dxa"/>
              <w:left w:w="28" w:type="dxa"/>
              <w:bottom w:w="0" w:type="dxa"/>
              <w:right w:w="28" w:type="dxa"/>
            </w:tcMar>
            <w:vAlign w:val="center"/>
          </w:tcPr>
          <w:p>
            <w:pPr>
              <w:jc w:val="center"/>
              <w:rPr>
                <w:b/>
                <w:bCs/>
                <w:szCs w:val="21"/>
              </w:rPr>
            </w:pPr>
            <w:r>
              <w:rPr>
                <w:b/>
                <w:bCs/>
                <w:szCs w:val="21"/>
              </w:rPr>
              <w:t>固废性质</w:t>
            </w:r>
          </w:p>
        </w:tc>
        <w:tc>
          <w:tcPr>
            <w:tcW w:w="993"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产生量（t/a）</w:t>
            </w:r>
          </w:p>
        </w:tc>
        <w:tc>
          <w:tcPr>
            <w:tcW w:w="2614"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处置措施</w:t>
            </w:r>
          </w:p>
        </w:tc>
        <w:tc>
          <w:tcPr>
            <w:tcW w:w="696"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27" w:type="dxa"/>
            <w:tcMar>
              <w:top w:w="0" w:type="dxa"/>
              <w:left w:w="28" w:type="dxa"/>
              <w:bottom w:w="0" w:type="dxa"/>
              <w:right w:w="28" w:type="dxa"/>
            </w:tcMar>
            <w:vAlign w:val="center"/>
          </w:tcPr>
          <w:p>
            <w:pPr>
              <w:jc w:val="center"/>
              <w:rPr>
                <w:bCs/>
                <w:szCs w:val="21"/>
              </w:rPr>
            </w:pPr>
            <w:r>
              <w:rPr>
                <w:bCs/>
                <w:szCs w:val="21"/>
              </w:rPr>
              <w:t>1</w:t>
            </w:r>
          </w:p>
        </w:tc>
        <w:tc>
          <w:tcPr>
            <w:tcW w:w="1566" w:type="dxa"/>
            <w:tcMar>
              <w:top w:w="0" w:type="dxa"/>
              <w:left w:w="28" w:type="dxa"/>
              <w:bottom w:w="0" w:type="dxa"/>
              <w:right w:w="28" w:type="dxa"/>
            </w:tcMar>
            <w:vAlign w:val="center"/>
          </w:tcPr>
          <w:p>
            <w:pPr>
              <w:jc w:val="center"/>
              <w:rPr>
                <w:bCs/>
                <w:szCs w:val="21"/>
              </w:rPr>
            </w:pPr>
            <w:r>
              <w:rPr>
                <w:bCs/>
                <w:szCs w:val="21"/>
              </w:rPr>
              <w:t>猪舍</w:t>
            </w:r>
          </w:p>
        </w:tc>
        <w:tc>
          <w:tcPr>
            <w:tcW w:w="1276" w:type="dxa"/>
            <w:tcMar>
              <w:top w:w="0" w:type="dxa"/>
              <w:left w:w="28" w:type="dxa"/>
              <w:bottom w:w="0" w:type="dxa"/>
              <w:right w:w="28" w:type="dxa"/>
            </w:tcMar>
            <w:vAlign w:val="center"/>
          </w:tcPr>
          <w:p>
            <w:pPr>
              <w:jc w:val="center"/>
              <w:rPr>
                <w:bCs/>
                <w:szCs w:val="21"/>
              </w:rPr>
            </w:pPr>
            <w:r>
              <w:rPr>
                <w:szCs w:val="21"/>
              </w:rPr>
              <w:t>猪粪固形物</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bCs/>
                <w:sz w:val="18"/>
                <w:szCs w:val="18"/>
                <w:lang w:val="en-US" w:eastAsia="zh-CN"/>
              </w:rPr>
            </w:pPr>
            <w:r>
              <w:rPr>
                <w:rFonts w:hint="eastAsia"/>
                <w:bCs/>
                <w:sz w:val="18"/>
                <w:szCs w:val="18"/>
                <w:lang w:val="en-US" w:eastAsia="zh-CN"/>
              </w:rPr>
              <w:t>1477.7</w:t>
            </w:r>
          </w:p>
        </w:tc>
        <w:tc>
          <w:tcPr>
            <w:tcW w:w="2614" w:type="dxa"/>
            <w:tcMar>
              <w:top w:w="0" w:type="dxa"/>
              <w:left w:w="28" w:type="dxa"/>
              <w:bottom w:w="0" w:type="dxa"/>
              <w:right w:w="28" w:type="dxa"/>
            </w:tcMar>
            <w:vAlign w:val="center"/>
          </w:tcPr>
          <w:p>
            <w:pPr>
              <w:jc w:val="center"/>
              <w:rPr>
                <w:bCs/>
                <w:szCs w:val="21"/>
              </w:rPr>
            </w:pPr>
            <w:r>
              <w:rPr>
                <w:bCs/>
                <w:szCs w:val="21"/>
              </w:rPr>
              <w:t>生产有机肥基肥</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27" w:type="dxa"/>
            <w:tcMar>
              <w:top w:w="0" w:type="dxa"/>
              <w:left w:w="28" w:type="dxa"/>
              <w:bottom w:w="0" w:type="dxa"/>
              <w:right w:w="28" w:type="dxa"/>
            </w:tcMar>
            <w:vAlign w:val="center"/>
          </w:tcPr>
          <w:p>
            <w:pPr>
              <w:jc w:val="center"/>
              <w:rPr>
                <w:bCs/>
                <w:szCs w:val="21"/>
              </w:rPr>
            </w:pPr>
            <w:r>
              <w:rPr>
                <w:bCs/>
                <w:szCs w:val="21"/>
              </w:rPr>
              <w:t>2</w:t>
            </w:r>
          </w:p>
        </w:tc>
        <w:tc>
          <w:tcPr>
            <w:tcW w:w="1566" w:type="dxa"/>
            <w:tcMar>
              <w:top w:w="0" w:type="dxa"/>
              <w:left w:w="28" w:type="dxa"/>
              <w:bottom w:w="0" w:type="dxa"/>
              <w:right w:w="28" w:type="dxa"/>
            </w:tcMar>
            <w:vAlign w:val="center"/>
          </w:tcPr>
          <w:p>
            <w:pPr>
              <w:jc w:val="center"/>
              <w:rPr>
                <w:szCs w:val="21"/>
              </w:rPr>
            </w:pPr>
            <w:r>
              <w:rPr>
                <w:rFonts w:hint="eastAsia"/>
                <w:szCs w:val="21"/>
                <w:lang w:eastAsia="zh-CN"/>
              </w:rPr>
              <w:t>黑膜</w:t>
            </w:r>
            <w:r>
              <w:rPr>
                <w:szCs w:val="21"/>
              </w:rPr>
              <w:t>沼气池</w:t>
            </w:r>
          </w:p>
        </w:tc>
        <w:tc>
          <w:tcPr>
            <w:tcW w:w="1276" w:type="dxa"/>
            <w:tcMar>
              <w:top w:w="0" w:type="dxa"/>
              <w:left w:w="28" w:type="dxa"/>
              <w:bottom w:w="0" w:type="dxa"/>
              <w:right w:w="28" w:type="dxa"/>
            </w:tcMar>
            <w:vAlign w:val="center"/>
          </w:tcPr>
          <w:p>
            <w:pPr>
              <w:jc w:val="center"/>
              <w:rPr>
                <w:szCs w:val="21"/>
              </w:rPr>
            </w:pPr>
            <w:r>
              <w:rPr>
                <w:szCs w:val="21"/>
              </w:rPr>
              <w:t>沼渣</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bCs/>
                <w:szCs w:val="21"/>
                <w:lang w:val="en-US" w:eastAsia="zh-CN"/>
              </w:rPr>
              <w:t>44.33</w:t>
            </w:r>
          </w:p>
        </w:tc>
        <w:tc>
          <w:tcPr>
            <w:tcW w:w="2614" w:type="dxa"/>
            <w:tcMar>
              <w:top w:w="0" w:type="dxa"/>
              <w:left w:w="28" w:type="dxa"/>
              <w:bottom w:w="0" w:type="dxa"/>
              <w:right w:w="28" w:type="dxa"/>
            </w:tcMar>
            <w:vAlign w:val="center"/>
          </w:tcPr>
          <w:p>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3</w:t>
            </w:r>
          </w:p>
        </w:tc>
        <w:tc>
          <w:tcPr>
            <w:tcW w:w="1566" w:type="dxa"/>
            <w:tcMar>
              <w:top w:w="0" w:type="dxa"/>
              <w:left w:w="28" w:type="dxa"/>
              <w:bottom w:w="0" w:type="dxa"/>
              <w:right w:w="28" w:type="dxa"/>
            </w:tcMar>
            <w:vAlign w:val="center"/>
          </w:tcPr>
          <w:p>
            <w:pPr>
              <w:jc w:val="center"/>
              <w:rPr>
                <w:szCs w:val="21"/>
              </w:rPr>
            </w:pPr>
            <w:r>
              <w:rPr>
                <w:szCs w:val="21"/>
              </w:rPr>
              <w:t>养殖过程</w:t>
            </w:r>
          </w:p>
        </w:tc>
        <w:tc>
          <w:tcPr>
            <w:tcW w:w="1276" w:type="dxa"/>
            <w:tcMar>
              <w:top w:w="0" w:type="dxa"/>
              <w:left w:w="28" w:type="dxa"/>
              <w:bottom w:w="0" w:type="dxa"/>
              <w:right w:w="28" w:type="dxa"/>
            </w:tcMar>
            <w:vAlign w:val="center"/>
          </w:tcPr>
          <w:p>
            <w:pPr>
              <w:jc w:val="center"/>
              <w:rPr>
                <w:szCs w:val="21"/>
              </w:rPr>
            </w:pPr>
            <w:r>
              <w:rPr>
                <w:szCs w:val="21"/>
              </w:rPr>
              <w:t>病死猪</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bCs/>
                <w:szCs w:val="21"/>
                <w:lang w:val="en-US" w:eastAsia="zh-CN"/>
              </w:rPr>
            </w:pPr>
            <w:r>
              <w:rPr>
                <w:rFonts w:hint="eastAsia"/>
                <w:szCs w:val="21"/>
                <w:lang w:val="en-US" w:eastAsia="zh-CN"/>
              </w:rPr>
              <w:t>7.2</w:t>
            </w:r>
          </w:p>
        </w:tc>
        <w:tc>
          <w:tcPr>
            <w:tcW w:w="2614" w:type="dxa"/>
            <w:tcMar>
              <w:top w:w="0" w:type="dxa"/>
              <w:left w:w="28" w:type="dxa"/>
              <w:bottom w:w="0" w:type="dxa"/>
              <w:right w:w="28" w:type="dxa"/>
            </w:tcMar>
            <w:vAlign w:val="center"/>
          </w:tcPr>
          <w:p>
            <w:pPr>
              <w:jc w:val="center"/>
              <w:rPr>
                <w:bCs/>
                <w:szCs w:val="21"/>
              </w:rPr>
            </w:pPr>
            <w:r>
              <w:rPr>
                <w:rFonts w:hint="eastAsia"/>
                <w:bCs/>
                <w:szCs w:val="21"/>
                <w:lang w:val="en-US" w:eastAsia="zh-CN"/>
              </w:rPr>
              <w:t>委托正阳县畜禽</w:t>
            </w:r>
            <w:r>
              <w:rPr>
                <w:bCs/>
                <w:szCs w:val="21"/>
              </w:rPr>
              <w:t>无害化处理中心处置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4</w:t>
            </w:r>
          </w:p>
        </w:tc>
        <w:tc>
          <w:tcPr>
            <w:tcW w:w="1566" w:type="dxa"/>
            <w:tcMar>
              <w:top w:w="0" w:type="dxa"/>
              <w:left w:w="28" w:type="dxa"/>
              <w:bottom w:w="0" w:type="dxa"/>
              <w:right w:w="28" w:type="dxa"/>
            </w:tcMar>
            <w:vAlign w:val="center"/>
          </w:tcPr>
          <w:p>
            <w:pPr>
              <w:jc w:val="center"/>
              <w:rPr>
                <w:szCs w:val="21"/>
              </w:rPr>
            </w:pPr>
            <w:r>
              <w:rPr>
                <w:szCs w:val="21"/>
              </w:rPr>
              <w:t>防疫</w:t>
            </w:r>
          </w:p>
        </w:tc>
        <w:tc>
          <w:tcPr>
            <w:tcW w:w="1276" w:type="dxa"/>
            <w:tcMar>
              <w:top w:w="0" w:type="dxa"/>
              <w:left w:w="28" w:type="dxa"/>
              <w:bottom w:w="0" w:type="dxa"/>
              <w:right w:w="28" w:type="dxa"/>
            </w:tcMar>
            <w:vAlign w:val="center"/>
          </w:tcPr>
          <w:p>
            <w:pPr>
              <w:jc w:val="center"/>
              <w:rPr>
                <w:szCs w:val="21"/>
              </w:rPr>
            </w:pPr>
            <w:r>
              <w:rPr>
                <w:szCs w:val="21"/>
              </w:rPr>
              <w:t>医疗固废</w:t>
            </w:r>
          </w:p>
        </w:tc>
        <w:tc>
          <w:tcPr>
            <w:tcW w:w="1274" w:type="dxa"/>
            <w:tcMar>
              <w:top w:w="0" w:type="dxa"/>
              <w:left w:w="28" w:type="dxa"/>
              <w:bottom w:w="0" w:type="dxa"/>
              <w:right w:w="28" w:type="dxa"/>
            </w:tcMar>
            <w:vAlign w:val="center"/>
          </w:tcPr>
          <w:p>
            <w:pPr>
              <w:jc w:val="center"/>
              <w:rPr>
                <w:szCs w:val="21"/>
              </w:rPr>
            </w:pPr>
            <w:r>
              <w:rPr>
                <w:szCs w:val="21"/>
              </w:rPr>
              <w:t>危险废物</w:t>
            </w:r>
          </w:p>
          <w:p>
            <w:pPr>
              <w:jc w:val="center"/>
              <w:rPr>
                <w:szCs w:val="21"/>
              </w:rPr>
            </w:pPr>
            <w:r>
              <w:rPr>
                <w:szCs w:val="21"/>
              </w:rPr>
              <w:t>（HW01）</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0.025</w:t>
            </w:r>
          </w:p>
        </w:tc>
        <w:tc>
          <w:tcPr>
            <w:tcW w:w="2614" w:type="dxa"/>
            <w:tcMar>
              <w:top w:w="0" w:type="dxa"/>
              <w:left w:w="28" w:type="dxa"/>
              <w:bottom w:w="0" w:type="dxa"/>
              <w:right w:w="28" w:type="dxa"/>
            </w:tcMar>
            <w:vAlign w:val="center"/>
          </w:tcPr>
          <w:p>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5</w:t>
            </w:r>
          </w:p>
        </w:tc>
        <w:tc>
          <w:tcPr>
            <w:tcW w:w="1566" w:type="dxa"/>
            <w:tcMar>
              <w:top w:w="0" w:type="dxa"/>
              <w:left w:w="28" w:type="dxa"/>
              <w:bottom w:w="0" w:type="dxa"/>
              <w:right w:w="28" w:type="dxa"/>
            </w:tcMar>
            <w:vAlign w:val="center"/>
          </w:tcPr>
          <w:p>
            <w:pPr>
              <w:jc w:val="center"/>
              <w:rPr>
                <w:szCs w:val="21"/>
              </w:rPr>
            </w:pPr>
            <w:r>
              <w:rPr>
                <w:szCs w:val="21"/>
              </w:rPr>
              <w:t>职工生活</w:t>
            </w:r>
          </w:p>
        </w:tc>
        <w:tc>
          <w:tcPr>
            <w:tcW w:w="1276" w:type="dxa"/>
            <w:tcMar>
              <w:top w:w="0" w:type="dxa"/>
              <w:left w:w="28" w:type="dxa"/>
              <w:bottom w:w="0" w:type="dxa"/>
              <w:right w:w="28" w:type="dxa"/>
            </w:tcMar>
            <w:vAlign w:val="center"/>
          </w:tcPr>
          <w:p>
            <w:pPr>
              <w:jc w:val="center"/>
              <w:rPr>
                <w:szCs w:val="21"/>
              </w:rPr>
            </w:pPr>
            <w:r>
              <w:rPr>
                <w:szCs w:val="21"/>
              </w:rPr>
              <w:t>生活垃圾</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9.125</w:t>
            </w:r>
          </w:p>
        </w:tc>
        <w:tc>
          <w:tcPr>
            <w:tcW w:w="2614" w:type="dxa"/>
            <w:tcMar>
              <w:top w:w="0" w:type="dxa"/>
              <w:left w:w="28" w:type="dxa"/>
              <w:bottom w:w="0" w:type="dxa"/>
              <w:right w:w="28" w:type="dxa"/>
            </w:tcMar>
            <w:vAlign w:val="center"/>
          </w:tcPr>
          <w:p>
            <w:pPr>
              <w:jc w:val="center"/>
              <w:rPr>
                <w:szCs w:val="21"/>
              </w:rPr>
            </w:pPr>
            <w:r>
              <w:rPr>
                <w:szCs w:val="21"/>
              </w:rPr>
              <w:t>送交环卫部门处理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6</w:t>
            </w:r>
          </w:p>
        </w:tc>
        <w:tc>
          <w:tcPr>
            <w:tcW w:w="1566" w:type="dxa"/>
            <w:tcMar>
              <w:top w:w="0" w:type="dxa"/>
              <w:left w:w="28" w:type="dxa"/>
              <w:bottom w:w="0" w:type="dxa"/>
              <w:right w:w="28" w:type="dxa"/>
            </w:tcMar>
            <w:vAlign w:val="center"/>
          </w:tcPr>
          <w:p>
            <w:pPr>
              <w:jc w:val="center"/>
              <w:rPr>
                <w:szCs w:val="21"/>
              </w:rPr>
            </w:pPr>
            <w:r>
              <w:rPr>
                <w:szCs w:val="21"/>
              </w:rPr>
              <w:t>沼气脱硫装置</w:t>
            </w:r>
          </w:p>
        </w:tc>
        <w:tc>
          <w:tcPr>
            <w:tcW w:w="1276" w:type="dxa"/>
            <w:tcMar>
              <w:top w:w="0" w:type="dxa"/>
              <w:left w:w="28" w:type="dxa"/>
              <w:bottom w:w="0" w:type="dxa"/>
              <w:right w:w="28" w:type="dxa"/>
            </w:tcMar>
            <w:vAlign w:val="center"/>
          </w:tcPr>
          <w:p>
            <w:pPr>
              <w:jc w:val="center"/>
              <w:rPr>
                <w:szCs w:val="21"/>
              </w:rPr>
            </w:pPr>
            <w:r>
              <w:rPr>
                <w:szCs w:val="21"/>
              </w:rPr>
              <w:t>废脱硫剂</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0.14</w:t>
            </w:r>
          </w:p>
        </w:tc>
        <w:tc>
          <w:tcPr>
            <w:tcW w:w="2614" w:type="dxa"/>
            <w:tcMar>
              <w:top w:w="0" w:type="dxa"/>
              <w:left w:w="28" w:type="dxa"/>
              <w:bottom w:w="0" w:type="dxa"/>
              <w:right w:w="28" w:type="dxa"/>
            </w:tcMar>
            <w:vAlign w:val="center"/>
          </w:tcPr>
          <w:p>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3" w:type="dxa"/>
            <w:gridSpan w:val="4"/>
            <w:tcMar>
              <w:top w:w="0" w:type="dxa"/>
              <w:left w:w="28" w:type="dxa"/>
              <w:bottom w:w="0" w:type="dxa"/>
              <w:right w:w="28" w:type="dxa"/>
            </w:tcMar>
            <w:vAlign w:val="center"/>
          </w:tcPr>
          <w:p>
            <w:pPr>
              <w:jc w:val="center"/>
              <w:rPr>
                <w:szCs w:val="21"/>
              </w:rPr>
            </w:pPr>
            <w:r>
              <w:rPr>
                <w:szCs w:val="21"/>
              </w:rPr>
              <w:t>合计</w:t>
            </w:r>
          </w:p>
        </w:tc>
        <w:tc>
          <w:tcPr>
            <w:tcW w:w="993" w:type="dxa"/>
            <w:tcMar>
              <w:top w:w="0" w:type="dxa"/>
              <w:left w:w="28" w:type="dxa"/>
              <w:bottom w:w="0" w:type="dxa"/>
              <w:right w:w="28" w:type="dxa"/>
            </w:tcMar>
            <w:vAlign w:val="center"/>
          </w:tcPr>
          <w:p>
            <w:pPr>
              <w:jc w:val="center"/>
              <w:rPr>
                <w:rFonts w:hint="default" w:eastAsia="宋体"/>
                <w:szCs w:val="21"/>
                <w:lang w:val="en-US" w:eastAsia="zh-CN"/>
              </w:rPr>
            </w:pPr>
            <w:r>
              <w:rPr>
                <w:rFonts w:hint="eastAsia"/>
                <w:szCs w:val="21"/>
                <w:lang w:val="en-US" w:eastAsia="zh-CN"/>
              </w:rPr>
              <w:t>1538.52</w:t>
            </w:r>
          </w:p>
        </w:tc>
        <w:tc>
          <w:tcPr>
            <w:tcW w:w="2614" w:type="dxa"/>
            <w:tcMar>
              <w:top w:w="0" w:type="dxa"/>
              <w:left w:w="28" w:type="dxa"/>
              <w:bottom w:w="0" w:type="dxa"/>
              <w:right w:w="28" w:type="dxa"/>
            </w:tcMar>
            <w:vAlign w:val="center"/>
          </w:tcPr>
          <w:p>
            <w:pPr>
              <w:jc w:val="center"/>
              <w:rPr>
                <w:szCs w:val="21"/>
              </w:rPr>
            </w:pPr>
            <w:r>
              <w:rPr>
                <w:szCs w:val="21"/>
              </w:rPr>
              <w:t>/</w:t>
            </w:r>
          </w:p>
        </w:tc>
        <w:tc>
          <w:tcPr>
            <w:tcW w:w="696" w:type="dxa"/>
            <w:tcMar>
              <w:top w:w="0" w:type="dxa"/>
              <w:left w:w="28" w:type="dxa"/>
              <w:bottom w:w="0" w:type="dxa"/>
              <w:right w:w="28" w:type="dxa"/>
            </w:tcMar>
            <w:vAlign w:val="center"/>
          </w:tcPr>
          <w:p>
            <w:pPr>
              <w:jc w:val="center"/>
              <w:rPr>
                <w:szCs w:val="21"/>
              </w:rPr>
            </w:pPr>
            <w:r>
              <w:rPr>
                <w:szCs w:val="21"/>
              </w:rPr>
              <w:t>/</w:t>
            </w:r>
          </w:p>
        </w:tc>
      </w:tr>
    </w:tbl>
    <w:p>
      <w:pPr>
        <w:topLinePunct/>
        <w:adjustRightInd w:val="0"/>
        <w:snapToGrid w:val="0"/>
        <w:spacing w:line="520" w:lineRule="exact"/>
        <w:rPr>
          <w:bCs/>
          <w:color w:val="000000"/>
          <w:sz w:val="24"/>
        </w:rPr>
      </w:pPr>
      <w:r>
        <w:rPr>
          <w:rFonts w:hint="eastAsia"/>
          <w:bCs/>
          <w:color w:val="000000"/>
          <w:sz w:val="24"/>
          <w:lang w:val="en-US" w:eastAsia="zh-CN"/>
        </w:rPr>
        <w:t>5</w:t>
      </w:r>
      <w:r>
        <w:rPr>
          <w:bCs/>
          <w:color w:val="000000"/>
          <w:sz w:val="24"/>
        </w:rPr>
        <w:t>.2.5.1 固体废物暂存措施</w:t>
      </w:r>
    </w:p>
    <w:p>
      <w:pPr>
        <w:topLinePunct/>
        <w:spacing w:line="520" w:lineRule="exact"/>
        <w:ind w:firstLine="480" w:firstLineChars="200"/>
        <w:rPr>
          <w:color w:val="000000"/>
          <w:sz w:val="24"/>
        </w:rPr>
      </w:pPr>
      <w:r>
        <w:rPr>
          <w:color w:val="000000"/>
          <w:sz w:val="24"/>
        </w:rPr>
        <w:t>项目产生的固体废物主要是一般工业固体废物和危险固体废物。固体废物的暂存措施如下：</w:t>
      </w:r>
    </w:p>
    <w:p>
      <w:pPr>
        <w:topLinePunct/>
        <w:spacing w:line="520" w:lineRule="exact"/>
        <w:ind w:firstLine="480" w:firstLineChars="200"/>
        <w:rPr>
          <w:color w:val="000000"/>
          <w:sz w:val="24"/>
        </w:rPr>
      </w:pPr>
      <w:r>
        <w:rPr>
          <w:color w:val="000000"/>
          <w:sz w:val="24"/>
        </w:rPr>
        <w:t>（1）一般固体废物</w:t>
      </w:r>
    </w:p>
    <w:p>
      <w:pPr>
        <w:topLinePunct/>
        <w:snapToGrid w:val="0"/>
        <w:spacing w:line="520" w:lineRule="exact"/>
        <w:ind w:firstLine="480" w:firstLineChars="200"/>
        <w:rPr>
          <w:color w:val="000000"/>
          <w:sz w:val="24"/>
        </w:rPr>
      </w:pPr>
      <w:r>
        <w:rPr>
          <w:color w:val="000000"/>
          <w:sz w:val="24"/>
        </w:rPr>
        <w:t>根据《中华人民共和国固体废物污染环境防治法》要求，评价建议对一般固体废物设置规范的临时堆存场地，用以暂存废脱硫剂和生活垃圾，按照《一般工业固体废物贮存、处置场污染控制标准》（GB18599-2001）中相应规定，必须采取防扬撒、防流失、防渗漏等三防措施，进行地面硬化，设顶棚和围挡，避免雨水进入，地基加高10cm，达到三防要求。</w:t>
      </w:r>
    </w:p>
    <w:p>
      <w:pPr>
        <w:tabs>
          <w:tab w:val="left" w:pos="3090"/>
          <w:tab w:val="right" w:leader="dot" w:pos="8647"/>
        </w:tabs>
        <w:spacing w:line="500" w:lineRule="exact"/>
        <w:ind w:firstLine="480" w:firstLineChars="200"/>
        <w:rPr>
          <w:color w:val="000000"/>
          <w:sz w:val="24"/>
        </w:rPr>
      </w:pPr>
      <w:r>
        <w:rPr>
          <w:color w:val="000000"/>
          <w:sz w:val="24"/>
        </w:rPr>
        <w:t>病死猪尸的处理与处置</w:t>
      </w:r>
    </w:p>
    <w:p>
      <w:pPr>
        <w:adjustRightInd w:val="0"/>
        <w:snapToGrid w:val="0"/>
        <w:spacing w:line="520" w:lineRule="exact"/>
        <w:ind w:firstLine="480" w:firstLineChars="200"/>
        <w:rPr>
          <w:color w:val="000000"/>
          <w:sz w:val="24"/>
        </w:rPr>
      </w:pPr>
      <w:r>
        <w:rPr>
          <w:color w:val="000000"/>
          <w:sz w:val="24"/>
        </w:rPr>
        <w:t>根据《畜禽养殖业污染防治技术规范》（HJ/T81－2001）第9条规定：</w:t>
      </w:r>
    </w:p>
    <w:p>
      <w:pPr>
        <w:adjustRightInd w:val="0"/>
        <w:snapToGrid w:val="0"/>
        <w:spacing w:line="520" w:lineRule="exact"/>
        <w:ind w:firstLine="480" w:firstLineChars="200"/>
        <w:rPr>
          <w:color w:val="000000"/>
          <w:sz w:val="24"/>
        </w:rPr>
      </w:pPr>
      <w:r>
        <w:rPr>
          <w:rFonts w:hint="eastAsia" w:ascii="宋体" w:hAnsi="宋体" w:cs="宋体"/>
          <w:color w:val="000000"/>
          <w:sz w:val="24"/>
        </w:rPr>
        <w:t>◆</w:t>
      </w:r>
      <w:r>
        <w:rPr>
          <w:color w:val="000000"/>
          <w:sz w:val="24"/>
        </w:rPr>
        <w:t>病死畜禽尸体要及时处理，严禁随意丢弃，严禁出售或作为饲料再利用。</w:t>
      </w:r>
    </w:p>
    <w:p>
      <w:pPr>
        <w:adjustRightInd w:val="0"/>
        <w:snapToGrid w:val="0"/>
        <w:spacing w:line="520" w:lineRule="exact"/>
        <w:ind w:firstLine="480" w:firstLineChars="200"/>
        <w:rPr>
          <w:color w:val="000000"/>
          <w:sz w:val="24"/>
        </w:rPr>
      </w:pPr>
      <w:r>
        <w:rPr>
          <w:rFonts w:hint="eastAsia" w:ascii="宋体" w:hAnsi="宋体" w:cs="宋体"/>
          <w:color w:val="000000"/>
          <w:sz w:val="24"/>
        </w:rPr>
        <w:t>◆</w:t>
      </w:r>
      <w:r>
        <w:rPr>
          <w:color w:val="000000"/>
          <w:sz w:val="24"/>
        </w:rPr>
        <w:t>病死禽畜尸体处理应采用焚烧炉焚烧的方法，在养殖场比较集中的地区，应集中设置焚烧设施；同时焚烧产生的烟气应采取有效的净化措施，防止烟尘、一氧化碳、恶臭等对周围大气环境的污染。</w:t>
      </w:r>
    </w:p>
    <w:p>
      <w:pPr>
        <w:spacing w:line="520" w:lineRule="exact"/>
        <w:ind w:firstLine="480" w:firstLineChars="200"/>
        <w:rPr>
          <w:color w:val="000000"/>
          <w:sz w:val="24"/>
        </w:rPr>
      </w:pPr>
      <w:r>
        <w:rPr>
          <w:rFonts w:hint="eastAsia" w:ascii="宋体" w:hAnsi="宋体" w:cs="宋体"/>
          <w:color w:val="000000"/>
          <w:sz w:val="24"/>
        </w:rPr>
        <w:t>◆</w:t>
      </w:r>
      <w:r>
        <w:rPr>
          <w:color w:val="000000"/>
          <w:sz w:val="24"/>
        </w:rPr>
        <w:t>不具备焚烧条件的养殖场应设置两个以上安全填埋井，填埋井应为混凝提结构，深度大于2m，直径1m，井口加盖密封。进行填埋时，在每次投入畜禽尸体后，应覆盖一层厚度大于10cm的熟石灰，井填满后，须用粘土填埋压实并封口。</w:t>
      </w:r>
    </w:p>
    <w:p>
      <w:pPr>
        <w:spacing w:line="500" w:lineRule="exact"/>
        <w:ind w:firstLine="480" w:firstLineChars="200"/>
        <w:rPr>
          <w:color w:val="000000"/>
          <w:sz w:val="24"/>
        </w:rPr>
      </w:pPr>
      <w:r>
        <w:rPr>
          <w:bCs/>
          <w:color w:val="000000"/>
          <w:sz w:val="24"/>
        </w:rPr>
        <w:t>本项目病死猪产生量为</w:t>
      </w:r>
      <w:r>
        <w:rPr>
          <w:rFonts w:hint="eastAsia"/>
          <w:bCs/>
          <w:color w:val="000000"/>
          <w:sz w:val="24"/>
          <w:lang w:val="en-US" w:eastAsia="zh-CN"/>
        </w:rPr>
        <w:t>7.2</w:t>
      </w:r>
      <w:r>
        <w:rPr>
          <w:bCs/>
          <w:color w:val="000000"/>
          <w:sz w:val="24"/>
        </w:rPr>
        <w:t>t/a，</w:t>
      </w:r>
      <w:r>
        <w:rPr>
          <w:rFonts w:hint="eastAsia"/>
          <w:bCs/>
          <w:color w:val="000000"/>
          <w:sz w:val="24"/>
          <w:lang w:val="en-US" w:eastAsia="zh-CN"/>
        </w:rPr>
        <w:t>委托正阳县畜禽</w:t>
      </w:r>
      <w:r>
        <w:rPr>
          <w:color w:val="000000"/>
          <w:sz w:val="24"/>
        </w:rPr>
        <w:t>无害化处理中心处置。</w:t>
      </w:r>
    </w:p>
    <w:p>
      <w:pPr>
        <w:tabs>
          <w:tab w:val="left" w:pos="3090"/>
        </w:tabs>
        <w:topLinePunct/>
        <w:spacing w:line="500" w:lineRule="exact"/>
        <w:ind w:firstLine="480" w:firstLineChars="200"/>
        <w:rPr>
          <w:color w:val="000000"/>
          <w:sz w:val="24"/>
        </w:rPr>
      </w:pPr>
      <w:r>
        <w:rPr>
          <w:color w:val="000000"/>
          <w:sz w:val="24"/>
        </w:rPr>
        <w:t>（2）危险固体废物</w:t>
      </w:r>
    </w:p>
    <w:p>
      <w:pPr>
        <w:tabs>
          <w:tab w:val="left" w:pos="3090"/>
        </w:tabs>
        <w:topLinePunct/>
        <w:spacing w:line="500" w:lineRule="exact"/>
        <w:ind w:firstLine="480" w:firstLineChars="200"/>
        <w:rPr>
          <w:color w:val="000000"/>
          <w:sz w:val="24"/>
        </w:rPr>
      </w:pPr>
      <w:r>
        <w:rPr>
          <w:color w:val="000000"/>
          <w:sz w:val="24"/>
        </w:rPr>
        <w:t>危险固废主要为防疫医疗废物。</w:t>
      </w:r>
    </w:p>
    <w:p>
      <w:pPr>
        <w:adjustRightInd w:val="0"/>
        <w:snapToGrid w:val="0"/>
        <w:spacing w:line="500" w:lineRule="exact"/>
        <w:ind w:firstLine="480" w:firstLineChars="200"/>
        <w:rPr>
          <w:bCs/>
          <w:color w:val="000000"/>
          <w:sz w:val="24"/>
        </w:rPr>
      </w:pPr>
      <w:r>
        <w:rPr>
          <w:bCs/>
          <w:color w:val="000000"/>
          <w:sz w:val="24"/>
        </w:rPr>
        <w:t>生猪在生长过程接种免疫或发病期接受治疗将产生医疗废物，本项目医疗废物产生量为</w:t>
      </w:r>
      <w:r>
        <w:rPr>
          <w:rFonts w:hint="eastAsia"/>
          <w:bCs/>
          <w:color w:val="000000"/>
          <w:sz w:val="24"/>
          <w:lang w:val="en-US" w:eastAsia="zh-CN"/>
        </w:rPr>
        <w:t>0.025</w:t>
      </w:r>
      <w:r>
        <w:rPr>
          <w:bCs/>
          <w:color w:val="000000"/>
          <w:sz w:val="24"/>
        </w:rPr>
        <w:t>t/a，全场医疗废物暂存于危废暂存间内，</w:t>
      </w:r>
      <w:r>
        <w:rPr>
          <w:rFonts w:hint="eastAsia"/>
          <w:bCs/>
          <w:color w:val="000000"/>
          <w:sz w:val="24"/>
          <w:lang w:val="en-US" w:eastAsia="zh-CN"/>
        </w:rPr>
        <w:t>委托有资质单位</w:t>
      </w:r>
      <w:r>
        <w:rPr>
          <w:bCs/>
          <w:color w:val="000000"/>
          <w:sz w:val="24"/>
        </w:rPr>
        <w:t>处置。项目医疗废物需按照《</w:t>
      </w:r>
      <w:r>
        <w:fldChar w:fldCharType="begin"/>
      </w:r>
      <w:r>
        <w:instrText xml:space="preserve"> HYPERLINK "http://baike.haosou.com/doc/4948882-5170156.html" \t "_blank" </w:instrText>
      </w:r>
      <w:r>
        <w:fldChar w:fldCharType="separate"/>
      </w:r>
      <w:r>
        <w:rPr>
          <w:color w:val="000000"/>
          <w:sz w:val="24"/>
        </w:rPr>
        <w:t>医疗废物</w:t>
      </w:r>
      <w:r>
        <w:rPr>
          <w:color w:val="000000"/>
          <w:sz w:val="24"/>
        </w:rPr>
        <w:fldChar w:fldCharType="end"/>
      </w:r>
      <w:r>
        <w:rPr>
          <w:color w:val="000000"/>
          <w:sz w:val="24"/>
          <w:shd w:val="clear" w:color="auto" w:fill="FFFFFF"/>
        </w:rPr>
        <w:t>管理条例</w:t>
      </w:r>
      <w:r>
        <w:rPr>
          <w:bCs/>
          <w:color w:val="000000"/>
          <w:sz w:val="24"/>
        </w:rPr>
        <w:t>》中相应规定收集、</w:t>
      </w:r>
      <w:r>
        <w:fldChar w:fldCharType="begin"/>
      </w:r>
      <w:r>
        <w:instrText xml:space="preserve"> HYPERLINK "http://baike.haosou.com/doc/824185-871698.html" \t "_blank" </w:instrText>
      </w:r>
      <w:r>
        <w:fldChar w:fldCharType="separate"/>
      </w:r>
      <w:r>
        <w:rPr>
          <w:bCs/>
          <w:color w:val="000000"/>
          <w:sz w:val="24"/>
        </w:rPr>
        <w:t>运送</w:t>
      </w:r>
      <w:r>
        <w:rPr>
          <w:bCs/>
          <w:color w:val="000000"/>
          <w:sz w:val="24"/>
        </w:rPr>
        <w:fldChar w:fldCharType="end"/>
      </w:r>
      <w:r>
        <w:rPr>
          <w:bCs/>
          <w:color w:val="000000"/>
          <w:sz w:val="24"/>
        </w:rPr>
        <w:t>、</w:t>
      </w:r>
      <w:r>
        <w:fldChar w:fldCharType="begin"/>
      </w:r>
      <w:r>
        <w:instrText xml:space="preserve"> HYPERLINK "http://baike.haosou.com/doc/1866520-1974147.html" \t "_blank" </w:instrText>
      </w:r>
      <w:r>
        <w:fldChar w:fldCharType="separate"/>
      </w:r>
      <w:r>
        <w:rPr>
          <w:bCs/>
          <w:color w:val="000000"/>
          <w:sz w:val="24"/>
        </w:rPr>
        <w:t>贮存</w:t>
      </w:r>
      <w:r>
        <w:rPr>
          <w:bCs/>
          <w:color w:val="000000"/>
          <w:sz w:val="24"/>
        </w:rPr>
        <w:fldChar w:fldCharType="end"/>
      </w:r>
      <w:r>
        <w:rPr>
          <w:bCs/>
          <w:color w:val="000000"/>
          <w:sz w:val="24"/>
        </w:rPr>
        <w:t>、</w:t>
      </w:r>
      <w:r>
        <w:fldChar w:fldCharType="begin"/>
      </w:r>
      <w:r>
        <w:instrText xml:space="preserve"> HYPERLINK "http://baike.haosou.com/doc/5584939-5797533.html" \t "_blank" </w:instrText>
      </w:r>
      <w:r>
        <w:fldChar w:fldCharType="separate"/>
      </w:r>
      <w:r>
        <w:rPr>
          <w:bCs/>
          <w:color w:val="000000"/>
          <w:sz w:val="24"/>
        </w:rPr>
        <w:t>处置</w:t>
      </w:r>
      <w:r>
        <w:rPr>
          <w:bCs/>
          <w:color w:val="000000"/>
          <w:sz w:val="24"/>
        </w:rPr>
        <w:fldChar w:fldCharType="end"/>
      </w:r>
      <w:r>
        <w:rPr>
          <w:bCs/>
          <w:color w:val="000000"/>
          <w:sz w:val="24"/>
        </w:rPr>
        <w:t>，不得露天存放。</w:t>
      </w:r>
    </w:p>
    <w:p>
      <w:pPr>
        <w:tabs>
          <w:tab w:val="right" w:leader="dot" w:pos="8647"/>
        </w:tabs>
        <w:spacing w:line="500" w:lineRule="exact"/>
        <w:ind w:firstLine="480" w:firstLineChars="200"/>
        <w:rPr>
          <w:color w:val="000000"/>
          <w:sz w:val="24"/>
        </w:rPr>
      </w:pPr>
      <w:r>
        <w:rPr>
          <w:color w:val="000000"/>
          <w:sz w:val="24"/>
        </w:rPr>
        <w:t>项目设置</w:t>
      </w:r>
      <w:r>
        <w:rPr>
          <w:bCs/>
          <w:color w:val="000000"/>
          <w:kern w:val="0"/>
          <w:sz w:val="24"/>
        </w:rPr>
        <w:t>危废暂存间</w:t>
      </w:r>
      <w:r>
        <w:rPr>
          <w:color w:val="000000"/>
          <w:sz w:val="24"/>
        </w:rPr>
        <w:t>1个，占地面积</w:t>
      </w:r>
      <w:r>
        <w:rPr>
          <w:rFonts w:hint="eastAsia"/>
          <w:color w:val="000000"/>
          <w:sz w:val="24"/>
          <w:lang w:val="en-US" w:eastAsia="zh-CN"/>
        </w:rPr>
        <w:t>6</w:t>
      </w:r>
      <w:r>
        <w:rPr>
          <w:color w:val="000000"/>
          <w:sz w:val="24"/>
        </w:rPr>
        <w:t>m</w:t>
      </w:r>
      <w:r>
        <w:rPr>
          <w:color w:val="000000"/>
          <w:sz w:val="24"/>
          <w:vertAlign w:val="superscript"/>
        </w:rPr>
        <w:t>2</w:t>
      </w:r>
      <w:r>
        <w:rPr>
          <w:color w:val="000000"/>
          <w:sz w:val="24"/>
        </w:rPr>
        <w:t>。用于收集、贮存养猪过程产生的医疗废物，危废暂存间须满足《危险废物贮存污染控制标准》（GB18597-2001）要求：危废临时贮存间的混凝土基础做防渗处理，防渗层采用2mm厚的防渗材料，保证渗透系数≤10</w:t>
      </w:r>
      <w:r>
        <w:rPr>
          <w:color w:val="000000"/>
          <w:sz w:val="24"/>
          <w:vertAlign w:val="superscript"/>
        </w:rPr>
        <w:t>-10</w:t>
      </w:r>
      <w:r>
        <w:rPr>
          <w:color w:val="000000"/>
          <w:sz w:val="24"/>
        </w:rPr>
        <w:t>cm/s，并采用环氧漆做防腐防渗处理；根据</w:t>
      </w:r>
      <w:r>
        <w:rPr>
          <w:bCs/>
          <w:color w:val="000000"/>
          <w:sz w:val="24"/>
        </w:rPr>
        <w:t>农业部“关于印发《病死动物无害化处理技术规范》的通知”农医发〔2013〕34号，</w:t>
      </w:r>
      <w:r>
        <w:rPr>
          <w:color w:val="000000"/>
          <w:sz w:val="24"/>
        </w:rPr>
        <w:t>暂存场所应易于清洗和消毒，并定期清洗消毒；危废的贮存场所设置明显标志；贮存场所内禁止混放不相溶危险废物；危废的转移执行国家环保总局第5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pPr>
        <w:tabs>
          <w:tab w:val="right" w:leader="dot" w:pos="8647"/>
        </w:tabs>
        <w:spacing w:line="500" w:lineRule="exact"/>
        <w:ind w:firstLine="480" w:firstLineChars="200"/>
        <w:rPr>
          <w:color w:val="000000"/>
          <w:sz w:val="24"/>
        </w:rPr>
      </w:pPr>
      <w:r>
        <w:rPr>
          <w:color w:val="000000"/>
          <w:sz w:val="24"/>
        </w:rPr>
        <w:t>在日常管理中，应设置专人加强对危废暂存间的管理，出现问题及时解决，避免形成二次污染，对工作人员应进行专业培训，熟知各项固废知识。</w:t>
      </w:r>
    </w:p>
    <w:p>
      <w:pPr>
        <w:tabs>
          <w:tab w:val="right" w:leader="dot" w:pos="8647"/>
        </w:tabs>
        <w:spacing w:line="500" w:lineRule="exact"/>
        <w:rPr>
          <w:color w:val="000000"/>
          <w:sz w:val="24"/>
        </w:rPr>
      </w:pPr>
      <w:r>
        <w:rPr>
          <w:rFonts w:hint="eastAsia"/>
          <w:color w:val="000000"/>
          <w:sz w:val="24"/>
          <w:lang w:val="en-US" w:eastAsia="zh-CN"/>
        </w:rPr>
        <w:t>5</w:t>
      </w:r>
      <w:r>
        <w:rPr>
          <w:color w:val="000000"/>
          <w:sz w:val="24"/>
        </w:rPr>
        <w:t>.2.5.2猪粪、沼渣综合利用措施的可行性分析</w:t>
      </w:r>
    </w:p>
    <w:p>
      <w:pPr>
        <w:spacing w:line="480" w:lineRule="exact"/>
        <w:ind w:firstLine="480" w:firstLineChars="200"/>
        <w:rPr>
          <w:color w:val="000000"/>
          <w:sz w:val="24"/>
        </w:rPr>
      </w:pPr>
      <w:r>
        <w:rPr>
          <w:color w:val="000000"/>
          <w:sz w:val="24"/>
        </w:rPr>
        <w:t>据测定，新鲜畜禽粪便含水率高为80%，体积大臭味重，农民不愿意直接使用未经处理的粪便，因此企业本着无害化处理和综合利用的原则，拟对产生的猪粪运至固粪处置区采取条垛式堆肥无害化处理。根据堆肥技术的复杂程度以及使用情况，目前我国主要有三大类堆肥系统：条垛式、静态垛式和反应器系统。</w:t>
      </w:r>
    </w:p>
    <w:p>
      <w:pPr>
        <w:spacing w:line="480" w:lineRule="exact"/>
        <w:ind w:firstLine="480" w:firstLineChars="200"/>
        <w:rPr>
          <w:color w:val="000000"/>
          <w:sz w:val="24"/>
        </w:rPr>
      </w:pPr>
      <w:r>
        <w:rPr>
          <w:color w:val="000000"/>
          <w:sz w:val="24"/>
        </w:rPr>
        <w:t>条垛式是在露天或棚架下，将混合好的原料堆成条垛状，在好氧条件下进行分解的一种堆肥化方式。条垛式堆肥一次发酵周期为1个月。</w:t>
      </w:r>
    </w:p>
    <w:p>
      <w:pPr>
        <w:spacing w:line="480" w:lineRule="exact"/>
        <w:ind w:firstLine="480" w:firstLineChars="200"/>
        <w:rPr>
          <w:color w:val="000000"/>
          <w:sz w:val="24"/>
        </w:rPr>
      </w:pPr>
      <w:r>
        <w:rPr>
          <w:color w:val="000000"/>
          <w:sz w:val="24"/>
        </w:rPr>
        <w:t>静态通风堆系统是条形堆的改进形式。它主要用于湿基质的堆肥，堆肥过程中不进行物料的翻堆，通风使堆体保持好氧状态。</w:t>
      </w:r>
    </w:p>
    <w:p>
      <w:pPr>
        <w:spacing w:line="480" w:lineRule="exact"/>
        <w:ind w:firstLine="480" w:firstLineChars="200"/>
        <w:rPr>
          <w:color w:val="000000"/>
          <w:sz w:val="24"/>
        </w:rPr>
      </w:pPr>
      <w:r>
        <w:rPr>
          <w:color w:val="000000"/>
          <w:sz w:val="24"/>
        </w:rPr>
        <w:t>反应器堆肥系统是将物料在部分或全部封闭的发酵装置（如发酵仓、发酵塔等）内，通过控制通气和水分条件，使物料进行生物降解和转化。</w:t>
      </w:r>
    </w:p>
    <w:p>
      <w:pPr>
        <w:spacing w:line="500" w:lineRule="exact"/>
        <w:ind w:firstLine="480" w:firstLineChars="200"/>
        <w:rPr>
          <w:color w:val="000000"/>
          <w:sz w:val="24"/>
        </w:rPr>
      </w:pPr>
      <w:r>
        <w:rPr>
          <w:bCs/>
          <w:color w:val="000000"/>
          <w:sz w:val="24"/>
        </w:rPr>
        <w:t>在好氧条垛堆肥的基础上进行了改进：</w:t>
      </w:r>
      <w:r>
        <w:rPr>
          <w:color w:val="000000"/>
          <w:sz w:val="24"/>
        </w:rPr>
        <w:t>选用专门的翻堆机定期翻堆，操作简单，同时该翻堆机还具有破碎的功能，可增大物料的充氧量，更有利于好氧堆肥。为减小气候条件对堆肥的影响，项目固粪处置区采用半封闭场棚结构，受气候条件影响的程度降低；在固粪处置区通过喷洒植物型除臭剂对恶臭气体进行脱除，操作简单；公司对固粪处置区场地进行了改进，直接在猪舍的机械刮板终端设置固粪处置区，通过整合治污区，合理配置资源，一定程度上减小了堆肥所需的占地面积，同时还减少了运输粪便带来的环境污染。</w:t>
      </w:r>
    </w:p>
    <w:p>
      <w:pPr>
        <w:spacing w:line="480" w:lineRule="exact"/>
        <w:ind w:firstLine="480" w:firstLineChars="200"/>
        <w:rPr>
          <w:color w:val="000000"/>
          <w:sz w:val="24"/>
        </w:rPr>
      </w:pPr>
      <w:r>
        <w:rPr>
          <w:color w:val="000000"/>
          <w:sz w:val="24"/>
        </w:rPr>
        <w:t>各种堆肥系统的优缺点比较：</w:t>
      </w:r>
    </w:p>
    <w:p>
      <w:pPr>
        <w:spacing w:beforeLines="50" w:afterLines="50"/>
        <w:jc w:val="center"/>
        <w:rPr>
          <w:b/>
          <w:bCs/>
          <w:color w:val="000000"/>
          <w:sz w:val="24"/>
        </w:rPr>
      </w:pPr>
      <w:r>
        <w:rPr>
          <w:b/>
          <w:bCs/>
          <w:color w:val="000000"/>
          <w:szCs w:val="21"/>
        </w:rPr>
        <w:t>表</w:t>
      </w:r>
      <w:r>
        <w:rPr>
          <w:rFonts w:hint="eastAsia"/>
          <w:b/>
          <w:bCs/>
          <w:color w:val="000000"/>
          <w:szCs w:val="21"/>
          <w:lang w:val="en-US" w:eastAsia="zh-CN"/>
        </w:rPr>
        <w:t xml:space="preserve">5.2-12  </w:t>
      </w:r>
      <w:r>
        <w:rPr>
          <w:b/>
          <w:bCs/>
          <w:color w:val="000000"/>
          <w:szCs w:val="21"/>
        </w:rPr>
        <w:t xml:space="preserve"> 各种堆肥系统的优缺点比较表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1564"/>
        <w:gridCol w:w="1558"/>
        <w:gridCol w:w="1419"/>
        <w:gridCol w:w="2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b/>
                <w:color w:val="000000"/>
                <w:kern w:val="0"/>
                <w:szCs w:val="21"/>
              </w:rPr>
            </w:pPr>
            <w:r>
              <w:rPr>
                <w:b/>
                <w:color w:val="000000"/>
                <w:kern w:val="0"/>
                <w:szCs w:val="21"/>
              </w:rPr>
              <w:t>堆肥工艺</w:t>
            </w:r>
          </w:p>
        </w:tc>
        <w:tc>
          <w:tcPr>
            <w:tcW w:w="1564" w:type="dxa"/>
            <w:vAlign w:val="center"/>
          </w:tcPr>
          <w:p>
            <w:pPr>
              <w:widowControl/>
              <w:jc w:val="center"/>
              <w:rPr>
                <w:b/>
                <w:color w:val="000000"/>
                <w:kern w:val="0"/>
                <w:szCs w:val="21"/>
              </w:rPr>
            </w:pPr>
            <w:r>
              <w:rPr>
                <w:b/>
                <w:color w:val="000000"/>
                <w:kern w:val="0"/>
                <w:szCs w:val="21"/>
              </w:rPr>
              <w:t>条垛堆肥</w:t>
            </w:r>
          </w:p>
        </w:tc>
        <w:tc>
          <w:tcPr>
            <w:tcW w:w="1558" w:type="dxa"/>
            <w:vAlign w:val="center"/>
          </w:tcPr>
          <w:p>
            <w:pPr>
              <w:widowControl/>
              <w:jc w:val="center"/>
              <w:rPr>
                <w:b/>
                <w:color w:val="000000"/>
                <w:kern w:val="0"/>
                <w:szCs w:val="21"/>
              </w:rPr>
            </w:pPr>
            <w:r>
              <w:rPr>
                <w:b/>
                <w:color w:val="000000"/>
                <w:kern w:val="0"/>
                <w:szCs w:val="21"/>
              </w:rPr>
              <w:t>静态堆肥</w:t>
            </w:r>
          </w:p>
        </w:tc>
        <w:tc>
          <w:tcPr>
            <w:tcW w:w="1419" w:type="dxa"/>
            <w:vAlign w:val="center"/>
          </w:tcPr>
          <w:p>
            <w:pPr>
              <w:widowControl/>
              <w:jc w:val="center"/>
              <w:rPr>
                <w:b/>
                <w:color w:val="000000"/>
                <w:kern w:val="0"/>
                <w:szCs w:val="21"/>
              </w:rPr>
            </w:pPr>
            <w:r>
              <w:rPr>
                <w:b/>
                <w:color w:val="000000"/>
                <w:kern w:val="0"/>
                <w:szCs w:val="21"/>
              </w:rPr>
              <w:t>反应器堆肥</w:t>
            </w:r>
          </w:p>
        </w:tc>
        <w:tc>
          <w:tcPr>
            <w:tcW w:w="2033" w:type="dxa"/>
            <w:vAlign w:val="center"/>
          </w:tcPr>
          <w:p>
            <w:pPr>
              <w:widowControl/>
              <w:jc w:val="center"/>
              <w:rPr>
                <w:b/>
                <w:color w:val="000000"/>
                <w:kern w:val="0"/>
                <w:szCs w:val="21"/>
              </w:rPr>
            </w:pPr>
            <w:r>
              <w:rPr>
                <w:b/>
                <w:color w:val="000000"/>
                <w:kern w:val="0"/>
                <w:szCs w:val="21"/>
              </w:rPr>
              <w:t>改良后的条垛堆肥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投资成本</w:t>
            </w:r>
          </w:p>
        </w:tc>
        <w:tc>
          <w:tcPr>
            <w:tcW w:w="1564" w:type="dxa"/>
            <w:vAlign w:val="center"/>
          </w:tcPr>
          <w:p>
            <w:pPr>
              <w:widowControl/>
              <w:jc w:val="center"/>
              <w:rPr>
                <w:color w:val="000000"/>
                <w:kern w:val="0"/>
                <w:szCs w:val="21"/>
              </w:rPr>
            </w:pPr>
            <w:r>
              <w:rPr>
                <w:color w:val="000000"/>
                <w:kern w:val="0"/>
                <w:szCs w:val="21"/>
              </w:rPr>
              <w:t>低</w:t>
            </w:r>
          </w:p>
        </w:tc>
        <w:tc>
          <w:tcPr>
            <w:tcW w:w="1558" w:type="dxa"/>
            <w:vAlign w:val="center"/>
          </w:tcPr>
          <w:p>
            <w:pPr>
              <w:widowControl/>
              <w:jc w:val="center"/>
              <w:rPr>
                <w:color w:val="000000"/>
                <w:kern w:val="0"/>
                <w:szCs w:val="21"/>
              </w:rPr>
            </w:pPr>
            <w:r>
              <w:rPr>
                <w:color w:val="000000"/>
                <w:kern w:val="0"/>
                <w:szCs w:val="21"/>
              </w:rPr>
              <w:t>低</w:t>
            </w:r>
          </w:p>
        </w:tc>
        <w:tc>
          <w:tcPr>
            <w:tcW w:w="1419" w:type="dxa"/>
            <w:vAlign w:val="center"/>
          </w:tcPr>
          <w:p>
            <w:pPr>
              <w:widowControl/>
              <w:jc w:val="center"/>
              <w:rPr>
                <w:color w:val="000000"/>
                <w:kern w:val="0"/>
                <w:szCs w:val="21"/>
              </w:rPr>
            </w:pPr>
            <w:r>
              <w:rPr>
                <w:color w:val="000000"/>
                <w:kern w:val="0"/>
                <w:szCs w:val="21"/>
              </w:rPr>
              <w:t>高</w:t>
            </w:r>
          </w:p>
        </w:tc>
        <w:tc>
          <w:tcPr>
            <w:tcW w:w="2033" w:type="dxa"/>
            <w:vAlign w:val="center"/>
          </w:tcPr>
          <w:p>
            <w:pPr>
              <w:widowControl/>
              <w:jc w:val="center"/>
              <w:rPr>
                <w:color w:val="000000"/>
                <w:kern w:val="0"/>
                <w:szCs w:val="21"/>
              </w:rPr>
            </w:pPr>
            <w:r>
              <w:rPr>
                <w:color w:val="000000"/>
                <w:kern w:val="0"/>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运行和维护费用</w:t>
            </w:r>
          </w:p>
        </w:tc>
        <w:tc>
          <w:tcPr>
            <w:tcW w:w="1564" w:type="dxa"/>
            <w:vAlign w:val="center"/>
          </w:tcPr>
          <w:p>
            <w:pPr>
              <w:widowControl/>
              <w:jc w:val="center"/>
              <w:rPr>
                <w:color w:val="000000"/>
                <w:kern w:val="0"/>
                <w:szCs w:val="21"/>
              </w:rPr>
            </w:pPr>
            <w:r>
              <w:rPr>
                <w:color w:val="000000"/>
                <w:kern w:val="0"/>
                <w:szCs w:val="21"/>
              </w:rPr>
              <w:t>较低</w:t>
            </w:r>
          </w:p>
        </w:tc>
        <w:tc>
          <w:tcPr>
            <w:tcW w:w="1558" w:type="dxa"/>
            <w:vAlign w:val="center"/>
          </w:tcPr>
          <w:p>
            <w:pPr>
              <w:widowControl/>
              <w:jc w:val="center"/>
              <w:rPr>
                <w:color w:val="000000"/>
                <w:kern w:val="0"/>
                <w:szCs w:val="21"/>
              </w:rPr>
            </w:pPr>
            <w:r>
              <w:rPr>
                <w:color w:val="000000"/>
                <w:kern w:val="0"/>
                <w:szCs w:val="21"/>
              </w:rPr>
              <w:t>低</w:t>
            </w:r>
          </w:p>
        </w:tc>
        <w:tc>
          <w:tcPr>
            <w:tcW w:w="1419" w:type="dxa"/>
            <w:vAlign w:val="center"/>
          </w:tcPr>
          <w:p>
            <w:pPr>
              <w:widowControl/>
              <w:jc w:val="center"/>
              <w:rPr>
                <w:color w:val="000000"/>
                <w:kern w:val="0"/>
                <w:szCs w:val="21"/>
              </w:rPr>
            </w:pPr>
            <w:r>
              <w:rPr>
                <w:color w:val="000000"/>
                <w:kern w:val="0"/>
                <w:szCs w:val="21"/>
              </w:rPr>
              <w:t>低</w:t>
            </w:r>
          </w:p>
        </w:tc>
        <w:tc>
          <w:tcPr>
            <w:tcW w:w="2033" w:type="dxa"/>
            <w:vAlign w:val="center"/>
          </w:tcPr>
          <w:p>
            <w:pPr>
              <w:widowControl/>
              <w:jc w:val="center"/>
              <w:rPr>
                <w:color w:val="000000"/>
                <w:kern w:val="0"/>
                <w:szCs w:val="21"/>
              </w:rPr>
            </w:pPr>
            <w:r>
              <w:rPr>
                <w:color w:val="000000"/>
                <w:kern w:val="0"/>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操作难度</w:t>
            </w:r>
          </w:p>
        </w:tc>
        <w:tc>
          <w:tcPr>
            <w:tcW w:w="1564" w:type="dxa"/>
            <w:vAlign w:val="center"/>
          </w:tcPr>
          <w:p>
            <w:pPr>
              <w:widowControl/>
              <w:jc w:val="center"/>
              <w:rPr>
                <w:color w:val="000000"/>
                <w:kern w:val="0"/>
                <w:szCs w:val="21"/>
              </w:rPr>
            </w:pPr>
            <w:r>
              <w:rPr>
                <w:color w:val="000000"/>
                <w:kern w:val="0"/>
                <w:szCs w:val="21"/>
              </w:rPr>
              <w:t>低</w:t>
            </w:r>
          </w:p>
        </w:tc>
        <w:tc>
          <w:tcPr>
            <w:tcW w:w="1558" w:type="dxa"/>
            <w:vAlign w:val="center"/>
          </w:tcPr>
          <w:p>
            <w:pPr>
              <w:widowControl/>
              <w:jc w:val="center"/>
              <w:rPr>
                <w:color w:val="000000"/>
                <w:kern w:val="0"/>
                <w:szCs w:val="21"/>
              </w:rPr>
            </w:pPr>
            <w:r>
              <w:rPr>
                <w:color w:val="000000"/>
                <w:kern w:val="0"/>
                <w:szCs w:val="21"/>
              </w:rPr>
              <w:t>较低</w:t>
            </w:r>
          </w:p>
        </w:tc>
        <w:tc>
          <w:tcPr>
            <w:tcW w:w="1419" w:type="dxa"/>
            <w:vAlign w:val="center"/>
          </w:tcPr>
          <w:p>
            <w:pPr>
              <w:widowControl/>
              <w:jc w:val="center"/>
              <w:rPr>
                <w:color w:val="000000"/>
                <w:kern w:val="0"/>
                <w:szCs w:val="21"/>
              </w:rPr>
            </w:pPr>
            <w:r>
              <w:rPr>
                <w:color w:val="000000"/>
                <w:kern w:val="0"/>
                <w:szCs w:val="21"/>
              </w:rPr>
              <w:t>难</w:t>
            </w:r>
          </w:p>
        </w:tc>
        <w:tc>
          <w:tcPr>
            <w:tcW w:w="2033" w:type="dxa"/>
            <w:vAlign w:val="center"/>
          </w:tcPr>
          <w:p>
            <w:pPr>
              <w:widowControl/>
              <w:jc w:val="center"/>
              <w:rPr>
                <w:color w:val="000000"/>
                <w:kern w:val="0"/>
                <w:szCs w:val="21"/>
              </w:rPr>
            </w:pPr>
            <w:r>
              <w:rPr>
                <w:color w:val="000000"/>
                <w:kern w:val="0"/>
                <w:szCs w:val="21"/>
              </w:rPr>
              <w:t>较低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受气候条件影响大小</w:t>
            </w:r>
          </w:p>
        </w:tc>
        <w:tc>
          <w:tcPr>
            <w:tcW w:w="1564" w:type="dxa"/>
            <w:vAlign w:val="center"/>
          </w:tcPr>
          <w:p>
            <w:pPr>
              <w:widowControl/>
              <w:jc w:val="center"/>
              <w:rPr>
                <w:color w:val="000000"/>
                <w:kern w:val="0"/>
                <w:szCs w:val="21"/>
              </w:rPr>
            </w:pPr>
            <w:r>
              <w:rPr>
                <w:color w:val="000000"/>
                <w:kern w:val="0"/>
                <w:szCs w:val="21"/>
              </w:rPr>
              <w:t>大</w:t>
            </w:r>
          </w:p>
        </w:tc>
        <w:tc>
          <w:tcPr>
            <w:tcW w:w="1558" w:type="dxa"/>
            <w:vAlign w:val="center"/>
          </w:tcPr>
          <w:p>
            <w:pPr>
              <w:widowControl/>
              <w:jc w:val="center"/>
              <w:rPr>
                <w:color w:val="000000"/>
                <w:kern w:val="0"/>
                <w:szCs w:val="21"/>
              </w:rPr>
            </w:pPr>
            <w:r>
              <w:rPr>
                <w:color w:val="000000"/>
                <w:kern w:val="0"/>
                <w:szCs w:val="21"/>
              </w:rPr>
              <w:t>较大</w:t>
            </w:r>
          </w:p>
        </w:tc>
        <w:tc>
          <w:tcPr>
            <w:tcW w:w="1419" w:type="dxa"/>
            <w:vAlign w:val="center"/>
          </w:tcPr>
          <w:p>
            <w:pPr>
              <w:widowControl/>
              <w:jc w:val="center"/>
              <w:rPr>
                <w:color w:val="000000"/>
                <w:kern w:val="0"/>
                <w:szCs w:val="21"/>
              </w:rPr>
            </w:pPr>
            <w:r>
              <w:rPr>
                <w:color w:val="000000"/>
                <w:kern w:val="0"/>
                <w:szCs w:val="21"/>
              </w:rPr>
              <w:t>小</w:t>
            </w:r>
          </w:p>
        </w:tc>
        <w:tc>
          <w:tcPr>
            <w:tcW w:w="2033" w:type="dxa"/>
            <w:vAlign w:val="center"/>
          </w:tcPr>
          <w:p>
            <w:pPr>
              <w:widowControl/>
              <w:jc w:val="center"/>
              <w:rPr>
                <w:color w:val="000000"/>
                <w:kern w:val="0"/>
                <w:szCs w:val="21"/>
              </w:rPr>
            </w:pPr>
            <w:r>
              <w:rPr>
                <w:color w:val="000000"/>
                <w:kern w:val="0"/>
                <w:szCs w:val="21"/>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臭味处理</w:t>
            </w:r>
          </w:p>
        </w:tc>
        <w:tc>
          <w:tcPr>
            <w:tcW w:w="1564" w:type="dxa"/>
            <w:vAlign w:val="center"/>
          </w:tcPr>
          <w:p>
            <w:pPr>
              <w:widowControl/>
              <w:jc w:val="center"/>
              <w:rPr>
                <w:color w:val="000000"/>
                <w:kern w:val="0"/>
                <w:szCs w:val="21"/>
              </w:rPr>
            </w:pPr>
            <w:r>
              <w:rPr>
                <w:color w:val="000000"/>
                <w:kern w:val="0"/>
                <w:szCs w:val="21"/>
              </w:rPr>
              <w:t>难</w:t>
            </w:r>
          </w:p>
        </w:tc>
        <w:tc>
          <w:tcPr>
            <w:tcW w:w="1558" w:type="dxa"/>
            <w:vAlign w:val="center"/>
          </w:tcPr>
          <w:p>
            <w:pPr>
              <w:widowControl/>
              <w:jc w:val="center"/>
              <w:rPr>
                <w:color w:val="000000"/>
                <w:kern w:val="0"/>
                <w:szCs w:val="21"/>
              </w:rPr>
            </w:pPr>
            <w:r>
              <w:rPr>
                <w:color w:val="000000"/>
                <w:kern w:val="0"/>
                <w:szCs w:val="21"/>
              </w:rPr>
              <w:t>较易</w:t>
            </w:r>
          </w:p>
        </w:tc>
        <w:tc>
          <w:tcPr>
            <w:tcW w:w="1419" w:type="dxa"/>
            <w:vAlign w:val="center"/>
          </w:tcPr>
          <w:p>
            <w:pPr>
              <w:widowControl/>
              <w:jc w:val="center"/>
              <w:rPr>
                <w:color w:val="000000"/>
                <w:kern w:val="0"/>
                <w:szCs w:val="21"/>
              </w:rPr>
            </w:pPr>
            <w:r>
              <w:rPr>
                <w:color w:val="000000"/>
                <w:kern w:val="0"/>
                <w:szCs w:val="21"/>
              </w:rPr>
              <w:t>易</w:t>
            </w:r>
          </w:p>
        </w:tc>
        <w:tc>
          <w:tcPr>
            <w:tcW w:w="2033" w:type="dxa"/>
            <w:vAlign w:val="center"/>
          </w:tcPr>
          <w:p>
            <w:pPr>
              <w:widowControl/>
              <w:jc w:val="center"/>
              <w:rPr>
                <w:color w:val="000000"/>
                <w:kern w:val="0"/>
                <w:szCs w:val="21"/>
              </w:rPr>
            </w:pPr>
            <w:r>
              <w:rPr>
                <w:color w:val="000000"/>
                <w:kern w:val="0"/>
                <w:szCs w:val="21"/>
              </w:rPr>
              <w:t>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占地面积</w:t>
            </w:r>
          </w:p>
        </w:tc>
        <w:tc>
          <w:tcPr>
            <w:tcW w:w="1564" w:type="dxa"/>
            <w:vAlign w:val="center"/>
          </w:tcPr>
          <w:p>
            <w:pPr>
              <w:widowControl/>
              <w:jc w:val="center"/>
              <w:rPr>
                <w:color w:val="000000"/>
                <w:kern w:val="0"/>
                <w:szCs w:val="21"/>
              </w:rPr>
            </w:pPr>
            <w:r>
              <w:rPr>
                <w:color w:val="000000"/>
                <w:kern w:val="0"/>
                <w:szCs w:val="21"/>
              </w:rPr>
              <w:t>大</w:t>
            </w:r>
          </w:p>
        </w:tc>
        <w:tc>
          <w:tcPr>
            <w:tcW w:w="1558" w:type="dxa"/>
            <w:vAlign w:val="center"/>
          </w:tcPr>
          <w:p>
            <w:pPr>
              <w:widowControl/>
              <w:jc w:val="center"/>
              <w:rPr>
                <w:color w:val="000000"/>
                <w:kern w:val="0"/>
                <w:szCs w:val="21"/>
              </w:rPr>
            </w:pPr>
            <w:r>
              <w:rPr>
                <w:color w:val="000000"/>
                <w:kern w:val="0"/>
                <w:szCs w:val="21"/>
              </w:rPr>
              <w:t>中</w:t>
            </w:r>
          </w:p>
        </w:tc>
        <w:tc>
          <w:tcPr>
            <w:tcW w:w="1419" w:type="dxa"/>
            <w:vAlign w:val="center"/>
          </w:tcPr>
          <w:p>
            <w:pPr>
              <w:widowControl/>
              <w:jc w:val="center"/>
              <w:rPr>
                <w:color w:val="000000"/>
                <w:kern w:val="0"/>
                <w:szCs w:val="21"/>
              </w:rPr>
            </w:pPr>
            <w:r>
              <w:rPr>
                <w:color w:val="000000"/>
                <w:kern w:val="0"/>
                <w:szCs w:val="21"/>
              </w:rPr>
              <w:t>小</w:t>
            </w:r>
          </w:p>
        </w:tc>
        <w:tc>
          <w:tcPr>
            <w:tcW w:w="2033" w:type="dxa"/>
            <w:vAlign w:val="center"/>
          </w:tcPr>
          <w:p>
            <w:pPr>
              <w:widowControl/>
              <w:jc w:val="center"/>
              <w:rPr>
                <w:color w:val="000000"/>
                <w:kern w:val="0"/>
                <w:szCs w:val="21"/>
              </w:rPr>
            </w:pPr>
            <w:r>
              <w:rPr>
                <w:color w:val="000000"/>
                <w:kern w:val="0"/>
                <w:szCs w:val="21"/>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堆肥时间</w:t>
            </w:r>
          </w:p>
        </w:tc>
        <w:tc>
          <w:tcPr>
            <w:tcW w:w="1564" w:type="dxa"/>
            <w:vAlign w:val="center"/>
          </w:tcPr>
          <w:p>
            <w:pPr>
              <w:widowControl/>
              <w:jc w:val="center"/>
              <w:rPr>
                <w:color w:val="000000"/>
                <w:kern w:val="0"/>
                <w:szCs w:val="21"/>
              </w:rPr>
            </w:pPr>
            <w:r>
              <w:rPr>
                <w:color w:val="000000"/>
                <w:kern w:val="0"/>
                <w:szCs w:val="21"/>
              </w:rPr>
              <w:t>长</w:t>
            </w:r>
          </w:p>
        </w:tc>
        <w:tc>
          <w:tcPr>
            <w:tcW w:w="1558" w:type="dxa"/>
            <w:vAlign w:val="center"/>
          </w:tcPr>
          <w:p>
            <w:pPr>
              <w:widowControl/>
              <w:jc w:val="center"/>
              <w:rPr>
                <w:color w:val="000000"/>
                <w:kern w:val="0"/>
                <w:szCs w:val="21"/>
              </w:rPr>
            </w:pPr>
            <w:r>
              <w:rPr>
                <w:color w:val="000000"/>
                <w:kern w:val="0"/>
                <w:szCs w:val="21"/>
              </w:rPr>
              <w:t>中</w:t>
            </w:r>
          </w:p>
        </w:tc>
        <w:tc>
          <w:tcPr>
            <w:tcW w:w="1419" w:type="dxa"/>
            <w:vAlign w:val="center"/>
          </w:tcPr>
          <w:p>
            <w:pPr>
              <w:widowControl/>
              <w:jc w:val="center"/>
              <w:rPr>
                <w:color w:val="000000"/>
                <w:kern w:val="0"/>
                <w:szCs w:val="21"/>
              </w:rPr>
            </w:pPr>
            <w:r>
              <w:rPr>
                <w:color w:val="000000"/>
                <w:kern w:val="0"/>
                <w:szCs w:val="21"/>
              </w:rPr>
              <w:t>短</w:t>
            </w:r>
          </w:p>
        </w:tc>
        <w:tc>
          <w:tcPr>
            <w:tcW w:w="2033" w:type="dxa"/>
            <w:vAlign w:val="center"/>
          </w:tcPr>
          <w:p>
            <w:pPr>
              <w:widowControl/>
              <w:jc w:val="center"/>
              <w:rPr>
                <w:color w:val="000000"/>
                <w:kern w:val="0"/>
                <w:szCs w:val="21"/>
              </w:rPr>
            </w:pPr>
            <w:r>
              <w:rPr>
                <w:color w:val="000000"/>
                <w:kern w:val="0"/>
                <w:szCs w:val="21"/>
              </w:rPr>
              <w:t>中</w:t>
            </w:r>
          </w:p>
        </w:tc>
      </w:tr>
    </w:tbl>
    <w:p>
      <w:pPr>
        <w:spacing w:line="500" w:lineRule="exact"/>
        <w:ind w:firstLine="480" w:firstLineChars="200"/>
        <w:rPr>
          <w:color w:val="000000"/>
          <w:kern w:val="0"/>
          <w:sz w:val="24"/>
        </w:rPr>
      </w:pPr>
      <w:r>
        <w:rPr>
          <w:color w:val="000000"/>
          <w:kern w:val="0"/>
          <w:sz w:val="24"/>
        </w:rPr>
        <w:t>从投资成本、操作难度等方面比较，反应器堆肥成本较高，操作难度大。本项目为畜牧业属第一产业，且项目主体是生猪养殖，有机肥基肥制作只是项目的副产品，从经济可行性上分析，不选用反应器堆肥方式。</w:t>
      </w:r>
    </w:p>
    <w:p>
      <w:pPr>
        <w:spacing w:line="500" w:lineRule="exact"/>
        <w:ind w:firstLine="480" w:firstLineChars="200"/>
        <w:rPr>
          <w:color w:val="000000"/>
          <w:kern w:val="0"/>
          <w:sz w:val="24"/>
        </w:rPr>
      </w:pPr>
      <w:r>
        <w:rPr>
          <w:color w:val="000000"/>
          <w:kern w:val="0"/>
          <w:sz w:val="24"/>
        </w:rPr>
        <w:t>改良后的条垛堆肥与静态通风堆肥相比：</w:t>
      </w:r>
      <w:r>
        <w:rPr>
          <w:color w:val="000000"/>
          <w:kern w:val="0"/>
          <w:sz w:val="24"/>
        </w:rPr>
        <w:fldChar w:fldCharType="begin"/>
      </w:r>
      <w:r>
        <w:rPr>
          <w:color w:val="000000"/>
          <w:kern w:val="0"/>
          <w:sz w:val="24"/>
        </w:rPr>
        <w:instrText xml:space="preserve">= 1 \* GB3</w:instrText>
      </w:r>
      <w:r>
        <w:rPr>
          <w:color w:val="000000"/>
          <w:kern w:val="0"/>
          <w:sz w:val="24"/>
        </w:rPr>
        <w:fldChar w:fldCharType="separate"/>
      </w:r>
      <w:r>
        <w:rPr>
          <w:rFonts w:hint="eastAsia" w:ascii="宋体" w:hAnsi="宋体" w:cs="宋体"/>
          <w:color w:val="000000"/>
          <w:kern w:val="0"/>
          <w:sz w:val="24"/>
        </w:rPr>
        <w:t>①</w:t>
      </w:r>
      <w:r>
        <w:rPr>
          <w:color w:val="000000"/>
          <w:kern w:val="0"/>
          <w:sz w:val="24"/>
        </w:rPr>
        <w:fldChar w:fldCharType="end"/>
      </w:r>
      <w:r>
        <w:rPr>
          <w:color w:val="000000"/>
          <w:kern w:val="0"/>
          <w:sz w:val="24"/>
        </w:rPr>
        <w:t>在运行和维护费用上改良后的条垛堆肥较静态堆肥低，条垛堆肥在前期固粪处置区建成后，仅需定期使用翻堆机进行翻堆即可，而静态堆肥需要铺设管道定期通风，通风耗电量较大，运行成本较高，且管道容易腐蚀，维护费用较高。</w:t>
      </w:r>
      <w:r>
        <w:rPr>
          <w:color w:val="000000"/>
          <w:kern w:val="0"/>
          <w:sz w:val="24"/>
        </w:rPr>
        <w:fldChar w:fldCharType="begin"/>
      </w:r>
      <w:r>
        <w:rPr>
          <w:color w:val="000000"/>
          <w:kern w:val="0"/>
          <w:sz w:val="24"/>
        </w:rPr>
        <w:instrText xml:space="preserve">= 2 \* GB3</w:instrText>
      </w:r>
      <w:r>
        <w:rPr>
          <w:color w:val="000000"/>
          <w:kern w:val="0"/>
          <w:sz w:val="24"/>
        </w:rPr>
        <w:fldChar w:fldCharType="separate"/>
      </w:r>
      <w:r>
        <w:rPr>
          <w:rFonts w:hint="eastAsia" w:ascii="宋体" w:hAnsi="宋体" w:cs="宋体"/>
          <w:color w:val="000000"/>
          <w:kern w:val="0"/>
          <w:sz w:val="24"/>
        </w:rPr>
        <w:t>②</w:t>
      </w:r>
      <w:r>
        <w:rPr>
          <w:color w:val="000000"/>
          <w:kern w:val="0"/>
          <w:sz w:val="24"/>
        </w:rPr>
        <w:fldChar w:fldCharType="end"/>
      </w:r>
      <w:r>
        <w:rPr>
          <w:color w:val="000000"/>
          <w:kern w:val="0"/>
          <w:sz w:val="24"/>
        </w:rPr>
        <w:t>在受气候条件影响程度上，改良后的条垛堆肥较静态堆肥小，静态堆肥为露天，而改良后的条垛固粪处置区场地设有半封闭场棚，受气候条件影响程度较小。</w:t>
      </w:r>
      <w:r>
        <w:rPr>
          <w:color w:val="000000"/>
          <w:kern w:val="0"/>
          <w:sz w:val="24"/>
        </w:rPr>
        <w:fldChar w:fldCharType="begin"/>
      </w:r>
      <w:r>
        <w:rPr>
          <w:color w:val="000000"/>
          <w:kern w:val="0"/>
          <w:sz w:val="24"/>
        </w:rPr>
        <w:instrText xml:space="preserve">= 3 \* GB3</w:instrText>
      </w:r>
      <w:r>
        <w:rPr>
          <w:color w:val="000000"/>
          <w:kern w:val="0"/>
          <w:sz w:val="24"/>
        </w:rPr>
        <w:fldChar w:fldCharType="separate"/>
      </w:r>
      <w:r>
        <w:rPr>
          <w:rFonts w:hint="eastAsia" w:ascii="宋体" w:hAnsi="宋体" w:cs="宋体"/>
          <w:color w:val="000000"/>
          <w:kern w:val="0"/>
          <w:sz w:val="24"/>
        </w:rPr>
        <w:t>③</w:t>
      </w:r>
      <w:r>
        <w:rPr>
          <w:color w:val="000000"/>
          <w:kern w:val="0"/>
          <w:sz w:val="24"/>
        </w:rPr>
        <w:fldChar w:fldCharType="end"/>
      </w:r>
      <w:r>
        <w:rPr>
          <w:color w:val="000000"/>
          <w:kern w:val="0"/>
          <w:sz w:val="24"/>
        </w:rPr>
        <w:t>占地面积，改良后的条垛堆肥通过产污区和治污区的集约整合，一定程度上减小了占地面积</w:t>
      </w:r>
      <w:r>
        <w:rPr>
          <w:color w:val="000000"/>
          <w:sz w:val="24"/>
        </w:rPr>
        <w:t>，同时还减少了运输粪便带来的环境污染。</w:t>
      </w:r>
      <w:r>
        <w:rPr>
          <w:color w:val="000000"/>
          <w:sz w:val="24"/>
        </w:rPr>
        <w:fldChar w:fldCharType="begin"/>
      </w:r>
      <w:r>
        <w:rPr>
          <w:color w:val="000000"/>
          <w:sz w:val="24"/>
        </w:rPr>
        <w:instrText xml:space="preserve">= 4 \* GB3</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堆肥时间和堆肥产品质量，改良后的条垛堆肥使用专业的翻堆机定期翻堆，增大了物料的充氧量，使物料充分发酵，在一定程度上降低了堆肥时间，堆肥产品的质量也有一定提高。</w:t>
      </w:r>
    </w:p>
    <w:p>
      <w:pPr>
        <w:spacing w:line="520" w:lineRule="exact"/>
        <w:ind w:firstLine="480" w:firstLineChars="200"/>
        <w:rPr>
          <w:color w:val="000000"/>
          <w:sz w:val="24"/>
        </w:rPr>
      </w:pPr>
      <w:r>
        <w:rPr>
          <w:color w:val="000000"/>
          <w:sz w:val="24"/>
        </w:rPr>
        <w:t>通过比较，改良后的条垛堆肥在投资成本、运行维护费用、操作难度等方面具有明显的优势</w:t>
      </w:r>
      <w:r>
        <w:rPr>
          <w:color w:val="000000"/>
          <w:kern w:val="0"/>
          <w:sz w:val="24"/>
        </w:rPr>
        <w:t>，因此，</w:t>
      </w:r>
      <w:r>
        <w:rPr>
          <w:color w:val="000000"/>
          <w:sz w:val="24"/>
        </w:rPr>
        <w:t>结合本项目具体情况，</w:t>
      </w:r>
      <w:r>
        <w:rPr>
          <w:color w:val="000000"/>
          <w:kern w:val="0"/>
          <w:sz w:val="24"/>
        </w:rPr>
        <w:t>本项目采用改良后的条垛堆肥方式，</w:t>
      </w:r>
      <w:r>
        <w:rPr>
          <w:color w:val="000000"/>
          <w:sz w:val="24"/>
        </w:rPr>
        <w:t>具体工艺见工程分析。</w:t>
      </w:r>
    </w:p>
    <w:p>
      <w:pPr>
        <w:spacing w:line="520" w:lineRule="exact"/>
        <w:ind w:firstLine="480" w:firstLineChars="200"/>
        <w:rPr>
          <w:color w:val="000000"/>
          <w:sz w:val="24"/>
        </w:rPr>
      </w:pPr>
      <w:r>
        <w:rPr>
          <w:color w:val="000000"/>
          <w:sz w:val="24"/>
        </w:rPr>
        <w:t>堆肥的过程分为4个阶段：前处理、升温期、高温期、后熟期。堆肥进入高温期后，翻堆是控制发酵进程的重要因素。翻堆是堆肥过程中有效的供氧方式，同时有利于散发热量，本项目利用机械翻堆，每天一次，翻堆后加盖塑料薄膜，加盖塑料膜一方面有利于保温，一方面能够降低臭气的挥发速率。</w:t>
      </w:r>
    </w:p>
    <w:p>
      <w:pPr>
        <w:spacing w:line="500" w:lineRule="exact"/>
        <w:ind w:firstLine="480" w:firstLineChars="200"/>
        <w:rPr>
          <w:color w:val="000000"/>
          <w:sz w:val="24"/>
        </w:rPr>
      </w:pPr>
      <w:r>
        <w:rPr>
          <w:color w:val="000000"/>
          <w:sz w:val="24"/>
        </w:rPr>
        <w:t>经采取上述措施，固体废物均得到合理处置，不会对环境造成二次污染，措施可行。</w:t>
      </w:r>
    </w:p>
    <w:p>
      <w:pPr>
        <w:topLinePunct/>
        <w:adjustRightInd w:val="0"/>
        <w:snapToGrid w:val="0"/>
        <w:spacing w:line="600" w:lineRule="exact"/>
        <w:outlineLvl w:val="2"/>
        <w:rPr>
          <w:b/>
          <w:bCs/>
          <w:color w:val="000000"/>
          <w:sz w:val="24"/>
        </w:rPr>
      </w:pPr>
      <w:r>
        <w:rPr>
          <w:rFonts w:hint="eastAsia"/>
          <w:b/>
          <w:bCs/>
          <w:color w:val="000000"/>
          <w:sz w:val="24"/>
          <w:lang w:val="en-US" w:eastAsia="zh-CN"/>
        </w:rPr>
        <w:t>5</w:t>
      </w:r>
      <w:r>
        <w:rPr>
          <w:b/>
          <w:bCs/>
          <w:color w:val="000000"/>
          <w:sz w:val="24"/>
        </w:rPr>
        <w:t>.2.6 养殖场防疫措施</w:t>
      </w:r>
    </w:p>
    <w:p>
      <w:pPr>
        <w:adjustRightInd w:val="0"/>
        <w:snapToGrid w:val="0"/>
        <w:spacing w:line="520" w:lineRule="exact"/>
        <w:ind w:firstLine="573"/>
        <w:rPr>
          <w:color w:val="000000"/>
          <w:sz w:val="24"/>
        </w:rPr>
      </w:pPr>
      <w:r>
        <w:rPr>
          <w:color w:val="000000"/>
          <w:sz w:val="24"/>
        </w:rPr>
        <w:t>畜禽传染病是畜牧业的大敌，它制约了畜牧业的发展，还有一些人畜共患病和寄生虫病（如狂犬病、炭疽、结核、布氏杆菌病、猪囊尾蚴病、旋毛虫病），会给人们健康带来威胁，因此控制疫病对于畜牧业生产和保护人民健康都具有重要的意义。国家颁布了《动物防疫法》、《家畜家禽防疫条例》等法律法规，规定了“预防为主”的畜禽防疫方针。</w:t>
      </w:r>
    </w:p>
    <w:p>
      <w:pPr>
        <w:adjustRightInd w:val="0"/>
        <w:snapToGrid w:val="0"/>
        <w:spacing w:line="520" w:lineRule="exact"/>
        <w:ind w:firstLine="573"/>
        <w:rPr>
          <w:color w:val="000000"/>
          <w:sz w:val="24"/>
        </w:rPr>
      </w:pPr>
      <w:r>
        <w:rPr>
          <w:color w:val="000000"/>
          <w:sz w:val="24"/>
        </w:rPr>
        <w:t>（1）畜禽传染病及其传播途径</w:t>
      </w:r>
    </w:p>
    <w:p>
      <w:pPr>
        <w:adjustRightInd w:val="0"/>
        <w:snapToGrid w:val="0"/>
        <w:spacing w:line="520" w:lineRule="exact"/>
        <w:ind w:firstLine="573"/>
        <w:rPr>
          <w:color w:val="000000"/>
          <w:sz w:val="24"/>
        </w:rPr>
      </w:pPr>
      <w:r>
        <w:rPr>
          <w:color w:val="000000"/>
          <w:sz w:val="24"/>
        </w:rPr>
        <w:t>引起动物传染病的病原体主要是细菌、病毒和寄生虫。病原体在患病动物体内生长繁殖，并不断向体外排除病原体，通过多种途径传给更多的易感动物，使疾病流行起来。传染源、传播途径和易感动物是传染病发生的三个基本条件，三者缺一传染病都不会发生。</w:t>
      </w:r>
    </w:p>
    <w:p>
      <w:pPr>
        <w:adjustRightInd w:val="0"/>
        <w:snapToGrid w:val="0"/>
        <w:spacing w:line="520" w:lineRule="exact"/>
        <w:ind w:firstLine="573"/>
        <w:rPr>
          <w:color w:val="000000"/>
          <w:sz w:val="24"/>
        </w:rPr>
      </w:pPr>
      <w:r>
        <w:rPr>
          <w:color w:val="000000"/>
          <w:sz w:val="24"/>
        </w:rPr>
        <w:t>传播途径分为直接接触传染和间接传染。直接接触传染包括交配和啃咬等方式，最为典型的例子就是狂犬病。间接传染通过饲料饲草、饮水、空气、土壤、中间宿主、饲养管理用具、昆虫、鼠类、畜禽及其他野生动物粪便等方式。</w:t>
      </w:r>
    </w:p>
    <w:p>
      <w:pPr>
        <w:adjustRightInd w:val="0"/>
        <w:snapToGrid w:val="0"/>
        <w:spacing w:line="520" w:lineRule="exact"/>
        <w:ind w:firstLine="573"/>
        <w:rPr>
          <w:color w:val="000000"/>
          <w:sz w:val="24"/>
        </w:rPr>
      </w:pPr>
      <w:r>
        <w:rPr>
          <w:color w:val="000000"/>
          <w:sz w:val="24"/>
        </w:rPr>
        <w:t>病畜病禽排出的粪尿和尸体中含有病原菌会造成水污染引起传染病的传播和流行，不仅危害畜禽本身也危及人类。猪丹毒、副伤寒、马鼻疽、布鲁氏菌病、炭疽病、钩端螺旋体病和土拉菌病都是水传疾病，口蹄疫、鸡新城病也可以经胃肠道传播。</w:t>
      </w:r>
    </w:p>
    <w:p>
      <w:pPr>
        <w:adjustRightInd w:val="0"/>
        <w:snapToGrid w:val="0"/>
        <w:spacing w:line="520" w:lineRule="exact"/>
        <w:ind w:firstLine="573"/>
        <w:rPr>
          <w:color w:val="000000"/>
          <w:sz w:val="24"/>
        </w:rPr>
      </w:pPr>
      <w:r>
        <w:rPr>
          <w:color w:val="000000"/>
          <w:sz w:val="24"/>
        </w:rPr>
        <w:t>（2）防疫卫生措施</w:t>
      </w:r>
    </w:p>
    <w:p>
      <w:pPr>
        <w:adjustRightInd w:val="0"/>
        <w:snapToGrid w:val="0"/>
        <w:spacing w:line="520" w:lineRule="exact"/>
        <w:ind w:firstLine="573"/>
        <w:rPr>
          <w:color w:val="000000"/>
          <w:sz w:val="24"/>
        </w:rPr>
      </w:pPr>
      <w:r>
        <w:rPr>
          <w:color w:val="000000"/>
          <w:sz w:val="24"/>
        </w:rPr>
        <w:t>结合项目特点，评价要求采取如下措施以加强养殖区的环境管理和疾病传播的预防措施：</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hint="eastAsia" w:ascii="宋体" w:hAnsi="宋体" w:cs="宋体"/>
          <w:color w:val="000000"/>
          <w:sz w:val="24"/>
        </w:rPr>
        <w:t>①</w:t>
      </w:r>
      <w:r>
        <w:rPr>
          <w:color w:val="000000"/>
          <w:sz w:val="24"/>
        </w:rPr>
        <w:fldChar w:fldCharType="end"/>
      </w:r>
      <w:r>
        <w:rPr>
          <w:color w:val="000000"/>
          <w:sz w:val="24"/>
        </w:rPr>
        <w:t>严格“三区分离”制度，将办公区、养殖区和粪污处理处置区分离开来，防止交叉污染。</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hint="eastAsia" w:ascii="宋体" w:hAnsi="宋体" w:cs="宋体"/>
          <w:color w:val="000000"/>
          <w:sz w:val="24"/>
        </w:rPr>
        <w:t>②</w:t>
      </w:r>
      <w:r>
        <w:rPr>
          <w:color w:val="000000"/>
          <w:sz w:val="24"/>
        </w:rPr>
        <w:fldChar w:fldCharType="end"/>
      </w:r>
      <w:r>
        <w:rPr>
          <w:color w:val="000000"/>
          <w:sz w:val="24"/>
        </w:rPr>
        <w:t>仔猪出场设置专门出猪台，避免购猪人员和车辆进入养殖区。养殖区设置净道和脏道，并能够保证物流畅通，净道主要运输饲料和由饲养员和兽医等通行；脏道主要作为粪污运输通道，为避免交叉污染，粪污通过必须避开养殖区进入粪污区，即在养殖区外设置专门通道用于粪污输送。</w:t>
      </w:r>
    </w:p>
    <w:p>
      <w:pPr>
        <w:adjustRightInd w:val="0"/>
        <w:snapToGrid w:val="0"/>
        <w:spacing w:line="500" w:lineRule="exact"/>
        <w:ind w:firstLine="480" w:firstLineChars="20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rFonts w:hint="eastAsia" w:ascii="宋体" w:hAnsi="宋体" w:cs="宋体"/>
          <w:color w:val="000000"/>
          <w:sz w:val="24"/>
        </w:rPr>
        <w:t>③</w:t>
      </w:r>
      <w:r>
        <w:rPr>
          <w:color w:val="000000"/>
          <w:sz w:val="24"/>
        </w:rPr>
        <w:fldChar w:fldCharType="end"/>
      </w:r>
      <w:r>
        <w:rPr>
          <w:color w:val="000000"/>
          <w:sz w:val="24"/>
        </w:rPr>
        <w:t>进入养殖区各出入口必须设置消毒池，出入车辆必须经消毒池进行消毒处理，消毒池应设置门楼和防水堰，防止雨水大量进入导致消毒液外溢污染；主场区门口设置紫外线消毒室，入区人员包括饲养员、兽医、管理员及一切外来人员必须经消毒室进行消毒处理，消毒时间不小于5分钟。在养殖区设置饲养员休息室，尽量避免饲养员经常出入养殖区，减降病菌交叉污染的几率。</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4 \* GB3 </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设置专门兽医和外事专干，外事专干员应能够保证与农、畜、环保等部门的经常沟通与交流；兽医室应配备专门防疫设备和通信装置，以保证兽医能够及时掌握养殖行业疾病防治和传播最新信息，做到防患于未然。</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5 \* GB3 </w:instrText>
      </w:r>
      <w:r>
        <w:rPr>
          <w:color w:val="000000"/>
          <w:sz w:val="24"/>
        </w:rPr>
        <w:fldChar w:fldCharType="separate"/>
      </w:r>
      <w:r>
        <w:rPr>
          <w:rFonts w:hint="eastAsia" w:ascii="宋体" w:hAnsi="宋体" w:cs="宋体"/>
          <w:color w:val="000000"/>
          <w:sz w:val="24"/>
        </w:rPr>
        <w:t>⑤</w:t>
      </w:r>
      <w:r>
        <w:rPr>
          <w:color w:val="000000"/>
          <w:sz w:val="24"/>
        </w:rPr>
        <w:fldChar w:fldCharType="end"/>
      </w:r>
      <w:r>
        <w:rPr>
          <w:color w:val="000000"/>
          <w:sz w:val="24"/>
        </w:rPr>
        <w:t>《畜禽养殖业污染防治技术规范》（HJ/T81-2001）规定，养殖场场区、畜禽舍、器械等消毒应采用环境友好的消毒剂和消毒措施（包括紫外线、臭氧、双氧水等方法），防止产生氯代有机物及其它的二次污染物。</w:t>
      </w:r>
    </w:p>
    <w:p>
      <w:pPr>
        <w:adjustRightInd w:val="0"/>
        <w:snapToGrid w:val="0"/>
        <w:spacing w:line="520" w:lineRule="exact"/>
        <w:ind w:firstLine="480" w:firstLineChars="200"/>
        <w:rPr>
          <w:color w:val="000000"/>
        </w:rPr>
      </w:pPr>
      <w:r>
        <w:rPr>
          <w:color w:val="000000"/>
          <w:sz w:val="24"/>
        </w:rPr>
        <w:t>企业经严格的畜禽规范化管理措施后，其疾病控制能力将大大提高，因此，评价认为，其出现重大疾病传播的可能性很小</w:t>
      </w:r>
      <w:r>
        <w:rPr>
          <w:color w:val="000000"/>
        </w:rPr>
        <w:t>。</w:t>
      </w:r>
    </w:p>
    <w:p>
      <w:pPr>
        <w:topLinePunct/>
        <w:adjustRightInd w:val="0"/>
        <w:snapToGrid w:val="0"/>
        <w:spacing w:line="600" w:lineRule="exact"/>
        <w:outlineLvl w:val="2"/>
        <w:rPr>
          <w:b/>
          <w:bCs/>
          <w:color w:val="000000"/>
          <w:sz w:val="24"/>
        </w:rPr>
      </w:pPr>
      <w:r>
        <w:rPr>
          <w:rFonts w:hint="eastAsia"/>
          <w:b/>
          <w:bCs/>
          <w:color w:val="000000"/>
          <w:sz w:val="24"/>
          <w:lang w:val="en-US" w:eastAsia="zh-CN"/>
        </w:rPr>
        <w:t>5</w:t>
      </w:r>
      <w:r>
        <w:rPr>
          <w:b/>
          <w:bCs/>
          <w:color w:val="000000"/>
          <w:sz w:val="24"/>
        </w:rPr>
        <w:t>.2.7绿化</w:t>
      </w:r>
      <w:r>
        <w:rPr>
          <w:b/>
          <w:bCs/>
          <w:color w:val="000000"/>
          <w:sz w:val="24"/>
        </w:rPr>
        <w:tab/>
      </w:r>
    </w:p>
    <w:p>
      <w:pPr>
        <w:adjustRightInd w:val="0"/>
        <w:snapToGrid w:val="0"/>
        <w:spacing w:line="520" w:lineRule="exact"/>
        <w:rPr>
          <w:bCs/>
          <w:color w:val="000000"/>
          <w:sz w:val="24"/>
        </w:rPr>
      </w:pPr>
      <w:r>
        <w:rPr>
          <w:rFonts w:hint="eastAsia"/>
          <w:bCs/>
          <w:color w:val="000000"/>
          <w:sz w:val="24"/>
          <w:lang w:val="en-US" w:eastAsia="zh-CN"/>
        </w:rPr>
        <w:t>5</w:t>
      </w:r>
      <w:r>
        <w:rPr>
          <w:bCs/>
          <w:color w:val="000000"/>
          <w:sz w:val="24"/>
        </w:rPr>
        <w:t>.2.7.1原则要求</w:t>
      </w:r>
    </w:p>
    <w:p>
      <w:pPr>
        <w:spacing w:line="520" w:lineRule="exact"/>
        <w:ind w:firstLine="480" w:firstLineChars="200"/>
        <w:rPr>
          <w:color w:val="000000"/>
          <w:sz w:val="24"/>
        </w:rPr>
      </w:pPr>
      <w:r>
        <w:rPr>
          <w:color w:val="000000"/>
          <w:sz w:val="24"/>
        </w:rPr>
        <w:t>（1）在规划设计前要对猪场的自然条件、生产性质、规模、污染状况等进行充分的调查。要从保护环境的观点出发，合理规划。合理地设置猪场饲养猪的类型、头数，从而优化猪场本身的生态条件。</w:t>
      </w:r>
    </w:p>
    <w:p>
      <w:pPr>
        <w:spacing w:line="520" w:lineRule="exact"/>
        <w:ind w:firstLine="480" w:firstLineChars="200"/>
        <w:rPr>
          <w:color w:val="000000"/>
          <w:sz w:val="24"/>
        </w:rPr>
      </w:pPr>
      <w:r>
        <w:rPr>
          <w:color w:val="000000"/>
          <w:sz w:val="24"/>
        </w:rPr>
        <w:t>（2）猪场的绿化规划是总体规划的有机组成部分，要在猪场建设总规划的同时进行绿化规划。要本着统一安排、统一布局的原则进行，规划时既要有长远考虑，又要有近期安排，要与全场的建设协调一致。</w:t>
      </w:r>
    </w:p>
    <w:p>
      <w:pPr>
        <w:spacing w:line="520" w:lineRule="exact"/>
        <w:ind w:firstLine="480" w:firstLineChars="200"/>
        <w:rPr>
          <w:color w:val="000000"/>
          <w:sz w:val="24"/>
        </w:rPr>
      </w:pPr>
      <w:r>
        <w:rPr>
          <w:color w:val="000000"/>
          <w:sz w:val="24"/>
        </w:rPr>
        <w:t>（3）绿化规划设计布局要合理，以保证安全生产。绿化时不能影响地下、地上管线和车间生产的采光。</w:t>
      </w:r>
    </w:p>
    <w:p>
      <w:pPr>
        <w:spacing w:line="520" w:lineRule="exact"/>
        <w:ind w:firstLine="480" w:firstLineChars="200"/>
        <w:rPr>
          <w:color w:val="000000"/>
          <w:sz w:val="24"/>
        </w:rPr>
      </w:pPr>
      <w:r>
        <w:rPr>
          <w:color w:val="000000"/>
          <w:sz w:val="24"/>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adjustRightInd w:val="0"/>
        <w:snapToGrid w:val="0"/>
        <w:spacing w:line="520" w:lineRule="exact"/>
        <w:rPr>
          <w:bCs/>
          <w:color w:val="000000"/>
          <w:sz w:val="24"/>
        </w:rPr>
      </w:pPr>
      <w:r>
        <w:rPr>
          <w:rFonts w:hint="eastAsia"/>
          <w:bCs/>
          <w:color w:val="000000"/>
          <w:sz w:val="24"/>
          <w:lang w:val="en-US" w:eastAsia="zh-CN"/>
        </w:rPr>
        <w:t>5</w:t>
      </w:r>
      <w:r>
        <w:rPr>
          <w:bCs/>
          <w:color w:val="000000"/>
          <w:sz w:val="24"/>
        </w:rPr>
        <w:t>.2.7.2绿化措施</w:t>
      </w:r>
    </w:p>
    <w:p>
      <w:pPr>
        <w:spacing w:line="520" w:lineRule="exact"/>
        <w:ind w:firstLine="480" w:firstLineChars="200"/>
        <w:rPr>
          <w:color w:val="000000"/>
          <w:sz w:val="24"/>
        </w:rPr>
      </w:pPr>
      <w:r>
        <w:rPr>
          <w:color w:val="000000"/>
          <w:sz w:val="24"/>
        </w:rPr>
        <w:t>（1）场区林带的规划：在场界周边种植乔木、灌木混合林带或规划种植水果类植物带。乔木类的有大叶杨、钻天杨、白杨、柳树、洋槐、国槐、泡桐、榆树及常绿针叶树等。</w:t>
      </w:r>
    </w:p>
    <w:p>
      <w:pPr>
        <w:spacing w:line="520" w:lineRule="exact"/>
        <w:ind w:firstLine="480" w:firstLineChars="200"/>
        <w:rPr>
          <w:color w:val="000000"/>
          <w:sz w:val="24"/>
        </w:rPr>
      </w:pPr>
      <w:r>
        <w:rPr>
          <w:color w:val="000000"/>
          <w:sz w:val="24"/>
        </w:rPr>
        <w:t>（2）场区隔离带的设计：场内各区，如养殖区、生活区及行政管理区的四周，都应设置隔离林带，采用绿篱植物小叶杨树、松树、榆树、丁香、榆叶等，或以栽种刺笆为主。刺笆可选陈刺、黄刺梅、红玫瑰、野蔷薇、花椒等，以起到防疫、隔离、安全等作用。</w:t>
      </w:r>
    </w:p>
    <w:p>
      <w:pPr>
        <w:spacing w:line="520" w:lineRule="exact"/>
        <w:ind w:firstLine="480" w:firstLineChars="200"/>
        <w:rPr>
          <w:color w:val="000000"/>
          <w:sz w:val="24"/>
        </w:rPr>
      </w:pPr>
      <w:r>
        <w:rPr>
          <w:color w:val="000000"/>
          <w:sz w:val="24"/>
        </w:rPr>
        <w:t>（3）场区道路绿化：宜采用乔木为主，乔、灌木搭配种植。如选种塔柏、冬青、侧柏等四季常青树种，并配置小叶女贞组成绿化带。</w:t>
      </w:r>
    </w:p>
    <w:p>
      <w:pPr>
        <w:spacing w:line="520" w:lineRule="exact"/>
        <w:ind w:firstLine="480" w:firstLineChars="200"/>
        <w:rPr>
          <w:color w:val="000000"/>
          <w:sz w:val="24"/>
        </w:rPr>
      </w:pPr>
      <w:r>
        <w:rPr>
          <w:color w:val="000000"/>
          <w:sz w:val="24"/>
        </w:rPr>
        <w:t>（4）对于养殖区内的猪舍，不宜在其四周密植成片的树林，而应多种植低矮的花卉或草坪，以利于通风，便于有害气体扩散。</w:t>
      </w:r>
    </w:p>
    <w:p>
      <w:pPr>
        <w:spacing w:line="520" w:lineRule="exact"/>
        <w:ind w:firstLine="480" w:firstLineChars="200"/>
        <w:rPr>
          <w:color w:val="000000"/>
          <w:sz w:val="24"/>
        </w:rPr>
      </w:pPr>
      <w:r>
        <w:rPr>
          <w:color w:val="000000"/>
          <w:sz w:val="24"/>
        </w:rPr>
        <w:t>（5）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5"/>
        <w:spacing w:before="156" w:after="156"/>
        <w:rPr>
          <w:rFonts w:hAnsi="Times New Roman"/>
          <w:color w:val="000000"/>
        </w:rPr>
      </w:pPr>
      <w:bookmarkStart w:id="282" w:name="_Toc488572574"/>
      <w:bookmarkStart w:id="283" w:name="_Toc9463"/>
      <w:r>
        <w:rPr>
          <w:rFonts w:hint="eastAsia" w:hAnsi="Times New Roman"/>
          <w:color w:val="000000"/>
          <w:lang w:val="en-US" w:eastAsia="zh-CN"/>
        </w:rPr>
        <w:t>5</w:t>
      </w:r>
      <w:r>
        <w:rPr>
          <w:rFonts w:hAnsi="Times New Roman"/>
          <w:color w:val="000000"/>
        </w:rPr>
        <w:t>.3 污染防治环保投资估算</w:t>
      </w:r>
      <w:bookmarkEnd w:id="282"/>
      <w:bookmarkEnd w:id="283"/>
    </w:p>
    <w:p>
      <w:pPr>
        <w:topLinePunct/>
        <w:adjustRightInd w:val="0"/>
        <w:snapToGrid w:val="0"/>
        <w:spacing w:line="520" w:lineRule="exact"/>
        <w:ind w:firstLine="480" w:firstLineChars="200"/>
        <w:rPr>
          <w:color w:val="000000"/>
          <w:kern w:val="0"/>
          <w:sz w:val="24"/>
        </w:rPr>
      </w:pPr>
      <w:r>
        <w:rPr>
          <w:color w:val="000000"/>
          <w:kern w:val="0"/>
          <w:sz w:val="24"/>
        </w:rPr>
        <w:t>项目污染防治措施投资包括运行期的污染防治措施的总投资，预计该项费用总投资为</w:t>
      </w:r>
      <w:r>
        <w:rPr>
          <w:rFonts w:hint="eastAsia"/>
          <w:color w:val="000000"/>
          <w:kern w:val="0"/>
          <w:sz w:val="24"/>
          <w:lang w:val="en-US" w:eastAsia="zh-CN"/>
        </w:rPr>
        <w:t>421</w:t>
      </w:r>
      <w:r>
        <w:rPr>
          <w:color w:val="000000"/>
          <w:kern w:val="0"/>
          <w:sz w:val="24"/>
        </w:rPr>
        <w:t>万元，占总投资</w:t>
      </w:r>
      <w:r>
        <w:rPr>
          <w:rFonts w:hint="eastAsia"/>
          <w:color w:val="000000"/>
          <w:kern w:val="0"/>
          <w:sz w:val="24"/>
          <w:lang w:val="en-US" w:eastAsia="zh-CN"/>
        </w:rPr>
        <w:t>2000</w:t>
      </w:r>
      <w:r>
        <w:rPr>
          <w:color w:val="000000"/>
          <w:kern w:val="0"/>
          <w:sz w:val="24"/>
        </w:rPr>
        <w:t>万元的比例为</w:t>
      </w:r>
      <w:r>
        <w:rPr>
          <w:rFonts w:hint="eastAsia"/>
          <w:color w:val="000000"/>
          <w:kern w:val="0"/>
          <w:sz w:val="24"/>
          <w:lang w:val="en-US" w:eastAsia="zh-CN"/>
        </w:rPr>
        <w:t>21</w:t>
      </w:r>
      <w:r>
        <w:rPr>
          <w:color w:val="000000"/>
          <w:kern w:val="0"/>
          <w:sz w:val="24"/>
        </w:rPr>
        <w:t>％。具体见表</w:t>
      </w:r>
      <w:r>
        <w:rPr>
          <w:rFonts w:hint="eastAsia"/>
          <w:color w:val="000000"/>
          <w:kern w:val="0"/>
          <w:sz w:val="24"/>
          <w:lang w:val="en-US" w:eastAsia="zh-CN"/>
        </w:rPr>
        <w:t>5.3-1</w:t>
      </w:r>
      <w:r>
        <w:rPr>
          <w:color w:val="000000"/>
          <w:kern w:val="0"/>
          <w:sz w:val="24"/>
        </w:rPr>
        <w:t>。</w:t>
      </w:r>
    </w:p>
    <w:p>
      <w:pPr>
        <w:topLinePunct/>
        <w:spacing w:beforeLines="50" w:afterLines="50"/>
        <w:ind w:firstLine="420" w:firstLineChars="200"/>
        <w:jc w:val="center"/>
        <w:rPr>
          <w:b/>
          <w:color w:val="000000"/>
          <w:szCs w:val="21"/>
        </w:rPr>
      </w:pPr>
      <w:r>
        <w:rPr>
          <w:b/>
          <w:color w:val="000000"/>
          <w:szCs w:val="21"/>
        </w:rPr>
        <w:t>表</w:t>
      </w:r>
      <w:r>
        <w:rPr>
          <w:rFonts w:hint="eastAsia"/>
          <w:b/>
          <w:color w:val="000000"/>
          <w:szCs w:val="21"/>
          <w:lang w:val="en-US" w:eastAsia="zh-CN"/>
        </w:rPr>
        <w:t>5.3-1</w:t>
      </w:r>
      <w:r>
        <w:rPr>
          <w:b/>
          <w:color w:val="000000"/>
          <w:szCs w:val="21"/>
        </w:rPr>
        <w:t xml:space="preserve">     工程污染防治环保投资估算表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260"/>
        <w:gridCol w:w="959"/>
        <w:gridCol w:w="4740"/>
        <w:gridCol w:w="12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99" w:type="dxa"/>
            <w:vAlign w:val="center"/>
          </w:tcPr>
          <w:p>
            <w:pPr>
              <w:jc w:val="center"/>
              <w:rPr>
                <w:b w:val="0"/>
                <w:bCs w:val="0"/>
                <w:szCs w:val="21"/>
                <w:u w:val="none"/>
              </w:rPr>
            </w:pPr>
            <w:r>
              <w:rPr>
                <w:b w:val="0"/>
                <w:bCs w:val="0"/>
                <w:szCs w:val="21"/>
                <w:u w:val="none"/>
              </w:rPr>
              <w:t>项目</w:t>
            </w:r>
          </w:p>
        </w:tc>
        <w:tc>
          <w:tcPr>
            <w:tcW w:w="2219" w:type="dxa"/>
            <w:gridSpan w:val="2"/>
            <w:vAlign w:val="center"/>
          </w:tcPr>
          <w:p>
            <w:pPr>
              <w:jc w:val="center"/>
              <w:rPr>
                <w:b w:val="0"/>
                <w:bCs w:val="0"/>
                <w:szCs w:val="21"/>
                <w:u w:val="none"/>
              </w:rPr>
            </w:pPr>
            <w:r>
              <w:rPr>
                <w:b w:val="0"/>
                <w:bCs w:val="0"/>
                <w:szCs w:val="21"/>
                <w:u w:val="none"/>
              </w:rPr>
              <w:t>类别</w:t>
            </w:r>
          </w:p>
        </w:tc>
        <w:tc>
          <w:tcPr>
            <w:tcW w:w="4740" w:type="dxa"/>
            <w:vAlign w:val="center"/>
          </w:tcPr>
          <w:p>
            <w:pPr>
              <w:jc w:val="center"/>
              <w:rPr>
                <w:b w:val="0"/>
                <w:bCs w:val="0"/>
                <w:szCs w:val="21"/>
                <w:u w:val="none"/>
              </w:rPr>
            </w:pPr>
            <w:r>
              <w:rPr>
                <w:b w:val="0"/>
                <w:bCs w:val="0"/>
                <w:szCs w:val="21"/>
                <w:u w:val="none"/>
              </w:rPr>
              <w:t>措施内容</w:t>
            </w:r>
          </w:p>
        </w:tc>
        <w:tc>
          <w:tcPr>
            <w:tcW w:w="1288" w:type="dxa"/>
            <w:vAlign w:val="center"/>
          </w:tcPr>
          <w:p>
            <w:pPr>
              <w:jc w:val="center"/>
              <w:rPr>
                <w:b w:val="0"/>
                <w:bCs w:val="0"/>
                <w:szCs w:val="21"/>
                <w:u w:val="none"/>
              </w:rPr>
            </w:pPr>
            <w:r>
              <w:rPr>
                <w:b w:val="0"/>
                <w:bCs w:val="0"/>
                <w:szCs w:val="21"/>
                <w:u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val="0"/>
                <w:bCs w:val="0"/>
                <w:szCs w:val="21"/>
                <w:u w:val="none"/>
              </w:rPr>
            </w:pPr>
            <w:r>
              <w:rPr>
                <w:b w:val="0"/>
                <w:bCs w:val="0"/>
                <w:szCs w:val="21"/>
                <w:u w:val="none"/>
              </w:rPr>
              <w:t>废水</w:t>
            </w:r>
          </w:p>
        </w:tc>
        <w:tc>
          <w:tcPr>
            <w:tcW w:w="2219" w:type="dxa"/>
            <w:gridSpan w:val="2"/>
            <w:vAlign w:val="center"/>
          </w:tcPr>
          <w:p>
            <w:pPr>
              <w:jc w:val="center"/>
              <w:rPr>
                <w:b w:val="0"/>
                <w:bCs w:val="0"/>
                <w:szCs w:val="21"/>
                <w:u w:val="none"/>
              </w:rPr>
            </w:pPr>
            <w:r>
              <w:rPr>
                <w:b w:val="0"/>
                <w:bCs w:val="0"/>
                <w:szCs w:val="21"/>
                <w:u w:val="none"/>
              </w:rPr>
              <w:t>生活污水</w:t>
            </w:r>
          </w:p>
        </w:tc>
        <w:tc>
          <w:tcPr>
            <w:tcW w:w="4740" w:type="dxa"/>
            <w:vMerge w:val="restart"/>
            <w:vAlign w:val="center"/>
          </w:tcPr>
          <w:p>
            <w:pPr>
              <w:jc w:val="center"/>
              <w:rPr>
                <w:b w:val="0"/>
                <w:bCs w:val="0"/>
                <w:szCs w:val="21"/>
                <w:u w:val="none"/>
              </w:rPr>
            </w:pPr>
            <w:r>
              <w:rPr>
                <w:b w:val="0"/>
                <w:bCs w:val="0"/>
                <w:szCs w:val="21"/>
                <w:u w:val="none"/>
              </w:rPr>
              <w:t>污水处理设施，工艺为“预处理+</w:t>
            </w:r>
            <w:r>
              <w:rPr>
                <w:rFonts w:hint="eastAsia"/>
                <w:b w:val="0"/>
                <w:bCs w:val="0"/>
                <w:szCs w:val="21"/>
                <w:u w:val="none"/>
                <w:lang w:eastAsia="zh-CN"/>
              </w:rPr>
              <w:t>黑膜</w:t>
            </w:r>
            <w:r>
              <w:rPr>
                <w:b w:val="0"/>
                <w:bCs w:val="0"/>
                <w:szCs w:val="21"/>
                <w:u w:val="none"/>
              </w:rPr>
              <w:t>厌氧发酵”工艺；1套沼气干法脱硫装置；1座</w:t>
            </w:r>
            <w:r>
              <w:rPr>
                <w:rFonts w:hint="eastAsia"/>
                <w:b w:val="0"/>
                <w:bCs w:val="0"/>
                <w:szCs w:val="21"/>
                <w:u w:val="none"/>
                <w:lang w:eastAsia="zh-CN"/>
              </w:rPr>
              <w:t>黑膜</w:t>
            </w:r>
            <w:r>
              <w:rPr>
                <w:b w:val="0"/>
                <w:bCs w:val="0"/>
                <w:szCs w:val="21"/>
                <w:u w:val="none"/>
              </w:rPr>
              <w:t>沼气池（容积为</w:t>
            </w:r>
            <w:r>
              <w:rPr>
                <w:rFonts w:hint="eastAsia"/>
                <w:b w:val="0"/>
                <w:bCs w:val="0"/>
                <w:szCs w:val="21"/>
                <w:u w:val="none"/>
                <w:lang w:val="en-US" w:eastAsia="zh-CN"/>
              </w:rPr>
              <w:t>1</w:t>
            </w:r>
            <w:r>
              <w:rPr>
                <w:b w:val="0"/>
                <w:bCs w:val="0"/>
                <w:szCs w:val="21"/>
                <w:u w:val="none"/>
              </w:rPr>
              <w:t>000m</w:t>
            </w:r>
            <w:r>
              <w:rPr>
                <w:b w:val="0"/>
                <w:bCs w:val="0"/>
                <w:szCs w:val="21"/>
                <w:u w:val="none"/>
                <w:vertAlign w:val="superscript"/>
              </w:rPr>
              <w:t>3</w:t>
            </w:r>
            <w:r>
              <w:rPr>
                <w:b w:val="0"/>
                <w:bCs w:val="0"/>
                <w:szCs w:val="21"/>
                <w:u w:val="none"/>
              </w:rPr>
              <w:t>）雨污分流；防渗、防雨、防溢的“三防”措施</w:t>
            </w:r>
          </w:p>
        </w:tc>
        <w:tc>
          <w:tcPr>
            <w:tcW w:w="1288" w:type="dxa"/>
            <w:vMerge w:val="restart"/>
            <w:vAlign w:val="center"/>
          </w:tcPr>
          <w:p>
            <w:pPr>
              <w:jc w:val="center"/>
              <w:rPr>
                <w:b w:val="0"/>
                <w:bCs w:val="0"/>
                <w:szCs w:val="21"/>
                <w:u w:val="none"/>
              </w:rPr>
            </w:pPr>
            <w:r>
              <w:rPr>
                <w:rFonts w:hint="eastAsia"/>
                <w:b w:val="0"/>
                <w:bCs w:val="0"/>
                <w:szCs w:val="21"/>
                <w:u w:val="none"/>
                <w:lang w:val="en-US" w:eastAsia="zh-CN"/>
              </w:rPr>
              <w:t>15</w:t>
            </w:r>
            <w:r>
              <w:rPr>
                <w:b w:val="0"/>
                <w:bCs w:val="0"/>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jc w:val="center"/>
              <w:rPr>
                <w:b w:val="0"/>
                <w:bCs w:val="0"/>
                <w:szCs w:val="21"/>
                <w:u w:val="none"/>
              </w:rPr>
            </w:pPr>
            <w:r>
              <w:rPr>
                <w:b w:val="0"/>
                <w:bCs w:val="0"/>
                <w:szCs w:val="21"/>
                <w:u w:val="none"/>
              </w:rPr>
              <w:t>养殖废水</w:t>
            </w:r>
          </w:p>
        </w:tc>
        <w:tc>
          <w:tcPr>
            <w:tcW w:w="4740" w:type="dxa"/>
            <w:vMerge w:val="continue"/>
            <w:vAlign w:val="center"/>
          </w:tcPr>
          <w:p>
            <w:pPr>
              <w:jc w:val="center"/>
              <w:rPr>
                <w:b w:val="0"/>
                <w:bCs w:val="0"/>
                <w:szCs w:val="21"/>
                <w:u w:val="none"/>
              </w:rPr>
            </w:pP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val="0"/>
                <w:bCs w:val="0"/>
                <w:szCs w:val="21"/>
                <w:u w:val="none"/>
              </w:rPr>
            </w:pPr>
            <w:r>
              <w:rPr>
                <w:b w:val="0"/>
                <w:bCs w:val="0"/>
                <w:szCs w:val="21"/>
                <w:u w:val="none"/>
              </w:rPr>
              <w:t>废气</w:t>
            </w:r>
          </w:p>
        </w:tc>
        <w:tc>
          <w:tcPr>
            <w:tcW w:w="2219" w:type="dxa"/>
            <w:gridSpan w:val="2"/>
            <w:vAlign w:val="center"/>
          </w:tcPr>
          <w:p>
            <w:pPr>
              <w:jc w:val="center"/>
              <w:rPr>
                <w:b w:val="0"/>
                <w:bCs w:val="0"/>
                <w:szCs w:val="21"/>
                <w:u w:val="none"/>
              </w:rPr>
            </w:pPr>
            <w:r>
              <w:rPr>
                <w:b w:val="0"/>
                <w:bCs w:val="0"/>
                <w:szCs w:val="21"/>
                <w:u w:val="none"/>
              </w:rPr>
              <w:t>猪舍臭气</w:t>
            </w:r>
          </w:p>
        </w:tc>
        <w:tc>
          <w:tcPr>
            <w:tcW w:w="4740" w:type="dxa"/>
            <w:vAlign w:val="center"/>
          </w:tcPr>
          <w:p>
            <w:pPr>
              <w:jc w:val="center"/>
              <w:rPr>
                <w:b w:val="0"/>
                <w:bCs w:val="0"/>
                <w:szCs w:val="21"/>
                <w:u w:val="none"/>
              </w:rPr>
            </w:pPr>
            <w:r>
              <w:rPr>
                <w:b w:val="0"/>
                <w:bCs w:val="0"/>
                <w:szCs w:val="21"/>
                <w:u w:val="none"/>
              </w:rPr>
              <w:t>控制饲养密度，采用节水型饮水器、全漏缝地板并及时清粪</w:t>
            </w:r>
          </w:p>
        </w:tc>
        <w:tc>
          <w:tcPr>
            <w:tcW w:w="1288" w:type="dxa"/>
            <w:vAlign w:val="center"/>
          </w:tcPr>
          <w:p>
            <w:pPr>
              <w:jc w:val="center"/>
              <w:rPr>
                <w:rFonts w:hint="eastAsia" w:eastAsia="宋体"/>
                <w:b w:val="0"/>
                <w:bCs w:val="0"/>
                <w:szCs w:val="21"/>
                <w:u w:val="none"/>
                <w:lang w:eastAsia="zh-CN"/>
              </w:rPr>
            </w:pPr>
            <w:r>
              <w:rPr>
                <w:b w:val="0"/>
                <w:bCs w:val="0"/>
                <w:szCs w:val="21"/>
                <w:u w:val="none"/>
              </w:rPr>
              <w:t>1</w:t>
            </w:r>
            <w:r>
              <w:rPr>
                <w:rFonts w:hint="eastAsia"/>
                <w:b w:val="0"/>
                <w:bCs w:val="0"/>
                <w:szCs w:val="21"/>
                <w:u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jc w:val="center"/>
              <w:rPr>
                <w:b w:val="0"/>
                <w:bCs w:val="0"/>
                <w:szCs w:val="21"/>
                <w:u w:val="none"/>
              </w:rPr>
            </w:pPr>
            <w:r>
              <w:rPr>
                <w:b w:val="0"/>
                <w:bCs w:val="0"/>
                <w:szCs w:val="21"/>
                <w:u w:val="none"/>
              </w:rPr>
              <w:t>污水前处理工序</w:t>
            </w:r>
          </w:p>
        </w:tc>
        <w:tc>
          <w:tcPr>
            <w:tcW w:w="4740" w:type="dxa"/>
            <w:vAlign w:val="center"/>
          </w:tcPr>
          <w:p>
            <w:pPr>
              <w:jc w:val="center"/>
              <w:rPr>
                <w:b w:val="0"/>
                <w:bCs w:val="0"/>
                <w:szCs w:val="21"/>
                <w:u w:val="none"/>
              </w:rPr>
            </w:pPr>
            <w:r>
              <w:rPr>
                <w:b w:val="0"/>
                <w:bCs w:val="0"/>
                <w:szCs w:val="21"/>
                <w:u w:val="none"/>
              </w:rPr>
              <w:t>收集池喷洒除臭剂（除臭剂的喷扫操作方式为人工喷洒，对操作人员强化培训，喷洒频率为：污水处理系统运营前连续喷洒3天每天喷洒一次，之后每隔5天喷洒一次），周边绿化</w:t>
            </w:r>
          </w:p>
        </w:tc>
        <w:tc>
          <w:tcPr>
            <w:tcW w:w="1288" w:type="dxa"/>
            <w:vAlign w:val="center"/>
          </w:tcPr>
          <w:p>
            <w:pPr>
              <w:jc w:val="center"/>
              <w:rPr>
                <w:b w:val="0"/>
                <w:bCs w:val="0"/>
                <w:szCs w:val="21"/>
                <w:u w:val="none"/>
              </w:rPr>
            </w:pPr>
            <w:r>
              <w:rPr>
                <w:b w:val="0"/>
                <w:bCs w:val="0"/>
                <w:szCs w:val="21"/>
                <w:u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jc w:val="center"/>
              <w:rPr>
                <w:b w:val="0"/>
                <w:bCs w:val="0"/>
                <w:szCs w:val="21"/>
                <w:u w:val="none"/>
              </w:rPr>
            </w:pPr>
            <w:r>
              <w:rPr>
                <w:b w:val="0"/>
                <w:bCs w:val="0"/>
                <w:szCs w:val="21"/>
                <w:u w:val="none"/>
              </w:rPr>
              <w:t>固粪处置区</w:t>
            </w:r>
          </w:p>
        </w:tc>
        <w:tc>
          <w:tcPr>
            <w:tcW w:w="4740" w:type="dxa"/>
            <w:vAlign w:val="center"/>
          </w:tcPr>
          <w:p>
            <w:pPr>
              <w:jc w:val="center"/>
              <w:rPr>
                <w:b w:val="0"/>
                <w:bCs w:val="0"/>
                <w:szCs w:val="21"/>
                <w:u w:val="none"/>
              </w:rPr>
            </w:pPr>
            <w:r>
              <w:rPr>
                <w:b w:val="0"/>
                <w:bCs w:val="0"/>
                <w:szCs w:val="21"/>
                <w:u w:val="none"/>
              </w:rPr>
              <w:t>顶部有棚，三面设置不低于1m高围挡，喷洒除臭剂，底部设置导流沟</w:t>
            </w:r>
          </w:p>
        </w:tc>
        <w:tc>
          <w:tcPr>
            <w:tcW w:w="1288" w:type="dxa"/>
            <w:vAlign w:val="center"/>
          </w:tcPr>
          <w:p>
            <w:pPr>
              <w:jc w:val="center"/>
              <w:rPr>
                <w:b w:val="0"/>
                <w:bCs w:val="0"/>
                <w:szCs w:val="21"/>
                <w:u w:val="none"/>
              </w:rPr>
            </w:pPr>
            <w:r>
              <w:rPr>
                <w:b w:val="0"/>
                <w:bCs w:val="0"/>
                <w:szCs w:val="21"/>
                <w:u w:val="non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jc w:val="center"/>
              <w:rPr>
                <w:b w:val="0"/>
                <w:bCs w:val="0"/>
                <w:szCs w:val="21"/>
                <w:u w:val="none"/>
              </w:rPr>
            </w:pPr>
            <w:r>
              <w:rPr>
                <w:b w:val="0"/>
                <w:bCs w:val="0"/>
                <w:szCs w:val="21"/>
                <w:u w:val="none"/>
              </w:rPr>
              <w:t>沼液储存池</w:t>
            </w:r>
          </w:p>
        </w:tc>
        <w:tc>
          <w:tcPr>
            <w:tcW w:w="4740" w:type="dxa"/>
            <w:vAlign w:val="center"/>
          </w:tcPr>
          <w:p>
            <w:pPr>
              <w:jc w:val="center"/>
              <w:rPr>
                <w:b w:val="0"/>
                <w:bCs w:val="0"/>
                <w:szCs w:val="21"/>
                <w:u w:val="none"/>
              </w:rPr>
            </w:pPr>
            <w:r>
              <w:rPr>
                <w:b w:val="0"/>
                <w:bCs w:val="0"/>
                <w:szCs w:val="21"/>
                <w:u w:val="none"/>
              </w:rPr>
              <w:t>四周喷洒除臭剂、四周设置绿化</w:t>
            </w:r>
          </w:p>
        </w:tc>
        <w:tc>
          <w:tcPr>
            <w:tcW w:w="1288" w:type="dxa"/>
            <w:vAlign w:val="center"/>
          </w:tcPr>
          <w:p>
            <w:pPr>
              <w:jc w:val="center"/>
              <w:rPr>
                <w:b w:val="0"/>
                <w:bCs w:val="0"/>
                <w:szCs w:val="21"/>
                <w:u w:val="none"/>
              </w:rPr>
            </w:pPr>
            <w:r>
              <w:rPr>
                <w:b w:val="0"/>
                <w:bCs w:val="0"/>
                <w:szCs w:val="21"/>
                <w:u w:val="non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spacing w:line="300" w:lineRule="exact"/>
              <w:jc w:val="center"/>
              <w:rPr>
                <w:rFonts w:hint="eastAsia" w:eastAsia="宋体"/>
                <w:b w:val="0"/>
                <w:bCs w:val="0"/>
                <w:color w:val="000000"/>
                <w:szCs w:val="21"/>
                <w:u w:val="none"/>
                <w:lang w:val="en-US" w:eastAsia="zh-CN"/>
              </w:rPr>
            </w:pPr>
            <w:r>
              <w:rPr>
                <w:b w:val="0"/>
                <w:bCs w:val="0"/>
                <w:color w:val="000000"/>
                <w:szCs w:val="21"/>
                <w:u w:val="none"/>
              </w:rPr>
              <w:t>沼气</w:t>
            </w:r>
            <w:r>
              <w:rPr>
                <w:rFonts w:hint="eastAsia"/>
                <w:b w:val="0"/>
                <w:bCs w:val="0"/>
                <w:color w:val="000000"/>
                <w:szCs w:val="21"/>
                <w:u w:val="none"/>
                <w:lang w:val="en-US" w:eastAsia="zh-CN"/>
              </w:rPr>
              <w:t>燃烧</w:t>
            </w:r>
          </w:p>
        </w:tc>
        <w:tc>
          <w:tcPr>
            <w:tcW w:w="4740" w:type="dxa"/>
            <w:vAlign w:val="center"/>
          </w:tcPr>
          <w:p>
            <w:pPr>
              <w:adjustRightInd w:val="0"/>
              <w:snapToGrid w:val="0"/>
              <w:spacing w:line="300" w:lineRule="exact"/>
              <w:jc w:val="center"/>
              <w:rPr>
                <w:b w:val="0"/>
                <w:bCs w:val="0"/>
                <w:color w:val="000000"/>
                <w:szCs w:val="21"/>
                <w:u w:val="none"/>
              </w:rPr>
            </w:pPr>
            <w:r>
              <w:rPr>
                <w:rFonts w:hint="eastAsia"/>
                <w:b w:val="0"/>
                <w:bCs w:val="0"/>
                <w:szCs w:val="21"/>
                <w:u w:val="none"/>
                <w:lang w:val="en-US" w:eastAsia="zh-CN"/>
              </w:rPr>
              <w:t>火炬燃烧器</w:t>
            </w:r>
            <w:r>
              <w:rPr>
                <w:b w:val="0"/>
                <w:bCs w:val="0"/>
                <w:szCs w:val="21"/>
                <w:u w:val="none"/>
              </w:rPr>
              <w:t>+8m高排气筒排放</w:t>
            </w:r>
          </w:p>
        </w:tc>
        <w:tc>
          <w:tcPr>
            <w:tcW w:w="1288" w:type="dxa"/>
            <w:vAlign w:val="center"/>
          </w:tcPr>
          <w:p>
            <w:pPr>
              <w:jc w:val="center"/>
              <w:rPr>
                <w:b w:val="0"/>
                <w:bCs w:val="0"/>
                <w:color w:val="000000"/>
                <w:szCs w:val="21"/>
                <w:u w:val="none"/>
              </w:rPr>
            </w:pPr>
            <w:r>
              <w:rPr>
                <w:b w:val="0"/>
                <w:bCs w:val="0"/>
                <w:color w:val="000000"/>
                <w:szCs w:val="21"/>
                <w:u w:val="non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jc w:val="center"/>
              <w:rPr>
                <w:b w:val="0"/>
                <w:bCs w:val="0"/>
                <w:szCs w:val="21"/>
                <w:u w:val="none"/>
              </w:rPr>
            </w:pPr>
            <w:r>
              <w:rPr>
                <w:b w:val="0"/>
                <w:bCs w:val="0"/>
                <w:szCs w:val="21"/>
                <w:u w:val="none"/>
              </w:rPr>
              <w:t>食堂油烟</w:t>
            </w:r>
          </w:p>
        </w:tc>
        <w:tc>
          <w:tcPr>
            <w:tcW w:w="4740" w:type="dxa"/>
            <w:vAlign w:val="center"/>
          </w:tcPr>
          <w:p>
            <w:pPr>
              <w:jc w:val="center"/>
              <w:rPr>
                <w:b w:val="0"/>
                <w:bCs w:val="0"/>
                <w:szCs w:val="21"/>
                <w:u w:val="none"/>
              </w:rPr>
            </w:pPr>
            <w:r>
              <w:rPr>
                <w:b w:val="0"/>
                <w:bCs w:val="0"/>
                <w:kern w:val="0"/>
                <w:szCs w:val="21"/>
                <w:u w:val="none"/>
              </w:rPr>
              <w:t>安装净化效率不低于90%的油烟净化装置一套</w:t>
            </w:r>
          </w:p>
        </w:tc>
        <w:tc>
          <w:tcPr>
            <w:tcW w:w="1288" w:type="dxa"/>
            <w:vAlign w:val="center"/>
          </w:tcPr>
          <w:p>
            <w:pPr>
              <w:jc w:val="center"/>
              <w:rPr>
                <w:b w:val="0"/>
                <w:bCs w:val="0"/>
                <w:szCs w:val="21"/>
                <w:u w:val="none"/>
              </w:rPr>
            </w:pPr>
            <w:r>
              <w:rPr>
                <w:b w:val="0"/>
                <w:bCs w:val="0"/>
                <w:szCs w:val="21"/>
                <w:u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val="0"/>
                <w:bCs w:val="0"/>
                <w:szCs w:val="21"/>
                <w:u w:val="none"/>
              </w:rPr>
            </w:pPr>
            <w:r>
              <w:rPr>
                <w:b w:val="0"/>
                <w:bCs w:val="0"/>
                <w:szCs w:val="21"/>
                <w:u w:val="none"/>
              </w:rPr>
              <w:t>固废</w:t>
            </w:r>
          </w:p>
        </w:tc>
        <w:tc>
          <w:tcPr>
            <w:tcW w:w="2219" w:type="dxa"/>
            <w:gridSpan w:val="2"/>
            <w:vAlign w:val="center"/>
          </w:tcPr>
          <w:p>
            <w:pPr>
              <w:widowControl/>
              <w:jc w:val="center"/>
              <w:rPr>
                <w:b w:val="0"/>
                <w:bCs w:val="0"/>
                <w:kern w:val="0"/>
                <w:szCs w:val="21"/>
                <w:u w:val="none"/>
              </w:rPr>
            </w:pPr>
            <w:r>
              <w:rPr>
                <w:b w:val="0"/>
                <w:bCs w:val="0"/>
                <w:kern w:val="0"/>
                <w:szCs w:val="21"/>
                <w:u w:val="none"/>
              </w:rPr>
              <w:t>病死猪尸体</w:t>
            </w:r>
          </w:p>
        </w:tc>
        <w:tc>
          <w:tcPr>
            <w:tcW w:w="4740" w:type="dxa"/>
            <w:vAlign w:val="center"/>
          </w:tcPr>
          <w:p>
            <w:pPr>
              <w:jc w:val="center"/>
              <w:rPr>
                <w:b w:val="0"/>
                <w:bCs w:val="0"/>
                <w:szCs w:val="21"/>
                <w:u w:val="none"/>
              </w:rPr>
            </w:pPr>
            <w:r>
              <w:rPr>
                <w:rFonts w:hint="eastAsia"/>
                <w:b w:val="0"/>
                <w:bCs w:val="0"/>
                <w:color w:val="000000"/>
                <w:szCs w:val="21"/>
                <w:u w:val="none"/>
                <w:lang w:val="en-US" w:eastAsia="zh-CN"/>
              </w:rPr>
              <w:t>委托正阳县畜禽无害化处置中心处理</w:t>
            </w:r>
          </w:p>
        </w:tc>
        <w:tc>
          <w:tcPr>
            <w:tcW w:w="1288" w:type="dxa"/>
            <w:vAlign w:val="center"/>
          </w:tcPr>
          <w:p>
            <w:pPr>
              <w:jc w:val="center"/>
              <w:rPr>
                <w:rFonts w:hint="default" w:eastAsia="宋体"/>
                <w:b w:val="0"/>
                <w:bCs w:val="0"/>
                <w:szCs w:val="21"/>
                <w:u w:val="none"/>
                <w:lang w:val="en-US" w:eastAsia="zh-CN"/>
              </w:rPr>
            </w:pPr>
            <w:r>
              <w:rPr>
                <w:b w:val="0"/>
                <w:bCs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jc w:val="center"/>
              <w:rPr>
                <w:b w:val="0"/>
                <w:bCs w:val="0"/>
                <w:kern w:val="0"/>
                <w:szCs w:val="21"/>
                <w:u w:val="none"/>
              </w:rPr>
            </w:pPr>
            <w:r>
              <w:rPr>
                <w:b w:val="0"/>
                <w:bCs w:val="0"/>
                <w:kern w:val="0"/>
                <w:szCs w:val="21"/>
                <w:u w:val="none"/>
              </w:rPr>
              <w:t>疾病防疫产生的医疗废物</w:t>
            </w:r>
          </w:p>
        </w:tc>
        <w:tc>
          <w:tcPr>
            <w:tcW w:w="4740" w:type="dxa"/>
            <w:vAlign w:val="center"/>
          </w:tcPr>
          <w:p>
            <w:pPr>
              <w:jc w:val="center"/>
              <w:rPr>
                <w:b w:val="0"/>
                <w:bCs w:val="0"/>
                <w:szCs w:val="21"/>
                <w:u w:val="none"/>
              </w:rPr>
            </w:pPr>
            <w:r>
              <w:rPr>
                <w:b w:val="0"/>
                <w:bCs w:val="0"/>
                <w:szCs w:val="21"/>
                <w:u w:val="none"/>
              </w:rPr>
              <w:t>暂存于危废暂存池，设置危废暂存标志，定期交由有资质的单位处置</w:t>
            </w:r>
          </w:p>
        </w:tc>
        <w:tc>
          <w:tcPr>
            <w:tcW w:w="1288" w:type="dxa"/>
            <w:vAlign w:val="center"/>
          </w:tcPr>
          <w:p>
            <w:pPr>
              <w:jc w:val="center"/>
              <w:rPr>
                <w:b w:val="0"/>
                <w:bCs w:val="0"/>
                <w:szCs w:val="21"/>
                <w:u w:val="none"/>
              </w:rPr>
            </w:pPr>
            <w:r>
              <w:rPr>
                <w:b w:val="0"/>
                <w:bCs w:val="0"/>
                <w:szCs w:val="21"/>
                <w:u w:val="non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jc w:val="center"/>
              <w:rPr>
                <w:b w:val="0"/>
                <w:bCs w:val="0"/>
                <w:kern w:val="0"/>
                <w:szCs w:val="21"/>
                <w:u w:val="none"/>
              </w:rPr>
            </w:pPr>
            <w:r>
              <w:rPr>
                <w:b w:val="0"/>
                <w:bCs w:val="0"/>
                <w:kern w:val="0"/>
                <w:szCs w:val="21"/>
                <w:u w:val="none"/>
              </w:rPr>
              <w:t>废脱硫剂</w:t>
            </w:r>
          </w:p>
        </w:tc>
        <w:tc>
          <w:tcPr>
            <w:tcW w:w="4740" w:type="dxa"/>
            <w:vAlign w:val="center"/>
          </w:tcPr>
          <w:p>
            <w:pPr>
              <w:jc w:val="center"/>
              <w:rPr>
                <w:b w:val="0"/>
                <w:bCs w:val="0"/>
                <w:szCs w:val="21"/>
                <w:u w:val="none"/>
              </w:rPr>
            </w:pPr>
            <w:r>
              <w:rPr>
                <w:b w:val="0"/>
                <w:bCs w:val="0"/>
                <w:szCs w:val="21"/>
                <w:u w:val="none"/>
              </w:rPr>
              <w:t>暂存于固废暂存间，由负责项目环保工程的施工单位统一回收处置</w:t>
            </w:r>
          </w:p>
        </w:tc>
        <w:tc>
          <w:tcPr>
            <w:tcW w:w="1288" w:type="dxa"/>
            <w:vAlign w:val="center"/>
          </w:tcPr>
          <w:p>
            <w:pPr>
              <w:jc w:val="center"/>
              <w:rPr>
                <w:b w:val="0"/>
                <w:bCs w:val="0"/>
                <w:szCs w:val="21"/>
                <w:u w:val="none"/>
              </w:rPr>
            </w:pPr>
            <w:r>
              <w:rPr>
                <w:b w:val="0"/>
                <w:bCs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jc w:val="center"/>
              <w:rPr>
                <w:b w:val="0"/>
                <w:bCs w:val="0"/>
                <w:kern w:val="0"/>
                <w:szCs w:val="21"/>
                <w:u w:val="none"/>
              </w:rPr>
            </w:pPr>
            <w:r>
              <w:rPr>
                <w:b w:val="0"/>
                <w:bCs w:val="0"/>
                <w:kern w:val="0"/>
                <w:szCs w:val="21"/>
                <w:u w:val="none"/>
              </w:rPr>
              <w:t>生活垃圾及厨余垃圾</w:t>
            </w:r>
          </w:p>
        </w:tc>
        <w:tc>
          <w:tcPr>
            <w:tcW w:w="4740" w:type="dxa"/>
            <w:vAlign w:val="center"/>
          </w:tcPr>
          <w:p>
            <w:pPr>
              <w:jc w:val="center"/>
              <w:rPr>
                <w:b w:val="0"/>
                <w:bCs w:val="0"/>
                <w:szCs w:val="21"/>
                <w:u w:val="none"/>
              </w:rPr>
            </w:pPr>
            <w:r>
              <w:rPr>
                <w:b w:val="0"/>
                <w:bCs w:val="0"/>
                <w:szCs w:val="21"/>
                <w:u w:val="none"/>
              </w:rPr>
              <w:t>垃圾桶若干，集中送环卫部门处理</w:t>
            </w:r>
          </w:p>
        </w:tc>
        <w:tc>
          <w:tcPr>
            <w:tcW w:w="1288" w:type="dxa"/>
            <w:vAlign w:val="center"/>
          </w:tcPr>
          <w:p>
            <w:pPr>
              <w:jc w:val="center"/>
              <w:rPr>
                <w:b w:val="0"/>
                <w:bCs w:val="0"/>
                <w:szCs w:val="21"/>
                <w:u w:val="none"/>
              </w:rPr>
            </w:pPr>
            <w:r>
              <w:rPr>
                <w:b w:val="0"/>
                <w:bCs w:val="0"/>
                <w:szCs w:val="21"/>
                <w:u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spacing w:line="300" w:lineRule="exact"/>
              <w:jc w:val="center"/>
              <w:rPr>
                <w:b w:val="0"/>
                <w:bCs w:val="0"/>
                <w:kern w:val="0"/>
                <w:szCs w:val="21"/>
                <w:u w:val="none"/>
              </w:rPr>
            </w:pPr>
            <w:r>
              <w:rPr>
                <w:b w:val="0"/>
                <w:bCs w:val="0"/>
                <w:kern w:val="0"/>
                <w:szCs w:val="21"/>
                <w:u w:val="none"/>
              </w:rPr>
              <w:t>猪粪和沼渣</w:t>
            </w:r>
          </w:p>
        </w:tc>
        <w:tc>
          <w:tcPr>
            <w:tcW w:w="4740" w:type="dxa"/>
            <w:vAlign w:val="center"/>
          </w:tcPr>
          <w:p>
            <w:pPr>
              <w:jc w:val="center"/>
              <w:rPr>
                <w:b w:val="0"/>
                <w:bCs w:val="0"/>
                <w:szCs w:val="21"/>
                <w:u w:val="none"/>
              </w:rPr>
            </w:pPr>
            <w:r>
              <w:rPr>
                <w:b w:val="0"/>
                <w:bCs w:val="0"/>
                <w:kern w:val="0"/>
                <w:szCs w:val="21"/>
                <w:u w:val="none"/>
              </w:rPr>
              <w:t>粪便发酵制有机肥基肥外售、沼渣经晾晒后做有机肥基肥外售</w:t>
            </w:r>
          </w:p>
        </w:tc>
        <w:tc>
          <w:tcPr>
            <w:tcW w:w="1288" w:type="dxa"/>
            <w:vAlign w:val="center"/>
          </w:tcPr>
          <w:p>
            <w:pPr>
              <w:jc w:val="center"/>
              <w:rPr>
                <w:b w:val="0"/>
                <w:bCs w:val="0"/>
                <w:szCs w:val="21"/>
                <w:u w:val="none"/>
              </w:rPr>
            </w:pPr>
            <w:r>
              <w:rPr>
                <w:rFonts w:hint="eastAsia"/>
                <w:b w:val="0"/>
                <w:bCs w:val="0"/>
                <w:szCs w:val="21"/>
                <w:u w:val="none"/>
                <w:lang w:val="en-US" w:eastAsia="zh-CN"/>
              </w:rPr>
              <w:t>2</w:t>
            </w:r>
            <w:r>
              <w:rPr>
                <w:b w:val="0"/>
                <w:bCs w:val="0"/>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Align w:val="center"/>
          </w:tcPr>
          <w:p>
            <w:pPr>
              <w:jc w:val="center"/>
              <w:rPr>
                <w:b w:val="0"/>
                <w:bCs w:val="0"/>
                <w:szCs w:val="21"/>
                <w:u w:val="none"/>
              </w:rPr>
            </w:pPr>
            <w:r>
              <w:rPr>
                <w:b w:val="0"/>
                <w:bCs w:val="0"/>
                <w:szCs w:val="21"/>
                <w:u w:val="none"/>
              </w:rPr>
              <w:t>噪声</w:t>
            </w:r>
          </w:p>
        </w:tc>
        <w:tc>
          <w:tcPr>
            <w:tcW w:w="2219" w:type="dxa"/>
            <w:gridSpan w:val="2"/>
            <w:vAlign w:val="center"/>
          </w:tcPr>
          <w:p>
            <w:pPr>
              <w:widowControl/>
              <w:jc w:val="center"/>
              <w:rPr>
                <w:b w:val="0"/>
                <w:bCs w:val="0"/>
                <w:kern w:val="0"/>
                <w:szCs w:val="21"/>
                <w:u w:val="none"/>
              </w:rPr>
            </w:pPr>
            <w:r>
              <w:rPr>
                <w:b w:val="0"/>
                <w:bCs w:val="0"/>
                <w:kern w:val="0"/>
                <w:szCs w:val="21"/>
                <w:u w:val="none"/>
              </w:rPr>
              <w:t>设备噪声</w:t>
            </w:r>
          </w:p>
        </w:tc>
        <w:tc>
          <w:tcPr>
            <w:tcW w:w="4740" w:type="dxa"/>
            <w:vAlign w:val="center"/>
          </w:tcPr>
          <w:p>
            <w:pPr>
              <w:jc w:val="center"/>
              <w:rPr>
                <w:b w:val="0"/>
                <w:bCs w:val="0"/>
                <w:szCs w:val="21"/>
                <w:u w:val="none"/>
              </w:rPr>
            </w:pPr>
            <w:r>
              <w:rPr>
                <w:b w:val="0"/>
                <w:bCs w:val="0"/>
                <w:kern w:val="0"/>
                <w:szCs w:val="21"/>
                <w:u w:val="none"/>
              </w:rPr>
              <w:t>基础减振、隔声等措施</w:t>
            </w:r>
          </w:p>
        </w:tc>
        <w:tc>
          <w:tcPr>
            <w:tcW w:w="1288" w:type="dxa"/>
            <w:vAlign w:val="center"/>
          </w:tcPr>
          <w:p>
            <w:pPr>
              <w:jc w:val="center"/>
              <w:rPr>
                <w:b w:val="0"/>
                <w:bCs w:val="0"/>
                <w:szCs w:val="21"/>
                <w:u w:val="none"/>
              </w:rPr>
            </w:pPr>
            <w:r>
              <w:rPr>
                <w:b w:val="0"/>
                <w:bCs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val="0"/>
                <w:bCs w:val="0"/>
                <w:szCs w:val="21"/>
                <w:u w:val="none"/>
              </w:rPr>
            </w:pPr>
            <w:r>
              <w:rPr>
                <w:b w:val="0"/>
                <w:bCs w:val="0"/>
                <w:szCs w:val="21"/>
                <w:u w:val="none"/>
              </w:rPr>
              <w:t>风险事故</w:t>
            </w:r>
          </w:p>
        </w:tc>
        <w:tc>
          <w:tcPr>
            <w:tcW w:w="2219" w:type="dxa"/>
            <w:gridSpan w:val="2"/>
            <w:vAlign w:val="center"/>
          </w:tcPr>
          <w:p>
            <w:pPr>
              <w:widowControl/>
              <w:spacing w:line="300" w:lineRule="exact"/>
              <w:jc w:val="center"/>
              <w:rPr>
                <w:b w:val="0"/>
                <w:bCs w:val="0"/>
                <w:kern w:val="0"/>
                <w:szCs w:val="21"/>
                <w:u w:val="none"/>
              </w:rPr>
            </w:pPr>
            <w:r>
              <w:rPr>
                <w:b w:val="0"/>
                <w:bCs w:val="0"/>
                <w:kern w:val="0"/>
                <w:szCs w:val="21"/>
                <w:u w:val="none"/>
              </w:rPr>
              <w:t>沼气泄漏</w:t>
            </w:r>
          </w:p>
        </w:tc>
        <w:tc>
          <w:tcPr>
            <w:tcW w:w="4740" w:type="dxa"/>
            <w:vAlign w:val="center"/>
          </w:tcPr>
          <w:p>
            <w:pPr>
              <w:jc w:val="center"/>
              <w:rPr>
                <w:b w:val="0"/>
                <w:bCs w:val="0"/>
                <w:szCs w:val="21"/>
                <w:u w:val="none"/>
              </w:rPr>
            </w:pPr>
            <w:r>
              <w:rPr>
                <w:b w:val="0"/>
                <w:bCs w:val="0"/>
                <w:szCs w:val="21"/>
                <w:u w:val="none"/>
              </w:rPr>
              <w:t>加强设备的维护，按规定定期对</w:t>
            </w:r>
            <w:r>
              <w:rPr>
                <w:rFonts w:hint="eastAsia"/>
                <w:b w:val="0"/>
                <w:bCs w:val="0"/>
                <w:szCs w:val="21"/>
                <w:u w:val="none"/>
                <w:lang w:eastAsia="zh-CN"/>
              </w:rPr>
              <w:t>黑膜</w:t>
            </w:r>
            <w:r>
              <w:rPr>
                <w:b w:val="0"/>
                <w:bCs w:val="0"/>
                <w:szCs w:val="21"/>
                <w:u w:val="none"/>
              </w:rPr>
              <w:t>沼气池、管道系统进行密封性和压强测试；建立事故应急预案；加强操作人员的技术培训和岗位责任制教育</w:t>
            </w:r>
          </w:p>
        </w:tc>
        <w:tc>
          <w:tcPr>
            <w:tcW w:w="1288" w:type="dxa"/>
            <w:vMerge w:val="restart"/>
            <w:vAlign w:val="center"/>
          </w:tcPr>
          <w:p>
            <w:pPr>
              <w:jc w:val="center"/>
              <w:rPr>
                <w:b w:val="0"/>
                <w:bCs w:val="0"/>
                <w:szCs w:val="21"/>
                <w:u w:val="none"/>
              </w:rPr>
            </w:pPr>
            <w:r>
              <w:rPr>
                <w:b w:val="0"/>
                <w:bCs w:val="0"/>
                <w:szCs w:val="21"/>
                <w:u w:val="none"/>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spacing w:line="300" w:lineRule="exact"/>
              <w:jc w:val="center"/>
              <w:rPr>
                <w:b w:val="0"/>
                <w:bCs w:val="0"/>
                <w:kern w:val="0"/>
                <w:szCs w:val="21"/>
                <w:u w:val="none"/>
              </w:rPr>
            </w:pPr>
            <w:r>
              <w:rPr>
                <w:b w:val="0"/>
                <w:bCs w:val="0"/>
                <w:kern w:val="0"/>
                <w:szCs w:val="21"/>
                <w:u w:val="none"/>
              </w:rPr>
              <w:t>消防器材</w:t>
            </w:r>
          </w:p>
        </w:tc>
        <w:tc>
          <w:tcPr>
            <w:tcW w:w="4740" w:type="dxa"/>
            <w:vAlign w:val="center"/>
          </w:tcPr>
          <w:p>
            <w:pPr>
              <w:jc w:val="center"/>
              <w:rPr>
                <w:b w:val="0"/>
                <w:bCs w:val="0"/>
                <w:szCs w:val="21"/>
                <w:u w:val="none"/>
              </w:rPr>
            </w:pPr>
            <w:r>
              <w:rPr>
                <w:b w:val="0"/>
                <w:bCs w:val="0"/>
                <w:kern w:val="0"/>
                <w:szCs w:val="21"/>
                <w:u w:val="none"/>
              </w:rPr>
              <w:t>若干</w:t>
            </w: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val="0"/>
                <w:bCs w:val="0"/>
                <w:szCs w:val="21"/>
                <w:u w:val="none"/>
              </w:rPr>
            </w:pPr>
            <w:r>
              <w:rPr>
                <w:b w:val="0"/>
                <w:bCs w:val="0"/>
                <w:szCs w:val="21"/>
                <w:u w:val="none"/>
              </w:rPr>
              <w:t>辅助工程</w:t>
            </w:r>
          </w:p>
        </w:tc>
        <w:tc>
          <w:tcPr>
            <w:tcW w:w="2219" w:type="dxa"/>
            <w:gridSpan w:val="2"/>
            <w:vAlign w:val="center"/>
          </w:tcPr>
          <w:p>
            <w:pPr>
              <w:widowControl/>
              <w:jc w:val="center"/>
              <w:rPr>
                <w:b w:val="0"/>
                <w:bCs w:val="0"/>
                <w:kern w:val="0"/>
                <w:szCs w:val="21"/>
                <w:u w:val="none"/>
              </w:rPr>
            </w:pPr>
            <w:r>
              <w:rPr>
                <w:b w:val="0"/>
                <w:bCs w:val="0"/>
                <w:kern w:val="0"/>
                <w:szCs w:val="21"/>
                <w:u w:val="none"/>
              </w:rPr>
              <w:t>沼液施肥系统</w:t>
            </w:r>
          </w:p>
        </w:tc>
        <w:tc>
          <w:tcPr>
            <w:tcW w:w="4740" w:type="dxa"/>
            <w:vAlign w:val="center"/>
          </w:tcPr>
          <w:p>
            <w:pPr>
              <w:jc w:val="center"/>
              <w:rPr>
                <w:b w:val="0"/>
                <w:bCs w:val="0"/>
                <w:szCs w:val="21"/>
                <w:u w:val="none"/>
              </w:rPr>
            </w:pPr>
            <w:r>
              <w:rPr>
                <w:b w:val="0"/>
                <w:bCs w:val="0"/>
                <w:kern w:val="0"/>
                <w:szCs w:val="21"/>
                <w:u w:val="none"/>
              </w:rPr>
              <w:t>建设沼液储存池1个，容积</w:t>
            </w:r>
            <w:r>
              <w:rPr>
                <w:rFonts w:hint="eastAsia"/>
                <w:b w:val="0"/>
                <w:bCs w:val="0"/>
                <w:szCs w:val="21"/>
                <w:u w:val="none"/>
                <w:lang w:val="en-US" w:eastAsia="zh-CN"/>
              </w:rPr>
              <w:t>5000</w:t>
            </w:r>
            <w:r>
              <w:rPr>
                <w:b w:val="0"/>
                <w:bCs w:val="0"/>
                <w:kern w:val="0"/>
                <w:szCs w:val="21"/>
                <w:u w:val="none"/>
              </w:rPr>
              <w:t>m</w:t>
            </w:r>
            <w:r>
              <w:rPr>
                <w:b w:val="0"/>
                <w:bCs w:val="0"/>
                <w:kern w:val="0"/>
                <w:szCs w:val="21"/>
                <w:u w:val="none"/>
                <w:vertAlign w:val="superscript"/>
              </w:rPr>
              <w:t>3</w:t>
            </w:r>
            <w:r>
              <w:rPr>
                <w:b w:val="0"/>
                <w:bCs w:val="0"/>
                <w:kern w:val="0"/>
                <w:szCs w:val="21"/>
                <w:u w:val="none"/>
              </w:rPr>
              <w:t>，做好防渗、防溢漏、防雨流入措施、周边设置防护栏等安全措施，避免农闲期无处消纳外排或外溢造成污染；沼液输送系统管网铺设</w:t>
            </w:r>
          </w:p>
        </w:tc>
        <w:tc>
          <w:tcPr>
            <w:tcW w:w="1288" w:type="dxa"/>
            <w:vAlign w:val="center"/>
          </w:tcPr>
          <w:p>
            <w:pPr>
              <w:jc w:val="center"/>
              <w:rPr>
                <w:b w:val="0"/>
                <w:bCs w:val="0"/>
                <w:szCs w:val="21"/>
                <w:u w:val="none"/>
              </w:rPr>
            </w:pPr>
            <w:r>
              <w:rPr>
                <w:rFonts w:hint="eastAsia"/>
                <w:b w:val="0"/>
                <w:bCs w:val="0"/>
                <w:szCs w:val="21"/>
                <w:u w:val="none"/>
                <w:lang w:val="en-US" w:eastAsia="zh-CN"/>
              </w:rPr>
              <w:t>2</w:t>
            </w:r>
            <w:r>
              <w:rPr>
                <w:b w:val="0"/>
                <w:bCs w:val="0"/>
                <w:szCs w:val="21"/>
                <w:u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jc w:val="center"/>
              <w:rPr>
                <w:b w:val="0"/>
                <w:bCs w:val="0"/>
                <w:kern w:val="0"/>
                <w:szCs w:val="21"/>
                <w:u w:val="none"/>
              </w:rPr>
            </w:pPr>
            <w:r>
              <w:rPr>
                <w:b w:val="0"/>
                <w:bCs w:val="0"/>
                <w:kern w:val="0"/>
                <w:szCs w:val="21"/>
                <w:u w:val="none"/>
              </w:rPr>
              <w:t>地下水监测</w:t>
            </w:r>
          </w:p>
        </w:tc>
        <w:tc>
          <w:tcPr>
            <w:tcW w:w="4740" w:type="dxa"/>
            <w:vAlign w:val="center"/>
          </w:tcPr>
          <w:p>
            <w:pPr>
              <w:rPr>
                <w:b w:val="0"/>
                <w:bCs w:val="0"/>
                <w:szCs w:val="21"/>
                <w:u w:val="none"/>
              </w:rPr>
            </w:pPr>
            <w:r>
              <w:rPr>
                <w:b w:val="0"/>
                <w:bCs w:val="0"/>
                <w:szCs w:val="21"/>
                <w:u w:val="none"/>
              </w:rPr>
              <w:t>在沼液消纳地西北方位、东南方各设置1口地下水观测井</w:t>
            </w:r>
          </w:p>
        </w:tc>
        <w:tc>
          <w:tcPr>
            <w:tcW w:w="1288" w:type="dxa"/>
            <w:vAlign w:val="center"/>
          </w:tcPr>
          <w:p>
            <w:pPr>
              <w:jc w:val="center"/>
              <w:rPr>
                <w:b w:val="0"/>
                <w:bCs w:val="0"/>
                <w:szCs w:val="21"/>
                <w:u w:val="none"/>
              </w:rPr>
            </w:pPr>
            <w:r>
              <w:rPr>
                <w:b w:val="0"/>
                <w:bCs w:val="0"/>
                <w:szCs w:val="21"/>
                <w:u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jc w:val="center"/>
              <w:rPr>
                <w:b w:val="0"/>
                <w:bCs w:val="0"/>
                <w:kern w:val="0"/>
                <w:szCs w:val="21"/>
                <w:u w:val="none"/>
              </w:rPr>
            </w:pPr>
            <w:r>
              <w:rPr>
                <w:b w:val="0"/>
                <w:bCs w:val="0"/>
                <w:kern w:val="0"/>
                <w:szCs w:val="21"/>
                <w:u w:val="none"/>
              </w:rPr>
              <w:t>生态保护</w:t>
            </w:r>
          </w:p>
        </w:tc>
        <w:tc>
          <w:tcPr>
            <w:tcW w:w="4740" w:type="dxa"/>
            <w:vAlign w:val="center"/>
          </w:tcPr>
          <w:p>
            <w:pPr>
              <w:jc w:val="center"/>
              <w:rPr>
                <w:b w:val="0"/>
                <w:bCs w:val="0"/>
                <w:szCs w:val="21"/>
                <w:u w:val="none"/>
              </w:rPr>
            </w:pPr>
            <w:r>
              <w:rPr>
                <w:b w:val="0"/>
                <w:bCs w:val="0"/>
                <w:kern w:val="0"/>
                <w:szCs w:val="21"/>
                <w:u w:val="none"/>
              </w:rPr>
              <w:t>加强场区绿化</w:t>
            </w:r>
          </w:p>
        </w:tc>
        <w:tc>
          <w:tcPr>
            <w:tcW w:w="1288" w:type="dxa"/>
            <w:vMerge w:val="restart"/>
            <w:vAlign w:val="center"/>
          </w:tcPr>
          <w:p>
            <w:pPr>
              <w:jc w:val="center"/>
              <w:rPr>
                <w:b w:val="0"/>
                <w:bCs w:val="0"/>
                <w:szCs w:val="21"/>
                <w:u w:val="none"/>
              </w:rPr>
            </w:pPr>
            <w:r>
              <w:rPr>
                <w:b w:val="0"/>
                <w:bCs w:val="0"/>
                <w:szCs w:val="21"/>
                <w:u w:val="none"/>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jc w:val="center"/>
              <w:rPr>
                <w:b w:val="0"/>
                <w:bCs w:val="0"/>
                <w:kern w:val="0"/>
                <w:szCs w:val="21"/>
                <w:u w:val="none"/>
              </w:rPr>
            </w:pPr>
            <w:r>
              <w:rPr>
                <w:b w:val="0"/>
                <w:bCs w:val="0"/>
                <w:kern w:val="0"/>
                <w:szCs w:val="21"/>
                <w:u w:val="none"/>
              </w:rPr>
              <w:t>水土保持</w:t>
            </w:r>
          </w:p>
        </w:tc>
        <w:tc>
          <w:tcPr>
            <w:tcW w:w="4740" w:type="dxa"/>
            <w:vAlign w:val="center"/>
          </w:tcPr>
          <w:p>
            <w:pPr>
              <w:jc w:val="center"/>
              <w:rPr>
                <w:b w:val="0"/>
                <w:bCs w:val="0"/>
                <w:szCs w:val="21"/>
                <w:u w:val="none"/>
              </w:rPr>
            </w:pPr>
            <w:r>
              <w:rPr>
                <w:b w:val="0"/>
                <w:bCs w:val="0"/>
                <w:kern w:val="0"/>
                <w:szCs w:val="21"/>
                <w:u w:val="none"/>
              </w:rPr>
              <w:t>施工期设置导流沟，建筑材料及土方及时覆盖，场区地面硬化</w:t>
            </w: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val="0"/>
                <w:bCs w:val="0"/>
                <w:szCs w:val="21"/>
                <w:u w:val="none"/>
              </w:rPr>
            </w:pPr>
            <w:r>
              <w:rPr>
                <w:b w:val="0"/>
                <w:bCs w:val="0"/>
                <w:szCs w:val="21"/>
                <w:u w:val="none"/>
              </w:rPr>
              <w:t>防渗措施</w:t>
            </w:r>
          </w:p>
        </w:tc>
        <w:tc>
          <w:tcPr>
            <w:tcW w:w="2219" w:type="dxa"/>
            <w:gridSpan w:val="2"/>
            <w:vAlign w:val="center"/>
          </w:tcPr>
          <w:p>
            <w:pPr>
              <w:widowControl/>
              <w:jc w:val="center"/>
              <w:rPr>
                <w:b w:val="0"/>
                <w:bCs w:val="0"/>
                <w:kern w:val="0"/>
                <w:szCs w:val="21"/>
                <w:u w:val="none"/>
              </w:rPr>
            </w:pPr>
            <w:r>
              <w:rPr>
                <w:b w:val="0"/>
                <w:bCs w:val="0"/>
                <w:kern w:val="0"/>
                <w:szCs w:val="21"/>
                <w:u w:val="none"/>
              </w:rPr>
              <w:t>沼液储存池</w:t>
            </w:r>
          </w:p>
        </w:tc>
        <w:tc>
          <w:tcPr>
            <w:tcW w:w="4740" w:type="dxa"/>
            <w:vAlign w:val="center"/>
          </w:tcPr>
          <w:p>
            <w:pPr>
              <w:rPr>
                <w:b w:val="0"/>
                <w:bCs w:val="0"/>
                <w:szCs w:val="21"/>
                <w:u w:val="none"/>
              </w:rPr>
            </w:pPr>
            <w:r>
              <w:rPr>
                <w:b w:val="0"/>
                <w:bCs w:val="0"/>
                <w:kern w:val="0"/>
                <w:szCs w:val="21"/>
                <w:u w:val="none"/>
              </w:rPr>
              <w:t>在清场夯压的基础上铺设HDPE膜防渗，周边设置防护栏等安全措施，保证能够容纳</w:t>
            </w:r>
            <w:r>
              <w:rPr>
                <w:rFonts w:hint="eastAsia"/>
                <w:b w:val="0"/>
                <w:bCs w:val="0"/>
                <w:kern w:val="0"/>
                <w:szCs w:val="21"/>
                <w:u w:val="none"/>
                <w:lang w:eastAsia="zh-CN"/>
              </w:rPr>
              <w:t>166天</w:t>
            </w:r>
            <w:r>
              <w:rPr>
                <w:b w:val="0"/>
                <w:bCs w:val="0"/>
                <w:kern w:val="0"/>
                <w:szCs w:val="21"/>
                <w:u w:val="none"/>
              </w:rPr>
              <w:t>的沼液产生量，避免农闲期无处消纳外排或外溢造成污染</w:t>
            </w:r>
          </w:p>
        </w:tc>
        <w:tc>
          <w:tcPr>
            <w:tcW w:w="1288" w:type="dxa"/>
            <w:vMerge w:val="restart"/>
            <w:vAlign w:val="center"/>
          </w:tcPr>
          <w:p>
            <w:pPr>
              <w:jc w:val="center"/>
              <w:rPr>
                <w:b w:val="0"/>
                <w:bCs w:val="0"/>
                <w:szCs w:val="21"/>
                <w:u w:val="none"/>
              </w:rPr>
            </w:pPr>
            <w:r>
              <w:rPr>
                <w:b w:val="0"/>
                <w:bCs w:val="0"/>
                <w:szCs w:val="21"/>
                <w:u w:val="none"/>
              </w:rPr>
              <w:t>1</w:t>
            </w:r>
            <w:r>
              <w:rPr>
                <w:rFonts w:hint="eastAsia"/>
                <w:b w:val="0"/>
                <w:bCs w:val="0"/>
                <w:szCs w:val="21"/>
                <w:u w:val="none"/>
                <w:lang w:val="en-US" w:eastAsia="zh-CN"/>
              </w:rPr>
              <w:t>0</w:t>
            </w:r>
            <w:r>
              <w:rPr>
                <w:b w:val="0"/>
                <w:bCs w:val="0"/>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2219" w:type="dxa"/>
            <w:gridSpan w:val="2"/>
            <w:vAlign w:val="center"/>
          </w:tcPr>
          <w:p>
            <w:pPr>
              <w:widowControl/>
              <w:spacing w:line="300" w:lineRule="exact"/>
              <w:jc w:val="center"/>
              <w:rPr>
                <w:b w:val="0"/>
                <w:bCs w:val="0"/>
                <w:kern w:val="0"/>
                <w:szCs w:val="21"/>
                <w:u w:val="none"/>
              </w:rPr>
            </w:pPr>
            <w:r>
              <w:rPr>
                <w:b w:val="0"/>
                <w:bCs w:val="0"/>
                <w:szCs w:val="21"/>
                <w:u w:val="none"/>
              </w:rPr>
              <w:t>固粪处理区</w:t>
            </w:r>
          </w:p>
        </w:tc>
        <w:tc>
          <w:tcPr>
            <w:tcW w:w="4740" w:type="dxa"/>
            <w:vAlign w:val="center"/>
          </w:tcPr>
          <w:p>
            <w:pPr>
              <w:jc w:val="center"/>
              <w:rPr>
                <w:b w:val="0"/>
                <w:bCs w:val="0"/>
                <w:szCs w:val="21"/>
                <w:u w:val="none"/>
              </w:rPr>
            </w:pPr>
            <w:r>
              <w:rPr>
                <w:b w:val="0"/>
                <w:bCs w:val="0"/>
                <w:szCs w:val="21"/>
                <w:u w:val="none"/>
              </w:rPr>
              <w:t>地面在清场夯压的基础上混凝土防渗，设置顶棚和围挡，防止雨水进入造成下溢流污染</w:t>
            </w: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1260" w:type="dxa"/>
            <w:tcBorders>
              <w:right w:val="single" w:color="auto" w:sz="4" w:space="0"/>
            </w:tcBorders>
            <w:vAlign w:val="center"/>
          </w:tcPr>
          <w:p>
            <w:pPr>
              <w:widowControl/>
              <w:spacing w:line="300" w:lineRule="exact"/>
              <w:jc w:val="center"/>
              <w:rPr>
                <w:b w:val="0"/>
                <w:bCs w:val="0"/>
                <w:kern w:val="0"/>
                <w:szCs w:val="21"/>
                <w:u w:val="none"/>
              </w:rPr>
            </w:pPr>
            <w:r>
              <w:rPr>
                <w:b w:val="0"/>
                <w:bCs w:val="0"/>
                <w:kern w:val="0"/>
                <w:szCs w:val="21"/>
                <w:u w:val="none"/>
              </w:rPr>
              <w:t>污水处理区</w:t>
            </w:r>
          </w:p>
        </w:tc>
        <w:tc>
          <w:tcPr>
            <w:tcW w:w="959" w:type="dxa"/>
            <w:tcBorders>
              <w:left w:val="single" w:color="auto" w:sz="4" w:space="0"/>
            </w:tcBorders>
            <w:vAlign w:val="center"/>
          </w:tcPr>
          <w:p>
            <w:pPr>
              <w:widowControl/>
              <w:spacing w:line="300" w:lineRule="exact"/>
              <w:jc w:val="center"/>
              <w:rPr>
                <w:b w:val="0"/>
                <w:bCs w:val="0"/>
                <w:kern w:val="0"/>
                <w:szCs w:val="21"/>
                <w:u w:val="none"/>
              </w:rPr>
            </w:pPr>
            <w:r>
              <w:rPr>
                <w:b w:val="0"/>
                <w:bCs w:val="0"/>
                <w:szCs w:val="21"/>
                <w:u w:val="none"/>
              </w:rPr>
              <w:t>收集池</w:t>
            </w:r>
          </w:p>
        </w:tc>
        <w:tc>
          <w:tcPr>
            <w:tcW w:w="4740" w:type="dxa"/>
            <w:vAlign w:val="center"/>
          </w:tcPr>
          <w:p>
            <w:pPr>
              <w:jc w:val="center"/>
              <w:rPr>
                <w:b w:val="0"/>
                <w:bCs w:val="0"/>
                <w:szCs w:val="21"/>
                <w:u w:val="none"/>
              </w:rPr>
            </w:pPr>
            <w:r>
              <w:rPr>
                <w:b w:val="0"/>
                <w:bCs w:val="0"/>
                <w:szCs w:val="21"/>
                <w:u w:val="none"/>
              </w:rPr>
              <w:t>砖混结构</w:t>
            </w: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1260" w:type="dxa"/>
            <w:tcBorders>
              <w:right w:val="single" w:color="auto" w:sz="4" w:space="0"/>
            </w:tcBorders>
            <w:vAlign w:val="center"/>
          </w:tcPr>
          <w:p>
            <w:pPr>
              <w:widowControl/>
              <w:spacing w:line="300" w:lineRule="exact"/>
              <w:jc w:val="center"/>
              <w:rPr>
                <w:b w:val="0"/>
                <w:bCs w:val="0"/>
                <w:kern w:val="0"/>
                <w:szCs w:val="21"/>
                <w:u w:val="none"/>
              </w:rPr>
            </w:pPr>
            <w:r>
              <w:rPr>
                <w:b w:val="0"/>
                <w:bCs w:val="0"/>
                <w:kern w:val="0"/>
                <w:szCs w:val="21"/>
                <w:u w:val="none"/>
              </w:rPr>
              <w:t>养殖区</w:t>
            </w:r>
          </w:p>
        </w:tc>
        <w:tc>
          <w:tcPr>
            <w:tcW w:w="959" w:type="dxa"/>
            <w:tcBorders>
              <w:left w:val="single" w:color="auto" w:sz="4" w:space="0"/>
            </w:tcBorders>
            <w:vAlign w:val="center"/>
          </w:tcPr>
          <w:p>
            <w:pPr>
              <w:autoSpaceDE w:val="0"/>
              <w:autoSpaceDN w:val="0"/>
              <w:adjustRightInd w:val="0"/>
              <w:snapToGrid w:val="0"/>
              <w:spacing w:line="300" w:lineRule="exact"/>
              <w:jc w:val="center"/>
              <w:rPr>
                <w:b w:val="0"/>
                <w:bCs w:val="0"/>
                <w:kern w:val="0"/>
                <w:szCs w:val="21"/>
                <w:u w:val="none"/>
              </w:rPr>
            </w:pPr>
            <w:r>
              <w:rPr>
                <w:b w:val="0"/>
                <w:bCs w:val="0"/>
                <w:szCs w:val="21"/>
                <w:u w:val="none"/>
              </w:rPr>
              <w:t>场区、排污沟、</w:t>
            </w:r>
          </w:p>
        </w:tc>
        <w:tc>
          <w:tcPr>
            <w:tcW w:w="4740" w:type="dxa"/>
            <w:vAlign w:val="center"/>
          </w:tcPr>
          <w:p>
            <w:pPr>
              <w:rPr>
                <w:b w:val="0"/>
                <w:bCs w:val="0"/>
                <w:szCs w:val="21"/>
                <w:u w:val="none"/>
              </w:rPr>
            </w:pPr>
            <w:r>
              <w:rPr>
                <w:b w:val="0"/>
                <w:bCs w:val="0"/>
                <w:szCs w:val="21"/>
                <w:u w:val="none"/>
              </w:rPr>
              <w:t>猪舍底部在清场夯压的基础上混凝土防渗，采取暗沟形式，具备防止淤集以利于定期清理的条件</w:t>
            </w:r>
          </w:p>
        </w:tc>
        <w:tc>
          <w:tcPr>
            <w:tcW w:w="1288" w:type="dxa"/>
            <w:vAlign w:val="center"/>
          </w:tcPr>
          <w:p>
            <w:pPr>
              <w:jc w:val="center"/>
              <w:rPr>
                <w:b w:val="0"/>
                <w:bCs w:val="0"/>
                <w:szCs w:val="21"/>
                <w:u w:val="none"/>
              </w:rPr>
            </w:pPr>
            <w:r>
              <w:rPr>
                <w:b w:val="0"/>
                <w:bCs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val="0"/>
                <w:bCs w:val="0"/>
                <w:szCs w:val="21"/>
                <w:u w:val="none"/>
              </w:rPr>
            </w:pPr>
          </w:p>
        </w:tc>
        <w:tc>
          <w:tcPr>
            <w:tcW w:w="1260" w:type="dxa"/>
            <w:tcBorders>
              <w:right w:val="single" w:color="auto" w:sz="4" w:space="0"/>
            </w:tcBorders>
            <w:vAlign w:val="center"/>
          </w:tcPr>
          <w:p>
            <w:pPr>
              <w:widowControl/>
              <w:spacing w:line="300" w:lineRule="exact"/>
              <w:jc w:val="center"/>
              <w:rPr>
                <w:b w:val="0"/>
                <w:bCs w:val="0"/>
                <w:kern w:val="0"/>
                <w:szCs w:val="21"/>
                <w:u w:val="none"/>
              </w:rPr>
            </w:pPr>
            <w:r>
              <w:rPr>
                <w:b w:val="0"/>
                <w:bCs w:val="0"/>
                <w:kern w:val="0"/>
                <w:szCs w:val="21"/>
                <w:u w:val="none"/>
              </w:rPr>
              <w:t>沼液消纳区</w:t>
            </w:r>
          </w:p>
        </w:tc>
        <w:tc>
          <w:tcPr>
            <w:tcW w:w="959" w:type="dxa"/>
            <w:tcBorders>
              <w:left w:val="single" w:color="auto" w:sz="4" w:space="0"/>
            </w:tcBorders>
            <w:vAlign w:val="center"/>
          </w:tcPr>
          <w:p>
            <w:pPr>
              <w:autoSpaceDE w:val="0"/>
              <w:autoSpaceDN w:val="0"/>
              <w:adjustRightInd w:val="0"/>
              <w:snapToGrid w:val="0"/>
              <w:spacing w:line="300" w:lineRule="exact"/>
              <w:jc w:val="center"/>
              <w:rPr>
                <w:b w:val="0"/>
                <w:bCs w:val="0"/>
                <w:kern w:val="0"/>
                <w:szCs w:val="21"/>
                <w:u w:val="none"/>
              </w:rPr>
            </w:pPr>
            <w:r>
              <w:rPr>
                <w:b w:val="0"/>
                <w:bCs w:val="0"/>
                <w:kern w:val="0"/>
                <w:szCs w:val="21"/>
                <w:u w:val="none"/>
              </w:rPr>
              <w:t>沼液输送管网</w:t>
            </w:r>
          </w:p>
        </w:tc>
        <w:tc>
          <w:tcPr>
            <w:tcW w:w="4740" w:type="dxa"/>
            <w:vAlign w:val="center"/>
          </w:tcPr>
          <w:p>
            <w:pPr>
              <w:jc w:val="center"/>
              <w:rPr>
                <w:b w:val="0"/>
                <w:bCs w:val="0"/>
                <w:szCs w:val="21"/>
                <w:u w:val="none"/>
              </w:rPr>
            </w:pPr>
            <w:r>
              <w:rPr>
                <w:b w:val="0"/>
                <w:bCs w:val="0"/>
                <w:szCs w:val="21"/>
                <w:u w:val="none"/>
              </w:rPr>
              <w:t>沼液输送管道与管件必须具有防腐性与防渗性</w:t>
            </w:r>
          </w:p>
        </w:tc>
        <w:tc>
          <w:tcPr>
            <w:tcW w:w="1288" w:type="dxa"/>
            <w:vAlign w:val="center"/>
          </w:tcPr>
          <w:p>
            <w:pPr>
              <w:jc w:val="center"/>
              <w:rPr>
                <w:b w:val="0"/>
                <w:bCs w:val="0"/>
                <w:szCs w:val="21"/>
                <w:u w:val="none"/>
              </w:rPr>
            </w:pPr>
            <w:r>
              <w:rPr>
                <w:b w:val="0"/>
                <w:bCs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8" w:type="dxa"/>
            <w:gridSpan w:val="3"/>
            <w:vAlign w:val="center"/>
          </w:tcPr>
          <w:p>
            <w:pPr>
              <w:widowControl/>
              <w:jc w:val="center"/>
              <w:rPr>
                <w:b w:val="0"/>
                <w:bCs w:val="0"/>
                <w:kern w:val="0"/>
                <w:szCs w:val="21"/>
                <w:u w:val="none"/>
              </w:rPr>
            </w:pPr>
            <w:r>
              <w:rPr>
                <w:b w:val="0"/>
                <w:bCs w:val="0"/>
                <w:kern w:val="0"/>
                <w:szCs w:val="21"/>
                <w:u w:val="none"/>
              </w:rPr>
              <w:t>卫生事故</w:t>
            </w:r>
          </w:p>
        </w:tc>
        <w:tc>
          <w:tcPr>
            <w:tcW w:w="4740" w:type="dxa"/>
            <w:vAlign w:val="center"/>
          </w:tcPr>
          <w:p>
            <w:pPr>
              <w:autoSpaceDE w:val="0"/>
              <w:autoSpaceDN w:val="0"/>
              <w:adjustRightInd w:val="0"/>
              <w:snapToGrid w:val="0"/>
              <w:jc w:val="center"/>
              <w:rPr>
                <w:b w:val="0"/>
                <w:bCs w:val="0"/>
                <w:kern w:val="0"/>
                <w:szCs w:val="21"/>
                <w:u w:val="none"/>
              </w:rPr>
            </w:pPr>
            <w:r>
              <w:rPr>
                <w:b w:val="0"/>
                <w:bCs w:val="0"/>
                <w:kern w:val="0"/>
                <w:szCs w:val="21"/>
                <w:u w:val="none"/>
              </w:rPr>
              <w:t>加强场区内卫生防疫工作</w:t>
            </w:r>
          </w:p>
        </w:tc>
        <w:tc>
          <w:tcPr>
            <w:tcW w:w="1288" w:type="dxa"/>
            <w:vMerge w:val="restart"/>
            <w:vAlign w:val="center"/>
          </w:tcPr>
          <w:p>
            <w:pPr>
              <w:jc w:val="center"/>
              <w:rPr>
                <w:b w:val="0"/>
                <w:bCs w:val="0"/>
                <w:szCs w:val="21"/>
                <w:u w:val="none"/>
              </w:rPr>
            </w:pPr>
            <w:r>
              <w:rPr>
                <w:b w:val="0"/>
                <w:bCs w:val="0"/>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8" w:type="dxa"/>
            <w:gridSpan w:val="3"/>
            <w:vAlign w:val="center"/>
          </w:tcPr>
          <w:p>
            <w:pPr>
              <w:widowControl/>
              <w:jc w:val="center"/>
              <w:rPr>
                <w:b w:val="0"/>
                <w:bCs w:val="0"/>
                <w:kern w:val="0"/>
                <w:szCs w:val="21"/>
                <w:u w:val="none"/>
              </w:rPr>
            </w:pPr>
            <w:r>
              <w:rPr>
                <w:b w:val="0"/>
                <w:bCs w:val="0"/>
                <w:kern w:val="0"/>
                <w:szCs w:val="21"/>
                <w:u w:val="none"/>
              </w:rPr>
              <w:t>环境管理</w:t>
            </w:r>
          </w:p>
        </w:tc>
        <w:tc>
          <w:tcPr>
            <w:tcW w:w="4740" w:type="dxa"/>
            <w:vAlign w:val="center"/>
          </w:tcPr>
          <w:p>
            <w:pPr>
              <w:autoSpaceDE w:val="0"/>
              <w:autoSpaceDN w:val="0"/>
              <w:adjustRightInd w:val="0"/>
              <w:snapToGrid w:val="0"/>
              <w:jc w:val="center"/>
              <w:rPr>
                <w:b w:val="0"/>
                <w:bCs w:val="0"/>
                <w:kern w:val="0"/>
                <w:szCs w:val="21"/>
                <w:u w:val="none"/>
              </w:rPr>
            </w:pPr>
            <w:r>
              <w:rPr>
                <w:b w:val="0"/>
                <w:bCs w:val="0"/>
                <w:kern w:val="0"/>
                <w:szCs w:val="21"/>
                <w:u w:val="none"/>
              </w:rPr>
              <w:t>制定环境管理体系，加强环境管理</w:t>
            </w: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8" w:type="dxa"/>
            <w:gridSpan w:val="3"/>
            <w:vAlign w:val="center"/>
          </w:tcPr>
          <w:p>
            <w:pPr>
              <w:widowControl/>
              <w:jc w:val="center"/>
              <w:rPr>
                <w:b w:val="0"/>
                <w:bCs w:val="0"/>
                <w:kern w:val="0"/>
                <w:szCs w:val="21"/>
                <w:u w:val="none"/>
              </w:rPr>
            </w:pPr>
            <w:r>
              <w:rPr>
                <w:b w:val="0"/>
                <w:bCs w:val="0"/>
                <w:kern w:val="0"/>
                <w:szCs w:val="21"/>
                <w:u w:val="none"/>
              </w:rPr>
              <w:t>环境监测</w:t>
            </w:r>
          </w:p>
        </w:tc>
        <w:tc>
          <w:tcPr>
            <w:tcW w:w="4740" w:type="dxa"/>
            <w:vAlign w:val="center"/>
          </w:tcPr>
          <w:p>
            <w:pPr>
              <w:autoSpaceDE w:val="0"/>
              <w:autoSpaceDN w:val="0"/>
              <w:adjustRightInd w:val="0"/>
              <w:snapToGrid w:val="0"/>
              <w:jc w:val="center"/>
              <w:rPr>
                <w:b w:val="0"/>
                <w:bCs w:val="0"/>
                <w:kern w:val="0"/>
                <w:szCs w:val="21"/>
                <w:u w:val="none"/>
              </w:rPr>
            </w:pPr>
            <w:r>
              <w:rPr>
                <w:b w:val="0"/>
                <w:bCs w:val="0"/>
                <w:kern w:val="0"/>
                <w:szCs w:val="21"/>
                <w:u w:val="none"/>
              </w:rPr>
              <w:t>制定环境监测计划，定期监测</w:t>
            </w:r>
          </w:p>
        </w:tc>
        <w:tc>
          <w:tcPr>
            <w:tcW w:w="1288" w:type="dxa"/>
            <w:vMerge w:val="continue"/>
            <w:vAlign w:val="center"/>
          </w:tcPr>
          <w:p>
            <w:pPr>
              <w:jc w:val="center"/>
              <w:rPr>
                <w:b w:val="0"/>
                <w:b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58" w:type="dxa"/>
            <w:gridSpan w:val="4"/>
            <w:vAlign w:val="center"/>
          </w:tcPr>
          <w:p>
            <w:pPr>
              <w:autoSpaceDE w:val="0"/>
              <w:autoSpaceDN w:val="0"/>
              <w:adjustRightInd w:val="0"/>
              <w:snapToGrid w:val="0"/>
              <w:jc w:val="center"/>
              <w:rPr>
                <w:b w:val="0"/>
                <w:bCs w:val="0"/>
                <w:kern w:val="0"/>
                <w:szCs w:val="21"/>
                <w:u w:val="none"/>
              </w:rPr>
            </w:pPr>
            <w:r>
              <w:rPr>
                <w:b w:val="0"/>
                <w:bCs w:val="0"/>
                <w:kern w:val="0"/>
                <w:szCs w:val="21"/>
                <w:u w:val="none"/>
              </w:rPr>
              <w:t>合  计</w:t>
            </w:r>
          </w:p>
        </w:tc>
        <w:tc>
          <w:tcPr>
            <w:tcW w:w="1288" w:type="dxa"/>
            <w:vAlign w:val="center"/>
          </w:tcPr>
          <w:p>
            <w:pPr>
              <w:jc w:val="center"/>
              <w:rPr>
                <w:rFonts w:hint="default" w:eastAsia="宋体"/>
                <w:b w:val="0"/>
                <w:bCs w:val="0"/>
                <w:szCs w:val="21"/>
                <w:u w:val="none"/>
                <w:lang w:val="en-US" w:eastAsia="zh-CN"/>
              </w:rPr>
            </w:pPr>
            <w:r>
              <w:rPr>
                <w:rFonts w:hint="eastAsia"/>
                <w:b w:val="0"/>
                <w:bCs w:val="0"/>
                <w:szCs w:val="21"/>
                <w:u w:val="none"/>
                <w:lang w:val="en-US" w:eastAsia="zh-CN"/>
              </w:rPr>
              <w:t>421</w:t>
            </w:r>
          </w:p>
        </w:tc>
      </w:tr>
    </w:tbl>
    <w:p>
      <w:pPr>
        <w:pStyle w:val="5"/>
        <w:spacing w:before="156" w:after="156"/>
        <w:rPr>
          <w:rFonts w:hAnsi="Times New Roman"/>
          <w:color w:val="000000"/>
        </w:rPr>
      </w:pPr>
      <w:bookmarkStart w:id="284" w:name="_Toc9374"/>
      <w:bookmarkStart w:id="285" w:name="_Toc488572575"/>
      <w:r>
        <w:rPr>
          <w:rFonts w:hint="eastAsia" w:hAnsi="Times New Roman"/>
          <w:color w:val="000000"/>
          <w:lang w:val="en-US" w:eastAsia="zh-CN"/>
        </w:rPr>
        <w:t>5</w:t>
      </w:r>
      <w:r>
        <w:rPr>
          <w:rFonts w:hAnsi="Times New Roman"/>
          <w:color w:val="000000"/>
        </w:rPr>
        <w:t>.4环保投资竣工验收内容</w:t>
      </w:r>
      <w:bookmarkEnd w:id="284"/>
      <w:bookmarkEnd w:id="285"/>
    </w:p>
    <w:p>
      <w:pPr>
        <w:topLinePunct/>
        <w:spacing w:line="500" w:lineRule="exact"/>
        <w:ind w:firstLine="480" w:firstLineChars="200"/>
        <w:rPr>
          <w:color w:val="000000"/>
        </w:rPr>
      </w:pPr>
      <w:r>
        <w:rPr>
          <w:color w:val="000000"/>
          <w:sz w:val="24"/>
        </w:rPr>
        <w:t>建设项目的竣工环境保护验收是环境保护行政主管部门在项目建设末期对项目监管的最后一道关口。《建设项目竣工环境保护验收管理办法》第三条规定，建设项目竣工环境保护验收是指建设项目竣工后，环境保护行政主管部门根据本办法规定，依据环境保护验收监测或调查结果，并通过现场检查等手段，考核该建设项目是否达到环境保护要求的活动。工程环保设施竣工验收内容见表</w:t>
      </w:r>
      <w:r>
        <w:rPr>
          <w:rFonts w:hint="eastAsia"/>
          <w:color w:val="000000"/>
          <w:sz w:val="24"/>
          <w:lang w:val="en-US" w:eastAsia="zh-CN"/>
        </w:rPr>
        <w:t xml:space="preserve">5.4-1 </w:t>
      </w:r>
      <w:r>
        <w:rPr>
          <w:color w:val="000000"/>
          <w:sz w:val="24"/>
        </w:rPr>
        <w:t>。</w:t>
      </w:r>
    </w:p>
    <w:p>
      <w:pPr>
        <w:topLinePunct/>
        <w:rPr>
          <w:color w:val="000000"/>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AndChars" w:linePitch="312" w:charSpace="0"/>
        </w:sectPr>
      </w:pPr>
    </w:p>
    <w:p>
      <w:pPr>
        <w:topLinePunct/>
        <w:rPr>
          <w:b/>
          <w:color w:val="000000"/>
          <w:u w:val="single"/>
        </w:rPr>
      </w:pPr>
      <w:r>
        <w:rPr>
          <w:b w:val="0"/>
          <w:bCs/>
          <w:color w:val="000000"/>
          <w:szCs w:val="21"/>
          <w:u w:val="none"/>
        </w:rPr>
        <w:pict>
          <v:shape id="_x0000_s4573" o:spid="_x0000_s4573" o:spt="202" type="#_x0000_t202" style="position:absolute;left:0pt;margin-left:226.75pt;margin-top:-13.25pt;height:26.2pt;width:278.15pt;z-index:251665408;mso-width-relative:page;mso-height-relative:page;" filled="f" stroked="f" coordsize="21600,21600">
            <v:path/>
            <v:fill on="f" focussize="0,0"/>
            <v:stroke on="f" joinstyle="miter"/>
            <v:imagedata o:title=""/>
            <o:lock v:ext="edit"/>
            <v:textbox>
              <w:txbxContent>
                <w:p>
                  <w:pPr>
                    <w:rPr>
                      <w:b/>
                      <w:szCs w:val="21"/>
                      <w:u w:val="none"/>
                    </w:rPr>
                  </w:pPr>
                  <w:r>
                    <w:rPr>
                      <w:rFonts w:hint="eastAsia"/>
                      <w:b/>
                      <w:szCs w:val="21"/>
                      <w:u w:val="none"/>
                    </w:rPr>
                    <w:t>表</w:t>
                  </w:r>
                  <w:r>
                    <w:rPr>
                      <w:rFonts w:hint="eastAsia"/>
                      <w:b/>
                      <w:szCs w:val="21"/>
                      <w:u w:val="none"/>
                      <w:lang w:val="en-US" w:eastAsia="zh-CN"/>
                    </w:rPr>
                    <w:t xml:space="preserve">5.4-1 </w:t>
                  </w:r>
                  <w:r>
                    <w:rPr>
                      <w:b/>
                      <w:szCs w:val="21"/>
                      <w:u w:val="none"/>
                    </w:rPr>
                    <w:t>环保设施竣工验收</w:t>
                  </w:r>
                  <w:r>
                    <w:rPr>
                      <w:rFonts w:hint="eastAsia"/>
                      <w:b/>
                      <w:szCs w:val="21"/>
                      <w:u w:val="none"/>
                    </w:rPr>
                    <w:t>一览表</w:t>
                  </w:r>
                </w:p>
              </w:txbxContent>
            </v:textbox>
          </v:shape>
        </w:pict>
      </w:r>
    </w:p>
    <w:tbl>
      <w:tblPr>
        <w:tblStyle w:val="45"/>
        <w:tblW w:w="1337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7"/>
        <w:gridCol w:w="426"/>
        <w:gridCol w:w="532"/>
        <w:gridCol w:w="992"/>
        <w:gridCol w:w="418"/>
        <w:gridCol w:w="858"/>
        <w:gridCol w:w="1701"/>
        <w:gridCol w:w="1418"/>
        <w:gridCol w:w="1270"/>
        <w:gridCol w:w="479"/>
        <w:gridCol w:w="1653"/>
        <w:gridCol w:w="31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widowControl/>
              <w:topLinePunct/>
              <w:adjustRightInd w:val="0"/>
              <w:jc w:val="center"/>
              <w:rPr>
                <w:b w:val="0"/>
                <w:bCs/>
                <w:color w:val="000000"/>
                <w:szCs w:val="21"/>
                <w:u w:val="none"/>
              </w:rPr>
            </w:pPr>
            <w:r>
              <w:rPr>
                <w:b w:val="0"/>
                <w:bCs/>
                <w:color w:val="000000"/>
                <w:szCs w:val="21"/>
                <w:u w:val="none"/>
              </w:rPr>
              <w:t>项目</w:t>
            </w:r>
          </w:p>
        </w:tc>
        <w:tc>
          <w:tcPr>
            <w:tcW w:w="958" w:type="dxa"/>
            <w:gridSpan w:val="2"/>
            <w:vMerge w:val="restart"/>
            <w:vAlign w:val="center"/>
          </w:tcPr>
          <w:p>
            <w:pPr>
              <w:widowControl/>
              <w:topLinePunct/>
              <w:adjustRightInd w:val="0"/>
              <w:jc w:val="center"/>
              <w:rPr>
                <w:b w:val="0"/>
                <w:bCs/>
                <w:color w:val="000000"/>
                <w:szCs w:val="21"/>
                <w:u w:val="none"/>
              </w:rPr>
            </w:pPr>
            <w:r>
              <w:rPr>
                <w:b w:val="0"/>
                <w:bCs/>
                <w:color w:val="000000"/>
                <w:szCs w:val="21"/>
                <w:u w:val="none"/>
              </w:rPr>
              <w:t>产污环节</w:t>
            </w:r>
          </w:p>
        </w:tc>
        <w:tc>
          <w:tcPr>
            <w:tcW w:w="2268" w:type="dxa"/>
            <w:gridSpan w:val="3"/>
            <w:vAlign w:val="center"/>
          </w:tcPr>
          <w:p>
            <w:pPr>
              <w:widowControl/>
              <w:topLinePunct/>
              <w:adjustRightInd w:val="0"/>
              <w:jc w:val="center"/>
              <w:rPr>
                <w:b w:val="0"/>
                <w:bCs/>
                <w:color w:val="000000"/>
                <w:szCs w:val="21"/>
                <w:u w:val="none"/>
              </w:rPr>
            </w:pPr>
            <w:r>
              <w:rPr>
                <w:b w:val="0"/>
                <w:bCs/>
                <w:color w:val="000000"/>
                <w:szCs w:val="21"/>
                <w:u w:val="none"/>
              </w:rPr>
              <w:t>源强</w:t>
            </w:r>
          </w:p>
        </w:tc>
        <w:tc>
          <w:tcPr>
            <w:tcW w:w="1701" w:type="dxa"/>
            <w:vMerge w:val="restart"/>
            <w:vAlign w:val="center"/>
          </w:tcPr>
          <w:p>
            <w:pPr>
              <w:widowControl/>
              <w:topLinePunct/>
              <w:adjustRightInd w:val="0"/>
              <w:jc w:val="center"/>
              <w:rPr>
                <w:b w:val="0"/>
                <w:bCs/>
                <w:color w:val="000000"/>
                <w:szCs w:val="21"/>
                <w:u w:val="none"/>
              </w:rPr>
            </w:pPr>
            <w:r>
              <w:rPr>
                <w:b w:val="0"/>
                <w:bCs/>
                <w:color w:val="000000"/>
                <w:szCs w:val="21"/>
                <w:u w:val="none"/>
              </w:rPr>
              <w:t>防治措施</w:t>
            </w:r>
          </w:p>
        </w:tc>
        <w:tc>
          <w:tcPr>
            <w:tcW w:w="1418" w:type="dxa"/>
            <w:vMerge w:val="restart"/>
            <w:vAlign w:val="center"/>
          </w:tcPr>
          <w:p>
            <w:pPr>
              <w:widowControl/>
              <w:topLinePunct/>
              <w:adjustRightInd w:val="0"/>
              <w:jc w:val="center"/>
              <w:rPr>
                <w:b w:val="0"/>
                <w:bCs/>
                <w:color w:val="000000"/>
                <w:szCs w:val="21"/>
                <w:u w:val="none"/>
              </w:rPr>
            </w:pPr>
            <w:r>
              <w:rPr>
                <w:b w:val="0"/>
                <w:bCs/>
                <w:color w:val="000000"/>
                <w:szCs w:val="21"/>
                <w:u w:val="none"/>
              </w:rPr>
              <w:t>排放量/浓度</w:t>
            </w:r>
          </w:p>
        </w:tc>
        <w:tc>
          <w:tcPr>
            <w:tcW w:w="3402" w:type="dxa"/>
            <w:gridSpan w:val="3"/>
            <w:vMerge w:val="restart"/>
            <w:vAlign w:val="center"/>
          </w:tcPr>
          <w:p>
            <w:pPr>
              <w:widowControl/>
              <w:topLinePunct/>
              <w:adjustRightInd w:val="0"/>
              <w:jc w:val="center"/>
              <w:rPr>
                <w:b w:val="0"/>
                <w:bCs/>
                <w:color w:val="000000"/>
                <w:szCs w:val="21"/>
                <w:u w:val="none"/>
              </w:rPr>
            </w:pPr>
            <w:r>
              <w:rPr>
                <w:b w:val="0"/>
                <w:bCs/>
                <w:color w:val="000000"/>
                <w:szCs w:val="21"/>
                <w:u w:val="none"/>
              </w:rPr>
              <w:t>验收内容</w:t>
            </w:r>
          </w:p>
        </w:tc>
        <w:tc>
          <w:tcPr>
            <w:tcW w:w="3196" w:type="dxa"/>
            <w:vMerge w:val="restart"/>
            <w:vAlign w:val="center"/>
          </w:tcPr>
          <w:p>
            <w:pPr>
              <w:widowControl/>
              <w:topLinePunct/>
              <w:adjustRightInd w:val="0"/>
              <w:jc w:val="center"/>
              <w:rPr>
                <w:b w:val="0"/>
                <w:bCs/>
                <w:color w:val="000000"/>
                <w:szCs w:val="21"/>
                <w:u w:val="none"/>
              </w:rPr>
            </w:pPr>
            <w:r>
              <w:rPr>
                <w:b w:val="0"/>
                <w:bCs/>
                <w:color w:val="000000"/>
                <w:szCs w:val="21"/>
                <w:u w:val="none"/>
              </w:rPr>
              <w:t>满足标准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widowControl/>
              <w:topLinePunct/>
              <w:adjustRightInd w:val="0"/>
              <w:jc w:val="center"/>
              <w:rPr>
                <w:b w:val="0"/>
                <w:bCs/>
                <w:color w:val="000000"/>
                <w:szCs w:val="21"/>
                <w:u w:val="none"/>
              </w:rPr>
            </w:pPr>
          </w:p>
        </w:tc>
        <w:tc>
          <w:tcPr>
            <w:tcW w:w="958" w:type="dxa"/>
            <w:gridSpan w:val="2"/>
            <w:vMerge w:val="continue"/>
            <w:vAlign w:val="center"/>
          </w:tcPr>
          <w:p>
            <w:pPr>
              <w:widowControl/>
              <w:topLinePunct/>
              <w:adjustRightInd w:val="0"/>
              <w:jc w:val="center"/>
              <w:rPr>
                <w:b w:val="0"/>
                <w:bCs/>
                <w:color w:val="000000"/>
                <w:szCs w:val="21"/>
                <w:u w:val="none"/>
              </w:rPr>
            </w:pPr>
          </w:p>
        </w:tc>
        <w:tc>
          <w:tcPr>
            <w:tcW w:w="992" w:type="dxa"/>
            <w:vAlign w:val="center"/>
          </w:tcPr>
          <w:p>
            <w:pPr>
              <w:widowControl/>
              <w:topLinePunct/>
              <w:adjustRightInd w:val="0"/>
              <w:jc w:val="center"/>
              <w:rPr>
                <w:b w:val="0"/>
                <w:bCs/>
                <w:color w:val="000000"/>
                <w:szCs w:val="21"/>
                <w:u w:val="none"/>
              </w:rPr>
            </w:pPr>
            <w:r>
              <w:rPr>
                <w:b w:val="0"/>
                <w:bCs/>
                <w:color w:val="000000"/>
                <w:szCs w:val="21"/>
                <w:u w:val="none"/>
              </w:rPr>
              <w:t>产生量</w:t>
            </w:r>
          </w:p>
        </w:tc>
        <w:tc>
          <w:tcPr>
            <w:tcW w:w="1276" w:type="dxa"/>
            <w:gridSpan w:val="2"/>
            <w:vAlign w:val="center"/>
          </w:tcPr>
          <w:p>
            <w:pPr>
              <w:widowControl/>
              <w:topLinePunct/>
              <w:adjustRightInd w:val="0"/>
              <w:jc w:val="center"/>
              <w:rPr>
                <w:b w:val="0"/>
                <w:bCs/>
                <w:color w:val="000000"/>
                <w:szCs w:val="21"/>
                <w:u w:val="none"/>
              </w:rPr>
            </w:pPr>
            <w:r>
              <w:rPr>
                <w:b w:val="0"/>
                <w:bCs/>
                <w:color w:val="000000"/>
                <w:szCs w:val="21"/>
                <w:u w:val="none"/>
              </w:rPr>
              <w:t>产生浓度</w:t>
            </w:r>
          </w:p>
        </w:tc>
        <w:tc>
          <w:tcPr>
            <w:tcW w:w="1701" w:type="dxa"/>
            <w:vMerge w:val="continue"/>
            <w:vAlign w:val="center"/>
          </w:tcPr>
          <w:p>
            <w:pPr>
              <w:widowControl/>
              <w:topLinePunct/>
              <w:adjustRightInd w:val="0"/>
              <w:jc w:val="center"/>
              <w:rPr>
                <w:b w:val="0"/>
                <w:bCs/>
                <w:color w:val="000000"/>
                <w:szCs w:val="21"/>
                <w:u w:val="none"/>
              </w:rPr>
            </w:pPr>
          </w:p>
        </w:tc>
        <w:tc>
          <w:tcPr>
            <w:tcW w:w="1418" w:type="dxa"/>
            <w:vMerge w:val="continue"/>
            <w:vAlign w:val="center"/>
          </w:tcPr>
          <w:p>
            <w:pPr>
              <w:widowControl/>
              <w:topLinePunct/>
              <w:adjustRightInd w:val="0"/>
              <w:jc w:val="center"/>
              <w:rPr>
                <w:b w:val="0"/>
                <w:bCs/>
                <w:color w:val="000000"/>
                <w:szCs w:val="21"/>
                <w:u w:val="none"/>
              </w:rPr>
            </w:pPr>
          </w:p>
        </w:tc>
        <w:tc>
          <w:tcPr>
            <w:tcW w:w="3402" w:type="dxa"/>
            <w:gridSpan w:val="3"/>
            <w:vMerge w:val="continue"/>
            <w:vAlign w:val="center"/>
          </w:tcPr>
          <w:p>
            <w:pPr>
              <w:widowControl/>
              <w:topLinePunct/>
              <w:adjustRightInd w:val="0"/>
              <w:jc w:val="center"/>
              <w:rPr>
                <w:b w:val="0"/>
                <w:bCs/>
                <w:color w:val="000000"/>
                <w:szCs w:val="21"/>
                <w:u w:val="none"/>
              </w:rPr>
            </w:pPr>
          </w:p>
        </w:tc>
        <w:tc>
          <w:tcPr>
            <w:tcW w:w="3196" w:type="dxa"/>
            <w:vMerge w:val="continue"/>
            <w:vAlign w:val="center"/>
          </w:tcPr>
          <w:p>
            <w:pPr>
              <w:widowControl/>
              <w:topLinePunct/>
              <w:adjustRightInd w:val="0"/>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widowControl/>
              <w:topLinePunct/>
              <w:adjustRightInd w:val="0"/>
              <w:jc w:val="center"/>
              <w:rPr>
                <w:b w:val="0"/>
                <w:bCs/>
                <w:color w:val="000000"/>
                <w:szCs w:val="21"/>
                <w:u w:val="none"/>
              </w:rPr>
            </w:pPr>
            <w:r>
              <w:rPr>
                <w:b w:val="0"/>
                <w:bCs/>
                <w:color w:val="000000"/>
                <w:szCs w:val="21"/>
                <w:u w:val="none"/>
              </w:rPr>
              <w:t>废水</w:t>
            </w:r>
          </w:p>
        </w:tc>
        <w:tc>
          <w:tcPr>
            <w:tcW w:w="958" w:type="dxa"/>
            <w:gridSpan w:val="2"/>
            <w:vMerge w:val="restart"/>
            <w:vAlign w:val="center"/>
          </w:tcPr>
          <w:p>
            <w:pPr>
              <w:widowControl/>
              <w:topLinePunct/>
              <w:adjustRightInd w:val="0"/>
              <w:jc w:val="center"/>
              <w:rPr>
                <w:b w:val="0"/>
                <w:bCs/>
                <w:color w:val="000000"/>
                <w:szCs w:val="21"/>
                <w:u w:val="none"/>
              </w:rPr>
            </w:pPr>
            <w:r>
              <w:rPr>
                <w:b w:val="0"/>
                <w:bCs/>
                <w:color w:val="000000"/>
                <w:szCs w:val="21"/>
                <w:u w:val="none"/>
              </w:rPr>
              <w:t>养殖废水、</w:t>
            </w:r>
          </w:p>
          <w:p>
            <w:pPr>
              <w:widowControl/>
              <w:topLinePunct/>
              <w:adjustRightInd w:val="0"/>
              <w:jc w:val="center"/>
              <w:rPr>
                <w:b w:val="0"/>
                <w:bCs/>
                <w:color w:val="000000"/>
                <w:szCs w:val="21"/>
                <w:u w:val="none"/>
              </w:rPr>
            </w:pPr>
            <w:r>
              <w:rPr>
                <w:b w:val="0"/>
                <w:bCs/>
                <w:color w:val="000000"/>
                <w:szCs w:val="21"/>
                <w:u w:val="none"/>
              </w:rPr>
              <w:t>生活污水</w:t>
            </w:r>
          </w:p>
        </w:tc>
        <w:tc>
          <w:tcPr>
            <w:tcW w:w="992" w:type="dxa"/>
            <w:vMerge w:val="restart"/>
            <w:vAlign w:val="center"/>
          </w:tcPr>
          <w:p>
            <w:pPr>
              <w:widowControl/>
              <w:topLinePunct/>
              <w:adjustRightInd w:val="0"/>
              <w:jc w:val="center"/>
              <w:rPr>
                <w:b w:val="0"/>
                <w:bCs/>
                <w:color w:val="000000"/>
                <w:szCs w:val="21"/>
                <w:u w:val="none"/>
              </w:rPr>
            </w:pPr>
            <w:r>
              <w:rPr>
                <w:rFonts w:hint="eastAsia"/>
                <w:b w:val="0"/>
                <w:bCs/>
                <w:color w:val="000000"/>
                <w:szCs w:val="21"/>
                <w:u w:val="none"/>
                <w:lang w:val="en-US" w:eastAsia="zh-CN"/>
              </w:rPr>
              <w:t>9024.49</w:t>
            </w:r>
            <w:r>
              <w:rPr>
                <w:b w:val="0"/>
                <w:bCs/>
                <w:color w:val="000000"/>
                <w:szCs w:val="21"/>
                <w:u w:val="none"/>
              </w:rPr>
              <w:t>m</w:t>
            </w:r>
            <w:r>
              <w:rPr>
                <w:b w:val="0"/>
                <w:bCs/>
                <w:color w:val="000000"/>
                <w:szCs w:val="21"/>
                <w:u w:val="none"/>
                <w:vertAlign w:val="superscript"/>
              </w:rPr>
              <w:t>3</w:t>
            </w:r>
            <w:r>
              <w:rPr>
                <w:b w:val="0"/>
                <w:bCs/>
                <w:color w:val="000000"/>
                <w:szCs w:val="21"/>
                <w:u w:val="none"/>
              </w:rPr>
              <w:t>/a</w:t>
            </w:r>
          </w:p>
        </w:tc>
        <w:tc>
          <w:tcPr>
            <w:tcW w:w="1276" w:type="dxa"/>
            <w:gridSpan w:val="2"/>
            <w:vMerge w:val="restart"/>
            <w:vAlign w:val="center"/>
          </w:tcPr>
          <w:p>
            <w:pPr>
              <w:widowControl/>
              <w:topLinePunct/>
              <w:adjustRightInd w:val="0"/>
              <w:jc w:val="center"/>
              <w:rPr>
                <w:b w:val="0"/>
                <w:bCs/>
                <w:color w:val="000000"/>
                <w:szCs w:val="21"/>
                <w:u w:val="none"/>
              </w:rPr>
            </w:pPr>
            <w:r>
              <w:rPr>
                <w:b w:val="0"/>
                <w:bCs/>
                <w:color w:val="000000"/>
                <w:szCs w:val="21"/>
                <w:u w:val="none"/>
              </w:rPr>
              <w:t>COD：15000mg/L</w:t>
            </w:r>
          </w:p>
          <w:p>
            <w:pPr>
              <w:pStyle w:val="16"/>
              <w:rPr>
                <w:b w:val="0"/>
                <w:bCs/>
                <w:u w:val="none"/>
              </w:rPr>
            </w:pPr>
            <w:r>
              <w:rPr>
                <w:b w:val="0"/>
                <w:bCs/>
                <w:color w:val="000000"/>
                <w:szCs w:val="21"/>
                <w:u w:val="none"/>
              </w:rPr>
              <w:t>BOD</w:t>
            </w:r>
            <w:r>
              <w:rPr>
                <w:b w:val="0"/>
                <w:bCs/>
                <w:color w:val="000000"/>
                <w:szCs w:val="21"/>
                <w:u w:val="none"/>
                <w:vertAlign w:val="subscript"/>
              </w:rPr>
              <w:t>5</w:t>
            </w:r>
            <w:r>
              <w:rPr>
                <w:b w:val="0"/>
                <w:bCs/>
                <w:color w:val="000000"/>
                <w:szCs w:val="21"/>
                <w:u w:val="none"/>
              </w:rPr>
              <w:t>：</w:t>
            </w:r>
            <w:r>
              <w:rPr>
                <w:b w:val="0"/>
                <w:bCs/>
                <w:u w:val="none"/>
              </w:rPr>
              <w:t>8000</w:t>
            </w:r>
          </w:p>
          <w:p>
            <w:pPr>
              <w:widowControl/>
              <w:topLinePunct/>
              <w:adjustRightInd w:val="0"/>
              <w:jc w:val="center"/>
              <w:rPr>
                <w:b w:val="0"/>
                <w:bCs/>
                <w:color w:val="000000"/>
                <w:szCs w:val="21"/>
                <w:u w:val="none"/>
                <w:vertAlign w:val="subscript"/>
              </w:rPr>
            </w:pPr>
            <w:r>
              <w:rPr>
                <w:b w:val="0"/>
                <w:bCs/>
                <w:color w:val="000000"/>
                <w:szCs w:val="21"/>
                <w:u w:val="none"/>
              </w:rPr>
              <w:t>mg/L</w:t>
            </w:r>
          </w:p>
          <w:p>
            <w:pPr>
              <w:widowControl/>
              <w:topLinePunct/>
              <w:adjustRightInd w:val="0"/>
              <w:jc w:val="center"/>
              <w:rPr>
                <w:b w:val="0"/>
                <w:bCs/>
                <w:color w:val="000000"/>
                <w:szCs w:val="21"/>
                <w:u w:val="none"/>
              </w:rPr>
            </w:pPr>
            <w:r>
              <w:rPr>
                <w:b w:val="0"/>
                <w:bCs/>
                <w:color w:val="000000"/>
                <w:szCs w:val="21"/>
                <w:u w:val="none"/>
              </w:rPr>
              <w:t>SS：</w:t>
            </w:r>
            <w:r>
              <w:rPr>
                <w:b w:val="0"/>
                <w:bCs/>
                <w:u w:val="none"/>
              </w:rPr>
              <w:t>16000</w:t>
            </w:r>
            <w:r>
              <w:rPr>
                <w:b w:val="0"/>
                <w:bCs/>
                <w:color w:val="000000"/>
                <w:szCs w:val="21"/>
                <w:u w:val="none"/>
              </w:rPr>
              <w:t>mg/L</w:t>
            </w:r>
          </w:p>
          <w:p>
            <w:pPr>
              <w:widowControl/>
              <w:topLinePunct/>
              <w:adjustRightInd w:val="0"/>
              <w:jc w:val="center"/>
              <w:rPr>
                <w:b w:val="0"/>
                <w:bCs/>
                <w:color w:val="000000"/>
                <w:szCs w:val="21"/>
                <w:u w:val="none"/>
              </w:rPr>
            </w:pPr>
            <w:r>
              <w:rPr>
                <w:b w:val="0"/>
                <w:bCs/>
                <w:color w:val="000000"/>
                <w:szCs w:val="21"/>
                <w:u w:val="none"/>
              </w:rPr>
              <w:t>NH</w:t>
            </w:r>
            <w:r>
              <w:rPr>
                <w:b w:val="0"/>
                <w:bCs/>
                <w:color w:val="000000"/>
                <w:szCs w:val="21"/>
                <w:u w:val="none"/>
                <w:vertAlign w:val="subscript"/>
              </w:rPr>
              <w:t>3</w:t>
            </w:r>
            <w:r>
              <w:rPr>
                <w:b w:val="0"/>
                <w:bCs/>
                <w:color w:val="000000"/>
                <w:szCs w:val="21"/>
                <w:u w:val="none"/>
              </w:rPr>
              <w:t>-N：1200mg/L</w:t>
            </w:r>
          </w:p>
        </w:tc>
        <w:tc>
          <w:tcPr>
            <w:tcW w:w="1701" w:type="dxa"/>
            <w:vMerge w:val="restart"/>
            <w:vAlign w:val="center"/>
          </w:tcPr>
          <w:p>
            <w:pPr>
              <w:widowControl/>
              <w:topLinePunct/>
              <w:adjustRightInd w:val="0"/>
              <w:jc w:val="center"/>
              <w:rPr>
                <w:b w:val="0"/>
                <w:bCs/>
                <w:color w:val="000000"/>
                <w:szCs w:val="21"/>
                <w:u w:val="none"/>
              </w:rPr>
            </w:pPr>
            <w:r>
              <w:rPr>
                <w:b w:val="0"/>
                <w:bCs/>
                <w:color w:val="000000"/>
                <w:szCs w:val="21"/>
                <w:u w:val="none"/>
              </w:rPr>
              <w:t>养殖废水与生活污水混合后经场区1套</w:t>
            </w:r>
            <w:r>
              <w:rPr>
                <w:rFonts w:hint="eastAsia"/>
                <w:b w:val="0"/>
                <w:bCs/>
                <w:color w:val="000000"/>
                <w:szCs w:val="21"/>
                <w:u w:val="none"/>
                <w:lang w:eastAsia="zh-CN"/>
              </w:rPr>
              <w:t>黑膜</w:t>
            </w:r>
            <w:r>
              <w:rPr>
                <w:b w:val="0"/>
                <w:bCs/>
                <w:color w:val="000000"/>
                <w:szCs w:val="21"/>
                <w:u w:val="none"/>
              </w:rPr>
              <w:t>沼气池处理，定期经过配套施肥系统用于</w:t>
            </w:r>
            <w:r>
              <w:rPr>
                <w:rFonts w:hint="eastAsia"/>
                <w:b w:val="0"/>
                <w:bCs/>
                <w:color w:val="000000"/>
                <w:szCs w:val="21"/>
                <w:u w:val="none"/>
                <w:lang w:val="en-US" w:eastAsia="zh-CN"/>
              </w:rPr>
              <w:t>林地</w:t>
            </w:r>
            <w:r>
              <w:rPr>
                <w:b w:val="0"/>
                <w:bCs/>
                <w:color w:val="000000"/>
                <w:szCs w:val="21"/>
                <w:u w:val="none"/>
              </w:rPr>
              <w:t>施肥</w:t>
            </w:r>
          </w:p>
        </w:tc>
        <w:tc>
          <w:tcPr>
            <w:tcW w:w="1418" w:type="dxa"/>
            <w:vMerge w:val="restart"/>
            <w:vAlign w:val="center"/>
          </w:tcPr>
          <w:p>
            <w:pPr>
              <w:widowControl/>
              <w:topLinePunct/>
              <w:adjustRightInd w:val="0"/>
              <w:jc w:val="center"/>
              <w:rPr>
                <w:b w:val="0"/>
                <w:bCs/>
                <w:color w:val="000000"/>
                <w:szCs w:val="21"/>
                <w:u w:val="none"/>
              </w:rPr>
            </w:pPr>
            <w:r>
              <w:rPr>
                <w:b w:val="0"/>
                <w:bCs/>
                <w:color w:val="000000"/>
                <w:szCs w:val="21"/>
                <w:u w:val="none"/>
              </w:rPr>
              <w:t>出水浓度： COD：3000mg/L</w:t>
            </w:r>
          </w:p>
          <w:p>
            <w:pPr>
              <w:widowControl/>
              <w:topLinePunct/>
              <w:adjustRightInd w:val="0"/>
              <w:jc w:val="center"/>
              <w:rPr>
                <w:b w:val="0"/>
                <w:bCs/>
                <w:color w:val="000000"/>
                <w:szCs w:val="21"/>
                <w:u w:val="none"/>
                <w:vertAlign w:val="subscript"/>
              </w:rPr>
            </w:pPr>
            <w:r>
              <w:rPr>
                <w:b w:val="0"/>
                <w:bCs/>
                <w:color w:val="000000"/>
                <w:szCs w:val="21"/>
                <w:u w:val="none"/>
              </w:rPr>
              <w:t>BOD</w:t>
            </w:r>
            <w:r>
              <w:rPr>
                <w:b w:val="0"/>
                <w:bCs/>
                <w:color w:val="000000"/>
                <w:szCs w:val="21"/>
                <w:u w:val="none"/>
                <w:vertAlign w:val="subscript"/>
              </w:rPr>
              <w:t>5</w:t>
            </w:r>
            <w:r>
              <w:rPr>
                <w:b w:val="0"/>
                <w:bCs/>
                <w:color w:val="000000"/>
                <w:szCs w:val="21"/>
                <w:u w:val="none"/>
              </w:rPr>
              <w:t>：1400mg/L</w:t>
            </w:r>
          </w:p>
          <w:p>
            <w:pPr>
              <w:widowControl/>
              <w:topLinePunct/>
              <w:adjustRightInd w:val="0"/>
              <w:jc w:val="center"/>
              <w:rPr>
                <w:b w:val="0"/>
                <w:bCs/>
                <w:color w:val="000000"/>
                <w:szCs w:val="21"/>
                <w:u w:val="none"/>
              </w:rPr>
            </w:pPr>
            <w:r>
              <w:rPr>
                <w:b w:val="0"/>
                <w:bCs/>
                <w:color w:val="000000"/>
                <w:szCs w:val="21"/>
                <w:u w:val="none"/>
              </w:rPr>
              <w:t>SS：2000mg/L</w:t>
            </w:r>
          </w:p>
          <w:p>
            <w:pPr>
              <w:widowControl/>
              <w:topLinePunct/>
              <w:adjustRightInd w:val="0"/>
              <w:jc w:val="center"/>
              <w:rPr>
                <w:b w:val="0"/>
                <w:bCs/>
                <w:color w:val="000000"/>
                <w:szCs w:val="21"/>
                <w:u w:val="none"/>
              </w:rPr>
            </w:pPr>
            <w:r>
              <w:rPr>
                <w:b w:val="0"/>
                <w:bCs/>
                <w:color w:val="000000"/>
                <w:szCs w:val="21"/>
                <w:u w:val="none"/>
              </w:rPr>
              <w:t>NH</w:t>
            </w:r>
            <w:r>
              <w:rPr>
                <w:b w:val="0"/>
                <w:bCs/>
                <w:color w:val="000000"/>
                <w:szCs w:val="21"/>
                <w:u w:val="none"/>
                <w:vertAlign w:val="subscript"/>
              </w:rPr>
              <w:t>3</w:t>
            </w:r>
            <w:r>
              <w:rPr>
                <w:b w:val="0"/>
                <w:bCs/>
                <w:color w:val="000000"/>
                <w:szCs w:val="21"/>
                <w:u w:val="none"/>
              </w:rPr>
              <w:t>-N：900mg/L</w:t>
            </w:r>
          </w:p>
        </w:tc>
        <w:tc>
          <w:tcPr>
            <w:tcW w:w="1270" w:type="dxa"/>
            <w:vAlign w:val="center"/>
          </w:tcPr>
          <w:p>
            <w:pPr>
              <w:widowControl/>
              <w:topLinePunct/>
              <w:adjustRightInd w:val="0"/>
              <w:jc w:val="center"/>
              <w:rPr>
                <w:b w:val="0"/>
                <w:bCs/>
                <w:color w:val="000000"/>
                <w:szCs w:val="21"/>
                <w:u w:val="none"/>
              </w:rPr>
            </w:pPr>
            <w:r>
              <w:rPr>
                <w:b w:val="0"/>
                <w:bCs/>
                <w:color w:val="000000"/>
                <w:szCs w:val="21"/>
                <w:u w:val="none"/>
              </w:rPr>
              <w:t>污水处理设施</w:t>
            </w:r>
          </w:p>
        </w:tc>
        <w:tc>
          <w:tcPr>
            <w:tcW w:w="2132" w:type="dxa"/>
            <w:gridSpan w:val="2"/>
            <w:vAlign w:val="center"/>
          </w:tcPr>
          <w:p>
            <w:pPr>
              <w:widowControl/>
              <w:topLinePunct/>
              <w:adjustRightInd w:val="0"/>
              <w:jc w:val="center"/>
              <w:rPr>
                <w:b w:val="0"/>
                <w:bCs/>
                <w:color w:val="000000"/>
                <w:szCs w:val="21"/>
                <w:u w:val="none"/>
              </w:rPr>
            </w:pPr>
            <w:r>
              <w:rPr>
                <w:b w:val="0"/>
                <w:bCs/>
                <w:color w:val="000000"/>
                <w:szCs w:val="21"/>
                <w:u w:val="none"/>
              </w:rPr>
              <w:t>位于场区东部，包括</w:t>
            </w:r>
            <w:r>
              <w:rPr>
                <w:b w:val="0"/>
                <w:bCs/>
                <w:color w:val="000000"/>
                <w:kern w:val="0"/>
                <w:szCs w:val="21"/>
                <w:u w:val="none"/>
              </w:rPr>
              <w:t>收集池1座3</w:t>
            </w:r>
            <w:r>
              <w:rPr>
                <w:rFonts w:hint="eastAsia"/>
                <w:b w:val="0"/>
                <w:bCs/>
                <w:color w:val="000000"/>
                <w:kern w:val="0"/>
                <w:szCs w:val="21"/>
                <w:u w:val="none"/>
                <w:lang w:val="en-US" w:eastAsia="zh-CN"/>
              </w:rPr>
              <w:t>95</w:t>
            </w:r>
            <w:r>
              <w:rPr>
                <w:b w:val="0"/>
                <w:bCs/>
                <w:color w:val="000000"/>
                <w:kern w:val="0"/>
                <w:szCs w:val="21"/>
                <w:u w:val="none"/>
              </w:rPr>
              <w:t>m</w:t>
            </w:r>
            <w:r>
              <w:rPr>
                <w:b w:val="0"/>
                <w:bCs/>
                <w:color w:val="000000"/>
                <w:kern w:val="0"/>
                <w:szCs w:val="21"/>
                <w:u w:val="none"/>
                <w:vertAlign w:val="superscript"/>
              </w:rPr>
              <w:t>3</w:t>
            </w:r>
            <w:r>
              <w:rPr>
                <w:b w:val="0"/>
                <w:bCs/>
                <w:color w:val="000000"/>
                <w:kern w:val="0"/>
                <w:szCs w:val="21"/>
                <w:u w:val="none"/>
              </w:rPr>
              <w:t>，</w:t>
            </w:r>
            <w:r>
              <w:rPr>
                <w:rFonts w:hint="eastAsia"/>
                <w:b w:val="0"/>
                <w:bCs/>
                <w:color w:val="000000"/>
                <w:kern w:val="0"/>
                <w:szCs w:val="21"/>
                <w:u w:val="none"/>
                <w:lang w:eastAsia="zh-CN"/>
              </w:rPr>
              <w:t>黑膜</w:t>
            </w:r>
            <w:r>
              <w:rPr>
                <w:b w:val="0"/>
                <w:bCs/>
                <w:color w:val="000000"/>
                <w:kern w:val="0"/>
                <w:szCs w:val="21"/>
                <w:u w:val="none"/>
              </w:rPr>
              <w:t>沼气池1座</w:t>
            </w:r>
            <w:r>
              <w:rPr>
                <w:rFonts w:hint="eastAsia"/>
                <w:b w:val="0"/>
                <w:bCs/>
                <w:color w:val="000000"/>
                <w:kern w:val="0"/>
                <w:szCs w:val="21"/>
                <w:u w:val="none"/>
                <w:lang w:val="en-US" w:eastAsia="zh-CN"/>
              </w:rPr>
              <w:t>10</w:t>
            </w:r>
            <w:r>
              <w:rPr>
                <w:b w:val="0"/>
                <w:bCs/>
                <w:color w:val="000000"/>
                <w:kern w:val="0"/>
                <w:szCs w:val="21"/>
                <w:u w:val="none"/>
              </w:rPr>
              <w:t>00m</w:t>
            </w:r>
            <w:r>
              <w:rPr>
                <w:b w:val="0"/>
                <w:bCs/>
                <w:color w:val="000000"/>
                <w:kern w:val="0"/>
                <w:szCs w:val="21"/>
                <w:u w:val="none"/>
                <w:vertAlign w:val="superscript"/>
              </w:rPr>
              <w:t>3</w:t>
            </w:r>
            <w:r>
              <w:rPr>
                <w:b w:val="0"/>
                <w:bCs/>
                <w:color w:val="000000"/>
                <w:kern w:val="0"/>
                <w:szCs w:val="21"/>
                <w:u w:val="none"/>
              </w:rPr>
              <w:t>。沼液储存池1个，总容积</w:t>
            </w:r>
            <w:r>
              <w:rPr>
                <w:rFonts w:hint="eastAsia"/>
                <w:b w:val="0"/>
                <w:bCs/>
                <w:szCs w:val="21"/>
                <w:u w:val="none"/>
                <w:lang w:val="en-US" w:eastAsia="zh-CN"/>
              </w:rPr>
              <w:t>5000</w:t>
            </w:r>
            <w:r>
              <w:rPr>
                <w:b w:val="0"/>
                <w:bCs/>
                <w:color w:val="000000"/>
                <w:kern w:val="0"/>
                <w:szCs w:val="21"/>
                <w:u w:val="none"/>
              </w:rPr>
              <w:t>m</w:t>
            </w:r>
            <w:r>
              <w:rPr>
                <w:b w:val="0"/>
                <w:bCs/>
                <w:color w:val="000000"/>
                <w:kern w:val="0"/>
                <w:szCs w:val="21"/>
                <w:u w:val="none"/>
                <w:vertAlign w:val="superscript"/>
              </w:rPr>
              <w:t>3</w:t>
            </w:r>
            <w:r>
              <w:rPr>
                <w:b w:val="0"/>
                <w:bCs/>
                <w:color w:val="000000"/>
                <w:szCs w:val="21"/>
                <w:u w:val="none"/>
              </w:rPr>
              <w:t>；</w:t>
            </w:r>
          </w:p>
        </w:tc>
        <w:tc>
          <w:tcPr>
            <w:tcW w:w="3196" w:type="dxa"/>
            <w:vMerge w:val="restart"/>
            <w:vAlign w:val="center"/>
          </w:tcPr>
          <w:p>
            <w:pPr>
              <w:widowControl/>
              <w:topLinePunct/>
              <w:adjustRightInd w:val="0"/>
              <w:jc w:val="center"/>
              <w:rPr>
                <w:b w:val="0"/>
                <w:bCs/>
                <w:color w:val="000000"/>
                <w:szCs w:val="21"/>
                <w:u w:val="none"/>
              </w:rPr>
            </w:pPr>
            <w:r>
              <w:rPr>
                <w:b w:val="0"/>
                <w:bCs/>
                <w:color w:val="000000"/>
                <w:szCs w:val="21"/>
                <w:u w:val="none"/>
              </w:rPr>
              <w:t>废水中主要污染物去除效率为COD80%、BOD</w:t>
            </w:r>
            <w:r>
              <w:rPr>
                <w:b w:val="0"/>
                <w:bCs/>
                <w:color w:val="000000"/>
                <w:szCs w:val="21"/>
                <w:u w:val="none"/>
                <w:vertAlign w:val="subscript"/>
              </w:rPr>
              <w:t>5</w:t>
            </w:r>
            <w:r>
              <w:rPr>
                <w:b w:val="0"/>
                <w:bCs/>
                <w:color w:val="000000"/>
                <w:szCs w:val="21"/>
                <w:u w:val="none"/>
              </w:rPr>
              <w:t>82.5%、SS 87.5%、氨氮25%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Merge w:val="continue"/>
            <w:vAlign w:val="center"/>
          </w:tcPr>
          <w:p>
            <w:pPr>
              <w:topLinePunct/>
              <w:jc w:val="center"/>
              <w:rPr>
                <w:b w:val="0"/>
                <w:bCs/>
                <w:color w:val="000000"/>
                <w:szCs w:val="21"/>
                <w:u w:val="none"/>
              </w:rPr>
            </w:pPr>
          </w:p>
        </w:tc>
        <w:tc>
          <w:tcPr>
            <w:tcW w:w="992" w:type="dxa"/>
            <w:vMerge w:val="continue"/>
            <w:vAlign w:val="center"/>
          </w:tcPr>
          <w:p>
            <w:pPr>
              <w:topLinePunct/>
              <w:jc w:val="center"/>
              <w:rPr>
                <w:b w:val="0"/>
                <w:bCs/>
                <w:color w:val="000000"/>
                <w:szCs w:val="21"/>
                <w:u w:val="none"/>
              </w:rPr>
            </w:pPr>
          </w:p>
        </w:tc>
        <w:tc>
          <w:tcPr>
            <w:tcW w:w="1276" w:type="dxa"/>
            <w:gridSpan w:val="2"/>
            <w:vMerge w:val="continue"/>
            <w:vAlign w:val="center"/>
          </w:tcPr>
          <w:p>
            <w:pPr>
              <w:topLinePunct/>
              <w:jc w:val="center"/>
              <w:rPr>
                <w:b w:val="0"/>
                <w:bCs/>
                <w:color w:val="000000"/>
                <w:szCs w:val="21"/>
                <w:u w:val="none"/>
              </w:rPr>
            </w:pPr>
          </w:p>
        </w:tc>
        <w:tc>
          <w:tcPr>
            <w:tcW w:w="1701" w:type="dxa"/>
            <w:vMerge w:val="continue"/>
            <w:vAlign w:val="center"/>
          </w:tcPr>
          <w:p>
            <w:pPr>
              <w:topLinePunct/>
              <w:jc w:val="center"/>
              <w:rPr>
                <w:b w:val="0"/>
                <w:bCs/>
                <w:color w:val="000000"/>
                <w:szCs w:val="21"/>
                <w:u w:val="none"/>
              </w:rPr>
            </w:pPr>
          </w:p>
        </w:tc>
        <w:tc>
          <w:tcPr>
            <w:tcW w:w="1418" w:type="dxa"/>
            <w:vMerge w:val="continue"/>
            <w:vAlign w:val="center"/>
          </w:tcPr>
          <w:p>
            <w:pPr>
              <w:topLinePunct/>
              <w:jc w:val="center"/>
              <w:rPr>
                <w:b w:val="0"/>
                <w:bCs/>
                <w:color w:val="000000"/>
                <w:szCs w:val="21"/>
                <w:u w:val="none"/>
              </w:rPr>
            </w:pPr>
          </w:p>
        </w:tc>
        <w:tc>
          <w:tcPr>
            <w:tcW w:w="1270" w:type="dxa"/>
            <w:vAlign w:val="center"/>
          </w:tcPr>
          <w:p>
            <w:pPr>
              <w:topLinePunct/>
              <w:jc w:val="center"/>
              <w:rPr>
                <w:b w:val="0"/>
                <w:bCs/>
                <w:color w:val="000000"/>
                <w:szCs w:val="21"/>
                <w:u w:val="none"/>
              </w:rPr>
            </w:pPr>
            <w:r>
              <w:rPr>
                <w:b w:val="0"/>
                <w:bCs/>
                <w:color w:val="000000"/>
                <w:szCs w:val="21"/>
                <w:u w:val="none"/>
              </w:rPr>
              <w:t>施肥</w:t>
            </w:r>
          </w:p>
          <w:p>
            <w:pPr>
              <w:topLinePunct/>
              <w:jc w:val="center"/>
              <w:rPr>
                <w:b w:val="0"/>
                <w:bCs/>
                <w:color w:val="000000"/>
                <w:szCs w:val="21"/>
                <w:u w:val="none"/>
              </w:rPr>
            </w:pPr>
            <w:r>
              <w:rPr>
                <w:b w:val="0"/>
                <w:bCs/>
                <w:color w:val="000000"/>
                <w:szCs w:val="21"/>
                <w:u w:val="none"/>
              </w:rPr>
              <w:t>系统</w:t>
            </w:r>
          </w:p>
        </w:tc>
        <w:tc>
          <w:tcPr>
            <w:tcW w:w="2132" w:type="dxa"/>
            <w:gridSpan w:val="2"/>
            <w:vAlign w:val="center"/>
          </w:tcPr>
          <w:p>
            <w:pPr>
              <w:topLinePunct/>
              <w:jc w:val="center"/>
              <w:rPr>
                <w:b w:val="0"/>
                <w:bCs/>
                <w:color w:val="000000"/>
                <w:szCs w:val="21"/>
                <w:u w:val="none"/>
              </w:rPr>
            </w:pPr>
            <w:r>
              <w:rPr>
                <w:b w:val="0"/>
                <w:bCs/>
                <w:color w:val="000000"/>
                <w:szCs w:val="21"/>
                <w:u w:val="none"/>
              </w:rPr>
              <w:t>全场沼液输送主管网。并在配套农田西侧和东侧方位各设置1口地下水观测井</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val="0"/>
                <w:bCs/>
                <w:color w:val="000000"/>
                <w:szCs w:val="21"/>
                <w:u w:val="none"/>
              </w:rPr>
            </w:pPr>
            <w:r>
              <w:rPr>
                <w:b w:val="0"/>
                <w:bCs/>
                <w:color w:val="000000"/>
                <w:szCs w:val="21"/>
                <w:u w:val="none"/>
              </w:rPr>
              <w:t>废气</w:t>
            </w:r>
          </w:p>
        </w:tc>
        <w:tc>
          <w:tcPr>
            <w:tcW w:w="958" w:type="dxa"/>
            <w:gridSpan w:val="2"/>
            <w:vAlign w:val="center"/>
          </w:tcPr>
          <w:p>
            <w:pPr>
              <w:topLinePunct/>
              <w:jc w:val="center"/>
              <w:rPr>
                <w:b w:val="0"/>
                <w:bCs/>
                <w:color w:val="000000"/>
                <w:szCs w:val="21"/>
                <w:u w:val="none"/>
              </w:rPr>
            </w:pPr>
            <w:r>
              <w:rPr>
                <w:b w:val="0"/>
                <w:bCs/>
                <w:color w:val="000000"/>
                <w:szCs w:val="21"/>
                <w:u w:val="none"/>
              </w:rPr>
              <w:t>猪舍</w:t>
            </w:r>
          </w:p>
        </w:tc>
        <w:tc>
          <w:tcPr>
            <w:tcW w:w="2268" w:type="dxa"/>
            <w:gridSpan w:val="3"/>
            <w:vMerge w:val="restart"/>
            <w:vAlign w:val="center"/>
          </w:tcPr>
          <w:p>
            <w:pPr>
              <w:topLinePunct/>
              <w:jc w:val="center"/>
              <w:rPr>
                <w:b w:val="0"/>
                <w:bCs/>
                <w:color w:val="000000"/>
                <w:szCs w:val="21"/>
                <w:u w:val="none"/>
              </w:rPr>
            </w:pPr>
            <w:r>
              <w:rPr>
                <w:b w:val="0"/>
                <w:bCs/>
                <w:color w:val="000000"/>
                <w:szCs w:val="21"/>
                <w:u w:val="none"/>
              </w:rPr>
              <w:t>NH</w:t>
            </w:r>
            <w:r>
              <w:rPr>
                <w:b w:val="0"/>
                <w:bCs/>
                <w:color w:val="000000"/>
                <w:szCs w:val="21"/>
                <w:u w:val="none"/>
                <w:vertAlign w:val="subscript"/>
              </w:rPr>
              <w:t>3</w:t>
            </w:r>
            <w:r>
              <w:rPr>
                <w:b w:val="0"/>
                <w:bCs/>
                <w:color w:val="000000"/>
                <w:szCs w:val="21"/>
                <w:u w:val="none"/>
              </w:rPr>
              <w:t>:</w:t>
            </w:r>
            <w:r>
              <w:rPr>
                <w:rFonts w:hint="eastAsia"/>
                <w:b w:val="0"/>
                <w:bCs/>
                <w:color w:val="000000"/>
                <w:szCs w:val="21"/>
                <w:u w:val="none"/>
                <w:lang w:val="en-US" w:eastAsia="zh-CN"/>
              </w:rPr>
              <w:t>1.0523</w:t>
            </w:r>
            <w:r>
              <w:rPr>
                <w:b w:val="0"/>
                <w:bCs/>
                <w:color w:val="000000"/>
                <w:szCs w:val="21"/>
                <w:u w:val="none"/>
              </w:rPr>
              <w:t>t/a</w:t>
            </w:r>
          </w:p>
          <w:p>
            <w:pPr>
              <w:topLinePunct/>
              <w:jc w:val="center"/>
              <w:rPr>
                <w:b w:val="0"/>
                <w:bCs/>
                <w:color w:val="000000"/>
                <w:szCs w:val="21"/>
                <w:u w:val="none"/>
              </w:rPr>
            </w:pPr>
            <w:r>
              <w:rPr>
                <w:b w:val="0"/>
                <w:bCs/>
                <w:color w:val="000000"/>
                <w:szCs w:val="21"/>
                <w:u w:val="none"/>
              </w:rPr>
              <w:t>H</w:t>
            </w:r>
            <w:r>
              <w:rPr>
                <w:b w:val="0"/>
                <w:bCs/>
                <w:color w:val="000000"/>
                <w:szCs w:val="21"/>
                <w:u w:val="none"/>
                <w:vertAlign w:val="subscript"/>
              </w:rPr>
              <w:t>2</w:t>
            </w:r>
            <w:r>
              <w:rPr>
                <w:b w:val="0"/>
                <w:bCs/>
                <w:color w:val="000000"/>
                <w:szCs w:val="21"/>
                <w:u w:val="none"/>
              </w:rPr>
              <w:t>S :</w:t>
            </w:r>
            <w:r>
              <w:rPr>
                <w:b w:val="0"/>
                <w:bCs/>
                <w:snapToGrid w:val="0"/>
                <w:spacing w:val="-4"/>
                <w:szCs w:val="21"/>
                <w:u w:val="none"/>
              </w:rPr>
              <w:t>0.</w:t>
            </w:r>
            <w:r>
              <w:rPr>
                <w:rFonts w:hint="eastAsia"/>
                <w:b w:val="0"/>
                <w:bCs/>
                <w:snapToGrid w:val="0"/>
                <w:spacing w:val="-4"/>
                <w:szCs w:val="21"/>
                <w:u w:val="none"/>
                <w:lang w:val="en-US" w:eastAsia="zh-CN"/>
              </w:rPr>
              <w:t>0672</w:t>
            </w:r>
            <w:r>
              <w:rPr>
                <w:b w:val="0"/>
                <w:bCs/>
                <w:color w:val="000000"/>
                <w:szCs w:val="21"/>
                <w:u w:val="none"/>
              </w:rPr>
              <w:t>t/a</w:t>
            </w:r>
          </w:p>
        </w:tc>
        <w:tc>
          <w:tcPr>
            <w:tcW w:w="1701" w:type="dxa"/>
            <w:vAlign w:val="center"/>
          </w:tcPr>
          <w:p>
            <w:pPr>
              <w:topLinePunct/>
              <w:jc w:val="center"/>
              <w:rPr>
                <w:b w:val="0"/>
                <w:bCs/>
                <w:color w:val="000000"/>
                <w:szCs w:val="21"/>
                <w:u w:val="none"/>
              </w:rPr>
            </w:pPr>
            <w:r>
              <w:rPr>
                <w:b w:val="0"/>
                <w:bCs/>
                <w:color w:val="000000"/>
                <w:szCs w:val="21"/>
                <w:u w:val="none"/>
              </w:rPr>
              <w:t>定期冲圈，喷洒除臭剂</w:t>
            </w:r>
          </w:p>
        </w:tc>
        <w:tc>
          <w:tcPr>
            <w:tcW w:w="1418" w:type="dxa"/>
            <w:vMerge w:val="restart"/>
            <w:vAlign w:val="center"/>
          </w:tcPr>
          <w:p>
            <w:pPr>
              <w:topLinePunct/>
              <w:jc w:val="center"/>
              <w:rPr>
                <w:b w:val="0"/>
                <w:bCs/>
                <w:color w:val="000000"/>
                <w:szCs w:val="21"/>
                <w:u w:val="none"/>
              </w:rPr>
            </w:pPr>
            <w:r>
              <w:rPr>
                <w:b w:val="0"/>
                <w:bCs/>
                <w:color w:val="000000"/>
                <w:szCs w:val="21"/>
                <w:u w:val="none"/>
              </w:rPr>
              <w:t>NH</w:t>
            </w:r>
            <w:r>
              <w:rPr>
                <w:b w:val="0"/>
                <w:bCs/>
                <w:color w:val="000000"/>
                <w:szCs w:val="21"/>
                <w:u w:val="none"/>
                <w:vertAlign w:val="subscript"/>
              </w:rPr>
              <w:t>3</w:t>
            </w:r>
            <w:r>
              <w:rPr>
                <w:b w:val="0"/>
                <w:bCs/>
                <w:color w:val="000000"/>
                <w:szCs w:val="21"/>
                <w:u w:val="none"/>
              </w:rPr>
              <w:t>:</w:t>
            </w:r>
            <w:r>
              <w:rPr>
                <w:rFonts w:hint="eastAsia"/>
                <w:b w:val="0"/>
                <w:bCs/>
                <w:snapToGrid w:val="0"/>
                <w:spacing w:val="-4"/>
                <w:szCs w:val="21"/>
                <w:u w:val="none"/>
                <w:lang w:val="en-US" w:eastAsia="zh-CN"/>
              </w:rPr>
              <w:t>0.3156</w:t>
            </w:r>
            <w:r>
              <w:rPr>
                <w:b w:val="0"/>
                <w:bCs/>
                <w:color w:val="000000"/>
                <w:szCs w:val="21"/>
                <w:u w:val="none"/>
              </w:rPr>
              <w:t>t/a</w:t>
            </w:r>
          </w:p>
          <w:p>
            <w:pPr>
              <w:topLinePunct/>
              <w:jc w:val="center"/>
              <w:rPr>
                <w:b w:val="0"/>
                <w:bCs/>
                <w:color w:val="000000"/>
                <w:szCs w:val="21"/>
                <w:u w:val="none"/>
              </w:rPr>
            </w:pPr>
            <w:r>
              <w:rPr>
                <w:b w:val="0"/>
                <w:bCs/>
                <w:color w:val="000000"/>
                <w:szCs w:val="21"/>
                <w:u w:val="none"/>
              </w:rPr>
              <w:t>H</w:t>
            </w:r>
            <w:r>
              <w:rPr>
                <w:b w:val="0"/>
                <w:bCs/>
                <w:color w:val="000000"/>
                <w:szCs w:val="21"/>
                <w:u w:val="none"/>
                <w:vertAlign w:val="subscript"/>
              </w:rPr>
              <w:t>2</w:t>
            </w:r>
            <w:r>
              <w:rPr>
                <w:b w:val="0"/>
                <w:bCs/>
                <w:color w:val="000000"/>
                <w:szCs w:val="21"/>
                <w:u w:val="none"/>
              </w:rPr>
              <w:t>S :0.</w:t>
            </w:r>
            <w:r>
              <w:rPr>
                <w:rFonts w:hint="eastAsia"/>
                <w:b w:val="0"/>
                <w:bCs/>
                <w:color w:val="000000"/>
                <w:szCs w:val="21"/>
                <w:u w:val="none"/>
                <w:lang w:val="en-US" w:eastAsia="zh-CN"/>
              </w:rPr>
              <w:t>0202</w:t>
            </w:r>
            <w:r>
              <w:rPr>
                <w:b w:val="0"/>
                <w:bCs/>
                <w:color w:val="000000"/>
                <w:szCs w:val="21"/>
                <w:u w:val="none"/>
              </w:rPr>
              <w:t>t/a</w:t>
            </w:r>
          </w:p>
        </w:tc>
        <w:tc>
          <w:tcPr>
            <w:tcW w:w="1270" w:type="dxa"/>
            <w:vAlign w:val="center"/>
          </w:tcPr>
          <w:p>
            <w:pPr>
              <w:tabs>
                <w:tab w:val="right" w:leader="dot" w:pos="8647"/>
              </w:tabs>
              <w:topLinePunct/>
              <w:jc w:val="center"/>
              <w:rPr>
                <w:b w:val="0"/>
                <w:bCs/>
                <w:color w:val="000000"/>
                <w:szCs w:val="21"/>
                <w:u w:val="none"/>
              </w:rPr>
            </w:pPr>
            <w:r>
              <w:rPr>
                <w:b w:val="0"/>
                <w:bCs/>
                <w:color w:val="000000"/>
                <w:szCs w:val="21"/>
                <w:u w:val="none"/>
              </w:rPr>
              <w:t>定期冲圈，喷洒除臭剂，除臭效率70%</w:t>
            </w:r>
          </w:p>
        </w:tc>
        <w:tc>
          <w:tcPr>
            <w:tcW w:w="479" w:type="dxa"/>
            <w:vMerge w:val="restart"/>
            <w:vAlign w:val="center"/>
          </w:tcPr>
          <w:p>
            <w:pPr>
              <w:tabs>
                <w:tab w:val="right" w:leader="dot" w:pos="8647"/>
              </w:tabs>
              <w:topLinePunct/>
              <w:jc w:val="center"/>
              <w:rPr>
                <w:b w:val="0"/>
                <w:bCs/>
                <w:color w:val="000000"/>
                <w:szCs w:val="21"/>
                <w:u w:val="none"/>
              </w:rPr>
            </w:pPr>
            <w:r>
              <w:rPr>
                <w:b w:val="0"/>
                <w:bCs/>
                <w:color w:val="000000"/>
                <w:szCs w:val="21"/>
                <w:u w:val="none"/>
              </w:rPr>
              <w:t>喷</w:t>
            </w:r>
          </w:p>
          <w:p>
            <w:pPr>
              <w:tabs>
                <w:tab w:val="right" w:leader="dot" w:pos="8647"/>
              </w:tabs>
              <w:topLinePunct/>
              <w:jc w:val="center"/>
              <w:rPr>
                <w:b w:val="0"/>
                <w:bCs/>
                <w:color w:val="000000"/>
                <w:szCs w:val="21"/>
                <w:u w:val="none"/>
              </w:rPr>
            </w:pPr>
            <w:r>
              <w:rPr>
                <w:b w:val="0"/>
                <w:bCs/>
                <w:color w:val="000000"/>
                <w:szCs w:val="21"/>
                <w:u w:val="none"/>
              </w:rPr>
              <w:t>雾</w:t>
            </w:r>
          </w:p>
          <w:p>
            <w:pPr>
              <w:tabs>
                <w:tab w:val="right" w:leader="dot" w:pos="8647"/>
              </w:tabs>
              <w:topLinePunct/>
              <w:jc w:val="center"/>
              <w:rPr>
                <w:b w:val="0"/>
                <w:bCs/>
                <w:color w:val="000000"/>
                <w:szCs w:val="21"/>
                <w:u w:val="none"/>
              </w:rPr>
            </w:pPr>
            <w:r>
              <w:rPr>
                <w:b w:val="0"/>
                <w:bCs/>
                <w:color w:val="000000"/>
                <w:szCs w:val="21"/>
                <w:u w:val="none"/>
              </w:rPr>
              <w:t>器</w:t>
            </w:r>
          </w:p>
          <w:p>
            <w:pPr>
              <w:tabs>
                <w:tab w:val="right" w:leader="dot" w:pos="8647"/>
              </w:tabs>
              <w:topLinePunct/>
              <w:jc w:val="center"/>
              <w:rPr>
                <w:b w:val="0"/>
                <w:bCs/>
                <w:color w:val="000000"/>
                <w:szCs w:val="21"/>
                <w:u w:val="none"/>
              </w:rPr>
            </w:pPr>
            <w:r>
              <w:rPr>
                <w:b w:val="0"/>
                <w:bCs/>
                <w:color w:val="000000"/>
                <w:szCs w:val="21"/>
                <w:u w:val="none"/>
              </w:rPr>
              <w:t>4</w:t>
            </w:r>
          </w:p>
          <w:p>
            <w:pPr>
              <w:tabs>
                <w:tab w:val="right" w:leader="dot" w:pos="8647"/>
              </w:tabs>
              <w:topLinePunct/>
              <w:jc w:val="center"/>
              <w:rPr>
                <w:b w:val="0"/>
                <w:bCs/>
                <w:color w:val="000000"/>
                <w:szCs w:val="21"/>
                <w:u w:val="none"/>
              </w:rPr>
            </w:pPr>
            <w:r>
              <w:rPr>
                <w:b w:val="0"/>
                <w:bCs/>
                <w:color w:val="000000"/>
                <w:szCs w:val="21"/>
                <w:u w:val="none"/>
              </w:rPr>
              <w:t>个</w:t>
            </w:r>
          </w:p>
        </w:tc>
        <w:tc>
          <w:tcPr>
            <w:tcW w:w="1653" w:type="dxa"/>
            <w:vMerge w:val="restart"/>
            <w:vAlign w:val="center"/>
          </w:tcPr>
          <w:p>
            <w:pPr>
              <w:tabs>
                <w:tab w:val="right" w:leader="dot" w:pos="8647"/>
              </w:tabs>
              <w:topLinePunct/>
              <w:jc w:val="center"/>
              <w:rPr>
                <w:b w:val="0"/>
                <w:bCs/>
                <w:color w:val="000000"/>
                <w:szCs w:val="21"/>
                <w:u w:val="none"/>
              </w:rPr>
            </w:pPr>
            <w:r>
              <w:rPr>
                <w:b w:val="0"/>
                <w:bCs/>
                <w:color w:val="000000"/>
                <w:szCs w:val="21"/>
                <w:u w:val="none"/>
              </w:rPr>
              <w:t>除臭剂由人工喷洒，除臭剂的喷洒频率为：前期连续喷洒3天，以后每隔5天喷洒一次</w:t>
            </w:r>
          </w:p>
        </w:tc>
        <w:tc>
          <w:tcPr>
            <w:tcW w:w="3196" w:type="dxa"/>
            <w:vMerge w:val="restart"/>
            <w:vAlign w:val="center"/>
          </w:tcPr>
          <w:p>
            <w:pPr>
              <w:topLinePunct/>
              <w:jc w:val="center"/>
              <w:rPr>
                <w:b w:val="0"/>
                <w:bCs/>
                <w:color w:val="000000"/>
                <w:szCs w:val="21"/>
                <w:u w:val="none"/>
              </w:rPr>
            </w:pPr>
            <w:r>
              <w:rPr>
                <w:b w:val="0"/>
                <w:bCs/>
                <w:color w:val="000000"/>
                <w:szCs w:val="21"/>
                <w:u w:val="none"/>
              </w:rPr>
              <w:t>《恶臭污染物排放标准》（GB14554-93）表1厂界标准值中二级标准要求（无组织）：NH</w:t>
            </w:r>
            <w:r>
              <w:rPr>
                <w:b w:val="0"/>
                <w:bCs/>
                <w:color w:val="000000"/>
                <w:szCs w:val="21"/>
                <w:u w:val="none"/>
                <w:vertAlign w:val="subscript"/>
              </w:rPr>
              <w:t>3</w:t>
            </w:r>
            <w:r>
              <w:rPr>
                <w:b w:val="0"/>
                <w:bCs/>
                <w:color w:val="000000"/>
                <w:szCs w:val="21"/>
                <w:u w:val="none"/>
              </w:rPr>
              <w:t>≤1.5 mg/m</w:t>
            </w:r>
            <w:r>
              <w:rPr>
                <w:b w:val="0"/>
                <w:bCs/>
                <w:color w:val="000000"/>
                <w:szCs w:val="21"/>
                <w:u w:val="none"/>
                <w:vertAlign w:val="superscript"/>
              </w:rPr>
              <w:t>3</w:t>
            </w:r>
            <w:r>
              <w:rPr>
                <w:b w:val="0"/>
                <w:bCs/>
                <w:color w:val="000000"/>
                <w:szCs w:val="21"/>
                <w:u w:val="none"/>
              </w:rPr>
              <w:t>、</w:t>
            </w:r>
          </w:p>
          <w:p>
            <w:pPr>
              <w:topLinePunct/>
              <w:jc w:val="center"/>
              <w:rPr>
                <w:b w:val="0"/>
                <w:bCs/>
                <w:color w:val="000000"/>
                <w:szCs w:val="21"/>
                <w:u w:val="none"/>
              </w:rPr>
            </w:pPr>
            <w:r>
              <w:rPr>
                <w:b w:val="0"/>
                <w:bCs/>
                <w:color w:val="000000"/>
                <w:szCs w:val="21"/>
                <w:u w:val="none"/>
              </w:rPr>
              <w:t>H</w:t>
            </w:r>
            <w:r>
              <w:rPr>
                <w:b w:val="0"/>
                <w:bCs/>
                <w:color w:val="000000"/>
                <w:szCs w:val="21"/>
                <w:u w:val="none"/>
                <w:vertAlign w:val="subscript"/>
              </w:rPr>
              <w:t>2</w:t>
            </w:r>
            <w:r>
              <w:rPr>
                <w:b w:val="0"/>
                <w:bCs/>
                <w:color w:val="000000"/>
                <w:szCs w:val="21"/>
                <w:u w:val="none"/>
              </w:rPr>
              <w:t>S≤0.06 mg/m</w:t>
            </w:r>
            <w:r>
              <w:rPr>
                <w:b w:val="0"/>
                <w:bCs/>
                <w:color w:val="000000"/>
                <w:szCs w:val="21"/>
                <w:u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污水处理系统</w:t>
            </w:r>
          </w:p>
        </w:tc>
        <w:tc>
          <w:tcPr>
            <w:tcW w:w="2268" w:type="dxa"/>
            <w:gridSpan w:val="3"/>
            <w:vMerge w:val="continue"/>
            <w:vAlign w:val="center"/>
          </w:tcPr>
          <w:p>
            <w:pPr>
              <w:topLinePunct/>
              <w:jc w:val="center"/>
              <w:rPr>
                <w:b w:val="0"/>
                <w:bCs/>
                <w:color w:val="000000"/>
                <w:szCs w:val="21"/>
                <w:u w:val="none"/>
              </w:rPr>
            </w:pPr>
          </w:p>
        </w:tc>
        <w:tc>
          <w:tcPr>
            <w:tcW w:w="1701" w:type="dxa"/>
            <w:vAlign w:val="center"/>
          </w:tcPr>
          <w:p>
            <w:pPr>
              <w:topLinePunct/>
              <w:jc w:val="center"/>
              <w:rPr>
                <w:b w:val="0"/>
                <w:bCs/>
                <w:color w:val="000000"/>
                <w:szCs w:val="21"/>
                <w:u w:val="none"/>
              </w:rPr>
            </w:pPr>
            <w:r>
              <w:rPr>
                <w:b w:val="0"/>
                <w:bCs/>
                <w:color w:val="000000"/>
                <w:szCs w:val="21"/>
                <w:u w:val="none"/>
              </w:rPr>
              <w:t>喷洒除臭剂</w:t>
            </w:r>
          </w:p>
        </w:tc>
        <w:tc>
          <w:tcPr>
            <w:tcW w:w="1418" w:type="dxa"/>
            <w:vMerge w:val="continue"/>
            <w:vAlign w:val="center"/>
          </w:tcPr>
          <w:p>
            <w:pPr>
              <w:topLinePunct/>
              <w:jc w:val="center"/>
              <w:rPr>
                <w:b w:val="0"/>
                <w:bCs/>
                <w:color w:val="000000"/>
                <w:szCs w:val="21"/>
                <w:u w:val="none"/>
              </w:rPr>
            </w:pPr>
          </w:p>
        </w:tc>
        <w:tc>
          <w:tcPr>
            <w:tcW w:w="1270" w:type="dxa"/>
            <w:vAlign w:val="center"/>
          </w:tcPr>
          <w:p>
            <w:pPr>
              <w:tabs>
                <w:tab w:val="right" w:leader="dot" w:pos="8647"/>
              </w:tabs>
              <w:topLinePunct/>
              <w:adjustRightInd w:val="0"/>
              <w:snapToGrid w:val="0"/>
              <w:ind w:firstLine="105" w:firstLineChars="50"/>
              <w:jc w:val="center"/>
              <w:rPr>
                <w:b w:val="0"/>
                <w:bCs/>
                <w:color w:val="000000"/>
                <w:szCs w:val="21"/>
                <w:u w:val="none"/>
              </w:rPr>
            </w:pPr>
            <w:r>
              <w:rPr>
                <w:b w:val="0"/>
                <w:bCs/>
                <w:color w:val="000000"/>
                <w:szCs w:val="21"/>
                <w:u w:val="none"/>
              </w:rPr>
              <w:t>喷洒除臭剂，除臭效率70%</w:t>
            </w:r>
          </w:p>
        </w:tc>
        <w:tc>
          <w:tcPr>
            <w:tcW w:w="479" w:type="dxa"/>
            <w:vMerge w:val="continue"/>
            <w:vAlign w:val="center"/>
          </w:tcPr>
          <w:p>
            <w:pPr>
              <w:tabs>
                <w:tab w:val="right" w:leader="dot" w:pos="8647"/>
              </w:tabs>
              <w:topLinePunct/>
              <w:adjustRightInd w:val="0"/>
              <w:snapToGrid w:val="0"/>
              <w:ind w:firstLine="105" w:firstLineChars="50"/>
              <w:jc w:val="center"/>
              <w:rPr>
                <w:b w:val="0"/>
                <w:bCs/>
                <w:color w:val="000000"/>
                <w:szCs w:val="21"/>
                <w:u w:val="none"/>
              </w:rPr>
            </w:pPr>
          </w:p>
        </w:tc>
        <w:tc>
          <w:tcPr>
            <w:tcW w:w="1653" w:type="dxa"/>
            <w:vMerge w:val="continue"/>
            <w:vAlign w:val="center"/>
          </w:tcPr>
          <w:p>
            <w:pPr>
              <w:tabs>
                <w:tab w:val="right" w:leader="dot" w:pos="8647"/>
              </w:tabs>
              <w:topLinePunct/>
              <w:adjustRightInd w:val="0"/>
              <w:snapToGrid w:val="0"/>
              <w:ind w:firstLine="105" w:firstLineChars="50"/>
              <w:jc w:val="center"/>
              <w:rPr>
                <w:b w:val="0"/>
                <w:bCs/>
                <w:color w:val="000000"/>
                <w:szCs w:val="21"/>
                <w:u w:val="none"/>
              </w:rPr>
            </w:pP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固粪处置区</w:t>
            </w:r>
          </w:p>
        </w:tc>
        <w:tc>
          <w:tcPr>
            <w:tcW w:w="2268" w:type="dxa"/>
            <w:gridSpan w:val="3"/>
            <w:vMerge w:val="continue"/>
            <w:vAlign w:val="center"/>
          </w:tcPr>
          <w:p>
            <w:pPr>
              <w:topLinePunct/>
              <w:jc w:val="center"/>
              <w:rPr>
                <w:b w:val="0"/>
                <w:bCs/>
                <w:color w:val="000000"/>
                <w:szCs w:val="21"/>
                <w:u w:val="none"/>
              </w:rPr>
            </w:pPr>
          </w:p>
        </w:tc>
        <w:tc>
          <w:tcPr>
            <w:tcW w:w="1701" w:type="dxa"/>
            <w:vAlign w:val="center"/>
          </w:tcPr>
          <w:p>
            <w:pPr>
              <w:topLinePunct/>
              <w:jc w:val="center"/>
              <w:rPr>
                <w:b w:val="0"/>
                <w:bCs/>
                <w:color w:val="000000"/>
                <w:szCs w:val="21"/>
                <w:u w:val="none"/>
              </w:rPr>
            </w:pPr>
            <w:r>
              <w:rPr>
                <w:b w:val="0"/>
                <w:bCs/>
                <w:color w:val="000000"/>
                <w:szCs w:val="21"/>
                <w:u w:val="none"/>
              </w:rPr>
              <w:t>设置顶棚，三周设置围挡，铲车翻堆机1台，喷洒除臭剂</w:t>
            </w:r>
          </w:p>
        </w:tc>
        <w:tc>
          <w:tcPr>
            <w:tcW w:w="1418" w:type="dxa"/>
            <w:vMerge w:val="continue"/>
            <w:vAlign w:val="center"/>
          </w:tcPr>
          <w:p>
            <w:pPr>
              <w:topLinePunct/>
              <w:jc w:val="center"/>
              <w:rPr>
                <w:b w:val="0"/>
                <w:bCs/>
                <w:color w:val="000000"/>
                <w:szCs w:val="21"/>
                <w:u w:val="none"/>
              </w:rPr>
            </w:pPr>
          </w:p>
        </w:tc>
        <w:tc>
          <w:tcPr>
            <w:tcW w:w="1270" w:type="dxa"/>
            <w:vAlign w:val="center"/>
          </w:tcPr>
          <w:p>
            <w:pPr>
              <w:tabs>
                <w:tab w:val="right" w:leader="dot" w:pos="8647"/>
              </w:tabs>
              <w:topLinePunct/>
              <w:adjustRightInd w:val="0"/>
              <w:snapToGrid w:val="0"/>
              <w:ind w:firstLine="105" w:firstLineChars="50"/>
              <w:jc w:val="center"/>
              <w:rPr>
                <w:b w:val="0"/>
                <w:bCs/>
                <w:color w:val="000000"/>
                <w:szCs w:val="21"/>
                <w:u w:val="none"/>
              </w:rPr>
            </w:pPr>
            <w:r>
              <w:rPr>
                <w:b w:val="0"/>
                <w:bCs/>
                <w:color w:val="000000"/>
                <w:szCs w:val="21"/>
                <w:u w:val="none"/>
              </w:rPr>
              <w:t>设置顶棚，三周设置围挡，铲车翻堆机1台，喷洒除臭剂，除臭效率70%</w:t>
            </w:r>
          </w:p>
        </w:tc>
        <w:tc>
          <w:tcPr>
            <w:tcW w:w="479" w:type="dxa"/>
            <w:vMerge w:val="continue"/>
            <w:vAlign w:val="center"/>
          </w:tcPr>
          <w:p>
            <w:pPr>
              <w:tabs>
                <w:tab w:val="right" w:leader="dot" w:pos="8647"/>
              </w:tabs>
              <w:topLinePunct/>
              <w:adjustRightInd w:val="0"/>
              <w:snapToGrid w:val="0"/>
              <w:ind w:firstLine="105" w:firstLineChars="50"/>
              <w:jc w:val="center"/>
              <w:rPr>
                <w:b w:val="0"/>
                <w:bCs/>
                <w:color w:val="000000"/>
                <w:szCs w:val="21"/>
                <w:u w:val="none"/>
              </w:rPr>
            </w:pPr>
          </w:p>
        </w:tc>
        <w:tc>
          <w:tcPr>
            <w:tcW w:w="1653" w:type="dxa"/>
            <w:vAlign w:val="center"/>
          </w:tcPr>
          <w:p>
            <w:pPr>
              <w:tabs>
                <w:tab w:val="right" w:leader="dot" w:pos="8647"/>
              </w:tabs>
              <w:topLinePunct/>
              <w:adjustRightInd w:val="0"/>
              <w:snapToGrid w:val="0"/>
              <w:ind w:firstLine="105" w:firstLineChars="50"/>
              <w:jc w:val="center"/>
              <w:rPr>
                <w:b w:val="0"/>
                <w:bCs/>
                <w:color w:val="000000"/>
                <w:szCs w:val="21"/>
                <w:u w:val="none"/>
              </w:rPr>
            </w:pPr>
            <w:r>
              <w:rPr>
                <w:b w:val="0"/>
                <w:bCs/>
                <w:color w:val="000000"/>
                <w:szCs w:val="21"/>
                <w:u w:val="none"/>
              </w:rPr>
              <w:t>除臭剂的喷洒频率为：每次翻堆时喷洒</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沼液储存池</w:t>
            </w:r>
          </w:p>
        </w:tc>
        <w:tc>
          <w:tcPr>
            <w:tcW w:w="2268" w:type="dxa"/>
            <w:gridSpan w:val="3"/>
            <w:vMerge w:val="continue"/>
            <w:vAlign w:val="center"/>
          </w:tcPr>
          <w:p>
            <w:pPr>
              <w:topLinePunct/>
              <w:jc w:val="center"/>
              <w:rPr>
                <w:b w:val="0"/>
                <w:bCs/>
                <w:color w:val="000000"/>
                <w:szCs w:val="21"/>
                <w:u w:val="none"/>
              </w:rPr>
            </w:pPr>
          </w:p>
        </w:tc>
        <w:tc>
          <w:tcPr>
            <w:tcW w:w="1701" w:type="dxa"/>
            <w:vAlign w:val="center"/>
          </w:tcPr>
          <w:p>
            <w:pPr>
              <w:topLinePunct/>
              <w:jc w:val="center"/>
              <w:rPr>
                <w:b w:val="0"/>
                <w:bCs/>
                <w:color w:val="000000"/>
                <w:szCs w:val="21"/>
                <w:u w:val="none"/>
              </w:rPr>
            </w:pPr>
            <w:r>
              <w:rPr>
                <w:b w:val="0"/>
                <w:bCs/>
                <w:color w:val="000000"/>
                <w:szCs w:val="21"/>
                <w:u w:val="none"/>
              </w:rPr>
              <w:t>周边绿化</w:t>
            </w:r>
          </w:p>
        </w:tc>
        <w:tc>
          <w:tcPr>
            <w:tcW w:w="1418" w:type="dxa"/>
            <w:vMerge w:val="continue"/>
            <w:vAlign w:val="center"/>
          </w:tcPr>
          <w:p>
            <w:pPr>
              <w:topLinePunct/>
              <w:jc w:val="center"/>
              <w:rPr>
                <w:b w:val="0"/>
                <w:bCs/>
                <w:color w:val="000000"/>
                <w:szCs w:val="21"/>
                <w:u w:val="none"/>
              </w:rPr>
            </w:pPr>
          </w:p>
        </w:tc>
        <w:tc>
          <w:tcPr>
            <w:tcW w:w="3402" w:type="dxa"/>
            <w:gridSpan w:val="3"/>
            <w:vAlign w:val="center"/>
          </w:tcPr>
          <w:p>
            <w:pPr>
              <w:tabs>
                <w:tab w:val="right" w:leader="dot" w:pos="8647"/>
              </w:tabs>
              <w:topLinePunct/>
              <w:adjustRightInd w:val="0"/>
              <w:snapToGrid w:val="0"/>
              <w:spacing w:line="300" w:lineRule="exact"/>
              <w:jc w:val="center"/>
              <w:rPr>
                <w:b w:val="0"/>
                <w:bCs/>
                <w:color w:val="000000"/>
                <w:szCs w:val="21"/>
                <w:u w:val="none"/>
              </w:rPr>
            </w:pPr>
            <w:r>
              <w:rPr>
                <w:b w:val="0"/>
                <w:bCs/>
                <w:color w:val="000000"/>
                <w:szCs w:val="21"/>
                <w:u w:val="none"/>
              </w:rPr>
              <w:t>草地、灌木、乔木等间隔立体绿化</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rFonts w:hint="eastAsia" w:eastAsia="宋体"/>
                <w:b w:val="0"/>
                <w:bCs/>
                <w:color w:val="000000"/>
                <w:szCs w:val="21"/>
                <w:u w:val="none"/>
                <w:lang w:val="en-US" w:eastAsia="zh-CN"/>
              </w:rPr>
            </w:pPr>
            <w:r>
              <w:rPr>
                <w:b w:val="0"/>
                <w:bCs/>
                <w:color w:val="000000"/>
                <w:szCs w:val="21"/>
                <w:u w:val="none"/>
              </w:rPr>
              <w:t>沼气</w:t>
            </w:r>
            <w:r>
              <w:rPr>
                <w:rFonts w:hint="eastAsia"/>
                <w:b w:val="0"/>
                <w:bCs/>
                <w:color w:val="000000"/>
                <w:szCs w:val="21"/>
                <w:u w:val="none"/>
                <w:lang w:val="en-US" w:eastAsia="zh-CN"/>
              </w:rPr>
              <w:t>燃烧</w:t>
            </w:r>
          </w:p>
        </w:tc>
        <w:tc>
          <w:tcPr>
            <w:tcW w:w="1410" w:type="dxa"/>
            <w:gridSpan w:val="2"/>
            <w:vAlign w:val="center"/>
          </w:tcPr>
          <w:p>
            <w:pPr>
              <w:topLinePunct/>
              <w:jc w:val="center"/>
              <w:rPr>
                <w:b w:val="0"/>
                <w:bCs/>
                <w:color w:val="000000"/>
                <w:szCs w:val="21"/>
                <w:u w:val="none"/>
              </w:rPr>
            </w:pPr>
            <w:r>
              <w:rPr>
                <w:b w:val="0"/>
                <w:bCs/>
                <w:color w:val="000000"/>
                <w:szCs w:val="21"/>
                <w:u w:val="none"/>
              </w:rPr>
              <w:t>SO</w:t>
            </w:r>
            <w:r>
              <w:rPr>
                <w:b w:val="0"/>
                <w:bCs/>
                <w:color w:val="000000"/>
                <w:szCs w:val="21"/>
                <w:u w:val="none"/>
                <w:vertAlign w:val="subscript"/>
              </w:rPr>
              <w:t>2</w:t>
            </w:r>
            <w:r>
              <w:rPr>
                <w:b w:val="0"/>
                <w:bCs/>
                <w:color w:val="000000"/>
                <w:szCs w:val="21"/>
                <w:u w:val="none"/>
              </w:rPr>
              <w:t xml:space="preserve"> :</w:t>
            </w:r>
          </w:p>
          <w:p>
            <w:pPr>
              <w:topLinePunct/>
              <w:jc w:val="center"/>
              <w:rPr>
                <w:b w:val="0"/>
                <w:bCs/>
                <w:color w:val="000000"/>
                <w:szCs w:val="21"/>
                <w:u w:val="none"/>
              </w:rPr>
            </w:pPr>
            <w:r>
              <w:rPr>
                <w:b w:val="0"/>
                <w:bCs/>
                <w:color w:val="000000"/>
                <w:szCs w:val="21"/>
                <w:u w:val="none"/>
              </w:rPr>
              <w:t>0.00</w:t>
            </w:r>
            <w:r>
              <w:rPr>
                <w:rFonts w:hint="eastAsia"/>
                <w:b w:val="0"/>
                <w:bCs/>
                <w:color w:val="000000"/>
                <w:szCs w:val="21"/>
                <w:u w:val="none"/>
                <w:lang w:val="en-US" w:eastAsia="zh-CN"/>
              </w:rPr>
              <w:t>07</w:t>
            </w:r>
            <w:r>
              <w:rPr>
                <w:b w:val="0"/>
                <w:bCs/>
                <w:color w:val="000000"/>
                <w:szCs w:val="21"/>
                <w:u w:val="none"/>
              </w:rPr>
              <w:t>t/a</w:t>
            </w:r>
          </w:p>
          <w:p>
            <w:pPr>
              <w:topLinePunct/>
              <w:jc w:val="center"/>
              <w:rPr>
                <w:b w:val="0"/>
                <w:bCs/>
                <w:color w:val="000000"/>
                <w:szCs w:val="21"/>
                <w:u w:val="none"/>
              </w:rPr>
            </w:pPr>
            <w:r>
              <w:rPr>
                <w:b w:val="0"/>
                <w:bCs/>
                <w:color w:val="000000"/>
                <w:szCs w:val="21"/>
                <w:u w:val="none"/>
              </w:rPr>
              <w:t>NO</w:t>
            </w:r>
            <w:r>
              <w:rPr>
                <w:b w:val="0"/>
                <w:bCs/>
                <w:color w:val="000000"/>
                <w:szCs w:val="21"/>
                <w:u w:val="none"/>
                <w:vertAlign w:val="subscript"/>
              </w:rPr>
              <w:t>X</w:t>
            </w:r>
            <w:r>
              <w:rPr>
                <w:b w:val="0"/>
                <w:bCs/>
                <w:color w:val="000000"/>
                <w:szCs w:val="21"/>
                <w:u w:val="none"/>
              </w:rPr>
              <w:t>：</w:t>
            </w:r>
          </w:p>
          <w:p>
            <w:pPr>
              <w:topLinePunct/>
              <w:jc w:val="center"/>
              <w:rPr>
                <w:b w:val="0"/>
                <w:bCs/>
                <w:color w:val="000000"/>
                <w:szCs w:val="21"/>
                <w:u w:val="none"/>
              </w:rPr>
            </w:pPr>
            <w:r>
              <w:rPr>
                <w:b w:val="0"/>
                <w:bCs/>
                <w:color w:val="000000"/>
                <w:szCs w:val="21"/>
                <w:u w:val="none"/>
              </w:rPr>
              <w:t>0.0</w:t>
            </w:r>
            <w:r>
              <w:rPr>
                <w:rFonts w:hint="eastAsia"/>
                <w:b w:val="0"/>
                <w:bCs/>
                <w:color w:val="000000"/>
                <w:szCs w:val="21"/>
                <w:u w:val="none"/>
                <w:lang w:val="en-US" w:eastAsia="zh-CN"/>
              </w:rPr>
              <w:t>26</w:t>
            </w:r>
            <w:r>
              <w:rPr>
                <w:b w:val="0"/>
                <w:bCs/>
                <w:color w:val="000000"/>
                <w:szCs w:val="21"/>
                <w:u w:val="none"/>
              </w:rPr>
              <w:t xml:space="preserve"> t/a</w:t>
            </w:r>
          </w:p>
        </w:tc>
        <w:tc>
          <w:tcPr>
            <w:tcW w:w="858" w:type="dxa"/>
            <w:vAlign w:val="center"/>
          </w:tcPr>
          <w:p>
            <w:pPr>
              <w:topLinePunct/>
              <w:jc w:val="center"/>
              <w:rPr>
                <w:b w:val="0"/>
                <w:bCs/>
                <w:color w:val="000000"/>
                <w:szCs w:val="21"/>
                <w:u w:val="none"/>
              </w:rPr>
            </w:pPr>
            <w:r>
              <w:rPr>
                <w:b w:val="0"/>
                <w:bCs/>
                <w:color w:val="000000"/>
                <w:szCs w:val="21"/>
                <w:u w:val="none"/>
              </w:rPr>
              <w:t>SO</w:t>
            </w:r>
            <w:r>
              <w:rPr>
                <w:b w:val="0"/>
                <w:bCs/>
                <w:color w:val="000000"/>
                <w:szCs w:val="21"/>
                <w:u w:val="none"/>
                <w:vertAlign w:val="subscript"/>
              </w:rPr>
              <w:t>2</w:t>
            </w:r>
            <w:r>
              <w:rPr>
                <w:b w:val="0"/>
                <w:bCs/>
                <w:color w:val="000000"/>
                <w:szCs w:val="21"/>
                <w:u w:val="none"/>
              </w:rPr>
              <w:t xml:space="preserve"> :</w:t>
            </w:r>
          </w:p>
          <w:p>
            <w:pPr>
              <w:topLinePunct/>
              <w:jc w:val="center"/>
              <w:rPr>
                <w:b w:val="0"/>
                <w:bCs/>
                <w:color w:val="000000"/>
                <w:szCs w:val="21"/>
                <w:u w:val="none"/>
              </w:rPr>
            </w:pPr>
            <w:r>
              <w:rPr>
                <w:rFonts w:hint="eastAsia"/>
                <w:b w:val="0"/>
                <w:bCs/>
                <w:color w:val="000000"/>
                <w:szCs w:val="21"/>
                <w:u w:val="none"/>
                <w:lang w:val="en-US" w:eastAsia="zh-CN"/>
              </w:rPr>
              <w:t>2.09</w:t>
            </w:r>
            <w:r>
              <w:rPr>
                <w:b w:val="0"/>
                <w:bCs/>
                <w:color w:val="000000"/>
                <w:szCs w:val="21"/>
                <w:u w:val="none"/>
              </w:rPr>
              <w:t>mg/m</w:t>
            </w:r>
            <w:r>
              <w:rPr>
                <w:b w:val="0"/>
                <w:bCs/>
                <w:color w:val="000000"/>
                <w:szCs w:val="21"/>
                <w:u w:val="none"/>
                <w:vertAlign w:val="superscript"/>
              </w:rPr>
              <w:t>3</w:t>
            </w:r>
          </w:p>
          <w:p>
            <w:pPr>
              <w:topLinePunct/>
              <w:jc w:val="center"/>
              <w:rPr>
                <w:b w:val="0"/>
                <w:bCs/>
                <w:color w:val="000000"/>
                <w:szCs w:val="21"/>
                <w:u w:val="none"/>
              </w:rPr>
            </w:pPr>
            <w:r>
              <w:rPr>
                <w:b w:val="0"/>
                <w:bCs/>
                <w:color w:val="000000"/>
                <w:szCs w:val="21"/>
                <w:u w:val="none"/>
              </w:rPr>
              <w:t>NO</w:t>
            </w:r>
            <w:r>
              <w:rPr>
                <w:b w:val="0"/>
                <w:bCs/>
                <w:color w:val="000000"/>
                <w:szCs w:val="21"/>
                <w:u w:val="none"/>
                <w:vertAlign w:val="subscript"/>
              </w:rPr>
              <w:t>X</w:t>
            </w:r>
            <w:r>
              <w:rPr>
                <w:b w:val="0"/>
                <w:bCs/>
                <w:color w:val="000000"/>
                <w:szCs w:val="21"/>
                <w:u w:val="none"/>
              </w:rPr>
              <w:t>：</w:t>
            </w:r>
            <w:r>
              <w:rPr>
                <w:rFonts w:hint="eastAsia"/>
                <w:b w:val="0"/>
                <w:bCs/>
                <w:color w:val="000000"/>
                <w:szCs w:val="21"/>
                <w:u w:val="none"/>
                <w:lang w:val="en-US" w:eastAsia="zh-CN"/>
              </w:rPr>
              <w:t>78</w:t>
            </w:r>
            <w:r>
              <w:rPr>
                <w:b w:val="0"/>
                <w:bCs/>
                <w:color w:val="000000"/>
                <w:szCs w:val="21"/>
                <w:u w:val="none"/>
              </w:rPr>
              <w:t>mg/m</w:t>
            </w:r>
            <w:r>
              <w:rPr>
                <w:b w:val="0"/>
                <w:bCs/>
                <w:color w:val="000000"/>
                <w:szCs w:val="21"/>
                <w:u w:val="none"/>
                <w:vertAlign w:val="superscript"/>
              </w:rPr>
              <w:t>3</w:t>
            </w:r>
          </w:p>
        </w:tc>
        <w:tc>
          <w:tcPr>
            <w:tcW w:w="1701" w:type="dxa"/>
            <w:vAlign w:val="center"/>
          </w:tcPr>
          <w:p>
            <w:pPr>
              <w:topLinePunct/>
              <w:jc w:val="center"/>
              <w:rPr>
                <w:b w:val="0"/>
                <w:bCs/>
                <w:color w:val="000000"/>
                <w:szCs w:val="21"/>
                <w:u w:val="none"/>
              </w:rPr>
            </w:pPr>
            <w:r>
              <w:rPr>
                <w:rFonts w:hint="eastAsia"/>
                <w:b w:val="0"/>
                <w:bCs/>
                <w:color w:val="000000"/>
                <w:sz w:val="21"/>
                <w:szCs w:val="21"/>
                <w:u w:val="none"/>
                <w:lang w:val="en-US" w:eastAsia="zh-CN"/>
              </w:rPr>
              <w:t>火炬燃烧气</w:t>
            </w:r>
            <w:r>
              <w:rPr>
                <w:b w:val="0"/>
                <w:bCs/>
                <w:color w:val="000000"/>
                <w:sz w:val="21"/>
                <w:szCs w:val="21"/>
                <w:u w:val="none"/>
              </w:rPr>
              <w:t>+8m高排气筒排放</w:t>
            </w:r>
          </w:p>
        </w:tc>
        <w:tc>
          <w:tcPr>
            <w:tcW w:w="1418" w:type="dxa"/>
            <w:vAlign w:val="center"/>
          </w:tcPr>
          <w:p>
            <w:pPr>
              <w:topLinePunct/>
              <w:jc w:val="center"/>
              <w:rPr>
                <w:b w:val="0"/>
                <w:bCs/>
                <w:color w:val="000000"/>
                <w:szCs w:val="21"/>
                <w:u w:val="none"/>
              </w:rPr>
            </w:pPr>
            <w:r>
              <w:rPr>
                <w:b w:val="0"/>
                <w:bCs/>
                <w:color w:val="000000"/>
                <w:szCs w:val="21"/>
                <w:u w:val="none"/>
              </w:rPr>
              <w:t>SO</w:t>
            </w:r>
            <w:r>
              <w:rPr>
                <w:b w:val="0"/>
                <w:bCs/>
                <w:color w:val="000000"/>
                <w:szCs w:val="21"/>
                <w:u w:val="none"/>
                <w:vertAlign w:val="subscript"/>
              </w:rPr>
              <w:t>2</w:t>
            </w:r>
            <w:r>
              <w:rPr>
                <w:b w:val="0"/>
                <w:bCs/>
                <w:color w:val="000000"/>
                <w:szCs w:val="21"/>
                <w:u w:val="none"/>
              </w:rPr>
              <w:t xml:space="preserve"> :</w:t>
            </w:r>
          </w:p>
          <w:p>
            <w:pPr>
              <w:topLinePunct/>
              <w:jc w:val="center"/>
              <w:rPr>
                <w:b w:val="0"/>
                <w:bCs/>
                <w:color w:val="000000"/>
                <w:szCs w:val="21"/>
                <w:u w:val="none"/>
              </w:rPr>
            </w:pPr>
            <w:r>
              <w:rPr>
                <w:rFonts w:hint="eastAsia"/>
                <w:b w:val="0"/>
                <w:bCs/>
                <w:color w:val="000000"/>
                <w:szCs w:val="21"/>
                <w:u w:val="none"/>
                <w:lang w:val="en-US" w:eastAsia="zh-CN"/>
              </w:rPr>
              <w:t>2.09</w:t>
            </w:r>
            <w:r>
              <w:rPr>
                <w:b w:val="0"/>
                <w:bCs/>
                <w:color w:val="000000"/>
                <w:szCs w:val="21"/>
                <w:u w:val="none"/>
              </w:rPr>
              <w:t>mg/m</w:t>
            </w:r>
            <w:r>
              <w:rPr>
                <w:b w:val="0"/>
                <w:bCs/>
                <w:color w:val="000000"/>
                <w:szCs w:val="21"/>
                <w:u w:val="none"/>
                <w:vertAlign w:val="superscript"/>
              </w:rPr>
              <w:t>3</w:t>
            </w:r>
          </w:p>
          <w:p>
            <w:pPr>
              <w:topLinePunct/>
              <w:jc w:val="center"/>
              <w:rPr>
                <w:b w:val="0"/>
                <w:bCs/>
                <w:color w:val="000000"/>
                <w:szCs w:val="21"/>
                <w:u w:val="none"/>
              </w:rPr>
            </w:pPr>
            <w:r>
              <w:rPr>
                <w:b w:val="0"/>
                <w:bCs/>
                <w:color w:val="000000"/>
                <w:szCs w:val="21"/>
                <w:u w:val="none"/>
              </w:rPr>
              <w:t>SO</w:t>
            </w:r>
            <w:r>
              <w:rPr>
                <w:b w:val="0"/>
                <w:bCs/>
                <w:color w:val="000000"/>
                <w:szCs w:val="21"/>
                <w:u w:val="none"/>
                <w:vertAlign w:val="subscript"/>
              </w:rPr>
              <w:t>2</w:t>
            </w:r>
            <w:r>
              <w:rPr>
                <w:b w:val="0"/>
                <w:bCs/>
                <w:color w:val="000000"/>
                <w:szCs w:val="21"/>
                <w:u w:val="none"/>
              </w:rPr>
              <w:t xml:space="preserve"> :0.00</w:t>
            </w:r>
            <w:r>
              <w:rPr>
                <w:rFonts w:hint="eastAsia"/>
                <w:b w:val="0"/>
                <w:bCs/>
                <w:color w:val="000000"/>
                <w:szCs w:val="21"/>
                <w:u w:val="none"/>
                <w:lang w:val="en-US" w:eastAsia="zh-CN"/>
              </w:rPr>
              <w:t>07</w:t>
            </w:r>
            <w:r>
              <w:rPr>
                <w:b w:val="0"/>
                <w:bCs/>
                <w:color w:val="000000"/>
                <w:szCs w:val="21"/>
                <w:u w:val="none"/>
              </w:rPr>
              <w:t>t/a</w:t>
            </w:r>
          </w:p>
          <w:p>
            <w:pPr>
              <w:topLinePunct/>
              <w:jc w:val="center"/>
              <w:rPr>
                <w:b w:val="0"/>
                <w:bCs/>
                <w:color w:val="000000"/>
                <w:szCs w:val="21"/>
                <w:u w:val="none"/>
              </w:rPr>
            </w:pPr>
            <w:r>
              <w:rPr>
                <w:b w:val="0"/>
                <w:bCs/>
                <w:color w:val="000000"/>
                <w:szCs w:val="21"/>
                <w:u w:val="none"/>
              </w:rPr>
              <w:t xml:space="preserve"> NO</w:t>
            </w:r>
            <w:r>
              <w:rPr>
                <w:b w:val="0"/>
                <w:bCs/>
                <w:color w:val="000000"/>
                <w:szCs w:val="21"/>
                <w:u w:val="none"/>
                <w:vertAlign w:val="subscript"/>
              </w:rPr>
              <w:t>X</w:t>
            </w:r>
            <w:r>
              <w:rPr>
                <w:b w:val="0"/>
                <w:bCs/>
                <w:color w:val="000000"/>
                <w:szCs w:val="21"/>
                <w:u w:val="none"/>
              </w:rPr>
              <w:t>：</w:t>
            </w:r>
            <w:r>
              <w:rPr>
                <w:rFonts w:hint="eastAsia"/>
                <w:b w:val="0"/>
                <w:bCs/>
                <w:color w:val="000000"/>
                <w:szCs w:val="21"/>
                <w:u w:val="none"/>
                <w:lang w:val="en-US" w:eastAsia="zh-CN"/>
              </w:rPr>
              <w:t>78</w:t>
            </w:r>
            <w:r>
              <w:rPr>
                <w:b w:val="0"/>
                <w:bCs/>
                <w:color w:val="000000"/>
                <w:szCs w:val="21"/>
                <w:u w:val="none"/>
              </w:rPr>
              <w:t>mg/m</w:t>
            </w:r>
            <w:r>
              <w:rPr>
                <w:b w:val="0"/>
                <w:bCs/>
                <w:color w:val="000000"/>
                <w:szCs w:val="21"/>
                <w:u w:val="none"/>
                <w:vertAlign w:val="superscript"/>
              </w:rPr>
              <w:t>3</w:t>
            </w:r>
          </w:p>
          <w:p>
            <w:pPr>
              <w:topLinePunct/>
              <w:jc w:val="center"/>
              <w:rPr>
                <w:b w:val="0"/>
                <w:bCs/>
                <w:color w:val="000000"/>
                <w:szCs w:val="21"/>
                <w:u w:val="none"/>
              </w:rPr>
            </w:pPr>
            <w:r>
              <w:rPr>
                <w:b w:val="0"/>
                <w:bCs/>
                <w:color w:val="000000"/>
                <w:szCs w:val="21"/>
                <w:u w:val="none"/>
              </w:rPr>
              <w:t>NO</w:t>
            </w:r>
            <w:r>
              <w:rPr>
                <w:b w:val="0"/>
                <w:bCs/>
                <w:color w:val="000000"/>
                <w:szCs w:val="21"/>
                <w:u w:val="none"/>
                <w:vertAlign w:val="subscript"/>
              </w:rPr>
              <w:t>X</w:t>
            </w:r>
            <w:r>
              <w:rPr>
                <w:b w:val="0"/>
                <w:bCs/>
                <w:color w:val="000000"/>
                <w:szCs w:val="21"/>
                <w:u w:val="none"/>
              </w:rPr>
              <w:t>：0.0</w:t>
            </w:r>
            <w:r>
              <w:rPr>
                <w:rFonts w:hint="eastAsia"/>
                <w:b w:val="0"/>
                <w:bCs/>
                <w:color w:val="000000"/>
                <w:szCs w:val="21"/>
                <w:u w:val="none"/>
                <w:lang w:val="en-US" w:eastAsia="zh-CN"/>
              </w:rPr>
              <w:t>26</w:t>
            </w:r>
            <w:r>
              <w:rPr>
                <w:b w:val="0"/>
                <w:bCs/>
                <w:color w:val="000000"/>
                <w:szCs w:val="21"/>
                <w:u w:val="none"/>
              </w:rPr>
              <w:t xml:space="preserve"> t/a</w:t>
            </w:r>
          </w:p>
        </w:tc>
        <w:tc>
          <w:tcPr>
            <w:tcW w:w="3402" w:type="dxa"/>
            <w:gridSpan w:val="3"/>
            <w:vAlign w:val="center"/>
          </w:tcPr>
          <w:p>
            <w:pPr>
              <w:topLinePunct/>
              <w:jc w:val="center"/>
              <w:rPr>
                <w:b w:val="0"/>
                <w:bCs/>
                <w:color w:val="000000"/>
                <w:szCs w:val="21"/>
                <w:u w:val="none"/>
              </w:rPr>
            </w:pPr>
            <w:r>
              <w:rPr>
                <w:b w:val="0"/>
                <w:bCs/>
                <w:color w:val="000000"/>
                <w:szCs w:val="21"/>
                <w:u w:val="none"/>
              </w:rPr>
              <w:t>1根8m高排气筒排放，排放口规范化，设置排放口标志</w:t>
            </w:r>
          </w:p>
        </w:tc>
        <w:tc>
          <w:tcPr>
            <w:tcW w:w="3196" w:type="dxa"/>
            <w:vAlign w:val="center"/>
          </w:tcPr>
          <w:p>
            <w:pPr>
              <w:topLinePunct/>
              <w:jc w:val="center"/>
              <w:rPr>
                <w:b w:val="0"/>
                <w:bCs/>
                <w:color w:val="000000"/>
                <w:szCs w:val="21"/>
                <w:u w:val="none"/>
              </w:rPr>
            </w:pPr>
            <w:r>
              <w:rPr>
                <w:b w:val="0"/>
                <w:bCs/>
                <w:color w:val="000000"/>
                <w:szCs w:val="21"/>
                <w:u w:val="none"/>
              </w:rPr>
              <w:t>《</w:t>
            </w:r>
            <w:r>
              <w:rPr>
                <w:rFonts w:hint="eastAsia"/>
                <w:b w:val="0"/>
                <w:bCs/>
                <w:color w:val="000000"/>
                <w:szCs w:val="21"/>
                <w:u w:val="none"/>
                <w:lang w:val="en-US" w:eastAsia="zh-CN"/>
              </w:rPr>
              <w:t>大气污染物综合排放标准</w:t>
            </w:r>
            <w:r>
              <w:rPr>
                <w:b w:val="0"/>
                <w:bCs/>
                <w:color w:val="000000"/>
                <w:szCs w:val="21"/>
                <w:u w:val="none"/>
              </w:rPr>
              <w:t>》</w:t>
            </w:r>
            <w:r>
              <w:rPr>
                <w:rFonts w:hint="eastAsia"/>
                <w:b w:val="0"/>
                <w:bCs/>
                <w:color w:val="000000"/>
                <w:szCs w:val="21"/>
                <w:u w:val="none"/>
                <w:lang w:eastAsia="zh-CN"/>
              </w:rPr>
              <w:t>（</w:t>
            </w:r>
            <w:r>
              <w:rPr>
                <w:rFonts w:hint="eastAsia"/>
                <w:b w:val="0"/>
                <w:bCs/>
                <w:color w:val="000000"/>
                <w:szCs w:val="21"/>
                <w:u w:val="none"/>
                <w:lang w:val="en-US" w:eastAsia="zh-CN"/>
              </w:rPr>
              <w:t>GB16297-1996</w:t>
            </w:r>
            <w:r>
              <w:rPr>
                <w:rFonts w:hint="eastAsia"/>
                <w:b w:val="0"/>
                <w:bCs/>
                <w:color w:val="000000"/>
                <w:szCs w:val="21"/>
                <w:u w:val="none"/>
                <w:lang w:eastAsia="zh-CN"/>
              </w:rPr>
              <w:t>）</w:t>
            </w:r>
            <w:r>
              <w:rPr>
                <w:b w:val="0"/>
                <w:bCs/>
                <w:color w:val="000000"/>
                <w:szCs w:val="21"/>
                <w:u w:val="none"/>
              </w:rPr>
              <w:t>相关污染物排放限值要求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食堂油烟</w:t>
            </w:r>
          </w:p>
        </w:tc>
        <w:tc>
          <w:tcPr>
            <w:tcW w:w="1410" w:type="dxa"/>
            <w:gridSpan w:val="2"/>
            <w:vAlign w:val="center"/>
          </w:tcPr>
          <w:p>
            <w:pPr>
              <w:topLinePunct/>
              <w:jc w:val="center"/>
              <w:rPr>
                <w:b w:val="0"/>
                <w:bCs/>
                <w:color w:val="000000"/>
                <w:szCs w:val="21"/>
                <w:u w:val="none"/>
              </w:rPr>
            </w:pPr>
            <w:r>
              <w:rPr>
                <w:b w:val="0"/>
                <w:bCs/>
                <w:color w:val="000000"/>
                <w:szCs w:val="21"/>
                <w:u w:val="none"/>
              </w:rPr>
              <w:t>0.0</w:t>
            </w:r>
            <w:r>
              <w:rPr>
                <w:rFonts w:hint="eastAsia"/>
                <w:b w:val="0"/>
                <w:bCs/>
                <w:color w:val="000000"/>
                <w:szCs w:val="21"/>
                <w:u w:val="none"/>
                <w:lang w:val="en-US" w:eastAsia="zh-CN"/>
              </w:rPr>
              <w:t>055</w:t>
            </w:r>
            <w:r>
              <w:rPr>
                <w:b w:val="0"/>
                <w:bCs/>
                <w:color w:val="000000"/>
                <w:szCs w:val="21"/>
                <w:u w:val="none"/>
              </w:rPr>
              <w:t>t/a</w:t>
            </w:r>
          </w:p>
        </w:tc>
        <w:tc>
          <w:tcPr>
            <w:tcW w:w="858" w:type="dxa"/>
            <w:vAlign w:val="center"/>
          </w:tcPr>
          <w:p>
            <w:pPr>
              <w:topLinePunct/>
              <w:jc w:val="center"/>
              <w:rPr>
                <w:b w:val="0"/>
                <w:bCs/>
                <w:color w:val="000000"/>
                <w:szCs w:val="21"/>
                <w:u w:val="none"/>
              </w:rPr>
            </w:pPr>
            <w:r>
              <w:rPr>
                <w:rFonts w:hint="eastAsia"/>
                <w:b w:val="0"/>
                <w:bCs/>
                <w:color w:val="000000"/>
                <w:szCs w:val="21"/>
                <w:u w:val="none"/>
                <w:lang w:val="en-US" w:eastAsia="zh-CN"/>
              </w:rPr>
              <w:t>0.83</w:t>
            </w:r>
            <w:r>
              <w:rPr>
                <w:b w:val="0"/>
                <w:bCs/>
                <w:color w:val="000000"/>
                <w:szCs w:val="21"/>
                <w:u w:val="none"/>
              </w:rPr>
              <w:t>mg/m</w:t>
            </w:r>
            <w:r>
              <w:rPr>
                <w:b w:val="0"/>
                <w:bCs/>
                <w:color w:val="000000"/>
                <w:szCs w:val="21"/>
                <w:u w:val="none"/>
                <w:vertAlign w:val="superscript"/>
              </w:rPr>
              <w:t>3</w:t>
            </w:r>
          </w:p>
        </w:tc>
        <w:tc>
          <w:tcPr>
            <w:tcW w:w="1701" w:type="dxa"/>
            <w:vAlign w:val="center"/>
          </w:tcPr>
          <w:p>
            <w:pPr>
              <w:topLinePunct/>
              <w:jc w:val="center"/>
              <w:rPr>
                <w:b w:val="0"/>
                <w:bCs/>
                <w:color w:val="000000"/>
                <w:szCs w:val="21"/>
                <w:u w:val="none"/>
              </w:rPr>
            </w:pPr>
            <w:r>
              <w:rPr>
                <w:b w:val="0"/>
                <w:bCs/>
                <w:color w:val="000000"/>
                <w:szCs w:val="21"/>
                <w:u w:val="none"/>
              </w:rPr>
              <w:t>烟气经过处理效率为</w:t>
            </w:r>
            <w:r>
              <w:rPr>
                <w:rFonts w:hint="eastAsia"/>
                <w:b w:val="0"/>
                <w:bCs/>
                <w:color w:val="000000"/>
                <w:szCs w:val="21"/>
                <w:u w:val="none"/>
                <w:lang w:val="en-US" w:eastAsia="zh-CN"/>
              </w:rPr>
              <w:t>90</w:t>
            </w:r>
            <w:r>
              <w:rPr>
                <w:b w:val="0"/>
                <w:bCs/>
                <w:color w:val="000000"/>
                <w:szCs w:val="21"/>
                <w:u w:val="none"/>
              </w:rPr>
              <w:t>%的油烟净化装置</w:t>
            </w:r>
          </w:p>
        </w:tc>
        <w:tc>
          <w:tcPr>
            <w:tcW w:w="1418" w:type="dxa"/>
            <w:vAlign w:val="center"/>
          </w:tcPr>
          <w:p>
            <w:pPr>
              <w:tabs>
                <w:tab w:val="right" w:leader="dot" w:pos="8647"/>
              </w:tabs>
              <w:topLinePunct/>
              <w:spacing w:line="320" w:lineRule="exact"/>
              <w:jc w:val="center"/>
              <w:rPr>
                <w:b w:val="0"/>
                <w:bCs/>
                <w:color w:val="000000"/>
                <w:szCs w:val="21"/>
                <w:u w:val="none"/>
              </w:rPr>
            </w:pPr>
            <w:r>
              <w:rPr>
                <w:b w:val="0"/>
                <w:bCs/>
                <w:color w:val="000000"/>
                <w:szCs w:val="21"/>
                <w:u w:val="none"/>
              </w:rPr>
              <w:t>0.00</w:t>
            </w:r>
            <w:r>
              <w:rPr>
                <w:rFonts w:hint="eastAsia"/>
                <w:b w:val="0"/>
                <w:bCs/>
                <w:color w:val="000000"/>
                <w:szCs w:val="21"/>
                <w:u w:val="none"/>
                <w:lang w:val="en-US" w:eastAsia="zh-CN"/>
              </w:rPr>
              <w:t>05</w:t>
            </w:r>
            <w:r>
              <w:rPr>
                <w:b w:val="0"/>
                <w:bCs/>
                <w:color w:val="000000"/>
                <w:szCs w:val="21"/>
                <w:u w:val="none"/>
              </w:rPr>
              <w:t>t/a</w:t>
            </w:r>
          </w:p>
        </w:tc>
        <w:tc>
          <w:tcPr>
            <w:tcW w:w="3402" w:type="dxa"/>
            <w:gridSpan w:val="3"/>
            <w:vAlign w:val="center"/>
          </w:tcPr>
          <w:p>
            <w:pPr>
              <w:topLinePunct/>
              <w:jc w:val="center"/>
              <w:rPr>
                <w:b w:val="0"/>
                <w:bCs/>
                <w:color w:val="000000"/>
                <w:szCs w:val="21"/>
                <w:u w:val="none"/>
              </w:rPr>
            </w:pPr>
            <w:r>
              <w:rPr>
                <w:b w:val="0"/>
                <w:bCs/>
                <w:color w:val="000000"/>
                <w:szCs w:val="21"/>
                <w:u w:val="none"/>
              </w:rPr>
              <w:t>1套处理效率为90%的油烟净化装置</w:t>
            </w:r>
          </w:p>
        </w:tc>
        <w:tc>
          <w:tcPr>
            <w:tcW w:w="3196" w:type="dxa"/>
            <w:vAlign w:val="center"/>
          </w:tcPr>
          <w:p>
            <w:pPr>
              <w:topLinePunct/>
              <w:jc w:val="center"/>
              <w:rPr>
                <w:b w:val="0"/>
                <w:bCs/>
                <w:color w:val="000000"/>
                <w:szCs w:val="21"/>
                <w:u w:val="none"/>
              </w:rPr>
            </w:pPr>
            <w:r>
              <w:rPr>
                <w:b w:val="0"/>
                <w:bCs/>
                <w:color w:val="000000"/>
                <w:sz w:val="24"/>
                <w:u w:val="none"/>
              </w:rPr>
              <w:t>《餐饮业油烟污染物排放标准》(DB41/1604—2018)规定限值油烟1.5 mg/m</w:t>
            </w:r>
            <w:r>
              <w:rPr>
                <w:b w:val="0"/>
                <w:bCs/>
                <w:color w:val="000000"/>
                <w:sz w:val="24"/>
                <w:u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val="0"/>
                <w:bCs/>
                <w:color w:val="000000"/>
                <w:szCs w:val="21"/>
                <w:u w:val="none"/>
              </w:rPr>
            </w:pPr>
            <w:r>
              <w:rPr>
                <w:b w:val="0"/>
                <w:bCs/>
                <w:color w:val="000000"/>
                <w:szCs w:val="21"/>
                <w:u w:val="none"/>
              </w:rPr>
              <w:t>固废</w:t>
            </w:r>
          </w:p>
        </w:tc>
        <w:tc>
          <w:tcPr>
            <w:tcW w:w="958" w:type="dxa"/>
            <w:gridSpan w:val="2"/>
            <w:vAlign w:val="center"/>
          </w:tcPr>
          <w:p>
            <w:pPr>
              <w:topLinePunct/>
              <w:jc w:val="center"/>
              <w:rPr>
                <w:b w:val="0"/>
                <w:bCs/>
                <w:color w:val="000000"/>
                <w:szCs w:val="21"/>
                <w:u w:val="none"/>
              </w:rPr>
            </w:pPr>
            <w:r>
              <w:rPr>
                <w:b w:val="0"/>
                <w:bCs/>
                <w:color w:val="000000"/>
                <w:szCs w:val="21"/>
                <w:u w:val="none"/>
              </w:rPr>
              <w:t>猪粪</w:t>
            </w:r>
          </w:p>
        </w:tc>
        <w:tc>
          <w:tcPr>
            <w:tcW w:w="2268" w:type="dxa"/>
            <w:gridSpan w:val="3"/>
            <w:vAlign w:val="center"/>
          </w:tcPr>
          <w:p>
            <w:pPr>
              <w:jc w:val="center"/>
              <w:rPr>
                <w:b w:val="0"/>
                <w:bCs/>
                <w:szCs w:val="21"/>
                <w:u w:val="none"/>
              </w:rPr>
            </w:pPr>
            <w:r>
              <w:rPr>
                <w:rFonts w:hint="eastAsia"/>
                <w:b w:val="0"/>
                <w:bCs/>
                <w:color w:val="000000"/>
                <w:szCs w:val="21"/>
                <w:u w:val="none"/>
                <w:lang w:val="en-US" w:eastAsia="zh-CN"/>
              </w:rPr>
              <w:t>1477.7</w:t>
            </w:r>
            <w:r>
              <w:rPr>
                <w:b w:val="0"/>
                <w:bCs/>
                <w:color w:val="000000"/>
                <w:szCs w:val="21"/>
                <w:u w:val="none"/>
              </w:rPr>
              <w:t xml:space="preserve"> t/a</w:t>
            </w:r>
          </w:p>
        </w:tc>
        <w:tc>
          <w:tcPr>
            <w:tcW w:w="1701" w:type="dxa"/>
            <w:vAlign w:val="center"/>
          </w:tcPr>
          <w:p>
            <w:pPr>
              <w:topLinePunct/>
              <w:jc w:val="center"/>
              <w:rPr>
                <w:b w:val="0"/>
                <w:bCs/>
                <w:color w:val="000000"/>
                <w:szCs w:val="21"/>
                <w:u w:val="none"/>
              </w:rPr>
            </w:pPr>
            <w:r>
              <w:rPr>
                <w:b w:val="0"/>
                <w:bCs/>
                <w:color w:val="000000"/>
                <w:kern w:val="0"/>
                <w:szCs w:val="21"/>
                <w:u w:val="none"/>
              </w:rPr>
              <w:t>粪便送至固粪处置区处理</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Merge w:val="restart"/>
            <w:vAlign w:val="center"/>
          </w:tcPr>
          <w:p>
            <w:pPr>
              <w:topLinePunct/>
              <w:jc w:val="center"/>
              <w:rPr>
                <w:b w:val="0"/>
                <w:bCs/>
                <w:color w:val="000000"/>
                <w:szCs w:val="21"/>
                <w:u w:val="none"/>
              </w:rPr>
            </w:pPr>
            <w:r>
              <w:rPr>
                <w:b w:val="0"/>
                <w:bCs/>
                <w:color w:val="000000"/>
                <w:szCs w:val="21"/>
                <w:u w:val="none"/>
              </w:rPr>
              <w:t>新建固粪处理区（</w:t>
            </w:r>
            <w:r>
              <w:rPr>
                <w:rFonts w:hint="eastAsia"/>
                <w:b w:val="0"/>
                <w:bCs/>
                <w:szCs w:val="21"/>
                <w:u w:val="none"/>
                <w:lang w:val="en-US" w:eastAsia="zh-CN"/>
              </w:rPr>
              <w:t>360</w:t>
            </w:r>
            <w:r>
              <w:rPr>
                <w:b w:val="0"/>
                <w:bCs/>
                <w:szCs w:val="21"/>
                <w:u w:val="none"/>
              </w:rPr>
              <w:t>m</w:t>
            </w:r>
            <w:r>
              <w:rPr>
                <w:b w:val="0"/>
                <w:bCs/>
                <w:szCs w:val="21"/>
                <w:u w:val="none"/>
                <w:vertAlign w:val="superscript"/>
              </w:rPr>
              <w:t>2</w:t>
            </w:r>
            <w:r>
              <w:rPr>
                <w:b w:val="0"/>
                <w:bCs/>
                <w:color w:val="000000"/>
                <w:szCs w:val="21"/>
                <w:u w:val="none"/>
              </w:rPr>
              <w:t>）</w:t>
            </w:r>
          </w:p>
        </w:tc>
        <w:tc>
          <w:tcPr>
            <w:tcW w:w="3196" w:type="dxa"/>
            <w:vMerge w:val="restart"/>
            <w:vAlign w:val="center"/>
          </w:tcPr>
          <w:p>
            <w:pPr>
              <w:topLinePunct/>
              <w:jc w:val="center"/>
              <w:rPr>
                <w:b w:val="0"/>
                <w:bCs/>
                <w:color w:val="000000"/>
                <w:szCs w:val="21"/>
                <w:u w:val="none"/>
              </w:rPr>
            </w:pPr>
            <w:r>
              <w:rPr>
                <w:b w:val="0"/>
                <w:bCs/>
                <w:color w:val="000000"/>
                <w:szCs w:val="21"/>
                <w:u w:val="none"/>
              </w:rPr>
              <w:t>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沼渣</w:t>
            </w:r>
          </w:p>
        </w:tc>
        <w:tc>
          <w:tcPr>
            <w:tcW w:w="2268" w:type="dxa"/>
            <w:gridSpan w:val="3"/>
            <w:vAlign w:val="center"/>
          </w:tcPr>
          <w:p>
            <w:pPr>
              <w:jc w:val="center"/>
              <w:rPr>
                <w:b w:val="0"/>
                <w:bCs/>
                <w:szCs w:val="21"/>
                <w:u w:val="none"/>
              </w:rPr>
            </w:pPr>
            <w:r>
              <w:rPr>
                <w:rFonts w:hint="eastAsia"/>
                <w:b w:val="0"/>
                <w:bCs/>
                <w:szCs w:val="21"/>
                <w:u w:val="none"/>
                <w:lang w:val="en-US" w:eastAsia="zh-CN"/>
              </w:rPr>
              <w:t>44.33</w:t>
            </w:r>
            <w:r>
              <w:rPr>
                <w:b w:val="0"/>
                <w:bCs/>
                <w:color w:val="000000"/>
                <w:szCs w:val="21"/>
                <w:u w:val="none"/>
              </w:rPr>
              <w:t>t/a</w:t>
            </w:r>
          </w:p>
        </w:tc>
        <w:tc>
          <w:tcPr>
            <w:tcW w:w="1701" w:type="dxa"/>
            <w:vAlign w:val="center"/>
          </w:tcPr>
          <w:p>
            <w:pPr>
              <w:topLinePunct/>
              <w:jc w:val="center"/>
              <w:rPr>
                <w:b w:val="0"/>
                <w:bCs/>
                <w:color w:val="000000"/>
                <w:kern w:val="0"/>
                <w:szCs w:val="21"/>
                <w:u w:val="none"/>
              </w:rPr>
            </w:pPr>
            <w:r>
              <w:rPr>
                <w:b w:val="0"/>
                <w:bCs/>
                <w:color w:val="000000"/>
                <w:szCs w:val="21"/>
                <w:u w:val="none"/>
              </w:rPr>
              <w:t>晾晒后作为基肥外售</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Merge w:val="continue"/>
            <w:vAlign w:val="center"/>
          </w:tcPr>
          <w:p>
            <w:pPr>
              <w:topLinePunct/>
              <w:jc w:val="center"/>
              <w:rPr>
                <w:b w:val="0"/>
                <w:bCs/>
                <w:color w:val="000000"/>
                <w:szCs w:val="21"/>
                <w:u w:val="none"/>
              </w:rPr>
            </w:pP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废脱硫剂</w:t>
            </w:r>
          </w:p>
        </w:tc>
        <w:tc>
          <w:tcPr>
            <w:tcW w:w="2268" w:type="dxa"/>
            <w:gridSpan w:val="3"/>
            <w:vAlign w:val="center"/>
          </w:tcPr>
          <w:p>
            <w:pPr>
              <w:jc w:val="center"/>
              <w:rPr>
                <w:b w:val="0"/>
                <w:bCs/>
                <w:szCs w:val="21"/>
                <w:u w:val="none"/>
              </w:rPr>
            </w:pPr>
            <w:r>
              <w:rPr>
                <w:rFonts w:hint="eastAsia"/>
                <w:b w:val="0"/>
                <w:bCs/>
                <w:szCs w:val="21"/>
                <w:u w:val="none"/>
                <w:lang w:val="en-US" w:eastAsia="zh-CN"/>
              </w:rPr>
              <w:t>0.14</w:t>
            </w:r>
            <w:r>
              <w:rPr>
                <w:b w:val="0"/>
                <w:bCs/>
                <w:color w:val="000000"/>
                <w:szCs w:val="21"/>
                <w:u w:val="none"/>
              </w:rPr>
              <w:t>t/a</w:t>
            </w:r>
          </w:p>
        </w:tc>
        <w:tc>
          <w:tcPr>
            <w:tcW w:w="1701" w:type="dxa"/>
            <w:vAlign w:val="center"/>
          </w:tcPr>
          <w:p>
            <w:pPr>
              <w:topLinePunct/>
              <w:jc w:val="center"/>
              <w:rPr>
                <w:b w:val="0"/>
                <w:bCs/>
                <w:color w:val="000000"/>
                <w:szCs w:val="21"/>
                <w:u w:val="none"/>
              </w:rPr>
            </w:pPr>
            <w:r>
              <w:rPr>
                <w:b w:val="0"/>
                <w:bCs/>
                <w:color w:val="000000"/>
                <w:szCs w:val="21"/>
                <w:u w:val="none"/>
              </w:rPr>
              <w:t>在场区暂存后定期交由厂家回收</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szCs w:val="21"/>
                <w:u w:val="none"/>
              </w:rPr>
              <w:t>废脱硫剂暂存后定期交由厂家回收</w:t>
            </w:r>
          </w:p>
        </w:tc>
        <w:tc>
          <w:tcPr>
            <w:tcW w:w="3196" w:type="dxa"/>
            <w:vMerge w:val="restart"/>
            <w:vAlign w:val="center"/>
          </w:tcPr>
          <w:p>
            <w:pPr>
              <w:topLinePunct/>
              <w:jc w:val="center"/>
              <w:rPr>
                <w:b w:val="0"/>
                <w:bCs/>
                <w:color w:val="000000"/>
                <w:szCs w:val="21"/>
                <w:u w:val="none"/>
              </w:rPr>
            </w:pPr>
            <w:r>
              <w:rPr>
                <w:b w:val="0"/>
                <w:bCs/>
                <w:color w:val="000000"/>
                <w:szCs w:val="21"/>
                <w:u w:val="none"/>
              </w:rPr>
              <w:t>《一般工业固体废物贮存、污染控制标准》（GB18599-2001)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生活垃圾</w:t>
            </w:r>
          </w:p>
        </w:tc>
        <w:tc>
          <w:tcPr>
            <w:tcW w:w="2268" w:type="dxa"/>
            <w:gridSpan w:val="3"/>
            <w:vAlign w:val="center"/>
          </w:tcPr>
          <w:p>
            <w:pPr>
              <w:jc w:val="center"/>
              <w:rPr>
                <w:b w:val="0"/>
                <w:bCs/>
                <w:szCs w:val="21"/>
                <w:u w:val="none"/>
              </w:rPr>
            </w:pPr>
            <w:r>
              <w:rPr>
                <w:rFonts w:hint="eastAsia"/>
                <w:b w:val="0"/>
                <w:bCs/>
                <w:szCs w:val="21"/>
                <w:u w:val="none"/>
                <w:lang w:val="en-US" w:eastAsia="zh-CN"/>
              </w:rPr>
              <w:t>9.125</w:t>
            </w:r>
            <w:r>
              <w:rPr>
                <w:b w:val="0"/>
                <w:bCs/>
                <w:color w:val="000000"/>
                <w:szCs w:val="21"/>
                <w:u w:val="none"/>
              </w:rPr>
              <w:t xml:space="preserve"> t/a</w:t>
            </w:r>
          </w:p>
        </w:tc>
        <w:tc>
          <w:tcPr>
            <w:tcW w:w="1701" w:type="dxa"/>
            <w:vAlign w:val="center"/>
          </w:tcPr>
          <w:p>
            <w:pPr>
              <w:topLinePunct/>
              <w:jc w:val="center"/>
              <w:rPr>
                <w:b w:val="0"/>
                <w:bCs/>
                <w:color w:val="000000"/>
                <w:szCs w:val="21"/>
                <w:u w:val="none"/>
              </w:rPr>
            </w:pPr>
            <w:r>
              <w:rPr>
                <w:b w:val="0"/>
                <w:bCs/>
                <w:color w:val="000000"/>
                <w:szCs w:val="21"/>
                <w:u w:val="none"/>
              </w:rPr>
              <w:t>生活区设置若干垃圾桶</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szCs w:val="21"/>
                <w:u w:val="none"/>
              </w:rPr>
              <w:t>在生活区设置若干垃圾桶，定期由</w:t>
            </w:r>
            <w:r>
              <w:rPr>
                <w:rFonts w:hint="eastAsia"/>
                <w:b w:val="0"/>
                <w:bCs/>
                <w:color w:val="000000"/>
                <w:szCs w:val="21"/>
                <w:u w:val="none"/>
                <w:lang w:val="en-US" w:eastAsia="zh-CN"/>
              </w:rPr>
              <w:t>区域</w:t>
            </w:r>
            <w:r>
              <w:rPr>
                <w:b w:val="0"/>
                <w:bCs/>
                <w:color w:val="000000"/>
                <w:szCs w:val="21"/>
                <w:u w:val="none"/>
              </w:rPr>
              <w:t>环卫部门收运</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病死猪尸</w:t>
            </w:r>
          </w:p>
        </w:tc>
        <w:tc>
          <w:tcPr>
            <w:tcW w:w="2268" w:type="dxa"/>
            <w:gridSpan w:val="3"/>
            <w:vAlign w:val="center"/>
          </w:tcPr>
          <w:p>
            <w:pPr>
              <w:adjustRightInd w:val="0"/>
              <w:snapToGrid w:val="0"/>
              <w:spacing w:line="320" w:lineRule="exact"/>
              <w:jc w:val="center"/>
              <w:rPr>
                <w:b w:val="0"/>
                <w:bCs/>
                <w:szCs w:val="21"/>
                <w:u w:val="none"/>
              </w:rPr>
            </w:pPr>
            <w:r>
              <w:rPr>
                <w:rFonts w:hint="eastAsia"/>
                <w:b w:val="0"/>
                <w:bCs/>
                <w:szCs w:val="21"/>
                <w:u w:val="none"/>
                <w:lang w:val="en-US" w:eastAsia="zh-CN"/>
              </w:rPr>
              <w:t>7.2</w:t>
            </w:r>
            <w:r>
              <w:rPr>
                <w:b w:val="0"/>
                <w:bCs/>
                <w:color w:val="000000"/>
                <w:szCs w:val="21"/>
                <w:u w:val="none"/>
              </w:rPr>
              <w:t xml:space="preserve"> t/a</w:t>
            </w:r>
          </w:p>
        </w:tc>
        <w:tc>
          <w:tcPr>
            <w:tcW w:w="1701" w:type="dxa"/>
            <w:vAlign w:val="center"/>
          </w:tcPr>
          <w:p>
            <w:pPr>
              <w:topLinePunct/>
              <w:jc w:val="center"/>
              <w:rPr>
                <w:b w:val="0"/>
                <w:bCs/>
                <w:color w:val="000000"/>
                <w:szCs w:val="21"/>
                <w:u w:val="none"/>
              </w:rPr>
            </w:pPr>
            <w:r>
              <w:rPr>
                <w:rFonts w:hint="eastAsia"/>
                <w:b w:val="0"/>
                <w:bCs/>
                <w:color w:val="000000"/>
                <w:szCs w:val="21"/>
                <w:u w:val="none"/>
                <w:lang w:val="en-US" w:eastAsia="zh-CN"/>
              </w:rPr>
              <w:t>委托正阳县畜禽</w:t>
            </w:r>
            <w:r>
              <w:rPr>
                <w:b w:val="0"/>
                <w:bCs/>
                <w:szCs w:val="21"/>
                <w:u w:val="none"/>
              </w:rPr>
              <w:t>无害化处理中心</w:t>
            </w:r>
            <w:r>
              <w:rPr>
                <w:b w:val="0"/>
                <w:bCs/>
                <w:color w:val="000000"/>
                <w:szCs w:val="21"/>
                <w:u w:val="none"/>
              </w:rPr>
              <w:t>处置。</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szCs w:val="21"/>
                <w:u w:val="none"/>
              </w:rPr>
              <w:t>1个暂存间，</w:t>
            </w:r>
            <w:r>
              <w:rPr>
                <w:rFonts w:hint="eastAsia"/>
                <w:b w:val="0"/>
                <w:bCs/>
                <w:color w:val="000000"/>
                <w:szCs w:val="21"/>
                <w:u w:val="none"/>
                <w:lang w:val="en-US" w:eastAsia="zh-CN"/>
              </w:rPr>
              <w:t>20</w:t>
            </w:r>
            <w:r>
              <w:rPr>
                <w:b w:val="0"/>
                <w:bCs/>
                <w:color w:val="000000"/>
                <w:szCs w:val="21"/>
                <w:u w:val="none"/>
              </w:rPr>
              <w:t>m</w:t>
            </w:r>
            <w:r>
              <w:rPr>
                <w:b w:val="0"/>
                <w:bCs/>
                <w:color w:val="000000"/>
                <w:szCs w:val="21"/>
                <w:u w:val="none"/>
                <w:vertAlign w:val="superscript"/>
              </w:rPr>
              <w:t>2</w:t>
            </w:r>
            <w:r>
              <w:rPr>
                <w:b w:val="0"/>
                <w:bCs/>
                <w:color w:val="000000"/>
                <w:szCs w:val="21"/>
                <w:u w:val="none"/>
              </w:rPr>
              <w:t xml:space="preserve">，位于场区西侧，具备“防渗漏、防扬散、防流失”三防措施 </w:t>
            </w:r>
          </w:p>
        </w:tc>
        <w:tc>
          <w:tcPr>
            <w:tcW w:w="3196" w:type="dxa"/>
            <w:vMerge w:val="restart"/>
            <w:vAlign w:val="center"/>
          </w:tcPr>
          <w:p>
            <w:pPr>
              <w:topLinePunct/>
              <w:jc w:val="center"/>
              <w:rPr>
                <w:b w:val="0"/>
                <w:bCs/>
                <w:color w:val="000000"/>
                <w:szCs w:val="21"/>
                <w:u w:val="none"/>
              </w:rPr>
            </w:pPr>
            <w:r>
              <w:rPr>
                <w:b w:val="0"/>
                <w:bCs/>
                <w:color w:val="000000"/>
                <w:szCs w:val="21"/>
                <w:u w:val="none"/>
              </w:rPr>
              <w:t>《危险废物贮存污染控制标准》（GB18597-2001）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医疗固废</w:t>
            </w:r>
          </w:p>
        </w:tc>
        <w:tc>
          <w:tcPr>
            <w:tcW w:w="2268" w:type="dxa"/>
            <w:gridSpan w:val="3"/>
            <w:vAlign w:val="center"/>
          </w:tcPr>
          <w:p>
            <w:pPr>
              <w:adjustRightInd w:val="0"/>
              <w:snapToGrid w:val="0"/>
              <w:spacing w:line="320" w:lineRule="exact"/>
              <w:jc w:val="center"/>
              <w:rPr>
                <w:b w:val="0"/>
                <w:bCs/>
                <w:szCs w:val="21"/>
                <w:u w:val="none"/>
              </w:rPr>
            </w:pPr>
            <w:r>
              <w:rPr>
                <w:b w:val="0"/>
                <w:bCs/>
                <w:szCs w:val="21"/>
                <w:u w:val="none"/>
              </w:rPr>
              <w:t>0.</w:t>
            </w:r>
            <w:r>
              <w:rPr>
                <w:rFonts w:hint="eastAsia"/>
                <w:b w:val="0"/>
                <w:bCs/>
                <w:szCs w:val="21"/>
                <w:u w:val="none"/>
                <w:lang w:val="en-US" w:eastAsia="zh-CN"/>
              </w:rPr>
              <w:t>0</w:t>
            </w:r>
            <w:r>
              <w:rPr>
                <w:b w:val="0"/>
                <w:bCs/>
                <w:szCs w:val="21"/>
                <w:u w:val="none"/>
              </w:rPr>
              <w:t>25</w:t>
            </w:r>
            <w:r>
              <w:rPr>
                <w:b w:val="0"/>
                <w:bCs/>
                <w:color w:val="000000"/>
                <w:szCs w:val="21"/>
                <w:u w:val="none"/>
              </w:rPr>
              <w:t xml:space="preserve"> t/a</w:t>
            </w:r>
          </w:p>
        </w:tc>
        <w:tc>
          <w:tcPr>
            <w:tcW w:w="1701" w:type="dxa"/>
            <w:vAlign w:val="center"/>
          </w:tcPr>
          <w:p>
            <w:pPr>
              <w:topLinePunct/>
              <w:jc w:val="center"/>
              <w:rPr>
                <w:b w:val="0"/>
                <w:bCs/>
                <w:color w:val="000000"/>
                <w:szCs w:val="21"/>
                <w:u w:val="none"/>
              </w:rPr>
            </w:pPr>
            <w:r>
              <w:rPr>
                <w:b w:val="0"/>
                <w:bCs/>
                <w:color w:val="000000"/>
                <w:szCs w:val="21"/>
                <w:u w:val="none"/>
              </w:rPr>
              <w:t>在危废暂存间暂存后，定期交</w:t>
            </w:r>
            <w:r>
              <w:rPr>
                <w:rFonts w:hint="eastAsia"/>
                <w:b w:val="0"/>
                <w:bCs/>
                <w:color w:val="000000"/>
                <w:szCs w:val="21"/>
                <w:u w:val="none"/>
                <w:lang w:val="en-US" w:eastAsia="zh-CN"/>
              </w:rPr>
              <w:t>有资质单位</w:t>
            </w:r>
            <w:r>
              <w:rPr>
                <w:b w:val="0"/>
                <w:bCs/>
                <w:color w:val="000000"/>
                <w:szCs w:val="21"/>
                <w:u w:val="none"/>
              </w:rPr>
              <w:t>处置</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szCs w:val="21"/>
                <w:u w:val="none"/>
              </w:rPr>
              <w:t>1个危废暂存间，</w:t>
            </w:r>
            <w:r>
              <w:rPr>
                <w:rFonts w:hint="eastAsia"/>
                <w:b w:val="0"/>
                <w:bCs/>
                <w:color w:val="000000"/>
                <w:szCs w:val="21"/>
                <w:u w:val="none"/>
                <w:lang w:val="en-US" w:eastAsia="zh-CN"/>
              </w:rPr>
              <w:t>10</w:t>
            </w:r>
            <w:r>
              <w:rPr>
                <w:b w:val="0"/>
                <w:bCs/>
                <w:color w:val="000000"/>
                <w:szCs w:val="21"/>
                <w:u w:val="none"/>
              </w:rPr>
              <w:t>m</w:t>
            </w:r>
            <w:r>
              <w:rPr>
                <w:b w:val="0"/>
                <w:bCs/>
                <w:color w:val="000000"/>
                <w:szCs w:val="21"/>
                <w:u w:val="none"/>
                <w:vertAlign w:val="superscript"/>
              </w:rPr>
              <w:t>2</w:t>
            </w:r>
            <w:r>
              <w:rPr>
                <w:b w:val="0"/>
                <w:bCs/>
                <w:color w:val="000000"/>
                <w:szCs w:val="21"/>
                <w:u w:val="none"/>
              </w:rPr>
              <w:t>，位于场区西侧，具备“防渗漏、防扬散、防流失”三防措施，在明显处设置危险废物的警示标志</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val="0"/>
                <w:bCs/>
                <w:color w:val="000000"/>
                <w:szCs w:val="21"/>
                <w:u w:val="none"/>
              </w:rPr>
            </w:pPr>
            <w:r>
              <w:rPr>
                <w:b w:val="0"/>
                <w:bCs/>
                <w:color w:val="000000"/>
                <w:szCs w:val="21"/>
                <w:u w:val="none"/>
              </w:rPr>
              <w:t>噪声</w:t>
            </w:r>
          </w:p>
        </w:tc>
        <w:tc>
          <w:tcPr>
            <w:tcW w:w="958" w:type="dxa"/>
            <w:gridSpan w:val="2"/>
            <w:vAlign w:val="center"/>
          </w:tcPr>
          <w:p>
            <w:pPr>
              <w:topLinePunct/>
              <w:jc w:val="center"/>
              <w:rPr>
                <w:b w:val="0"/>
                <w:bCs/>
                <w:color w:val="000000"/>
                <w:szCs w:val="21"/>
                <w:u w:val="none"/>
              </w:rPr>
            </w:pPr>
            <w:r>
              <w:rPr>
                <w:b w:val="0"/>
                <w:bCs/>
                <w:color w:val="000000"/>
                <w:szCs w:val="21"/>
                <w:u w:val="none"/>
              </w:rPr>
              <w:t>猪舍、风机</w:t>
            </w:r>
          </w:p>
        </w:tc>
        <w:tc>
          <w:tcPr>
            <w:tcW w:w="2268" w:type="dxa"/>
            <w:gridSpan w:val="3"/>
            <w:vAlign w:val="center"/>
          </w:tcPr>
          <w:p>
            <w:pPr>
              <w:topLinePunct/>
              <w:jc w:val="center"/>
              <w:rPr>
                <w:b w:val="0"/>
                <w:bCs/>
                <w:color w:val="000000"/>
                <w:szCs w:val="21"/>
                <w:u w:val="none"/>
              </w:rPr>
            </w:pPr>
            <w:r>
              <w:rPr>
                <w:b w:val="0"/>
                <w:bCs/>
                <w:color w:val="000000"/>
                <w:szCs w:val="21"/>
                <w:u w:val="none"/>
              </w:rPr>
              <w:t>70~85dB(A)</w:t>
            </w:r>
          </w:p>
        </w:tc>
        <w:tc>
          <w:tcPr>
            <w:tcW w:w="1701" w:type="dxa"/>
            <w:vAlign w:val="center"/>
          </w:tcPr>
          <w:p>
            <w:pPr>
              <w:topLinePunct/>
              <w:jc w:val="center"/>
              <w:rPr>
                <w:b w:val="0"/>
                <w:bCs/>
                <w:color w:val="000000"/>
                <w:szCs w:val="21"/>
                <w:u w:val="none"/>
              </w:rPr>
            </w:pPr>
            <w:r>
              <w:rPr>
                <w:b w:val="0"/>
                <w:bCs/>
                <w:color w:val="000000"/>
                <w:szCs w:val="21"/>
                <w:u w:val="none"/>
              </w:rPr>
              <w:t>隔声、消声</w:t>
            </w:r>
          </w:p>
        </w:tc>
        <w:tc>
          <w:tcPr>
            <w:tcW w:w="1418" w:type="dxa"/>
            <w:vAlign w:val="center"/>
          </w:tcPr>
          <w:p>
            <w:pPr>
              <w:topLinePunct/>
              <w:jc w:val="center"/>
              <w:rPr>
                <w:b w:val="0"/>
                <w:bCs/>
                <w:color w:val="000000"/>
                <w:szCs w:val="21"/>
                <w:u w:val="none"/>
              </w:rPr>
            </w:pPr>
            <w:r>
              <w:rPr>
                <w:b w:val="0"/>
                <w:bCs/>
                <w:color w:val="000000"/>
                <w:szCs w:val="21"/>
                <w:u w:val="none"/>
              </w:rPr>
              <w:t>55~70 dB(A)</w:t>
            </w:r>
          </w:p>
        </w:tc>
        <w:tc>
          <w:tcPr>
            <w:tcW w:w="3402" w:type="dxa"/>
            <w:gridSpan w:val="3"/>
            <w:vMerge w:val="restart"/>
            <w:vAlign w:val="center"/>
          </w:tcPr>
          <w:p>
            <w:pPr>
              <w:widowControl/>
              <w:tabs>
                <w:tab w:val="right" w:leader="dot" w:pos="8647"/>
              </w:tabs>
              <w:topLinePunct/>
              <w:jc w:val="center"/>
              <w:rPr>
                <w:b w:val="0"/>
                <w:bCs/>
                <w:color w:val="000000"/>
                <w:szCs w:val="21"/>
                <w:u w:val="none"/>
              </w:rPr>
            </w:pPr>
            <w:r>
              <w:rPr>
                <w:b w:val="0"/>
                <w:bCs/>
                <w:color w:val="000000"/>
                <w:kern w:val="0"/>
                <w:szCs w:val="21"/>
                <w:u w:val="none"/>
              </w:rPr>
              <w:t>设备基础</w:t>
            </w:r>
            <w:r>
              <w:rPr>
                <w:b w:val="0"/>
                <w:bCs/>
                <w:color w:val="000000"/>
                <w:szCs w:val="21"/>
                <w:u w:val="none"/>
              </w:rPr>
              <w:t>减振</w:t>
            </w:r>
            <w:r>
              <w:rPr>
                <w:b w:val="0"/>
                <w:bCs/>
                <w:color w:val="000000"/>
                <w:kern w:val="0"/>
                <w:szCs w:val="21"/>
                <w:u w:val="none"/>
              </w:rPr>
              <w:t>，隔声消声降噪，</w:t>
            </w:r>
            <w:r>
              <w:rPr>
                <w:b w:val="0"/>
                <w:bCs/>
                <w:color w:val="000000"/>
                <w:szCs w:val="21"/>
                <w:u w:val="none"/>
              </w:rPr>
              <w:t>草地、灌木、乔木等间隔立体绿化</w:t>
            </w:r>
          </w:p>
        </w:tc>
        <w:tc>
          <w:tcPr>
            <w:tcW w:w="3196" w:type="dxa"/>
            <w:vMerge w:val="restart"/>
            <w:vAlign w:val="center"/>
          </w:tcPr>
          <w:p>
            <w:pPr>
              <w:topLinePunct/>
              <w:jc w:val="center"/>
              <w:rPr>
                <w:b w:val="0"/>
                <w:bCs/>
                <w:color w:val="000000"/>
                <w:szCs w:val="21"/>
                <w:u w:val="none"/>
              </w:rPr>
            </w:pPr>
            <w:r>
              <w:rPr>
                <w:b w:val="0"/>
                <w:bCs/>
                <w:color w:val="000000"/>
                <w:szCs w:val="21"/>
                <w:u w:val="none"/>
              </w:rPr>
              <w:t>工业企业厂界环境噪声排放标准》（GB12348—2008）2类标准昼间≤60dB（A）、夜间≤50 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958" w:type="dxa"/>
            <w:gridSpan w:val="2"/>
            <w:vAlign w:val="center"/>
          </w:tcPr>
          <w:p>
            <w:pPr>
              <w:topLinePunct/>
              <w:jc w:val="center"/>
              <w:rPr>
                <w:b w:val="0"/>
                <w:bCs/>
                <w:color w:val="000000"/>
                <w:szCs w:val="21"/>
                <w:u w:val="none"/>
              </w:rPr>
            </w:pPr>
            <w:r>
              <w:rPr>
                <w:b w:val="0"/>
                <w:bCs/>
                <w:color w:val="000000"/>
                <w:szCs w:val="21"/>
                <w:u w:val="none"/>
              </w:rPr>
              <w:t>粪污处理区</w:t>
            </w:r>
          </w:p>
        </w:tc>
        <w:tc>
          <w:tcPr>
            <w:tcW w:w="2268" w:type="dxa"/>
            <w:gridSpan w:val="3"/>
            <w:vAlign w:val="center"/>
          </w:tcPr>
          <w:p>
            <w:pPr>
              <w:topLinePunct/>
              <w:jc w:val="center"/>
              <w:rPr>
                <w:b w:val="0"/>
                <w:bCs/>
                <w:color w:val="000000"/>
                <w:szCs w:val="21"/>
                <w:u w:val="none"/>
              </w:rPr>
            </w:pPr>
            <w:r>
              <w:rPr>
                <w:b w:val="0"/>
                <w:bCs/>
                <w:color w:val="000000"/>
                <w:szCs w:val="21"/>
                <w:u w:val="none"/>
              </w:rPr>
              <w:t>85 dB(A)</w:t>
            </w:r>
          </w:p>
        </w:tc>
        <w:tc>
          <w:tcPr>
            <w:tcW w:w="1701" w:type="dxa"/>
            <w:vAlign w:val="center"/>
          </w:tcPr>
          <w:p>
            <w:pPr>
              <w:topLinePunct/>
              <w:jc w:val="center"/>
              <w:rPr>
                <w:b w:val="0"/>
                <w:bCs/>
                <w:color w:val="000000"/>
                <w:szCs w:val="21"/>
                <w:u w:val="none"/>
              </w:rPr>
            </w:pPr>
            <w:r>
              <w:rPr>
                <w:b w:val="0"/>
                <w:bCs/>
                <w:color w:val="000000"/>
                <w:szCs w:val="21"/>
                <w:u w:val="none"/>
              </w:rPr>
              <w:t>隔声、减振</w:t>
            </w:r>
          </w:p>
        </w:tc>
        <w:tc>
          <w:tcPr>
            <w:tcW w:w="1418" w:type="dxa"/>
            <w:vAlign w:val="center"/>
          </w:tcPr>
          <w:p>
            <w:pPr>
              <w:topLinePunct/>
              <w:jc w:val="center"/>
              <w:rPr>
                <w:b w:val="0"/>
                <w:bCs/>
                <w:color w:val="000000"/>
                <w:szCs w:val="21"/>
                <w:u w:val="none"/>
              </w:rPr>
            </w:pPr>
            <w:r>
              <w:rPr>
                <w:b w:val="0"/>
                <w:bCs/>
                <w:color w:val="000000"/>
                <w:szCs w:val="21"/>
                <w:u w:val="none"/>
              </w:rPr>
              <w:t>65 dB(A)</w:t>
            </w:r>
          </w:p>
        </w:tc>
        <w:tc>
          <w:tcPr>
            <w:tcW w:w="3402" w:type="dxa"/>
            <w:gridSpan w:val="3"/>
            <w:vMerge w:val="continue"/>
            <w:vAlign w:val="center"/>
          </w:tcPr>
          <w:p>
            <w:pPr>
              <w:topLinePunct/>
              <w:jc w:val="center"/>
              <w:rPr>
                <w:b w:val="0"/>
                <w:bCs/>
                <w:color w:val="000000"/>
                <w:szCs w:val="21"/>
                <w:u w:val="none"/>
              </w:rPr>
            </w:pP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Align w:val="center"/>
          </w:tcPr>
          <w:p>
            <w:pPr>
              <w:topLinePunct/>
              <w:jc w:val="center"/>
              <w:rPr>
                <w:b w:val="0"/>
                <w:bCs/>
                <w:color w:val="000000"/>
                <w:szCs w:val="21"/>
                <w:u w:val="none"/>
              </w:rPr>
            </w:pPr>
            <w:r>
              <w:rPr>
                <w:b w:val="0"/>
                <w:bCs/>
                <w:color w:val="000000"/>
                <w:szCs w:val="21"/>
                <w:u w:val="none"/>
              </w:rPr>
              <w:t>风险</w:t>
            </w:r>
          </w:p>
        </w:tc>
        <w:tc>
          <w:tcPr>
            <w:tcW w:w="958" w:type="dxa"/>
            <w:gridSpan w:val="2"/>
            <w:vAlign w:val="center"/>
          </w:tcPr>
          <w:p>
            <w:pPr>
              <w:topLinePunct/>
              <w:jc w:val="center"/>
              <w:rPr>
                <w:b w:val="0"/>
                <w:bCs/>
                <w:color w:val="000000"/>
                <w:szCs w:val="21"/>
                <w:u w:val="none"/>
              </w:rPr>
            </w:pPr>
            <w:r>
              <w:rPr>
                <w:b w:val="0"/>
                <w:bCs/>
                <w:color w:val="000000"/>
                <w:szCs w:val="21"/>
                <w:u w:val="none"/>
              </w:rPr>
              <w:t>沼气储存、利用</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opLinePunct/>
              <w:jc w:val="center"/>
              <w:rPr>
                <w:b w:val="0"/>
                <w:bCs/>
                <w:color w:val="000000"/>
                <w:szCs w:val="21"/>
                <w:u w:val="none"/>
              </w:rPr>
            </w:pPr>
            <w:r>
              <w:rPr>
                <w:b w:val="0"/>
                <w:bCs/>
                <w:color w:val="000000"/>
                <w:szCs w:val="21"/>
                <w:u w:val="none"/>
              </w:rPr>
              <w:t>消防器器材</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kern w:val="0"/>
                <w:szCs w:val="21"/>
                <w:u w:val="none"/>
              </w:rPr>
              <w:t>消防器材若干</w:t>
            </w:r>
          </w:p>
        </w:tc>
        <w:tc>
          <w:tcPr>
            <w:tcW w:w="3196" w:type="dxa"/>
            <w:vAlign w:val="center"/>
          </w:tcPr>
          <w:p>
            <w:pPr>
              <w:topLinePunct/>
              <w:jc w:val="center"/>
              <w:rPr>
                <w:b w:val="0"/>
                <w:bCs/>
                <w:color w:val="000000"/>
                <w:szCs w:val="21"/>
                <w:u w:val="none"/>
              </w:rPr>
            </w:pPr>
            <w:r>
              <w:rPr>
                <w:b w:val="0"/>
                <w:bCs/>
                <w:color w:val="000000"/>
                <w:szCs w:val="21"/>
                <w:u w:val="non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val="0"/>
                <w:bCs/>
                <w:color w:val="000000"/>
                <w:szCs w:val="21"/>
                <w:u w:val="none"/>
              </w:rPr>
            </w:pPr>
            <w:r>
              <w:rPr>
                <w:b w:val="0"/>
                <w:bCs/>
                <w:color w:val="000000"/>
                <w:szCs w:val="21"/>
                <w:u w:val="none"/>
              </w:rPr>
              <w:t>防渗措施</w:t>
            </w:r>
          </w:p>
        </w:tc>
        <w:tc>
          <w:tcPr>
            <w:tcW w:w="958" w:type="dxa"/>
            <w:gridSpan w:val="2"/>
            <w:vAlign w:val="center"/>
          </w:tcPr>
          <w:p>
            <w:pPr>
              <w:topLinePunct/>
              <w:jc w:val="center"/>
              <w:rPr>
                <w:b w:val="0"/>
                <w:bCs/>
                <w:color w:val="000000"/>
                <w:szCs w:val="21"/>
                <w:u w:val="none"/>
              </w:rPr>
            </w:pPr>
            <w:r>
              <w:rPr>
                <w:b w:val="0"/>
                <w:bCs/>
                <w:color w:val="000000"/>
                <w:szCs w:val="21"/>
                <w:u w:val="none"/>
              </w:rPr>
              <w:t>沼液储存池防渗</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opLinePunct/>
              <w:jc w:val="center"/>
              <w:rPr>
                <w:b w:val="0"/>
                <w:bCs/>
                <w:color w:val="000000"/>
                <w:kern w:val="0"/>
                <w:szCs w:val="21"/>
                <w:u w:val="none"/>
              </w:rPr>
            </w:pPr>
            <w:r>
              <w:rPr>
                <w:b w:val="0"/>
                <w:bCs/>
                <w:color w:val="000000"/>
                <w:szCs w:val="21"/>
                <w:u w:val="none"/>
              </w:rPr>
              <w:t>做好HDPE膜+素土夯实防渗措施</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kern w:val="0"/>
                <w:szCs w:val="21"/>
                <w:u w:val="none"/>
              </w:rPr>
            </w:pPr>
            <w:r>
              <w:rPr>
                <w:b w:val="0"/>
                <w:bCs/>
                <w:color w:val="000000"/>
                <w:szCs w:val="21"/>
                <w:u w:val="none"/>
              </w:rPr>
              <w:t>沼液储存池底部和池壁铺设HDPE膜＋素土夯实，容积</w:t>
            </w:r>
            <w:r>
              <w:rPr>
                <w:rFonts w:hint="eastAsia"/>
                <w:b w:val="0"/>
                <w:bCs/>
                <w:color w:val="000000"/>
                <w:szCs w:val="21"/>
                <w:u w:val="none"/>
                <w:lang w:val="en-US" w:eastAsia="zh-CN"/>
              </w:rPr>
              <w:t>5000</w:t>
            </w:r>
            <w:r>
              <w:rPr>
                <w:b w:val="0"/>
                <w:bCs/>
                <w:color w:val="000000"/>
                <w:szCs w:val="21"/>
                <w:u w:val="none"/>
              </w:rPr>
              <w:t>m</w:t>
            </w:r>
            <w:r>
              <w:rPr>
                <w:b w:val="0"/>
                <w:bCs/>
                <w:color w:val="000000"/>
                <w:szCs w:val="21"/>
                <w:u w:val="none"/>
                <w:vertAlign w:val="superscript"/>
              </w:rPr>
              <w:t>3</w:t>
            </w:r>
          </w:p>
        </w:tc>
        <w:tc>
          <w:tcPr>
            <w:tcW w:w="3196" w:type="dxa"/>
            <w:vMerge w:val="restart"/>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符合《规模化畜禽养殖场沼气工程设计规范》（NY/T1222）和《混凝土结构设计规范》（GB50010）的要求，具备“防渗、防雨、防溢”的三防措施。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426" w:type="dxa"/>
            <w:vMerge w:val="restart"/>
            <w:vAlign w:val="center"/>
          </w:tcPr>
          <w:p>
            <w:pPr>
              <w:topLinePunct/>
              <w:jc w:val="center"/>
              <w:rPr>
                <w:b w:val="0"/>
                <w:bCs/>
                <w:color w:val="000000"/>
                <w:szCs w:val="21"/>
                <w:u w:val="none"/>
              </w:rPr>
            </w:pPr>
            <w:r>
              <w:rPr>
                <w:b w:val="0"/>
                <w:bCs/>
                <w:color w:val="000000"/>
                <w:szCs w:val="21"/>
                <w:u w:val="none"/>
              </w:rPr>
              <w:t>场区防渗</w:t>
            </w:r>
          </w:p>
        </w:tc>
        <w:tc>
          <w:tcPr>
            <w:tcW w:w="532" w:type="dxa"/>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污水处理区</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opLinePunct/>
              <w:jc w:val="center"/>
              <w:rPr>
                <w:b w:val="0"/>
                <w:bCs/>
                <w:color w:val="000000"/>
                <w:kern w:val="0"/>
                <w:szCs w:val="21"/>
                <w:u w:val="none"/>
              </w:rPr>
            </w:pPr>
            <w:r>
              <w:rPr>
                <w:b w:val="0"/>
                <w:bCs/>
                <w:color w:val="000000"/>
                <w:szCs w:val="21"/>
                <w:u w:val="none"/>
              </w:rPr>
              <w:t>严格做好混凝土措施</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abs>
                <w:tab w:val="right" w:leader="dot" w:pos="8647"/>
              </w:tabs>
              <w:topLinePunct/>
              <w:jc w:val="center"/>
              <w:rPr>
                <w:b w:val="0"/>
                <w:bCs/>
                <w:color w:val="000000"/>
                <w:szCs w:val="21"/>
                <w:u w:val="none"/>
              </w:rPr>
            </w:pPr>
            <w:r>
              <w:rPr>
                <w:rFonts w:hint="eastAsia"/>
                <w:b w:val="0"/>
                <w:bCs/>
                <w:color w:val="000000"/>
                <w:szCs w:val="21"/>
                <w:u w:val="none"/>
                <w:lang w:eastAsia="zh-CN"/>
              </w:rPr>
              <w:t>黑膜</w:t>
            </w:r>
            <w:r>
              <w:rPr>
                <w:b w:val="0"/>
                <w:bCs/>
                <w:color w:val="000000"/>
                <w:szCs w:val="21"/>
                <w:u w:val="none"/>
              </w:rPr>
              <w:t>沼气池采用HDPE膜防渗，总防渗等级达到4.19×10</w:t>
            </w:r>
            <w:r>
              <w:rPr>
                <w:b w:val="0"/>
                <w:bCs/>
                <w:color w:val="000000"/>
                <w:szCs w:val="21"/>
                <w:u w:val="none"/>
                <w:vertAlign w:val="superscript"/>
              </w:rPr>
              <w:t>-9</w:t>
            </w:r>
            <w:r>
              <w:rPr>
                <w:b w:val="0"/>
                <w:bCs/>
                <w:color w:val="000000"/>
                <w:szCs w:val="21"/>
                <w:u w:val="none"/>
              </w:rPr>
              <w:t>cm/s</w:t>
            </w:r>
          </w:p>
          <w:p>
            <w:pPr>
              <w:tabs>
                <w:tab w:val="right" w:leader="dot" w:pos="8647"/>
              </w:tabs>
              <w:topLinePunct/>
              <w:jc w:val="center"/>
              <w:rPr>
                <w:b w:val="0"/>
                <w:bCs/>
                <w:color w:val="000000"/>
                <w:szCs w:val="21"/>
                <w:u w:val="none"/>
              </w:rPr>
            </w:pPr>
            <w:r>
              <w:rPr>
                <w:b w:val="0"/>
                <w:bCs/>
                <w:color w:val="000000"/>
                <w:szCs w:val="21"/>
                <w:u w:val="none"/>
              </w:rPr>
              <w:t>养殖场区底部铺设混凝土</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426" w:type="dxa"/>
            <w:vMerge w:val="continue"/>
            <w:vAlign w:val="center"/>
          </w:tcPr>
          <w:p>
            <w:pPr>
              <w:topLinePunct/>
              <w:jc w:val="center"/>
              <w:rPr>
                <w:b w:val="0"/>
                <w:bCs/>
                <w:color w:val="000000"/>
                <w:szCs w:val="21"/>
                <w:u w:val="none"/>
              </w:rPr>
            </w:pPr>
          </w:p>
        </w:tc>
        <w:tc>
          <w:tcPr>
            <w:tcW w:w="532" w:type="dxa"/>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养殖区</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opLinePunct/>
              <w:jc w:val="center"/>
              <w:rPr>
                <w:b w:val="0"/>
                <w:bCs/>
                <w:color w:val="000000"/>
                <w:kern w:val="0"/>
                <w:szCs w:val="21"/>
                <w:u w:val="none"/>
              </w:rPr>
            </w:pPr>
            <w:r>
              <w:rPr>
                <w:b w:val="0"/>
                <w:bCs/>
                <w:color w:val="000000"/>
                <w:szCs w:val="21"/>
                <w:u w:val="none"/>
              </w:rPr>
              <w:t>严格做好混凝土措施</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 xml:space="preserve">养殖场区底部铺设混凝土， </w:t>
            </w:r>
          </w:p>
        </w:tc>
        <w:tc>
          <w:tcPr>
            <w:tcW w:w="3196" w:type="dxa"/>
            <w:vMerge w:val="restart"/>
            <w:vAlign w:val="center"/>
          </w:tcPr>
          <w:p>
            <w:pPr>
              <w:topLinePunct/>
              <w:jc w:val="center"/>
              <w:rPr>
                <w:b w:val="0"/>
                <w:bCs/>
                <w:color w:val="000000"/>
                <w:szCs w:val="21"/>
                <w:u w:val="none"/>
              </w:rPr>
            </w:pPr>
            <w:r>
              <w:rPr>
                <w:b w:val="0"/>
                <w:bCs/>
                <w:color w:val="000000"/>
                <w:szCs w:val="21"/>
                <w:u w:val="none"/>
              </w:rPr>
              <w:t>满足《畜禽养殖业污染防治技术规范》（HJ/T81－2001）中畜禽粪便的贮存相关要求，应具备防渗、防风、防雨的“三防”措施。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val="0"/>
                <w:bCs/>
                <w:color w:val="000000"/>
                <w:szCs w:val="21"/>
                <w:u w:val="none"/>
              </w:rPr>
            </w:pPr>
          </w:p>
        </w:tc>
        <w:tc>
          <w:tcPr>
            <w:tcW w:w="426" w:type="dxa"/>
            <w:vMerge w:val="continue"/>
            <w:vAlign w:val="center"/>
          </w:tcPr>
          <w:p>
            <w:pPr>
              <w:topLinePunct/>
              <w:jc w:val="center"/>
              <w:rPr>
                <w:b w:val="0"/>
                <w:bCs/>
                <w:color w:val="000000"/>
                <w:szCs w:val="21"/>
                <w:u w:val="none"/>
              </w:rPr>
            </w:pPr>
          </w:p>
        </w:tc>
        <w:tc>
          <w:tcPr>
            <w:tcW w:w="532" w:type="dxa"/>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固粪处置区</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严格做好混凝土措施</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abs>
                <w:tab w:val="right" w:leader="dot" w:pos="8647"/>
              </w:tabs>
              <w:topLinePunct/>
              <w:adjustRightInd w:val="0"/>
              <w:snapToGrid w:val="0"/>
              <w:jc w:val="center"/>
              <w:rPr>
                <w:b w:val="0"/>
                <w:bCs/>
                <w:color w:val="000000"/>
                <w:szCs w:val="21"/>
                <w:u w:val="none"/>
              </w:rPr>
            </w:pPr>
            <w:r>
              <w:rPr>
                <w:b w:val="0"/>
                <w:bCs/>
                <w:color w:val="000000"/>
                <w:szCs w:val="21"/>
                <w:u w:val="none"/>
              </w:rPr>
              <w:t>地面铺设混凝土</w:t>
            </w:r>
          </w:p>
        </w:tc>
        <w:tc>
          <w:tcPr>
            <w:tcW w:w="3196" w:type="dxa"/>
            <w:vMerge w:val="continue"/>
            <w:vAlign w:val="center"/>
          </w:tcPr>
          <w:p>
            <w:pPr>
              <w:topLinePunct/>
              <w:jc w:val="center"/>
              <w:rPr>
                <w:b w:val="0"/>
                <w:bCs/>
                <w:color w:val="000000"/>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Align w:val="center"/>
          </w:tcPr>
          <w:p>
            <w:pPr>
              <w:topLinePunct/>
              <w:jc w:val="center"/>
              <w:rPr>
                <w:b w:val="0"/>
                <w:bCs/>
                <w:color w:val="000000"/>
                <w:szCs w:val="21"/>
                <w:u w:val="none"/>
              </w:rPr>
            </w:pPr>
            <w:r>
              <w:rPr>
                <w:b w:val="0"/>
                <w:bCs/>
                <w:color w:val="000000"/>
                <w:szCs w:val="21"/>
                <w:u w:val="none"/>
              </w:rPr>
              <w:t>敏感目标</w:t>
            </w:r>
          </w:p>
        </w:tc>
        <w:tc>
          <w:tcPr>
            <w:tcW w:w="958" w:type="dxa"/>
            <w:gridSpan w:val="2"/>
            <w:vAlign w:val="center"/>
          </w:tcPr>
          <w:p>
            <w:pPr>
              <w:topLinePunct/>
              <w:jc w:val="center"/>
              <w:rPr>
                <w:b w:val="0"/>
                <w:bCs/>
                <w:color w:val="000000"/>
                <w:szCs w:val="21"/>
                <w:u w:val="none"/>
              </w:rPr>
            </w:pPr>
            <w:r>
              <w:rPr>
                <w:b w:val="0"/>
                <w:bCs/>
                <w:color w:val="000000"/>
                <w:szCs w:val="21"/>
                <w:u w:val="none"/>
              </w:rPr>
              <w:t>/</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opLinePunct/>
              <w:jc w:val="center"/>
              <w:rPr>
                <w:b w:val="0"/>
                <w:bCs/>
                <w:color w:val="000000"/>
                <w:szCs w:val="21"/>
                <w:u w:val="none"/>
              </w:rPr>
            </w:pPr>
            <w:r>
              <w:rPr>
                <w:b w:val="0"/>
                <w:bCs/>
                <w:color w:val="000000"/>
                <w:szCs w:val="21"/>
                <w:u w:val="none"/>
              </w:rPr>
              <w:t>/</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szCs w:val="21"/>
                <w:u w:val="none"/>
              </w:rPr>
              <w:t>/</w:t>
            </w:r>
          </w:p>
        </w:tc>
        <w:tc>
          <w:tcPr>
            <w:tcW w:w="3196" w:type="dxa"/>
            <w:vAlign w:val="center"/>
          </w:tcPr>
          <w:p>
            <w:pPr>
              <w:topLinePunct/>
              <w:jc w:val="center"/>
              <w:rPr>
                <w:b w:val="0"/>
                <w:bCs/>
                <w:color w:val="000000"/>
                <w:szCs w:val="21"/>
                <w:u w:val="none"/>
              </w:rPr>
            </w:pPr>
            <w:r>
              <w:rPr>
                <w:b w:val="0"/>
                <w:bCs/>
                <w:color w:val="000000"/>
                <w:szCs w:val="21"/>
                <w:u w:val="none"/>
              </w:rPr>
              <w:t>《环境空气质量标准》GB3095-2012二级标准、</w:t>
            </w:r>
          </w:p>
          <w:p>
            <w:pPr>
              <w:topLinePunct/>
              <w:jc w:val="center"/>
              <w:rPr>
                <w:b w:val="0"/>
                <w:bCs/>
                <w:color w:val="000000"/>
                <w:szCs w:val="21"/>
                <w:u w:val="none"/>
              </w:rPr>
            </w:pPr>
            <w:r>
              <w:rPr>
                <w:b w:val="0"/>
                <w:bCs/>
                <w:color w:val="000000"/>
                <w:szCs w:val="21"/>
                <w:u w:val="none"/>
              </w:rPr>
              <w:t>《工业企业设计卫生标准》(TJ36-79)标1中居住区大气中有害物质的最高容许浓度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Align w:val="center"/>
          </w:tcPr>
          <w:p>
            <w:pPr>
              <w:topLinePunct/>
              <w:jc w:val="center"/>
              <w:rPr>
                <w:b w:val="0"/>
                <w:bCs/>
                <w:color w:val="000000"/>
                <w:szCs w:val="21"/>
                <w:u w:val="none"/>
              </w:rPr>
            </w:pPr>
            <w:r>
              <w:rPr>
                <w:b w:val="0"/>
                <w:bCs/>
                <w:color w:val="000000"/>
                <w:szCs w:val="21"/>
                <w:u w:val="none"/>
              </w:rPr>
              <w:t>厂界</w:t>
            </w:r>
          </w:p>
        </w:tc>
        <w:tc>
          <w:tcPr>
            <w:tcW w:w="958" w:type="dxa"/>
            <w:gridSpan w:val="2"/>
            <w:vAlign w:val="center"/>
          </w:tcPr>
          <w:p>
            <w:pPr>
              <w:topLinePunct/>
              <w:jc w:val="center"/>
              <w:rPr>
                <w:b w:val="0"/>
                <w:bCs/>
                <w:color w:val="000000"/>
                <w:szCs w:val="21"/>
                <w:u w:val="none"/>
              </w:rPr>
            </w:pPr>
            <w:r>
              <w:rPr>
                <w:b w:val="0"/>
                <w:bCs/>
                <w:color w:val="000000"/>
                <w:szCs w:val="21"/>
                <w:u w:val="none"/>
              </w:rPr>
              <w:t>/</w:t>
            </w:r>
          </w:p>
        </w:tc>
        <w:tc>
          <w:tcPr>
            <w:tcW w:w="2268" w:type="dxa"/>
            <w:gridSpan w:val="3"/>
            <w:vAlign w:val="center"/>
          </w:tcPr>
          <w:p>
            <w:pPr>
              <w:topLinePunct/>
              <w:jc w:val="center"/>
              <w:rPr>
                <w:b w:val="0"/>
                <w:bCs/>
                <w:color w:val="000000"/>
                <w:szCs w:val="21"/>
                <w:u w:val="none"/>
              </w:rPr>
            </w:pPr>
            <w:r>
              <w:rPr>
                <w:b w:val="0"/>
                <w:bCs/>
                <w:color w:val="000000"/>
                <w:szCs w:val="21"/>
                <w:u w:val="none"/>
              </w:rPr>
              <w:t>/</w:t>
            </w:r>
          </w:p>
        </w:tc>
        <w:tc>
          <w:tcPr>
            <w:tcW w:w="1701" w:type="dxa"/>
            <w:vAlign w:val="center"/>
          </w:tcPr>
          <w:p>
            <w:pPr>
              <w:topLinePunct/>
              <w:jc w:val="center"/>
              <w:rPr>
                <w:b w:val="0"/>
                <w:bCs/>
                <w:color w:val="000000"/>
                <w:szCs w:val="21"/>
                <w:u w:val="none"/>
              </w:rPr>
            </w:pPr>
            <w:r>
              <w:rPr>
                <w:b w:val="0"/>
                <w:bCs/>
                <w:color w:val="000000"/>
                <w:szCs w:val="21"/>
                <w:u w:val="none"/>
              </w:rPr>
              <w:t>/</w:t>
            </w:r>
          </w:p>
        </w:tc>
        <w:tc>
          <w:tcPr>
            <w:tcW w:w="1418" w:type="dxa"/>
            <w:vAlign w:val="center"/>
          </w:tcPr>
          <w:p>
            <w:pPr>
              <w:topLinePunct/>
              <w:jc w:val="center"/>
              <w:rPr>
                <w:b w:val="0"/>
                <w:bCs/>
                <w:color w:val="000000"/>
                <w:szCs w:val="21"/>
                <w:u w:val="none"/>
              </w:rPr>
            </w:pPr>
            <w:r>
              <w:rPr>
                <w:b w:val="0"/>
                <w:bCs/>
                <w:color w:val="000000"/>
                <w:szCs w:val="21"/>
                <w:u w:val="none"/>
              </w:rPr>
              <w:t>/</w:t>
            </w:r>
          </w:p>
        </w:tc>
        <w:tc>
          <w:tcPr>
            <w:tcW w:w="3402" w:type="dxa"/>
            <w:gridSpan w:val="3"/>
            <w:vAlign w:val="center"/>
          </w:tcPr>
          <w:p>
            <w:pPr>
              <w:topLinePunct/>
              <w:jc w:val="center"/>
              <w:rPr>
                <w:b w:val="0"/>
                <w:bCs/>
                <w:color w:val="000000"/>
                <w:szCs w:val="21"/>
                <w:u w:val="none"/>
              </w:rPr>
            </w:pPr>
            <w:r>
              <w:rPr>
                <w:b w:val="0"/>
                <w:bCs/>
                <w:color w:val="000000"/>
                <w:szCs w:val="21"/>
                <w:u w:val="none"/>
              </w:rPr>
              <w:t>/</w:t>
            </w:r>
          </w:p>
        </w:tc>
        <w:tc>
          <w:tcPr>
            <w:tcW w:w="3196" w:type="dxa"/>
            <w:vAlign w:val="center"/>
          </w:tcPr>
          <w:p>
            <w:pPr>
              <w:topLinePunct/>
              <w:jc w:val="center"/>
              <w:rPr>
                <w:b w:val="0"/>
                <w:bCs/>
                <w:color w:val="000000"/>
                <w:szCs w:val="21"/>
                <w:u w:val="none"/>
              </w:rPr>
            </w:pPr>
            <w:r>
              <w:rPr>
                <w:b w:val="0"/>
                <w:bCs/>
                <w:color w:val="000000"/>
                <w:szCs w:val="21"/>
                <w:u w:val="none"/>
              </w:rPr>
              <w:t>《恶臭污染物排放标准》（GB14554-93）表1中二级标准要求、《工业企业厂界环境噪声排放标准》（GB12348—2008）2类标准</w:t>
            </w:r>
          </w:p>
        </w:tc>
      </w:tr>
    </w:tbl>
    <w:p>
      <w:pPr>
        <w:topLinePunct/>
        <w:jc w:val="right"/>
        <w:rPr>
          <w:b/>
          <w:color w:val="000000"/>
          <w:u w:val="single"/>
        </w:rPr>
      </w:pPr>
    </w:p>
    <w:p>
      <w:pPr>
        <w:topLinePunct/>
        <w:jc w:val="right"/>
        <w:rPr>
          <w:b/>
          <w:color w:val="000000"/>
          <w:u w:val="single"/>
        </w:rPr>
        <w:sectPr>
          <w:footerReference r:id="rId5" w:type="default"/>
          <w:pgSz w:w="16838" w:h="11906" w:orient="landscape"/>
          <w:pgMar w:top="1588" w:right="1985" w:bottom="1588" w:left="1701" w:header="851" w:footer="992" w:gutter="0"/>
          <w:pgBorders>
            <w:top w:val="none" w:sz="0" w:space="0"/>
            <w:left w:val="none" w:sz="0" w:space="0"/>
            <w:bottom w:val="none" w:sz="0" w:space="0"/>
            <w:right w:val="none" w:sz="0" w:space="0"/>
          </w:pgBorders>
          <w:pgNumType w:fmt="numberInDash"/>
          <w:cols w:space="720" w:num="1"/>
          <w:docGrid w:linePitch="312" w:charSpace="0"/>
        </w:sectPr>
      </w:pPr>
    </w:p>
    <w:p>
      <w:pPr>
        <w:keepNext/>
        <w:keepLines/>
        <w:spacing w:before="100" w:beforeAutospacing="1" w:after="100" w:afterAutospacing="1"/>
        <w:jc w:val="center"/>
        <w:outlineLvl w:val="0"/>
        <w:rPr>
          <w:b/>
          <w:sz w:val="44"/>
          <w:szCs w:val="44"/>
        </w:rPr>
      </w:pPr>
      <w:bookmarkStart w:id="286" w:name="_Toc375206217"/>
      <w:bookmarkStart w:id="287" w:name="_Toc488572576"/>
      <w:bookmarkStart w:id="288" w:name="_Toc31026"/>
      <w:r>
        <w:rPr>
          <w:b/>
          <w:sz w:val="44"/>
          <w:szCs w:val="44"/>
        </w:rPr>
        <w:t>第</w:t>
      </w:r>
      <w:r>
        <w:rPr>
          <w:rFonts w:hint="eastAsia"/>
          <w:b/>
          <w:sz w:val="44"/>
          <w:szCs w:val="44"/>
          <w:lang w:val="en-US" w:eastAsia="zh-CN"/>
        </w:rPr>
        <w:t>六</w:t>
      </w:r>
      <w:r>
        <w:rPr>
          <w:b/>
          <w:sz w:val="44"/>
          <w:szCs w:val="44"/>
        </w:rPr>
        <w:t>章   环境管理与</w:t>
      </w:r>
      <w:bookmarkEnd w:id="286"/>
      <w:r>
        <w:rPr>
          <w:b/>
          <w:sz w:val="44"/>
          <w:szCs w:val="44"/>
        </w:rPr>
        <w:t>环境监测计划</w:t>
      </w:r>
      <w:bookmarkEnd w:id="287"/>
      <w:bookmarkEnd w:id="288"/>
    </w:p>
    <w:p>
      <w:pPr>
        <w:pStyle w:val="5"/>
        <w:spacing w:before="156" w:after="156"/>
        <w:rPr>
          <w:rFonts w:hAnsi="Times New Roman"/>
          <w:color w:val="000000"/>
        </w:rPr>
      </w:pPr>
      <w:bookmarkStart w:id="289" w:name="_Toc375206218"/>
      <w:bookmarkStart w:id="290" w:name="_Toc8400"/>
      <w:bookmarkStart w:id="291" w:name="_Toc488572577"/>
      <w:r>
        <w:rPr>
          <w:rFonts w:hint="eastAsia" w:hAnsi="Times New Roman"/>
          <w:color w:val="000000"/>
          <w:lang w:val="en-US" w:eastAsia="zh-CN"/>
        </w:rPr>
        <w:t>6</w:t>
      </w:r>
      <w:r>
        <w:rPr>
          <w:rFonts w:hAnsi="Times New Roman"/>
          <w:color w:val="000000"/>
        </w:rPr>
        <w:t>.1 环境管理计划</w:t>
      </w:r>
      <w:bookmarkEnd w:id="289"/>
      <w:bookmarkEnd w:id="290"/>
      <w:bookmarkEnd w:id="291"/>
    </w:p>
    <w:p>
      <w:pPr>
        <w:topLinePunct/>
        <w:spacing w:line="500" w:lineRule="exact"/>
        <w:ind w:firstLine="480" w:firstLineChars="200"/>
        <w:rPr>
          <w:color w:val="000000"/>
        </w:rPr>
      </w:pPr>
      <w:r>
        <w:rPr>
          <w:color w:val="000000"/>
          <w:sz w:val="24"/>
        </w:rPr>
        <w:t>设置环境管理和制定环境监测计划的目的是为了贯彻落实国家和地方环保政策法规、加大环保执法力度，正确处理发展生产与环境保护的关系，实现建设项目的社会、经济和环境效益的协调统一及可持续发展。</w:t>
      </w:r>
    </w:p>
    <w:p>
      <w:pPr>
        <w:topLinePunct/>
        <w:spacing w:line="600" w:lineRule="exact"/>
        <w:outlineLvl w:val="2"/>
        <w:rPr>
          <w:b/>
          <w:bCs/>
          <w:color w:val="000000"/>
          <w:sz w:val="24"/>
        </w:rPr>
      </w:pPr>
      <w:r>
        <w:rPr>
          <w:rFonts w:hint="eastAsia"/>
          <w:b/>
          <w:bCs/>
          <w:color w:val="000000"/>
          <w:sz w:val="24"/>
          <w:lang w:val="en-US" w:eastAsia="zh-CN"/>
        </w:rPr>
        <w:t>6</w:t>
      </w:r>
      <w:r>
        <w:rPr>
          <w:b/>
          <w:bCs/>
          <w:color w:val="000000"/>
          <w:sz w:val="24"/>
        </w:rPr>
        <w:t>.1.1 环境管理机制</w:t>
      </w:r>
    </w:p>
    <w:p>
      <w:pPr>
        <w:topLinePunct/>
        <w:spacing w:line="500" w:lineRule="exact"/>
        <w:ind w:firstLine="480" w:firstLineChars="200"/>
        <w:rPr>
          <w:color w:val="000000"/>
          <w:sz w:val="24"/>
        </w:rPr>
      </w:pPr>
      <w:r>
        <w:rPr>
          <w:color w:val="000000"/>
          <w:sz w:val="24"/>
        </w:rPr>
        <w:t>本项目的环境管理体系可分为管理机构与监督机构。</w:t>
      </w:r>
    </w:p>
    <w:p>
      <w:pPr>
        <w:topLinePunct/>
        <w:spacing w:line="500" w:lineRule="exact"/>
        <w:ind w:firstLine="480" w:firstLineChars="200"/>
        <w:rPr>
          <w:color w:val="000000"/>
          <w:sz w:val="24"/>
        </w:rPr>
      </w:pPr>
      <w:r>
        <w:rPr>
          <w:color w:val="000000"/>
          <w:sz w:val="24"/>
        </w:rPr>
        <w:t>（1）设置与组成</w:t>
      </w:r>
    </w:p>
    <w:p>
      <w:pPr>
        <w:topLinePunct/>
        <w:spacing w:line="500" w:lineRule="exact"/>
        <w:ind w:firstLine="480" w:firstLineChars="200"/>
        <w:rPr>
          <w:color w:val="000000"/>
          <w:sz w:val="24"/>
        </w:rPr>
      </w:pPr>
      <w:r>
        <w:rPr>
          <w:color w:val="000000"/>
          <w:sz w:val="24"/>
        </w:rPr>
        <w:t>根据《建设项目环境保护设计规定》的有关要求和本次工程的实际需要，建设项目的法人单位</w:t>
      </w:r>
      <w:r>
        <w:rPr>
          <w:rFonts w:hint="eastAsia"/>
          <w:color w:val="000000"/>
          <w:sz w:val="24"/>
          <w:lang w:eastAsia="zh-CN"/>
        </w:rPr>
        <w:t>正阳县辉鸿农牧有限公司</w:t>
      </w:r>
      <w:r>
        <w:rPr>
          <w:color w:val="000000"/>
          <w:sz w:val="24"/>
        </w:rPr>
        <w:t>应成立专门的环境管理机构，负责项目施工、运营期间的安全生产和环境管理工作。环境管理工作由1名副场长主抓，并配备专职安全、环保管理人员4人负责企业环境管理的日常工作。</w:t>
      </w:r>
    </w:p>
    <w:p>
      <w:pPr>
        <w:topLinePunct/>
        <w:spacing w:line="500" w:lineRule="exact"/>
        <w:ind w:firstLine="480" w:firstLineChars="200"/>
        <w:rPr>
          <w:color w:val="000000"/>
          <w:sz w:val="24"/>
        </w:rPr>
      </w:pPr>
      <w:r>
        <w:rPr>
          <w:color w:val="000000"/>
          <w:sz w:val="24"/>
        </w:rPr>
        <w:t>（2）环境管理机构的主要职责如下：</w:t>
      </w:r>
    </w:p>
    <w:p>
      <w:pPr>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贯彻、宣传国家的环保方针、政策和法律法规。</w:t>
      </w:r>
    </w:p>
    <w:p>
      <w:pPr>
        <w:topLinePunct/>
        <w:spacing w:line="500" w:lineRule="exact"/>
        <w:ind w:firstLine="480" w:firstLineChars="200"/>
        <w:rPr>
          <w:color w:val="000000"/>
          <w:sz w:val="24"/>
        </w:rPr>
      </w:pPr>
      <w:r>
        <w:rPr>
          <w:rFonts w:hint="eastAsia" w:ascii="宋体" w:hAnsi="宋体" w:cs="宋体"/>
          <w:color w:val="000000"/>
          <w:sz w:val="24"/>
        </w:rPr>
        <w:t>②</w:t>
      </w:r>
      <w:r>
        <w:rPr>
          <w:color w:val="000000"/>
          <w:sz w:val="24"/>
        </w:rPr>
        <w:t>制定本场的环保管理制度。</w:t>
      </w:r>
    </w:p>
    <w:p>
      <w:pPr>
        <w:topLinePunct/>
        <w:spacing w:line="500" w:lineRule="exact"/>
        <w:ind w:firstLine="480" w:firstLineChars="200"/>
        <w:rPr>
          <w:color w:val="000000"/>
          <w:sz w:val="24"/>
        </w:rPr>
      </w:pPr>
      <w:r>
        <w:rPr>
          <w:rFonts w:hint="eastAsia" w:ascii="宋体" w:hAnsi="宋体" w:cs="宋体"/>
          <w:color w:val="000000"/>
          <w:sz w:val="24"/>
        </w:rPr>
        <w:t>③</w:t>
      </w:r>
      <w:r>
        <w:rPr>
          <w:color w:val="000000"/>
          <w:sz w:val="24"/>
        </w:rPr>
        <w:t>监督检查本项目执行“三同时”规定的情况。</w:t>
      </w:r>
    </w:p>
    <w:p>
      <w:pPr>
        <w:topLinePunct/>
        <w:spacing w:line="500" w:lineRule="exact"/>
        <w:ind w:firstLine="480" w:firstLineChars="200"/>
        <w:rPr>
          <w:color w:val="000000"/>
          <w:sz w:val="24"/>
        </w:rPr>
      </w:pPr>
      <w:r>
        <w:rPr>
          <w:rFonts w:hint="eastAsia" w:ascii="宋体" w:hAnsi="宋体" w:cs="宋体"/>
          <w:color w:val="000000"/>
          <w:sz w:val="24"/>
        </w:rPr>
        <w:t>④</w:t>
      </w:r>
      <w:r>
        <w:rPr>
          <w:color w:val="000000"/>
          <w:sz w:val="24"/>
        </w:rPr>
        <w:t>定期进行环保设备检查、维修和保养工作，确保环保设施长期、稳定、达标运转。</w:t>
      </w:r>
    </w:p>
    <w:p>
      <w:pPr>
        <w:topLinePunct/>
        <w:spacing w:line="500" w:lineRule="exact"/>
        <w:ind w:firstLine="480" w:firstLineChars="200"/>
        <w:rPr>
          <w:color w:val="000000"/>
          <w:sz w:val="24"/>
        </w:rPr>
      </w:pPr>
      <w:r>
        <w:rPr>
          <w:rFonts w:hint="eastAsia" w:ascii="宋体" w:hAnsi="宋体" w:cs="宋体"/>
          <w:color w:val="000000"/>
          <w:sz w:val="24"/>
        </w:rPr>
        <w:t>⑤</w:t>
      </w:r>
      <w:r>
        <w:rPr>
          <w:color w:val="000000"/>
          <w:sz w:val="24"/>
        </w:rPr>
        <w:t>负责养殖场环保设施的日常运行管理工作，制定事故防范措施。</w:t>
      </w:r>
    </w:p>
    <w:p>
      <w:pPr>
        <w:topLinePunct/>
        <w:spacing w:line="500" w:lineRule="exact"/>
        <w:ind w:firstLine="480" w:firstLineChars="200"/>
        <w:rPr>
          <w:color w:val="000000"/>
          <w:sz w:val="24"/>
        </w:rPr>
      </w:pPr>
      <w:r>
        <w:rPr>
          <w:rFonts w:hint="eastAsia" w:ascii="宋体" w:hAnsi="宋体" w:cs="宋体"/>
          <w:color w:val="000000"/>
          <w:sz w:val="24"/>
        </w:rPr>
        <w:t>⑥</w:t>
      </w:r>
      <w:r>
        <w:rPr>
          <w:color w:val="000000"/>
          <w:sz w:val="24"/>
        </w:rPr>
        <w:t>负责对场内环保人员和附近居民进行环境保护教育，不断提高居民的环境意识和环保人员的业务素质。</w:t>
      </w:r>
    </w:p>
    <w:p>
      <w:pPr>
        <w:spacing w:line="520" w:lineRule="exact"/>
        <w:ind w:firstLine="600" w:firstLineChars="250"/>
        <w:rPr>
          <w:sz w:val="24"/>
        </w:rPr>
      </w:pPr>
      <w:r>
        <w:rPr>
          <w:kern w:val="0"/>
          <w:sz w:val="24"/>
        </w:rPr>
        <w:t>（3）废气排放口规范化设置</w:t>
      </w:r>
    </w:p>
    <w:p>
      <w:pPr>
        <w:spacing w:line="520" w:lineRule="exact"/>
        <w:ind w:firstLine="480" w:firstLineChars="200"/>
        <w:rPr>
          <w:sz w:val="24"/>
        </w:rPr>
      </w:pPr>
      <w:r>
        <w:rPr>
          <w:kern w:val="0"/>
          <w:sz w:val="24"/>
        </w:rPr>
        <w:t>废气排放口应进行规范化设计，具备采样、监测条件，排放口附近树立环保图形标志牌。按照国家环境保护总局制定的《〈环境保护图形标志〉实施细则（试行）》（环监[1996]463号）的规定，在排污口设立相应的环境保护图形标志牌。排污口环境保护图形标志见表</w:t>
      </w:r>
      <w:r>
        <w:rPr>
          <w:rFonts w:hint="eastAsia"/>
          <w:kern w:val="0"/>
          <w:sz w:val="24"/>
          <w:lang w:val="en-US" w:eastAsia="zh-CN"/>
        </w:rPr>
        <w:t>6.1</w:t>
      </w:r>
      <w:r>
        <w:rPr>
          <w:kern w:val="0"/>
          <w:sz w:val="24"/>
        </w:rPr>
        <w:t>-1。</w:t>
      </w:r>
    </w:p>
    <w:p>
      <w:pPr>
        <w:adjustRightInd w:val="0"/>
        <w:snapToGrid w:val="0"/>
        <w:spacing w:line="520" w:lineRule="exact"/>
        <w:jc w:val="center"/>
        <w:rPr>
          <w:b/>
          <w:sz w:val="24"/>
        </w:rPr>
      </w:pPr>
      <w:r>
        <w:rPr>
          <w:b/>
          <w:kern w:val="0"/>
          <w:sz w:val="24"/>
        </w:rPr>
        <w:t>表</w:t>
      </w:r>
      <w:r>
        <w:rPr>
          <w:rFonts w:hint="eastAsia"/>
          <w:b/>
          <w:kern w:val="0"/>
          <w:sz w:val="24"/>
          <w:lang w:val="en-US" w:eastAsia="zh-CN"/>
        </w:rPr>
        <w:t>6.1</w:t>
      </w:r>
      <w:r>
        <w:rPr>
          <w:b/>
          <w:kern w:val="0"/>
          <w:sz w:val="24"/>
        </w:rPr>
        <w:t>-1    排污口环境保护图形标志</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4119"/>
        <w:gridCol w:w="4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b/>
                <w:szCs w:val="21"/>
              </w:rPr>
            </w:pPr>
            <w:r>
              <w:rPr>
                <w:b/>
                <w:kern w:val="0"/>
                <w:szCs w:val="21"/>
              </w:rPr>
              <w:t>排放口名称</w:t>
            </w:r>
          </w:p>
        </w:tc>
        <w:tc>
          <w:tcPr>
            <w:tcW w:w="4827" w:type="dxa"/>
            <w:vAlign w:val="center"/>
          </w:tcPr>
          <w:p>
            <w:pPr>
              <w:snapToGrid w:val="0"/>
              <w:jc w:val="center"/>
              <w:rPr>
                <w:b/>
                <w:szCs w:val="21"/>
              </w:rPr>
            </w:pPr>
            <w:r>
              <w:rPr>
                <w:b/>
                <w:kern w:val="0"/>
                <w:szCs w:val="21"/>
              </w:rPr>
              <w:t>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排气筒</w:t>
            </w:r>
          </w:p>
        </w:tc>
        <w:tc>
          <w:tcPr>
            <w:tcW w:w="4827" w:type="dxa"/>
            <w:vAlign w:val="center"/>
          </w:tcPr>
          <w:p>
            <w:pPr>
              <w:snapToGrid w:val="0"/>
              <w:ind w:firstLine="86"/>
              <w:jc w:val="center"/>
              <w:rPr>
                <w:snapToGrid w:val="0"/>
                <w:szCs w:val="21"/>
              </w:rPr>
            </w:pPr>
            <w:r>
              <w:rPr>
                <w:color w:val="0000FF"/>
                <w:szCs w:val="21"/>
                <w:u w:val="single"/>
              </w:rPr>
              <w:drawing>
                <wp:inline distT="0" distB="0" distL="0" distR="0">
                  <wp:extent cx="520700" cy="520700"/>
                  <wp:effectExtent l="19050" t="0" r="0" b="0"/>
                  <wp:docPr id="24" name="图片 24" descr="IMG_27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0"/>
                          <pic:cNvPicPr>
                            <a:picLocks noChangeAspect="1" noChangeArrowheads="1"/>
                          </pic:cNvPicPr>
                        </pic:nvPicPr>
                        <pic:blipFill>
                          <a:blip r:embed="rId31" cstate="print"/>
                          <a:srcRect/>
                          <a:stretch>
                            <a:fillRect/>
                          </a:stretch>
                        </pic:blipFill>
                        <pic:spPr>
                          <a:xfrm>
                            <a:off x="0" y="0"/>
                            <a:ext cx="520700" cy="52070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噪声源</w:t>
            </w:r>
          </w:p>
        </w:tc>
        <w:tc>
          <w:tcPr>
            <w:tcW w:w="4827" w:type="dxa"/>
            <w:vAlign w:val="center"/>
          </w:tcPr>
          <w:p>
            <w:pPr>
              <w:snapToGrid w:val="0"/>
              <w:ind w:firstLine="86"/>
              <w:jc w:val="center"/>
              <w:rPr>
                <w:snapToGrid w:val="0"/>
                <w:szCs w:val="21"/>
              </w:rPr>
            </w:pPr>
            <w:r>
              <w:rPr>
                <w:color w:val="0000FF"/>
                <w:szCs w:val="21"/>
                <w:u w:val="single"/>
              </w:rPr>
              <w:drawing>
                <wp:inline distT="0" distB="0" distL="0" distR="0">
                  <wp:extent cx="520700" cy="520700"/>
                  <wp:effectExtent l="19050" t="0" r="0" b="0"/>
                  <wp:docPr id="13" name="图片 25" descr="IMG_27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71"/>
                          <pic:cNvPicPr>
                            <a:picLocks noChangeAspect="1" noChangeArrowheads="1"/>
                          </pic:cNvPicPr>
                        </pic:nvPicPr>
                        <pic:blipFill>
                          <a:blip r:embed="rId33" cstate="print"/>
                          <a:srcRect/>
                          <a:stretch>
                            <a:fillRect/>
                          </a:stretch>
                        </pic:blipFill>
                        <pic:spPr>
                          <a:xfrm>
                            <a:off x="0" y="0"/>
                            <a:ext cx="520700" cy="52070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固废堆放场所</w:t>
            </w:r>
          </w:p>
        </w:tc>
        <w:tc>
          <w:tcPr>
            <w:tcW w:w="4827" w:type="dxa"/>
            <w:vAlign w:val="center"/>
          </w:tcPr>
          <w:p>
            <w:pPr>
              <w:snapToGrid w:val="0"/>
              <w:ind w:firstLine="102"/>
              <w:jc w:val="center"/>
              <w:rPr>
                <w:snapToGrid w:val="0"/>
                <w:szCs w:val="21"/>
              </w:rPr>
            </w:pPr>
            <w:r>
              <w:rPr>
                <w:color w:val="0000FF"/>
                <w:szCs w:val="21"/>
                <w:u w:val="single"/>
              </w:rPr>
              <w:drawing>
                <wp:inline distT="0" distB="0" distL="0" distR="0">
                  <wp:extent cx="520700" cy="510540"/>
                  <wp:effectExtent l="19050" t="0" r="0" b="0"/>
                  <wp:docPr id="5" name="图片 26" descr="IMG_27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72"/>
                          <pic:cNvPicPr>
                            <a:picLocks noChangeAspect="1" noChangeArrowheads="1"/>
                          </pic:cNvPicPr>
                        </pic:nvPicPr>
                        <pic:blipFill>
                          <a:blip r:embed="rId35" cstate="print"/>
                          <a:srcRect/>
                          <a:stretch>
                            <a:fillRect/>
                          </a:stretch>
                        </pic:blipFill>
                        <pic:spPr>
                          <a:xfrm>
                            <a:off x="0" y="0"/>
                            <a:ext cx="520700" cy="51054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危险废物</w:t>
            </w:r>
          </w:p>
        </w:tc>
        <w:tc>
          <w:tcPr>
            <w:tcW w:w="4827" w:type="dxa"/>
            <w:vAlign w:val="center"/>
          </w:tcPr>
          <w:p>
            <w:pPr>
              <w:snapToGrid w:val="0"/>
              <w:ind w:firstLine="102"/>
              <w:jc w:val="center"/>
              <w:rPr>
                <w:szCs w:val="21"/>
              </w:rPr>
            </w:pPr>
            <w:r>
              <w:rPr>
                <w:kern w:val="0"/>
                <w:szCs w:val="21"/>
              </w:rPr>
              <w:drawing>
                <wp:inline distT="0" distB="0" distL="0" distR="0">
                  <wp:extent cx="520700" cy="584835"/>
                  <wp:effectExtent l="19050" t="0" r="0" b="0"/>
                  <wp:docPr id="4" name="图片 2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73"/>
                          <pic:cNvPicPr>
                            <a:picLocks noChangeAspect="1" noChangeArrowheads="1"/>
                          </pic:cNvPicPr>
                        </pic:nvPicPr>
                        <pic:blipFill>
                          <a:blip r:embed="rId36" cstate="print"/>
                          <a:srcRect/>
                          <a:stretch>
                            <a:fillRect/>
                          </a:stretch>
                        </pic:blipFill>
                        <pic:spPr>
                          <a:xfrm>
                            <a:off x="0" y="0"/>
                            <a:ext cx="520700" cy="584835"/>
                          </a:xfrm>
                          <a:prstGeom prst="rect">
                            <a:avLst/>
                          </a:prstGeom>
                          <a:noFill/>
                          <a:ln w="9525">
                            <a:noFill/>
                            <a:miter lim="800000"/>
                            <a:headEnd/>
                            <a:tailEnd/>
                          </a:ln>
                        </pic:spPr>
                      </pic:pic>
                    </a:graphicData>
                  </a:graphic>
                </wp:inline>
              </w:drawing>
            </w:r>
          </w:p>
        </w:tc>
      </w:tr>
    </w:tbl>
    <w:p>
      <w:pPr>
        <w:spacing w:line="500" w:lineRule="exact"/>
        <w:ind w:firstLine="480" w:firstLineChars="200"/>
        <w:rPr>
          <w:color w:val="000000"/>
          <w:sz w:val="24"/>
        </w:rPr>
      </w:pPr>
      <w:r>
        <w:rPr>
          <w:kern w:val="0"/>
          <w:sz w:val="24"/>
        </w:rPr>
        <w:t>危险废物及生活垃圾堆放场所，必须有防火、防腐蚀、防流失等措施，并应设置标志牌。</w:t>
      </w:r>
    </w:p>
    <w:p>
      <w:pPr>
        <w:topLinePunct/>
        <w:spacing w:line="600" w:lineRule="exact"/>
        <w:outlineLvl w:val="2"/>
        <w:rPr>
          <w:b/>
          <w:color w:val="000000"/>
          <w:sz w:val="24"/>
        </w:rPr>
      </w:pPr>
      <w:r>
        <w:rPr>
          <w:rFonts w:hint="eastAsia"/>
          <w:b/>
          <w:bCs/>
          <w:color w:val="000000"/>
          <w:sz w:val="24"/>
          <w:lang w:val="en-US" w:eastAsia="zh-CN"/>
        </w:rPr>
        <w:t>6</w:t>
      </w:r>
      <w:r>
        <w:rPr>
          <w:b/>
          <w:bCs/>
          <w:color w:val="000000"/>
          <w:sz w:val="24"/>
        </w:rPr>
        <w:t>.1.2 环境管理计划</w:t>
      </w:r>
    </w:p>
    <w:p>
      <w:pPr>
        <w:topLinePunct/>
        <w:spacing w:line="500" w:lineRule="exact"/>
        <w:ind w:firstLine="480" w:firstLineChars="200"/>
        <w:rPr>
          <w:b/>
          <w:color w:val="000000"/>
          <w:szCs w:val="21"/>
        </w:rPr>
      </w:pPr>
      <w:r>
        <w:rPr>
          <w:color w:val="000000"/>
          <w:sz w:val="24"/>
        </w:rPr>
        <w:t>该项目环境管理计划见表</w:t>
      </w:r>
      <w:r>
        <w:rPr>
          <w:rFonts w:hint="eastAsia"/>
          <w:color w:val="000000"/>
          <w:sz w:val="24"/>
          <w:lang w:val="en-US" w:eastAsia="zh-CN"/>
        </w:rPr>
        <w:t>6.1</w:t>
      </w:r>
      <w:r>
        <w:rPr>
          <w:color w:val="000000"/>
          <w:sz w:val="24"/>
        </w:rPr>
        <w:t>-2。</w:t>
      </w:r>
    </w:p>
    <w:p>
      <w:pPr>
        <w:topLinePunct/>
        <w:spacing w:beforeLines="50" w:afterLines="50"/>
        <w:ind w:firstLine="422" w:firstLineChars="200"/>
        <w:jc w:val="center"/>
        <w:rPr>
          <w:b/>
          <w:color w:val="000000"/>
          <w:szCs w:val="21"/>
        </w:rPr>
      </w:pPr>
      <w:r>
        <w:rPr>
          <w:b/>
          <w:color w:val="000000"/>
          <w:szCs w:val="21"/>
        </w:rPr>
        <w:t>表</w:t>
      </w:r>
      <w:r>
        <w:rPr>
          <w:rFonts w:hint="eastAsia"/>
          <w:b/>
          <w:color w:val="000000"/>
          <w:szCs w:val="21"/>
          <w:lang w:val="en-US" w:eastAsia="zh-CN"/>
        </w:rPr>
        <w:t>6.1</w:t>
      </w:r>
      <w:r>
        <w:rPr>
          <w:b/>
          <w:color w:val="000000"/>
          <w:szCs w:val="21"/>
        </w:rPr>
        <w:t>-2    项目环境管理计划</w:t>
      </w:r>
    </w:p>
    <w:tbl>
      <w:tblPr>
        <w:tblStyle w:val="45"/>
        <w:tblW w:w="88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166"/>
        <w:gridCol w:w="5218"/>
        <w:gridCol w:w="2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608" w:type="dxa"/>
            <w:gridSpan w:val="2"/>
          </w:tcPr>
          <w:p>
            <w:pPr>
              <w:topLinePunct/>
              <w:spacing w:line="320" w:lineRule="exact"/>
              <w:jc w:val="center"/>
              <w:rPr>
                <w:b/>
                <w:color w:val="000000"/>
                <w:szCs w:val="21"/>
              </w:rPr>
            </w:pPr>
            <w:r>
              <w:rPr>
                <w:b/>
                <w:color w:val="000000"/>
                <w:szCs w:val="21"/>
              </w:rPr>
              <w:t>环境问题</w:t>
            </w:r>
          </w:p>
        </w:tc>
        <w:tc>
          <w:tcPr>
            <w:tcW w:w="5218" w:type="dxa"/>
            <w:vAlign w:val="center"/>
          </w:tcPr>
          <w:p>
            <w:pPr>
              <w:topLinePunct/>
              <w:spacing w:line="320" w:lineRule="exact"/>
              <w:jc w:val="center"/>
              <w:rPr>
                <w:b/>
                <w:color w:val="000000"/>
                <w:szCs w:val="21"/>
              </w:rPr>
            </w:pPr>
            <w:r>
              <w:rPr>
                <w:b/>
                <w:color w:val="000000"/>
                <w:szCs w:val="21"/>
              </w:rPr>
              <w:t>管理措施</w:t>
            </w:r>
          </w:p>
        </w:tc>
        <w:tc>
          <w:tcPr>
            <w:tcW w:w="2027" w:type="dxa"/>
            <w:vAlign w:val="center"/>
          </w:tcPr>
          <w:p>
            <w:pPr>
              <w:topLinePunct/>
              <w:spacing w:line="320" w:lineRule="exact"/>
              <w:jc w:val="center"/>
              <w:rPr>
                <w:b/>
                <w:color w:val="000000"/>
                <w:szCs w:val="21"/>
              </w:rPr>
            </w:pPr>
            <w:r>
              <w:rPr>
                <w:b/>
                <w:color w:val="000000"/>
                <w:szCs w:val="21"/>
              </w:rPr>
              <w:t>实施机构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42" w:type="dxa"/>
            <w:vMerge w:val="restart"/>
            <w:vAlign w:val="center"/>
          </w:tcPr>
          <w:p>
            <w:pPr>
              <w:topLinePunct/>
              <w:spacing w:line="320" w:lineRule="exact"/>
              <w:jc w:val="center"/>
              <w:rPr>
                <w:color w:val="000000"/>
                <w:szCs w:val="21"/>
              </w:rPr>
            </w:pPr>
            <w:r>
              <w:rPr>
                <w:color w:val="000000"/>
                <w:szCs w:val="21"/>
              </w:rPr>
              <w:t>施</w:t>
            </w:r>
          </w:p>
          <w:p>
            <w:pPr>
              <w:topLinePunct/>
              <w:spacing w:line="320" w:lineRule="exact"/>
              <w:jc w:val="center"/>
              <w:rPr>
                <w:color w:val="000000"/>
                <w:szCs w:val="21"/>
              </w:rPr>
            </w:pPr>
            <w:r>
              <w:rPr>
                <w:color w:val="000000"/>
                <w:szCs w:val="21"/>
              </w:rPr>
              <w:t>工</w:t>
            </w:r>
          </w:p>
          <w:p>
            <w:pPr>
              <w:topLinePunct/>
              <w:spacing w:line="320" w:lineRule="exact"/>
              <w:jc w:val="center"/>
              <w:rPr>
                <w:color w:val="000000"/>
                <w:szCs w:val="21"/>
              </w:rPr>
            </w:pPr>
            <w:r>
              <w:rPr>
                <w:color w:val="000000"/>
                <w:szCs w:val="21"/>
              </w:rPr>
              <w:t>期</w:t>
            </w:r>
          </w:p>
        </w:tc>
        <w:tc>
          <w:tcPr>
            <w:tcW w:w="1166" w:type="dxa"/>
            <w:vAlign w:val="center"/>
          </w:tcPr>
          <w:p>
            <w:pPr>
              <w:topLinePunct/>
              <w:spacing w:line="320" w:lineRule="exact"/>
              <w:jc w:val="center"/>
              <w:rPr>
                <w:color w:val="000000"/>
                <w:szCs w:val="21"/>
              </w:rPr>
            </w:pPr>
            <w:r>
              <w:rPr>
                <w:color w:val="000000"/>
                <w:szCs w:val="21"/>
              </w:rPr>
              <w:t>粉尘、扬尘污染</w:t>
            </w:r>
          </w:p>
        </w:tc>
        <w:tc>
          <w:tcPr>
            <w:tcW w:w="5218" w:type="dxa"/>
            <w:vAlign w:val="center"/>
          </w:tcPr>
          <w:p>
            <w:pPr>
              <w:topLinePunct/>
              <w:spacing w:line="320" w:lineRule="exact"/>
              <w:rPr>
                <w:color w:val="000000"/>
                <w:szCs w:val="21"/>
              </w:rPr>
            </w:pPr>
            <w:r>
              <w:rPr>
                <w:color w:val="000000"/>
                <w:szCs w:val="21"/>
              </w:rPr>
              <w:t>1.采取合理的措施，包括施工场地洒水，以降低施工对周围大气TSP污染，特别靠近敏感点的地方；</w:t>
            </w:r>
          </w:p>
          <w:p>
            <w:pPr>
              <w:topLinePunct/>
              <w:spacing w:line="320" w:lineRule="exact"/>
              <w:rPr>
                <w:color w:val="000000"/>
                <w:szCs w:val="21"/>
              </w:rPr>
            </w:pPr>
            <w:r>
              <w:rPr>
                <w:color w:val="000000"/>
                <w:szCs w:val="21"/>
              </w:rPr>
              <w:t>2.运送建筑材料的车辆须用帆布遮盖；</w:t>
            </w:r>
          </w:p>
          <w:p>
            <w:pPr>
              <w:topLinePunct/>
              <w:spacing w:line="320" w:lineRule="exact"/>
              <w:rPr>
                <w:color w:val="000000"/>
                <w:szCs w:val="21"/>
              </w:rPr>
            </w:pPr>
            <w:r>
              <w:rPr>
                <w:color w:val="000000"/>
                <w:szCs w:val="21"/>
              </w:rPr>
              <w:t>3.搅拌设备需良好密封并将安装除尘装置。</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噪声</w:t>
            </w:r>
          </w:p>
        </w:tc>
        <w:tc>
          <w:tcPr>
            <w:tcW w:w="5218" w:type="dxa"/>
            <w:vAlign w:val="center"/>
          </w:tcPr>
          <w:p>
            <w:pPr>
              <w:topLinePunct/>
              <w:spacing w:line="320" w:lineRule="exact"/>
              <w:rPr>
                <w:color w:val="000000"/>
                <w:szCs w:val="21"/>
              </w:rPr>
            </w:pPr>
            <w:r>
              <w:rPr>
                <w:color w:val="000000"/>
                <w:szCs w:val="21"/>
              </w:rPr>
              <w:t>1.严格执行《建筑施工场界噪声限值》，嘈杂的施工工作将不在夜间进行，防止干扰居民区；</w:t>
            </w:r>
          </w:p>
          <w:p>
            <w:pPr>
              <w:topLinePunct/>
              <w:spacing w:line="320" w:lineRule="exact"/>
              <w:rPr>
                <w:color w:val="000000"/>
                <w:szCs w:val="21"/>
              </w:rPr>
            </w:pPr>
            <w:r>
              <w:rPr>
                <w:color w:val="000000"/>
                <w:szCs w:val="21"/>
              </w:rPr>
              <w:t>2.加强对机械和车辆的维修，保持其较低噪声水平。</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固体废物</w:t>
            </w:r>
          </w:p>
        </w:tc>
        <w:tc>
          <w:tcPr>
            <w:tcW w:w="5218" w:type="dxa"/>
            <w:vAlign w:val="center"/>
          </w:tcPr>
          <w:p>
            <w:pPr>
              <w:topLinePunct/>
              <w:spacing w:line="320" w:lineRule="exact"/>
              <w:rPr>
                <w:color w:val="000000"/>
                <w:szCs w:val="21"/>
              </w:rPr>
            </w:pPr>
            <w:r>
              <w:rPr>
                <w:color w:val="000000"/>
                <w:szCs w:val="21"/>
              </w:rPr>
              <w:t>1.开挖土石方就近填坑筑路，实现挖填平衡；</w:t>
            </w:r>
          </w:p>
          <w:p>
            <w:pPr>
              <w:topLinePunct/>
              <w:spacing w:line="320" w:lineRule="exact"/>
              <w:rPr>
                <w:color w:val="000000"/>
                <w:szCs w:val="21"/>
              </w:rPr>
            </w:pPr>
            <w:r>
              <w:rPr>
                <w:color w:val="000000"/>
                <w:szCs w:val="21"/>
              </w:rPr>
              <w:t>2.多余建筑垃圾、生活垃圾及时清运。</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2" w:type="dxa"/>
            <w:vMerge w:val="restart"/>
            <w:vAlign w:val="center"/>
          </w:tcPr>
          <w:p>
            <w:pPr>
              <w:topLinePunct/>
              <w:spacing w:line="320" w:lineRule="exact"/>
              <w:jc w:val="center"/>
              <w:rPr>
                <w:color w:val="000000"/>
                <w:szCs w:val="21"/>
              </w:rPr>
            </w:pPr>
            <w:r>
              <w:rPr>
                <w:color w:val="000000"/>
                <w:szCs w:val="21"/>
              </w:rPr>
              <w:t>营</w:t>
            </w:r>
          </w:p>
          <w:p>
            <w:pPr>
              <w:topLinePunct/>
              <w:spacing w:line="320" w:lineRule="exact"/>
              <w:jc w:val="center"/>
              <w:rPr>
                <w:color w:val="000000"/>
                <w:szCs w:val="21"/>
              </w:rPr>
            </w:pPr>
            <w:r>
              <w:rPr>
                <w:color w:val="000000"/>
                <w:szCs w:val="21"/>
              </w:rPr>
              <w:t>运</w:t>
            </w:r>
          </w:p>
          <w:p>
            <w:pPr>
              <w:topLinePunct/>
              <w:spacing w:line="320" w:lineRule="exact"/>
              <w:jc w:val="center"/>
              <w:rPr>
                <w:color w:val="000000"/>
                <w:szCs w:val="21"/>
              </w:rPr>
            </w:pPr>
            <w:r>
              <w:rPr>
                <w:color w:val="000000"/>
                <w:szCs w:val="21"/>
              </w:rPr>
              <w:t>期</w:t>
            </w:r>
          </w:p>
        </w:tc>
        <w:tc>
          <w:tcPr>
            <w:tcW w:w="1166" w:type="dxa"/>
            <w:vAlign w:val="center"/>
          </w:tcPr>
          <w:p>
            <w:pPr>
              <w:topLinePunct/>
              <w:spacing w:line="320" w:lineRule="exact"/>
              <w:jc w:val="center"/>
              <w:rPr>
                <w:color w:val="000000"/>
                <w:szCs w:val="21"/>
              </w:rPr>
            </w:pPr>
            <w:r>
              <w:rPr>
                <w:color w:val="000000"/>
                <w:szCs w:val="21"/>
              </w:rPr>
              <w:t>废气污染</w:t>
            </w:r>
          </w:p>
        </w:tc>
        <w:tc>
          <w:tcPr>
            <w:tcW w:w="5218" w:type="dxa"/>
            <w:vAlign w:val="center"/>
          </w:tcPr>
          <w:p>
            <w:pPr>
              <w:topLinePunct/>
              <w:spacing w:line="320" w:lineRule="exact"/>
              <w:rPr>
                <w:color w:val="000000"/>
                <w:szCs w:val="21"/>
              </w:rPr>
            </w:pPr>
            <w:r>
              <w:rPr>
                <w:color w:val="000000"/>
                <w:szCs w:val="21"/>
              </w:rPr>
              <w:t>加强管理，保证项目废气处理设施正常运行。</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水质污染</w:t>
            </w:r>
          </w:p>
        </w:tc>
        <w:tc>
          <w:tcPr>
            <w:tcW w:w="5218" w:type="dxa"/>
            <w:vAlign w:val="center"/>
          </w:tcPr>
          <w:p>
            <w:pPr>
              <w:topLinePunct/>
              <w:spacing w:line="320" w:lineRule="exact"/>
              <w:rPr>
                <w:color w:val="000000"/>
                <w:szCs w:val="21"/>
              </w:rPr>
            </w:pPr>
            <w:r>
              <w:rPr>
                <w:color w:val="000000"/>
                <w:szCs w:val="21"/>
              </w:rPr>
              <w:t>加强管理，保证污水处理设施正常运行。</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噪声污染</w:t>
            </w:r>
          </w:p>
        </w:tc>
        <w:tc>
          <w:tcPr>
            <w:tcW w:w="5218" w:type="dxa"/>
            <w:vAlign w:val="center"/>
          </w:tcPr>
          <w:p>
            <w:pPr>
              <w:topLinePunct/>
              <w:spacing w:line="320" w:lineRule="exact"/>
              <w:rPr>
                <w:color w:val="000000"/>
                <w:szCs w:val="21"/>
              </w:rPr>
            </w:pPr>
            <w:r>
              <w:rPr>
                <w:color w:val="000000"/>
                <w:szCs w:val="21"/>
              </w:rPr>
              <w:t>加强管理，保证营运期噪声达标排放。</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固体废物</w:t>
            </w:r>
          </w:p>
        </w:tc>
        <w:tc>
          <w:tcPr>
            <w:tcW w:w="5218" w:type="dxa"/>
            <w:vAlign w:val="center"/>
          </w:tcPr>
          <w:p>
            <w:pPr>
              <w:topLinePunct/>
              <w:spacing w:line="320" w:lineRule="exact"/>
              <w:rPr>
                <w:color w:val="000000"/>
                <w:szCs w:val="21"/>
              </w:rPr>
            </w:pPr>
            <w:r>
              <w:rPr>
                <w:color w:val="000000"/>
                <w:szCs w:val="21"/>
              </w:rPr>
              <w:t>加强管理，保证猪粪、生活垃圾分开收集处置。</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60" w:lineRule="exact"/>
              <w:jc w:val="center"/>
              <w:rPr>
                <w:color w:val="000000"/>
                <w:szCs w:val="21"/>
              </w:rPr>
            </w:pPr>
            <w:r>
              <w:rPr>
                <w:color w:val="000000"/>
                <w:szCs w:val="21"/>
              </w:rPr>
              <w:t>土壤污染</w:t>
            </w:r>
          </w:p>
        </w:tc>
        <w:tc>
          <w:tcPr>
            <w:tcW w:w="5218" w:type="dxa"/>
            <w:vAlign w:val="center"/>
          </w:tcPr>
          <w:p>
            <w:pPr>
              <w:topLinePunct/>
              <w:spacing w:line="360" w:lineRule="exact"/>
              <w:rPr>
                <w:color w:val="000000"/>
                <w:szCs w:val="21"/>
              </w:rPr>
            </w:pPr>
            <w:r>
              <w:rPr>
                <w:color w:val="000000"/>
                <w:szCs w:val="21"/>
              </w:rPr>
              <w:t>按照环境监测技术规范及国家环保局颁布的监测标准、方法执行。</w:t>
            </w:r>
          </w:p>
        </w:tc>
        <w:tc>
          <w:tcPr>
            <w:tcW w:w="2027" w:type="dxa"/>
            <w:vAlign w:val="center"/>
          </w:tcPr>
          <w:p>
            <w:pPr>
              <w:topLinePunct/>
              <w:spacing w:line="360" w:lineRule="exact"/>
              <w:jc w:val="center"/>
              <w:rPr>
                <w:color w:val="000000"/>
                <w:szCs w:val="21"/>
              </w:rPr>
            </w:pPr>
            <w:r>
              <w:rPr>
                <w:color w:val="000000"/>
                <w:szCs w:val="21"/>
              </w:rPr>
              <w:t>有资质的环境监测部门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环境监测</w:t>
            </w:r>
          </w:p>
        </w:tc>
        <w:tc>
          <w:tcPr>
            <w:tcW w:w="5218" w:type="dxa"/>
            <w:vAlign w:val="center"/>
          </w:tcPr>
          <w:p>
            <w:pPr>
              <w:topLinePunct/>
              <w:spacing w:line="320" w:lineRule="exact"/>
              <w:rPr>
                <w:color w:val="000000"/>
                <w:szCs w:val="21"/>
              </w:rPr>
            </w:pPr>
            <w:r>
              <w:rPr>
                <w:color w:val="000000"/>
                <w:szCs w:val="21"/>
              </w:rPr>
              <w:t>按照环境监测技术规范及国家环保局颁布的监测标准、方法执行。</w:t>
            </w:r>
          </w:p>
        </w:tc>
        <w:tc>
          <w:tcPr>
            <w:tcW w:w="2027" w:type="dxa"/>
            <w:vAlign w:val="center"/>
          </w:tcPr>
          <w:p>
            <w:pPr>
              <w:topLinePunct/>
              <w:spacing w:line="320" w:lineRule="exact"/>
              <w:jc w:val="center"/>
              <w:rPr>
                <w:color w:val="000000"/>
                <w:szCs w:val="21"/>
              </w:rPr>
            </w:pPr>
            <w:r>
              <w:rPr>
                <w:color w:val="000000"/>
                <w:szCs w:val="21"/>
              </w:rPr>
              <w:t>有资质的环境监测部门</w:t>
            </w:r>
          </w:p>
        </w:tc>
      </w:tr>
    </w:tbl>
    <w:p>
      <w:pPr>
        <w:topLinePunct/>
        <w:spacing w:line="600" w:lineRule="exact"/>
        <w:rPr>
          <w:b/>
          <w:bCs/>
          <w:color w:val="000000"/>
          <w:sz w:val="24"/>
        </w:rPr>
      </w:pPr>
      <w:r>
        <w:rPr>
          <w:rFonts w:hint="eastAsia"/>
          <w:b/>
          <w:bCs/>
          <w:color w:val="000000"/>
          <w:sz w:val="24"/>
          <w:lang w:val="en-US" w:eastAsia="zh-CN"/>
        </w:rPr>
        <w:t>6</w:t>
      </w:r>
      <w:r>
        <w:rPr>
          <w:b/>
          <w:bCs/>
          <w:color w:val="000000"/>
          <w:sz w:val="24"/>
        </w:rPr>
        <w:t>.1.3 环境管理制度</w:t>
      </w:r>
    </w:p>
    <w:p>
      <w:pPr>
        <w:topLinePunct/>
        <w:spacing w:line="500" w:lineRule="exact"/>
        <w:ind w:firstLine="480" w:firstLineChars="200"/>
        <w:rPr>
          <w:color w:val="000000"/>
          <w:sz w:val="24"/>
        </w:rPr>
      </w:pPr>
      <w:r>
        <w:rPr>
          <w:color w:val="000000"/>
          <w:sz w:val="24"/>
        </w:rPr>
        <w:t>建设单位应制定一系列规章制度以促进环境保护工作，使环境保护工作规范化和程序化。根据需要，建议制定的环境保护工作条例有：</w:t>
      </w:r>
    </w:p>
    <w:p>
      <w:pPr>
        <w:topLinePunct/>
        <w:spacing w:line="500" w:lineRule="exact"/>
        <w:ind w:firstLine="480" w:firstLineChars="200"/>
        <w:rPr>
          <w:color w:val="000000"/>
          <w:sz w:val="24"/>
        </w:rPr>
      </w:pPr>
      <w:r>
        <w:rPr>
          <w:color w:val="000000"/>
          <w:sz w:val="24"/>
        </w:rPr>
        <w:t>（1）环境保护职责管理制度</w:t>
      </w:r>
    </w:p>
    <w:p>
      <w:pPr>
        <w:topLinePunct/>
        <w:spacing w:line="500" w:lineRule="exact"/>
        <w:ind w:firstLine="480" w:firstLineChars="200"/>
        <w:rPr>
          <w:color w:val="000000"/>
          <w:sz w:val="24"/>
        </w:rPr>
      </w:pPr>
      <w:r>
        <w:rPr>
          <w:color w:val="000000"/>
          <w:sz w:val="24"/>
        </w:rPr>
        <w:t>（2）污水、废气、固体废物排放管理制度</w:t>
      </w:r>
    </w:p>
    <w:p>
      <w:pPr>
        <w:topLinePunct/>
        <w:spacing w:line="500" w:lineRule="exact"/>
        <w:ind w:firstLine="480" w:firstLineChars="200"/>
        <w:rPr>
          <w:color w:val="000000"/>
          <w:sz w:val="24"/>
        </w:rPr>
      </w:pPr>
      <w:r>
        <w:rPr>
          <w:color w:val="000000"/>
          <w:sz w:val="24"/>
        </w:rPr>
        <w:t>（3）处理装置日常运行管理制度</w:t>
      </w:r>
    </w:p>
    <w:p>
      <w:pPr>
        <w:topLinePunct/>
        <w:spacing w:line="500" w:lineRule="exact"/>
        <w:ind w:firstLine="480" w:firstLineChars="200"/>
        <w:rPr>
          <w:color w:val="000000"/>
          <w:sz w:val="24"/>
        </w:rPr>
      </w:pPr>
      <w:r>
        <w:rPr>
          <w:color w:val="000000"/>
          <w:sz w:val="24"/>
        </w:rPr>
        <w:t>（4）排污情况报告制度</w:t>
      </w:r>
    </w:p>
    <w:p>
      <w:pPr>
        <w:topLinePunct/>
        <w:spacing w:line="500" w:lineRule="exact"/>
        <w:ind w:firstLine="480" w:firstLineChars="200"/>
        <w:rPr>
          <w:color w:val="000000"/>
          <w:sz w:val="24"/>
        </w:rPr>
      </w:pPr>
      <w:r>
        <w:rPr>
          <w:color w:val="000000"/>
          <w:sz w:val="24"/>
        </w:rPr>
        <w:t>（5）污染事故处理制度</w:t>
      </w:r>
    </w:p>
    <w:p>
      <w:pPr>
        <w:topLinePunct/>
        <w:spacing w:line="500" w:lineRule="exact"/>
        <w:ind w:firstLine="480" w:firstLineChars="200"/>
        <w:rPr>
          <w:color w:val="000000"/>
          <w:sz w:val="24"/>
        </w:rPr>
      </w:pPr>
      <w:r>
        <w:rPr>
          <w:color w:val="000000"/>
          <w:sz w:val="24"/>
        </w:rPr>
        <w:t>（6）环保教育制度</w:t>
      </w:r>
    </w:p>
    <w:p>
      <w:pPr>
        <w:topLinePunct/>
        <w:spacing w:line="500" w:lineRule="exact"/>
        <w:ind w:firstLine="480" w:firstLineChars="200"/>
        <w:rPr>
          <w:color w:val="000000"/>
          <w:sz w:val="24"/>
        </w:rPr>
      </w:pPr>
      <w:r>
        <w:rPr>
          <w:color w:val="000000"/>
          <w:sz w:val="24"/>
        </w:rPr>
        <w:t>（7）施肥系统制度化、规范化</w:t>
      </w:r>
    </w:p>
    <w:p>
      <w:pPr>
        <w:topLinePunct/>
        <w:spacing w:line="500" w:lineRule="exact"/>
        <w:ind w:firstLine="480" w:firstLineChars="200"/>
        <w:rPr>
          <w:color w:val="000000"/>
          <w:sz w:val="24"/>
        </w:rPr>
      </w:pPr>
      <w:r>
        <w:rPr>
          <w:color w:val="000000"/>
          <w:sz w:val="24"/>
        </w:rPr>
        <w:t>（8）建立轮作制度、施肥进行企业化管理</w:t>
      </w:r>
    </w:p>
    <w:p>
      <w:pPr>
        <w:topLinePunct/>
        <w:spacing w:line="500" w:lineRule="exact"/>
        <w:ind w:firstLine="480" w:firstLineChars="200"/>
        <w:rPr>
          <w:color w:val="000000"/>
          <w:sz w:val="24"/>
        </w:rPr>
      </w:pPr>
      <w:r>
        <w:rPr>
          <w:color w:val="000000"/>
          <w:sz w:val="24"/>
        </w:rPr>
        <w:t>（9）场外（沼液输送及施肥）环保管理制度</w:t>
      </w:r>
    </w:p>
    <w:p>
      <w:pPr>
        <w:pStyle w:val="5"/>
        <w:spacing w:before="156" w:after="156"/>
        <w:rPr>
          <w:rFonts w:hAnsi="Times New Roman"/>
          <w:color w:val="000000"/>
        </w:rPr>
      </w:pPr>
      <w:bookmarkStart w:id="292" w:name="_Toc375206219"/>
      <w:bookmarkStart w:id="293" w:name="_Toc6679"/>
      <w:bookmarkStart w:id="294" w:name="_Toc488572578"/>
      <w:r>
        <w:rPr>
          <w:rFonts w:hint="eastAsia" w:hAnsi="Times New Roman"/>
          <w:color w:val="000000"/>
          <w:lang w:val="en-US" w:eastAsia="zh-CN"/>
        </w:rPr>
        <w:t>6</w:t>
      </w:r>
      <w:r>
        <w:rPr>
          <w:rFonts w:hAnsi="Times New Roman"/>
          <w:color w:val="000000"/>
        </w:rPr>
        <w:t>.2 环境监测</w:t>
      </w:r>
      <w:bookmarkEnd w:id="292"/>
      <w:r>
        <w:rPr>
          <w:rFonts w:hAnsi="Times New Roman"/>
          <w:color w:val="000000"/>
        </w:rPr>
        <w:t>制度建议</w:t>
      </w:r>
      <w:bookmarkEnd w:id="293"/>
      <w:bookmarkEnd w:id="294"/>
    </w:p>
    <w:p>
      <w:pPr>
        <w:topLinePunct/>
        <w:spacing w:line="600" w:lineRule="exact"/>
        <w:outlineLvl w:val="2"/>
        <w:rPr>
          <w:b/>
          <w:bCs/>
          <w:color w:val="000000"/>
          <w:sz w:val="24"/>
        </w:rPr>
      </w:pPr>
      <w:r>
        <w:rPr>
          <w:rFonts w:hint="eastAsia"/>
          <w:b/>
          <w:bCs/>
          <w:color w:val="000000"/>
          <w:sz w:val="24"/>
          <w:lang w:val="en-US" w:eastAsia="zh-CN"/>
        </w:rPr>
        <w:t>6</w:t>
      </w:r>
      <w:r>
        <w:rPr>
          <w:b/>
          <w:bCs/>
          <w:color w:val="000000"/>
          <w:sz w:val="24"/>
        </w:rPr>
        <w:t>.2.1 环境监测目的</w:t>
      </w:r>
    </w:p>
    <w:p>
      <w:pPr>
        <w:topLinePunct/>
        <w:spacing w:line="500" w:lineRule="exact"/>
        <w:ind w:firstLine="480" w:firstLineChars="200"/>
        <w:rPr>
          <w:color w:val="000000"/>
          <w:sz w:val="24"/>
        </w:rPr>
      </w:pPr>
      <w:r>
        <w:rPr>
          <w:color w:val="000000"/>
          <w:sz w:val="24"/>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topLinePunct/>
        <w:spacing w:line="600" w:lineRule="exact"/>
        <w:outlineLvl w:val="2"/>
        <w:rPr>
          <w:b/>
          <w:bCs/>
          <w:color w:val="000000"/>
          <w:sz w:val="24"/>
        </w:rPr>
      </w:pPr>
      <w:r>
        <w:rPr>
          <w:rFonts w:hint="eastAsia"/>
          <w:b/>
          <w:bCs/>
          <w:color w:val="000000"/>
          <w:sz w:val="24"/>
          <w:lang w:val="en-US" w:eastAsia="zh-CN"/>
        </w:rPr>
        <w:t>6</w:t>
      </w:r>
      <w:r>
        <w:rPr>
          <w:b/>
          <w:bCs/>
          <w:color w:val="000000"/>
          <w:sz w:val="24"/>
        </w:rPr>
        <w:t>.2.2 环境监测机构</w:t>
      </w:r>
    </w:p>
    <w:p>
      <w:pPr>
        <w:topLinePunct/>
        <w:spacing w:line="500" w:lineRule="exact"/>
        <w:ind w:firstLine="480" w:firstLineChars="200"/>
        <w:rPr>
          <w:color w:val="000000"/>
          <w:sz w:val="24"/>
        </w:rPr>
      </w:pPr>
      <w:r>
        <w:rPr>
          <w:color w:val="000000"/>
          <w:sz w:val="24"/>
        </w:rPr>
        <w:t>建议该项目营运期的环境监测工作委托有资质的环境监测站承担，日常的生产例行监测则由内部执行。评价建议养殖场配备1名专职环境监测人员，负责养殖场运行期环境监测工作，仪器设备配置污水计量装置、污水比例采样器、COD检测仪、生化培养箱等。</w:t>
      </w:r>
    </w:p>
    <w:p>
      <w:pPr>
        <w:topLinePunct/>
        <w:spacing w:line="600" w:lineRule="exact"/>
        <w:outlineLvl w:val="2"/>
        <w:rPr>
          <w:b/>
          <w:bCs/>
          <w:color w:val="000000"/>
          <w:sz w:val="24"/>
        </w:rPr>
      </w:pPr>
      <w:r>
        <w:rPr>
          <w:rFonts w:hint="eastAsia"/>
          <w:b/>
          <w:bCs/>
          <w:color w:val="000000"/>
          <w:sz w:val="24"/>
          <w:lang w:val="en-US" w:eastAsia="zh-CN"/>
        </w:rPr>
        <w:t>6</w:t>
      </w:r>
      <w:r>
        <w:rPr>
          <w:b/>
          <w:bCs/>
          <w:color w:val="000000"/>
          <w:sz w:val="24"/>
        </w:rPr>
        <w:t>.2.3监测项目及监测计划</w:t>
      </w:r>
    </w:p>
    <w:p>
      <w:pPr>
        <w:topLinePunct/>
        <w:spacing w:line="500" w:lineRule="exact"/>
        <w:ind w:firstLine="480" w:firstLineChars="200"/>
        <w:rPr>
          <w:color w:val="000000"/>
          <w:sz w:val="24"/>
        </w:rPr>
      </w:pPr>
      <w:r>
        <w:rPr>
          <w:color w:val="000000"/>
          <w:sz w:val="24"/>
        </w:rPr>
        <w:t>主要包括废气、废水、噪声、固体废物等污染源监测及场区周围环境质量的定期监测。</w:t>
      </w:r>
    </w:p>
    <w:p>
      <w:pPr>
        <w:topLinePunct/>
        <w:spacing w:beforeLines="50" w:afterLines="50"/>
        <w:jc w:val="center"/>
        <w:rPr>
          <w:b/>
          <w:color w:val="000000"/>
          <w:szCs w:val="21"/>
        </w:rPr>
      </w:pPr>
      <w:r>
        <w:rPr>
          <w:b/>
          <w:bCs/>
          <w:color w:val="000000"/>
          <w:szCs w:val="21"/>
        </w:rPr>
        <w:t>表</w:t>
      </w:r>
      <w:r>
        <w:rPr>
          <w:rFonts w:hint="eastAsia"/>
          <w:b/>
          <w:bCs/>
          <w:color w:val="000000"/>
          <w:szCs w:val="21"/>
          <w:lang w:val="en-US" w:eastAsia="zh-CN"/>
        </w:rPr>
        <w:t>6.2-1</w:t>
      </w:r>
      <w:r>
        <w:rPr>
          <w:b/>
          <w:bCs/>
          <w:color w:val="000000"/>
          <w:szCs w:val="21"/>
        </w:rPr>
        <w:t xml:space="preserve">    环境监测计划一览表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151"/>
        <w:gridCol w:w="2975"/>
        <w:gridCol w:w="21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44" w:type="dxa"/>
            <w:vAlign w:val="center"/>
          </w:tcPr>
          <w:p>
            <w:pPr>
              <w:topLinePunct/>
              <w:adjustRightInd w:val="0"/>
              <w:snapToGrid w:val="0"/>
              <w:spacing w:line="320" w:lineRule="exact"/>
              <w:jc w:val="center"/>
              <w:rPr>
                <w:color w:val="000000"/>
                <w:szCs w:val="21"/>
              </w:rPr>
            </w:pPr>
            <w:r>
              <w:rPr>
                <w:color w:val="000000"/>
                <w:szCs w:val="21"/>
              </w:rPr>
              <w:t>项目</w:t>
            </w:r>
          </w:p>
        </w:tc>
        <w:tc>
          <w:tcPr>
            <w:tcW w:w="3151" w:type="dxa"/>
            <w:vAlign w:val="center"/>
          </w:tcPr>
          <w:p>
            <w:pPr>
              <w:topLinePunct/>
              <w:adjustRightInd w:val="0"/>
              <w:snapToGrid w:val="0"/>
              <w:spacing w:line="320" w:lineRule="exact"/>
              <w:jc w:val="center"/>
              <w:rPr>
                <w:color w:val="000000"/>
                <w:szCs w:val="21"/>
              </w:rPr>
            </w:pPr>
            <w:r>
              <w:rPr>
                <w:color w:val="000000"/>
                <w:szCs w:val="21"/>
              </w:rPr>
              <w:t>监测点位</w:t>
            </w:r>
          </w:p>
        </w:tc>
        <w:tc>
          <w:tcPr>
            <w:tcW w:w="2975" w:type="dxa"/>
            <w:vAlign w:val="center"/>
          </w:tcPr>
          <w:p>
            <w:pPr>
              <w:topLinePunct/>
              <w:adjustRightInd w:val="0"/>
              <w:snapToGrid w:val="0"/>
              <w:spacing w:line="320" w:lineRule="exact"/>
              <w:jc w:val="center"/>
              <w:rPr>
                <w:color w:val="000000"/>
                <w:szCs w:val="21"/>
              </w:rPr>
            </w:pPr>
            <w:r>
              <w:rPr>
                <w:color w:val="000000"/>
                <w:szCs w:val="21"/>
              </w:rPr>
              <w:t>监测内容</w:t>
            </w:r>
          </w:p>
        </w:tc>
        <w:tc>
          <w:tcPr>
            <w:tcW w:w="2176" w:type="dxa"/>
            <w:vAlign w:val="center"/>
          </w:tcPr>
          <w:p>
            <w:pPr>
              <w:topLinePunct/>
              <w:adjustRightInd w:val="0"/>
              <w:snapToGrid w:val="0"/>
              <w:spacing w:line="320" w:lineRule="exact"/>
              <w:jc w:val="center"/>
              <w:rPr>
                <w:color w:val="000000"/>
                <w:szCs w:val="21"/>
              </w:rPr>
            </w:pPr>
            <w:r>
              <w:rPr>
                <w:color w:val="000000"/>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4" w:type="dxa"/>
            <w:vAlign w:val="center"/>
          </w:tcPr>
          <w:p>
            <w:pPr>
              <w:topLinePunct/>
              <w:adjustRightInd w:val="0"/>
              <w:snapToGrid w:val="0"/>
              <w:spacing w:line="320" w:lineRule="exact"/>
              <w:jc w:val="center"/>
              <w:rPr>
                <w:color w:val="000000"/>
                <w:szCs w:val="21"/>
              </w:rPr>
            </w:pPr>
            <w:r>
              <w:rPr>
                <w:color w:val="000000"/>
                <w:szCs w:val="21"/>
              </w:rPr>
              <w:t>废气</w:t>
            </w:r>
          </w:p>
        </w:tc>
        <w:tc>
          <w:tcPr>
            <w:tcW w:w="3151" w:type="dxa"/>
            <w:vAlign w:val="center"/>
          </w:tcPr>
          <w:p>
            <w:pPr>
              <w:topLinePunct/>
              <w:adjustRightInd w:val="0"/>
              <w:snapToGrid w:val="0"/>
              <w:spacing w:line="320" w:lineRule="exact"/>
              <w:jc w:val="center"/>
              <w:rPr>
                <w:color w:val="000000"/>
                <w:szCs w:val="21"/>
              </w:rPr>
            </w:pPr>
            <w:r>
              <w:rPr>
                <w:color w:val="000000"/>
                <w:szCs w:val="21"/>
              </w:rPr>
              <w:t>四周场界</w:t>
            </w:r>
          </w:p>
        </w:tc>
        <w:tc>
          <w:tcPr>
            <w:tcW w:w="2975" w:type="dxa"/>
            <w:vAlign w:val="center"/>
          </w:tcPr>
          <w:p>
            <w:pPr>
              <w:topLinePunct/>
              <w:adjustRightInd w:val="0"/>
              <w:snapToGrid w:val="0"/>
              <w:spacing w:line="320" w:lineRule="exact"/>
              <w:jc w:val="center"/>
              <w:rPr>
                <w:color w:val="000000"/>
                <w:szCs w:val="21"/>
              </w:rPr>
            </w:pPr>
            <w:r>
              <w:rPr>
                <w:color w:val="000000"/>
                <w:szCs w:val="21"/>
              </w:rPr>
              <w:t>H</w:t>
            </w:r>
            <w:r>
              <w:rPr>
                <w:color w:val="000000"/>
                <w:szCs w:val="21"/>
                <w:vertAlign w:val="subscript"/>
              </w:rPr>
              <w:t>2</w:t>
            </w:r>
            <w:r>
              <w:rPr>
                <w:color w:val="000000"/>
                <w:szCs w:val="21"/>
              </w:rPr>
              <w:t>S、NH</w:t>
            </w:r>
            <w:r>
              <w:rPr>
                <w:color w:val="000000"/>
                <w:szCs w:val="21"/>
                <w:vertAlign w:val="subscript"/>
              </w:rPr>
              <w:t>3</w:t>
            </w:r>
          </w:p>
        </w:tc>
        <w:tc>
          <w:tcPr>
            <w:tcW w:w="2176" w:type="dxa"/>
            <w:vAlign w:val="center"/>
          </w:tcPr>
          <w:p>
            <w:pPr>
              <w:topLinePunct/>
              <w:adjustRightInd w:val="0"/>
              <w:snapToGrid w:val="0"/>
              <w:spacing w:line="320" w:lineRule="exact"/>
              <w:jc w:val="center"/>
              <w:rPr>
                <w:color w:val="000000"/>
                <w:szCs w:val="21"/>
              </w:rPr>
            </w:pPr>
            <w:r>
              <w:rPr>
                <w:color w:val="000000"/>
                <w:szCs w:val="21"/>
              </w:rPr>
              <w:t>建议每年监测一次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4" w:type="dxa"/>
            <w:vAlign w:val="center"/>
          </w:tcPr>
          <w:p>
            <w:pPr>
              <w:topLinePunct/>
              <w:adjustRightInd w:val="0"/>
              <w:snapToGrid w:val="0"/>
              <w:spacing w:line="320" w:lineRule="exact"/>
              <w:jc w:val="center"/>
              <w:rPr>
                <w:color w:val="000000"/>
                <w:szCs w:val="21"/>
              </w:rPr>
            </w:pPr>
            <w:r>
              <w:rPr>
                <w:color w:val="000000"/>
                <w:szCs w:val="21"/>
              </w:rPr>
              <w:t>废水</w:t>
            </w:r>
          </w:p>
        </w:tc>
        <w:tc>
          <w:tcPr>
            <w:tcW w:w="3151" w:type="dxa"/>
            <w:vAlign w:val="center"/>
          </w:tcPr>
          <w:p>
            <w:pPr>
              <w:topLinePunct/>
              <w:adjustRightInd w:val="0"/>
              <w:snapToGrid w:val="0"/>
              <w:spacing w:line="320" w:lineRule="exact"/>
              <w:jc w:val="center"/>
              <w:rPr>
                <w:color w:val="000000"/>
                <w:szCs w:val="21"/>
              </w:rPr>
            </w:pPr>
            <w:r>
              <w:rPr>
                <w:color w:val="000000"/>
                <w:szCs w:val="21"/>
              </w:rPr>
              <w:t>养殖场污水处理设施进、出口</w:t>
            </w:r>
          </w:p>
        </w:tc>
        <w:tc>
          <w:tcPr>
            <w:tcW w:w="2975" w:type="dxa"/>
            <w:vAlign w:val="center"/>
          </w:tcPr>
          <w:p>
            <w:pPr>
              <w:topLinePunct/>
              <w:adjustRightInd w:val="0"/>
              <w:snapToGrid w:val="0"/>
              <w:spacing w:line="320" w:lineRule="exact"/>
              <w:jc w:val="center"/>
              <w:rPr>
                <w:color w:val="000000"/>
                <w:szCs w:val="21"/>
              </w:rPr>
            </w:pPr>
            <w:r>
              <w:rPr>
                <w:color w:val="000000"/>
                <w:szCs w:val="21"/>
              </w:rPr>
              <w:t>pH、BOD</w:t>
            </w:r>
            <w:r>
              <w:rPr>
                <w:color w:val="000000"/>
                <w:szCs w:val="21"/>
                <w:vertAlign w:val="subscript"/>
              </w:rPr>
              <w:t>5</w:t>
            </w:r>
            <w:r>
              <w:rPr>
                <w:color w:val="000000"/>
                <w:szCs w:val="21"/>
              </w:rPr>
              <w:t>、COD、氨氮、粪大肠菌群及排水量</w:t>
            </w:r>
          </w:p>
        </w:tc>
        <w:tc>
          <w:tcPr>
            <w:tcW w:w="2176" w:type="dxa"/>
            <w:vAlign w:val="center"/>
          </w:tcPr>
          <w:p>
            <w:pPr>
              <w:topLinePunct/>
              <w:adjustRightInd w:val="0"/>
              <w:snapToGrid w:val="0"/>
              <w:spacing w:line="320" w:lineRule="exact"/>
              <w:jc w:val="center"/>
              <w:rPr>
                <w:color w:val="000000"/>
                <w:szCs w:val="21"/>
              </w:rPr>
            </w:pPr>
            <w:r>
              <w:rPr>
                <w:color w:val="000000"/>
                <w:szCs w:val="21"/>
              </w:rPr>
              <w:t>建议每年监测一次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44" w:type="dxa"/>
            <w:vAlign w:val="center"/>
          </w:tcPr>
          <w:p>
            <w:pPr>
              <w:topLinePunct/>
              <w:adjustRightInd w:val="0"/>
              <w:snapToGrid w:val="0"/>
              <w:spacing w:line="320" w:lineRule="exact"/>
              <w:jc w:val="center"/>
              <w:rPr>
                <w:color w:val="000000"/>
                <w:szCs w:val="21"/>
              </w:rPr>
            </w:pPr>
            <w:r>
              <w:rPr>
                <w:color w:val="000000"/>
                <w:szCs w:val="21"/>
              </w:rPr>
              <w:t>地下水</w:t>
            </w:r>
          </w:p>
        </w:tc>
        <w:tc>
          <w:tcPr>
            <w:tcW w:w="3151" w:type="dxa"/>
            <w:vAlign w:val="center"/>
          </w:tcPr>
          <w:p>
            <w:pPr>
              <w:topLinePunct/>
              <w:adjustRightInd w:val="0"/>
              <w:snapToGrid w:val="0"/>
              <w:spacing w:line="320" w:lineRule="exact"/>
              <w:jc w:val="center"/>
              <w:rPr>
                <w:color w:val="000000"/>
                <w:szCs w:val="21"/>
              </w:rPr>
            </w:pPr>
            <w:r>
              <w:rPr>
                <w:color w:val="000000"/>
                <w:szCs w:val="21"/>
              </w:rPr>
              <w:t>在配套</w:t>
            </w:r>
            <w:r>
              <w:rPr>
                <w:rFonts w:hint="eastAsia"/>
                <w:color w:val="000000"/>
                <w:szCs w:val="21"/>
                <w:lang w:val="en-US" w:eastAsia="zh-CN"/>
              </w:rPr>
              <w:t>消纳地</w:t>
            </w:r>
            <w:r>
              <w:rPr>
                <w:color w:val="000000"/>
                <w:szCs w:val="21"/>
              </w:rPr>
              <w:t>西侧和东侧方位各设置1口地下水观测井，场区沼液池东侧侧设置1口地下水观测</w:t>
            </w:r>
          </w:p>
        </w:tc>
        <w:tc>
          <w:tcPr>
            <w:tcW w:w="2975" w:type="dxa"/>
            <w:vAlign w:val="center"/>
          </w:tcPr>
          <w:p>
            <w:pPr>
              <w:topLinePunct/>
              <w:adjustRightInd w:val="0"/>
              <w:snapToGrid w:val="0"/>
              <w:spacing w:line="320" w:lineRule="exact"/>
              <w:jc w:val="center"/>
              <w:rPr>
                <w:color w:val="000000"/>
                <w:szCs w:val="21"/>
              </w:rPr>
            </w:pPr>
            <w:r>
              <w:rPr>
                <w:color w:val="000000"/>
                <w:szCs w:val="21"/>
              </w:rPr>
              <w:t>pH、高锰酸盐指数、氨氮、总硬度、硝酸盐、亚硝酸盐、总大肠菌群及镉、砷、铅、汞、铜、锌等重金属</w:t>
            </w:r>
          </w:p>
        </w:tc>
        <w:tc>
          <w:tcPr>
            <w:tcW w:w="2176" w:type="dxa"/>
            <w:vAlign w:val="center"/>
          </w:tcPr>
          <w:p>
            <w:pPr>
              <w:topLinePunct/>
              <w:adjustRightInd w:val="0"/>
              <w:snapToGrid w:val="0"/>
              <w:spacing w:line="320" w:lineRule="exact"/>
              <w:jc w:val="center"/>
              <w:rPr>
                <w:color w:val="000000"/>
                <w:szCs w:val="21"/>
              </w:rPr>
            </w:pPr>
            <w:r>
              <w:rPr>
                <w:color w:val="000000"/>
                <w:szCs w:val="21"/>
              </w:rPr>
              <w:t>建议每半年监测一次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644" w:type="dxa"/>
            <w:vAlign w:val="center"/>
          </w:tcPr>
          <w:p>
            <w:pPr>
              <w:topLinePunct/>
              <w:adjustRightInd w:val="0"/>
              <w:snapToGrid w:val="0"/>
              <w:spacing w:line="320" w:lineRule="exact"/>
              <w:jc w:val="center"/>
              <w:rPr>
                <w:color w:val="000000"/>
                <w:szCs w:val="21"/>
              </w:rPr>
            </w:pPr>
            <w:r>
              <w:rPr>
                <w:color w:val="000000"/>
                <w:szCs w:val="21"/>
              </w:rPr>
              <w:t>噪声</w:t>
            </w:r>
          </w:p>
        </w:tc>
        <w:tc>
          <w:tcPr>
            <w:tcW w:w="3151" w:type="dxa"/>
            <w:vAlign w:val="center"/>
          </w:tcPr>
          <w:p>
            <w:pPr>
              <w:topLinePunct/>
              <w:adjustRightInd w:val="0"/>
              <w:snapToGrid w:val="0"/>
              <w:spacing w:line="320" w:lineRule="exact"/>
              <w:jc w:val="center"/>
              <w:rPr>
                <w:color w:val="000000"/>
                <w:szCs w:val="21"/>
              </w:rPr>
            </w:pPr>
            <w:r>
              <w:rPr>
                <w:color w:val="000000"/>
                <w:szCs w:val="21"/>
              </w:rPr>
              <w:t>四周场界外1m</w:t>
            </w:r>
          </w:p>
        </w:tc>
        <w:tc>
          <w:tcPr>
            <w:tcW w:w="2975" w:type="dxa"/>
            <w:vAlign w:val="center"/>
          </w:tcPr>
          <w:p>
            <w:pPr>
              <w:topLinePunct/>
              <w:adjustRightInd w:val="0"/>
              <w:snapToGrid w:val="0"/>
              <w:spacing w:line="320" w:lineRule="exact"/>
              <w:jc w:val="center"/>
              <w:rPr>
                <w:color w:val="000000"/>
                <w:szCs w:val="21"/>
              </w:rPr>
            </w:pPr>
            <w:r>
              <w:rPr>
                <w:color w:val="000000"/>
                <w:szCs w:val="21"/>
              </w:rPr>
              <w:t>噪声值</w:t>
            </w:r>
          </w:p>
        </w:tc>
        <w:tc>
          <w:tcPr>
            <w:tcW w:w="2176" w:type="dxa"/>
            <w:vAlign w:val="center"/>
          </w:tcPr>
          <w:p>
            <w:pPr>
              <w:topLinePunct/>
              <w:adjustRightInd w:val="0"/>
              <w:snapToGrid w:val="0"/>
              <w:spacing w:line="320" w:lineRule="exact"/>
              <w:jc w:val="center"/>
              <w:rPr>
                <w:color w:val="000000"/>
                <w:szCs w:val="21"/>
              </w:rPr>
            </w:pPr>
            <w:r>
              <w:rPr>
                <w:color w:val="000000"/>
                <w:szCs w:val="21"/>
              </w:rPr>
              <w:t>建议每半年监测一次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44" w:type="dxa"/>
            <w:vAlign w:val="center"/>
          </w:tcPr>
          <w:p>
            <w:pPr>
              <w:topLinePunct/>
              <w:adjustRightInd w:val="0"/>
              <w:snapToGrid w:val="0"/>
              <w:spacing w:line="320" w:lineRule="exact"/>
              <w:jc w:val="center"/>
              <w:rPr>
                <w:color w:val="000000"/>
                <w:szCs w:val="21"/>
              </w:rPr>
            </w:pPr>
            <w:r>
              <w:rPr>
                <w:color w:val="000000"/>
                <w:szCs w:val="21"/>
              </w:rPr>
              <w:t>土壤</w:t>
            </w:r>
          </w:p>
        </w:tc>
        <w:tc>
          <w:tcPr>
            <w:tcW w:w="3151" w:type="dxa"/>
            <w:vAlign w:val="center"/>
          </w:tcPr>
          <w:p>
            <w:pPr>
              <w:topLinePunct/>
              <w:adjustRightInd w:val="0"/>
              <w:snapToGrid w:val="0"/>
              <w:spacing w:line="320" w:lineRule="exact"/>
              <w:jc w:val="center"/>
              <w:rPr>
                <w:color w:val="000000"/>
                <w:szCs w:val="21"/>
              </w:rPr>
            </w:pPr>
            <w:r>
              <w:rPr>
                <w:color w:val="000000"/>
                <w:szCs w:val="21"/>
              </w:rPr>
              <w:t>配套农田</w:t>
            </w:r>
          </w:p>
        </w:tc>
        <w:tc>
          <w:tcPr>
            <w:tcW w:w="2975" w:type="dxa"/>
            <w:vAlign w:val="center"/>
          </w:tcPr>
          <w:p>
            <w:pPr>
              <w:topLinePunct/>
              <w:adjustRightInd w:val="0"/>
              <w:snapToGrid w:val="0"/>
              <w:spacing w:line="320" w:lineRule="exact"/>
              <w:jc w:val="center"/>
              <w:rPr>
                <w:color w:val="000000"/>
                <w:szCs w:val="21"/>
              </w:rPr>
            </w:pPr>
            <w:r>
              <w:rPr>
                <w:color w:val="000000"/>
                <w:szCs w:val="21"/>
              </w:rPr>
              <w:t>pH、铜、砷、锌等重金属及氮、磷、钾等土壤养分的跟踪监测</w:t>
            </w:r>
          </w:p>
        </w:tc>
        <w:tc>
          <w:tcPr>
            <w:tcW w:w="2176" w:type="dxa"/>
            <w:vAlign w:val="center"/>
          </w:tcPr>
          <w:p>
            <w:pPr>
              <w:topLinePunct/>
              <w:adjustRightInd w:val="0"/>
              <w:snapToGrid w:val="0"/>
              <w:spacing w:line="320" w:lineRule="exact"/>
              <w:jc w:val="center"/>
              <w:rPr>
                <w:color w:val="000000"/>
                <w:szCs w:val="21"/>
              </w:rPr>
            </w:pPr>
            <w:r>
              <w:rPr>
                <w:color w:val="000000"/>
                <w:szCs w:val="21"/>
              </w:rPr>
              <w:t>建议每3年监测一次</w:t>
            </w:r>
          </w:p>
        </w:tc>
      </w:tr>
    </w:tbl>
    <w:p>
      <w:pPr>
        <w:widowControl/>
        <w:topLinePunct/>
        <w:snapToGrid w:val="0"/>
        <w:spacing w:line="500" w:lineRule="exact"/>
        <w:ind w:firstLine="480" w:firstLineChars="200"/>
        <w:rPr>
          <w:color w:val="000000"/>
          <w:sz w:val="24"/>
        </w:rPr>
      </w:pPr>
      <w:r>
        <w:rPr>
          <w:color w:val="000000"/>
          <w:sz w:val="24"/>
        </w:rPr>
        <w:t>上述监测任务也可委托当地有资质的单位进行监测。监测结果和污染防治措施运行情况等应以报表形式上报</w:t>
      </w:r>
      <w:r>
        <w:rPr>
          <w:rFonts w:hint="eastAsia"/>
          <w:color w:val="000000"/>
          <w:sz w:val="24"/>
          <w:lang w:eastAsia="zh-CN"/>
        </w:rPr>
        <w:t>正阳县</w:t>
      </w:r>
      <w:r>
        <w:rPr>
          <w:color w:val="000000"/>
          <w:sz w:val="24"/>
        </w:rPr>
        <w:t>环保局备案。另外，建议建设单位对沼液消纳地范围内的地下水、土壤根跟踪监测的结果进行统计分析，了解其变化范围及规律，进一步探索沼液施用的合理方案，以达到沼液长期持续施用、并能够改善土壤环境质量的目的。</w:t>
      </w:r>
    </w:p>
    <w:p>
      <w:pPr>
        <w:widowControl/>
        <w:topLinePunct/>
        <w:snapToGrid w:val="0"/>
        <w:spacing w:line="500" w:lineRule="exact"/>
        <w:ind w:firstLine="420" w:firstLineChars="200"/>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p>
    <w:p>
      <w:pPr>
        <w:keepNext/>
        <w:keepLines/>
        <w:spacing w:before="100" w:beforeAutospacing="1" w:after="100" w:afterAutospacing="1"/>
        <w:jc w:val="center"/>
        <w:outlineLvl w:val="0"/>
        <w:rPr>
          <w:b/>
          <w:sz w:val="44"/>
          <w:szCs w:val="44"/>
        </w:rPr>
      </w:pPr>
      <w:bookmarkStart w:id="295" w:name="_Toc32078"/>
      <w:bookmarkStart w:id="296" w:name="_Toc375206211"/>
      <w:bookmarkStart w:id="297" w:name="_Toc488572579"/>
      <w:r>
        <w:rPr>
          <w:b/>
          <w:sz w:val="44"/>
          <w:szCs w:val="44"/>
        </w:rPr>
        <w:t>第</w:t>
      </w:r>
      <w:r>
        <w:rPr>
          <w:rFonts w:hint="eastAsia"/>
          <w:b/>
          <w:sz w:val="44"/>
          <w:szCs w:val="44"/>
          <w:lang w:val="en-US" w:eastAsia="zh-CN"/>
        </w:rPr>
        <w:t>七</w:t>
      </w:r>
      <w:r>
        <w:rPr>
          <w:b/>
          <w:sz w:val="44"/>
          <w:szCs w:val="44"/>
        </w:rPr>
        <w:t>章   环境经济损益分析</w:t>
      </w:r>
      <w:bookmarkEnd w:id="295"/>
      <w:bookmarkEnd w:id="296"/>
      <w:bookmarkEnd w:id="297"/>
    </w:p>
    <w:p>
      <w:pPr>
        <w:topLinePunct/>
        <w:spacing w:line="500" w:lineRule="exact"/>
        <w:ind w:firstLine="480" w:firstLineChars="200"/>
        <w:rPr>
          <w:color w:val="000000"/>
          <w:sz w:val="24"/>
        </w:rPr>
      </w:pPr>
      <w:r>
        <w:rPr>
          <w:color w:val="000000"/>
          <w:sz w:val="24"/>
        </w:rPr>
        <w:t>环境影响经济损益分析的主要任务是衡量项目的环保投资所能收到的环境效益和经济效益；建设项目应力争达到社会效益、环境效益、经济效益的统一，这样才能符合可持续发展的要求，实现经济的持续发展和环境质量的不断改善。项目属于畜牧养殖行业，它的建设在一定程度上会给周围环境带来一些负面影响，因此有必要进行经济效益、社会效益、环境效益的综合分析，使项目的建设论证更加充分可靠，工程的设计和实施更加完善，以实现社会的良性发展、经济的持续增长和环境质量的保持与改善。</w:t>
      </w:r>
    </w:p>
    <w:p>
      <w:pPr>
        <w:pStyle w:val="5"/>
        <w:spacing w:before="156" w:after="156"/>
        <w:rPr>
          <w:rFonts w:hAnsi="Times New Roman"/>
          <w:color w:val="000000"/>
        </w:rPr>
      </w:pPr>
      <w:bookmarkStart w:id="298" w:name="_Toc488572580"/>
      <w:bookmarkStart w:id="299" w:name="_Toc18482"/>
      <w:r>
        <w:rPr>
          <w:rFonts w:hint="eastAsia" w:hAnsi="Times New Roman"/>
          <w:color w:val="000000"/>
          <w:lang w:val="en-US" w:eastAsia="zh-CN"/>
        </w:rPr>
        <w:t>7</w:t>
      </w:r>
      <w:r>
        <w:rPr>
          <w:rFonts w:hAnsi="Times New Roman"/>
          <w:color w:val="000000"/>
        </w:rPr>
        <w:t>.1 环保投资估算</w:t>
      </w:r>
      <w:bookmarkEnd w:id="298"/>
      <w:bookmarkEnd w:id="299"/>
    </w:p>
    <w:p>
      <w:pPr>
        <w:topLinePunct/>
        <w:adjustRightInd w:val="0"/>
        <w:snapToGrid w:val="0"/>
        <w:spacing w:line="520" w:lineRule="exact"/>
        <w:ind w:firstLine="480" w:firstLineChars="200"/>
        <w:rPr>
          <w:color w:val="000000"/>
          <w:kern w:val="0"/>
          <w:sz w:val="24"/>
        </w:rPr>
      </w:pPr>
      <w:r>
        <w:rPr>
          <w:color w:val="000000"/>
          <w:kern w:val="0"/>
          <w:sz w:val="24"/>
        </w:rPr>
        <w:t>项目污染防治措施投资包括运行期的污染防治措施的总投资，预计该项费用总投资为</w:t>
      </w:r>
      <w:r>
        <w:rPr>
          <w:rFonts w:hint="eastAsia"/>
          <w:color w:val="000000"/>
          <w:kern w:val="0"/>
          <w:sz w:val="24"/>
          <w:lang w:val="en-US" w:eastAsia="zh-CN"/>
        </w:rPr>
        <w:t>421</w:t>
      </w:r>
      <w:r>
        <w:rPr>
          <w:color w:val="000000"/>
          <w:kern w:val="0"/>
          <w:sz w:val="24"/>
        </w:rPr>
        <w:t>万元，占总投资</w:t>
      </w:r>
      <w:r>
        <w:rPr>
          <w:rFonts w:hint="eastAsia"/>
          <w:color w:val="000000"/>
          <w:kern w:val="0"/>
          <w:sz w:val="24"/>
          <w:lang w:val="en-US" w:eastAsia="zh-CN"/>
        </w:rPr>
        <w:t>2000</w:t>
      </w:r>
      <w:r>
        <w:rPr>
          <w:color w:val="000000"/>
          <w:kern w:val="0"/>
          <w:sz w:val="24"/>
        </w:rPr>
        <w:t>万元的比例为</w:t>
      </w:r>
      <w:r>
        <w:rPr>
          <w:rFonts w:hint="eastAsia"/>
          <w:color w:val="000000"/>
          <w:kern w:val="0"/>
          <w:sz w:val="24"/>
          <w:lang w:val="en-US" w:eastAsia="zh-CN"/>
        </w:rPr>
        <w:t>21</w:t>
      </w:r>
      <w:r>
        <w:rPr>
          <w:color w:val="000000"/>
          <w:kern w:val="0"/>
          <w:sz w:val="24"/>
        </w:rPr>
        <w:t>%。具体见</w:t>
      </w:r>
      <w:r>
        <w:rPr>
          <w:rFonts w:hint="eastAsia"/>
          <w:color w:val="000000"/>
          <w:kern w:val="0"/>
          <w:sz w:val="24"/>
          <w:lang w:val="en-US" w:eastAsia="zh-CN"/>
        </w:rPr>
        <w:t>5.3</w:t>
      </w:r>
      <w:r>
        <w:rPr>
          <w:color w:val="000000"/>
          <w:kern w:val="0"/>
          <w:sz w:val="24"/>
        </w:rPr>
        <w:t>。</w:t>
      </w:r>
    </w:p>
    <w:p>
      <w:pPr>
        <w:pStyle w:val="5"/>
        <w:spacing w:before="156" w:after="156"/>
        <w:rPr>
          <w:rFonts w:hAnsi="Times New Roman"/>
          <w:color w:val="000000"/>
        </w:rPr>
      </w:pPr>
      <w:bookmarkStart w:id="300" w:name="_Toc488572581"/>
      <w:bookmarkStart w:id="301" w:name="_Toc9432"/>
      <w:r>
        <w:rPr>
          <w:rFonts w:hint="eastAsia" w:hAnsi="Times New Roman"/>
          <w:color w:val="000000"/>
          <w:lang w:val="en-US" w:eastAsia="zh-CN"/>
        </w:rPr>
        <w:t>7</w:t>
      </w:r>
      <w:r>
        <w:rPr>
          <w:rFonts w:hAnsi="Times New Roman"/>
          <w:color w:val="000000"/>
        </w:rPr>
        <w:t>.2 环境影响经济损失分析</w:t>
      </w:r>
      <w:bookmarkEnd w:id="300"/>
      <w:bookmarkEnd w:id="301"/>
    </w:p>
    <w:p>
      <w:pPr>
        <w:topLinePunct/>
        <w:spacing w:line="600" w:lineRule="exact"/>
        <w:outlineLvl w:val="2"/>
        <w:rPr>
          <w:b/>
          <w:color w:val="000000"/>
          <w:sz w:val="24"/>
        </w:rPr>
      </w:pPr>
      <w:r>
        <w:rPr>
          <w:rFonts w:hint="eastAsia"/>
          <w:b/>
          <w:color w:val="000000"/>
          <w:sz w:val="24"/>
          <w:lang w:val="en-US" w:eastAsia="zh-CN"/>
        </w:rPr>
        <w:t>7</w:t>
      </w:r>
      <w:r>
        <w:rPr>
          <w:b/>
          <w:color w:val="000000"/>
          <w:sz w:val="24"/>
        </w:rPr>
        <w:t>.2.1</w:t>
      </w:r>
      <w:r>
        <w:rPr>
          <w:b/>
          <w:bCs/>
          <w:color w:val="000000"/>
          <w:sz w:val="24"/>
        </w:rPr>
        <w:t>噪声影响经济损失</w:t>
      </w:r>
    </w:p>
    <w:p>
      <w:pPr>
        <w:topLinePunct/>
        <w:adjustRightInd w:val="0"/>
        <w:snapToGrid w:val="0"/>
        <w:spacing w:line="520" w:lineRule="exact"/>
        <w:ind w:firstLine="480" w:firstLineChars="200"/>
        <w:rPr>
          <w:color w:val="000000"/>
          <w:sz w:val="24"/>
        </w:rPr>
      </w:pPr>
      <w:r>
        <w:rPr>
          <w:color w:val="000000"/>
          <w:sz w:val="24"/>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p>
    <w:p>
      <w:pPr>
        <w:topLinePunct/>
        <w:spacing w:line="600" w:lineRule="exact"/>
        <w:outlineLvl w:val="2"/>
        <w:rPr>
          <w:b/>
          <w:color w:val="000000"/>
          <w:sz w:val="24"/>
        </w:rPr>
      </w:pPr>
      <w:r>
        <w:rPr>
          <w:rFonts w:hint="eastAsia"/>
          <w:b/>
          <w:color w:val="000000"/>
          <w:sz w:val="24"/>
          <w:lang w:val="en-US" w:eastAsia="zh-CN"/>
        </w:rPr>
        <w:t>7</w:t>
      </w:r>
      <w:r>
        <w:rPr>
          <w:b/>
          <w:color w:val="000000"/>
          <w:sz w:val="24"/>
        </w:rPr>
        <w:t xml:space="preserve">.2.2 </w:t>
      </w:r>
      <w:r>
        <w:rPr>
          <w:b/>
          <w:bCs/>
          <w:color w:val="000000"/>
          <w:sz w:val="24"/>
        </w:rPr>
        <w:t>环境空气影响经济损失</w:t>
      </w:r>
    </w:p>
    <w:p>
      <w:pPr>
        <w:topLinePunct/>
        <w:adjustRightInd w:val="0"/>
        <w:snapToGrid w:val="0"/>
        <w:spacing w:line="520" w:lineRule="exact"/>
        <w:ind w:firstLine="480" w:firstLineChars="200"/>
        <w:rPr>
          <w:color w:val="000000"/>
          <w:sz w:val="24"/>
        </w:rPr>
      </w:pPr>
      <w:r>
        <w:rPr>
          <w:color w:val="000000"/>
          <w:sz w:val="24"/>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27"/>
        <w:topLinePunct/>
        <w:spacing w:after="0" w:line="500" w:lineRule="exact"/>
        <w:ind w:left="0" w:leftChars="0" w:firstLine="480" w:firstLineChars="200"/>
        <w:rPr>
          <w:bCs/>
          <w:color w:val="000000"/>
          <w:sz w:val="24"/>
        </w:rPr>
      </w:pPr>
      <w:r>
        <w:rPr>
          <w:bCs/>
          <w:color w:val="000000"/>
          <w:sz w:val="24"/>
        </w:rPr>
        <w:t>恶臭的成分十分复杂，因家畜的种类、清粪方式、日粮组成、粪便和污水处理等不同而异，有机成分是硫醇类、胺类、吲哚、挥发性有机酸、酚类、醛类、酮类、醇类以及含氮杂环化合物等，无机成分主要是NH</w:t>
      </w:r>
      <w:r>
        <w:rPr>
          <w:bCs/>
          <w:color w:val="000000"/>
          <w:sz w:val="24"/>
          <w:vertAlign w:val="subscript"/>
        </w:rPr>
        <w:t>3</w:t>
      </w:r>
      <w:r>
        <w:rPr>
          <w:bCs/>
          <w:color w:val="000000"/>
          <w:sz w:val="24"/>
        </w:rPr>
        <w:t>和H</w:t>
      </w:r>
      <w:r>
        <w:rPr>
          <w:bCs/>
          <w:color w:val="000000"/>
          <w:sz w:val="24"/>
          <w:vertAlign w:val="subscript"/>
        </w:rPr>
        <w:t>2</w:t>
      </w:r>
      <w:r>
        <w:rPr>
          <w:bCs/>
          <w:color w:val="000000"/>
          <w:sz w:val="24"/>
        </w:rPr>
        <w:t>S。</w:t>
      </w:r>
    </w:p>
    <w:p>
      <w:pPr>
        <w:topLinePunct/>
        <w:spacing w:line="500" w:lineRule="exact"/>
        <w:ind w:firstLine="480" w:firstLineChars="200"/>
        <w:rPr>
          <w:color w:val="000000"/>
          <w:kern w:val="0"/>
          <w:sz w:val="24"/>
        </w:rPr>
      </w:pPr>
      <w:r>
        <w:rPr>
          <w:color w:val="000000"/>
          <w:sz w:val="24"/>
        </w:rPr>
        <w:t>本项目建设后，猪舍养殖、粪污处理等过程会产生恶臭气体，通过注意场区卫生、及时冲洗、添加除臭剂等措施可最大限度的减少恶臭气体的排放，另外利用场区内绿化植物及场区外大面积的农田吸收，对周围居民的影响可降至最低。</w:t>
      </w:r>
    </w:p>
    <w:p>
      <w:pPr>
        <w:topLinePunct/>
        <w:spacing w:line="600" w:lineRule="exact"/>
        <w:outlineLvl w:val="2"/>
        <w:rPr>
          <w:b/>
          <w:color w:val="000000"/>
          <w:sz w:val="24"/>
        </w:rPr>
      </w:pPr>
      <w:r>
        <w:rPr>
          <w:rFonts w:hint="eastAsia"/>
          <w:b/>
          <w:color w:val="000000"/>
          <w:sz w:val="24"/>
          <w:lang w:val="en-US" w:eastAsia="zh-CN"/>
        </w:rPr>
        <w:t>7</w:t>
      </w:r>
      <w:r>
        <w:rPr>
          <w:b/>
          <w:color w:val="000000"/>
          <w:sz w:val="24"/>
        </w:rPr>
        <w:t xml:space="preserve">.2.3 </w:t>
      </w:r>
      <w:r>
        <w:rPr>
          <w:b/>
          <w:bCs/>
          <w:color w:val="000000"/>
          <w:sz w:val="24"/>
        </w:rPr>
        <w:t>水环境影响经济损失</w:t>
      </w:r>
    </w:p>
    <w:p>
      <w:pPr>
        <w:topLinePunct/>
        <w:adjustRightInd w:val="0"/>
        <w:snapToGrid w:val="0"/>
        <w:spacing w:line="520" w:lineRule="exact"/>
        <w:ind w:firstLine="480" w:firstLineChars="200"/>
        <w:rPr>
          <w:color w:val="000000"/>
          <w:kern w:val="0"/>
          <w:sz w:val="24"/>
        </w:rPr>
      </w:pPr>
      <w:r>
        <w:rPr>
          <w:color w:val="000000"/>
          <w:kern w:val="0"/>
          <w:sz w:val="24"/>
        </w:rPr>
        <w:t>营运期项目全场产生的污水主要是养殖废水和职工生活污水，全部通过管道输入污水处理站统一处理，之后作为农肥施肥周边农田，因此对环境的影响非常有限。在此，不再估算水污染造成的经济损失。</w:t>
      </w:r>
    </w:p>
    <w:p>
      <w:pPr>
        <w:topLinePunct/>
        <w:spacing w:line="600" w:lineRule="exact"/>
        <w:outlineLvl w:val="2"/>
        <w:rPr>
          <w:b/>
          <w:color w:val="000000"/>
          <w:sz w:val="24"/>
        </w:rPr>
      </w:pPr>
      <w:r>
        <w:rPr>
          <w:rFonts w:hint="eastAsia"/>
          <w:b/>
          <w:color w:val="000000"/>
          <w:sz w:val="24"/>
          <w:lang w:val="en-US" w:eastAsia="zh-CN"/>
        </w:rPr>
        <w:t>7</w:t>
      </w:r>
      <w:r>
        <w:rPr>
          <w:b/>
          <w:color w:val="000000"/>
          <w:sz w:val="24"/>
        </w:rPr>
        <w:t xml:space="preserve">.2.4 </w:t>
      </w:r>
      <w:r>
        <w:rPr>
          <w:b/>
          <w:bCs/>
          <w:color w:val="000000"/>
          <w:sz w:val="24"/>
        </w:rPr>
        <w:t>生态环境影响经济损失</w:t>
      </w:r>
    </w:p>
    <w:p>
      <w:pPr>
        <w:topLinePunct/>
        <w:adjustRightInd w:val="0"/>
        <w:snapToGrid w:val="0"/>
        <w:spacing w:line="520" w:lineRule="exact"/>
        <w:ind w:firstLine="480" w:firstLineChars="200"/>
        <w:rPr>
          <w:color w:val="000000"/>
          <w:kern w:val="0"/>
          <w:sz w:val="24"/>
        </w:rPr>
      </w:pPr>
      <w:r>
        <w:rPr>
          <w:color w:val="000000"/>
          <w:kern w:val="0"/>
          <w:sz w:val="24"/>
        </w:rPr>
        <w:t>本项目的建设将破坏现有农田生态系统，铲除场区现有植被，使得现有植被的经济能力消失，但是项目建成后，新的系统会产生更好的经济效益，对原有生态环境的经济损失做出补偿。</w:t>
      </w:r>
    </w:p>
    <w:p>
      <w:pPr>
        <w:topLinePunct/>
        <w:spacing w:line="600" w:lineRule="exact"/>
        <w:outlineLvl w:val="2"/>
        <w:rPr>
          <w:b/>
          <w:color w:val="000000"/>
          <w:sz w:val="24"/>
        </w:rPr>
      </w:pPr>
      <w:r>
        <w:rPr>
          <w:rFonts w:hint="eastAsia"/>
          <w:b/>
          <w:color w:val="000000"/>
          <w:sz w:val="24"/>
          <w:lang w:val="en-US" w:eastAsia="zh-CN"/>
        </w:rPr>
        <w:t>7</w:t>
      </w:r>
      <w:r>
        <w:rPr>
          <w:b/>
          <w:color w:val="000000"/>
          <w:sz w:val="24"/>
        </w:rPr>
        <w:t xml:space="preserve">.2.5 </w:t>
      </w:r>
      <w:r>
        <w:rPr>
          <w:b/>
          <w:bCs/>
          <w:color w:val="000000"/>
          <w:sz w:val="24"/>
          <w:szCs w:val="28"/>
        </w:rPr>
        <w:t>环保设备运行费用</w:t>
      </w:r>
    </w:p>
    <w:p>
      <w:pPr>
        <w:topLinePunct/>
        <w:spacing w:line="460" w:lineRule="exact"/>
        <w:ind w:firstLine="573"/>
        <w:rPr>
          <w:color w:val="000000"/>
          <w:sz w:val="24"/>
          <w:szCs w:val="28"/>
        </w:rPr>
      </w:pPr>
      <w:r>
        <w:rPr>
          <w:color w:val="000000"/>
          <w:sz w:val="24"/>
          <w:szCs w:val="28"/>
        </w:rPr>
        <w:t>本项目完成后，全场环保设施运行费用包括：电费，环保人员工资及设备折旧、维护费用。年运行费用</w:t>
      </w:r>
      <w:r>
        <w:rPr>
          <w:rFonts w:hint="eastAsia"/>
          <w:color w:val="000000"/>
          <w:sz w:val="24"/>
          <w:szCs w:val="28"/>
          <w:lang w:val="en-US" w:eastAsia="zh-CN"/>
        </w:rPr>
        <w:t>10.5</w:t>
      </w:r>
      <w:r>
        <w:rPr>
          <w:color w:val="000000"/>
          <w:sz w:val="24"/>
          <w:szCs w:val="28"/>
        </w:rPr>
        <w:t>万元，运行费用估算见表</w:t>
      </w:r>
      <w:r>
        <w:rPr>
          <w:rFonts w:hint="eastAsia"/>
          <w:color w:val="000000"/>
          <w:sz w:val="24"/>
          <w:szCs w:val="28"/>
          <w:lang w:val="en-US" w:eastAsia="zh-CN"/>
        </w:rPr>
        <w:t>7.2-1</w:t>
      </w:r>
      <w:r>
        <w:rPr>
          <w:color w:val="000000"/>
          <w:sz w:val="24"/>
          <w:szCs w:val="28"/>
        </w:rPr>
        <w:t>。</w:t>
      </w:r>
    </w:p>
    <w:p>
      <w:pPr>
        <w:topLinePunct/>
        <w:spacing w:line="500" w:lineRule="exact"/>
        <w:jc w:val="center"/>
        <w:rPr>
          <w:b/>
          <w:bCs/>
          <w:color w:val="000000"/>
          <w:szCs w:val="21"/>
        </w:rPr>
      </w:pPr>
      <w:r>
        <w:rPr>
          <w:b/>
          <w:bCs/>
          <w:color w:val="000000"/>
          <w:szCs w:val="21"/>
        </w:rPr>
        <w:t>表</w:t>
      </w:r>
      <w:r>
        <w:rPr>
          <w:rFonts w:hint="eastAsia"/>
          <w:b/>
          <w:bCs/>
          <w:color w:val="000000"/>
          <w:szCs w:val="21"/>
          <w:lang w:val="en-US" w:eastAsia="zh-CN"/>
        </w:rPr>
        <w:t>7.2-1</w:t>
      </w:r>
      <w:r>
        <w:rPr>
          <w:b/>
          <w:bCs/>
          <w:color w:val="000000"/>
          <w:szCs w:val="21"/>
        </w:rPr>
        <w:t xml:space="preserve">    全场环保设施运行费用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3"/>
        <w:gridCol w:w="2101"/>
        <w:gridCol w:w="2551"/>
        <w:gridCol w:w="3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color w:val="000000"/>
                <w:szCs w:val="21"/>
              </w:rPr>
            </w:pPr>
            <w:r>
              <w:rPr>
                <w:b/>
                <w:color w:val="000000"/>
                <w:kern w:val="0"/>
                <w:szCs w:val="21"/>
              </w:rPr>
              <w:t>序号</w:t>
            </w:r>
          </w:p>
        </w:tc>
        <w:tc>
          <w:tcPr>
            <w:tcW w:w="2101" w:type="dxa"/>
            <w:vAlign w:val="center"/>
          </w:tcPr>
          <w:p>
            <w:pPr>
              <w:topLinePunct/>
              <w:spacing w:line="360" w:lineRule="exact"/>
              <w:jc w:val="center"/>
              <w:rPr>
                <w:b/>
                <w:color w:val="000000"/>
                <w:szCs w:val="21"/>
              </w:rPr>
            </w:pPr>
            <w:r>
              <w:rPr>
                <w:b/>
                <w:color w:val="000000"/>
                <w:kern w:val="0"/>
                <w:szCs w:val="21"/>
              </w:rPr>
              <w:t>费用名称</w:t>
            </w:r>
          </w:p>
        </w:tc>
        <w:tc>
          <w:tcPr>
            <w:tcW w:w="2551" w:type="dxa"/>
            <w:vAlign w:val="center"/>
          </w:tcPr>
          <w:p>
            <w:pPr>
              <w:topLinePunct/>
              <w:spacing w:line="360" w:lineRule="exact"/>
              <w:jc w:val="center"/>
              <w:rPr>
                <w:b/>
                <w:color w:val="000000"/>
                <w:kern w:val="0"/>
                <w:szCs w:val="21"/>
              </w:rPr>
            </w:pPr>
            <w:r>
              <w:rPr>
                <w:b/>
                <w:color w:val="000000"/>
                <w:kern w:val="0"/>
                <w:szCs w:val="21"/>
              </w:rPr>
              <w:t>费用金额（万元/年）</w:t>
            </w:r>
          </w:p>
        </w:tc>
        <w:tc>
          <w:tcPr>
            <w:tcW w:w="3451" w:type="dxa"/>
            <w:vAlign w:val="center"/>
          </w:tcPr>
          <w:p>
            <w:pPr>
              <w:topLinePunct/>
              <w:spacing w:line="360" w:lineRule="exact"/>
              <w:jc w:val="center"/>
              <w:rPr>
                <w:b/>
                <w:color w:val="000000"/>
                <w:szCs w:val="21"/>
              </w:rPr>
            </w:pPr>
            <w:r>
              <w:rPr>
                <w:b/>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szCs w:val="21"/>
              </w:rPr>
            </w:pPr>
            <w:r>
              <w:rPr>
                <w:color w:val="000000"/>
                <w:kern w:val="0"/>
                <w:szCs w:val="21"/>
              </w:rPr>
              <w:t>1</w:t>
            </w:r>
          </w:p>
        </w:tc>
        <w:tc>
          <w:tcPr>
            <w:tcW w:w="2101" w:type="dxa"/>
            <w:vAlign w:val="center"/>
          </w:tcPr>
          <w:p>
            <w:pPr>
              <w:topLinePunct/>
              <w:spacing w:line="360" w:lineRule="exact"/>
              <w:jc w:val="center"/>
              <w:rPr>
                <w:color w:val="000000"/>
                <w:szCs w:val="21"/>
              </w:rPr>
            </w:pPr>
            <w:r>
              <w:rPr>
                <w:color w:val="000000"/>
                <w:kern w:val="0"/>
                <w:szCs w:val="21"/>
              </w:rPr>
              <w:t>电费</w:t>
            </w:r>
          </w:p>
        </w:tc>
        <w:tc>
          <w:tcPr>
            <w:tcW w:w="2551" w:type="dxa"/>
            <w:vAlign w:val="center"/>
          </w:tcPr>
          <w:p>
            <w:pPr>
              <w:topLinePunct/>
              <w:spacing w:line="360" w:lineRule="exact"/>
              <w:jc w:val="center"/>
              <w:rPr>
                <w:rFonts w:hint="eastAsia" w:eastAsia="宋体"/>
                <w:color w:val="000000"/>
                <w:szCs w:val="21"/>
                <w:lang w:eastAsia="zh-CN"/>
              </w:rPr>
            </w:pPr>
            <w:r>
              <w:rPr>
                <w:rFonts w:hint="eastAsia"/>
                <w:color w:val="000000"/>
                <w:szCs w:val="21"/>
                <w:lang w:val="en-US" w:eastAsia="zh-CN"/>
              </w:rPr>
              <w:t>3</w:t>
            </w:r>
          </w:p>
        </w:tc>
        <w:tc>
          <w:tcPr>
            <w:tcW w:w="3451" w:type="dxa"/>
            <w:vAlign w:val="center"/>
          </w:tcPr>
          <w:p>
            <w:pPr>
              <w:topLinePunct/>
              <w:spacing w:line="360" w:lineRule="exact"/>
              <w:jc w:val="center"/>
              <w:rPr>
                <w:color w:val="000000"/>
                <w:szCs w:val="21"/>
              </w:rPr>
            </w:pPr>
            <w:r>
              <w:rPr>
                <w:rFonts w:hint="eastAsia"/>
                <w:color w:val="000000"/>
                <w:szCs w:val="21"/>
                <w:lang w:val="en-US" w:eastAsia="zh-CN"/>
              </w:rPr>
              <w:t>50</w:t>
            </w:r>
            <w:r>
              <w:rPr>
                <w:color w:val="000000"/>
                <w:szCs w:val="21"/>
              </w:rPr>
              <w:t>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kern w:val="0"/>
                <w:szCs w:val="21"/>
              </w:rPr>
            </w:pPr>
            <w:r>
              <w:rPr>
                <w:color w:val="000000"/>
                <w:kern w:val="0"/>
                <w:szCs w:val="21"/>
              </w:rPr>
              <w:t>2</w:t>
            </w:r>
          </w:p>
        </w:tc>
        <w:tc>
          <w:tcPr>
            <w:tcW w:w="2101" w:type="dxa"/>
            <w:vAlign w:val="center"/>
          </w:tcPr>
          <w:p>
            <w:pPr>
              <w:topLinePunct/>
              <w:spacing w:line="360" w:lineRule="exact"/>
              <w:jc w:val="center"/>
              <w:rPr>
                <w:color w:val="000000"/>
                <w:kern w:val="0"/>
                <w:szCs w:val="21"/>
              </w:rPr>
            </w:pPr>
            <w:r>
              <w:rPr>
                <w:color w:val="000000"/>
                <w:kern w:val="0"/>
                <w:szCs w:val="21"/>
              </w:rPr>
              <w:t>工人工资</w:t>
            </w:r>
          </w:p>
        </w:tc>
        <w:tc>
          <w:tcPr>
            <w:tcW w:w="2551" w:type="dxa"/>
            <w:vAlign w:val="center"/>
          </w:tcPr>
          <w:p>
            <w:pPr>
              <w:topLinePunct/>
              <w:spacing w:line="360" w:lineRule="exact"/>
              <w:jc w:val="center"/>
              <w:rPr>
                <w:color w:val="000000"/>
                <w:szCs w:val="21"/>
              </w:rPr>
            </w:pPr>
            <w:r>
              <w:rPr>
                <w:color w:val="000000"/>
                <w:szCs w:val="21"/>
              </w:rPr>
              <w:t>6</w:t>
            </w:r>
          </w:p>
        </w:tc>
        <w:tc>
          <w:tcPr>
            <w:tcW w:w="3451" w:type="dxa"/>
            <w:vAlign w:val="center"/>
          </w:tcPr>
          <w:p>
            <w:pPr>
              <w:topLinePunct/>
              <w:spacing w:line="360" w:lineRule="exact"/>
              <w:jc w:val="center"/>
              <w:rPr>
                <w:color w:val="000000"/>
                <w:kern w:val="0"/>
                <w:szCs w:val="21"/>
              </w:rPr>
            </w:pPr>
            <w:r>
              <w:rPr>
                <w:color w:val="000000"/>
                <w:kern w:val="0"/>
                <w:szCs w:val="21"/>
              </w:rPr>
              <w:t>2人，</w:t>
            </w:r>
            <w:r>
              <w:rPr>
                <w:bCs/>
                <w:color w:val="000000"/>
                <w:szCs w:val="21"/>
              </w:rPr>
              <w:t>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kern w:val="0"/>
                <w:szCs w:val="21"/>
              </w:rPr>
            </w:pPr>
            <w:r>
              <w:rPr>
                <w:color w:val="000000"/>
                <w:kern w:val="0"/>
                <w:szCs w:val="21"/>
              </w:rPr>
              <w:t>3</w:t>
            </w:r>
          </w:p>
        </w:tc>
        <w:tc>
          <w:tcPr>
            <w:tcW w:w="2101" w:type="dxa"/>
            <w:vAlign w:val="center"/>
          </w:tcPr>
          <w:p>
            <w:pPr>
              <w:topLinePunct/>
              <w:spacing w:line="360" w:lineRule="exact"/>
              <w:jc w:val="center"/>
              <w:rPr>
                <w:color w:val="000000"/>
                <w:kern w:val="0"/>
                <w:szCs w:val="21"/>
              </w:rPr>
            </w:pPr>
            <w:r>
              <w:rPr>
                <w:color w:val="000000"/>
                <w:kern w:val="0"/>
                <w:szCs w:val="21"/>
              </w:rPr>
              <w:t>设备折旧、维护</w:t>
            </w:r>
          </w:p>
        </w:tc>
        <w:tc>
          <w:tcPr>
            <w:tcW w:w="2551" w:type="dxa"/>
            <w:vAlign w:val="center"/>
          </w:tcPr>
          <w:p>
            <w:pPr>
              <w:topLinePunct/>
              <w:spacing w:line="360" w:lineRule="exact"/>
              <w:jc w:val="center"/>
              <w:rPr>
                <w:bCs/>
                <w:color w:val="000000"/>
                <w:szCs w:val="21"/>
              </w:rPr>
            </w:pPr>
            <w:r>
              <w:rPr>
                <w:bCs/>
                <w:color w:val="000000"/>
                <w:szCs w:val="21"/>
              </w:rPr>
              <w:t>1.5</w:t>
            </w:r>
          </w:p>
        </w:tc>
        <w:tc>
          <w:tcPr>
            <w:tcW w:w="3451" w:type="dxa"/>
            <w:vAlign w:val="center"/>
          </w:tcPr>
          <w:p>
            <w:pPr>
              <w:topLinePunct/>
              <w:spacing w:line="360" w:lineRule="exact"/>
              <w:jc w:val="center"/>
              <w:rPr>
                <w:bCs/>
                <w:color w:val="000000"/>
                <w:szCs w:val="21"/>
              </w:rPr>
            </w:pPr>
            <w:r>
              <w:rPr>
                <w:color w:val="000000"/>
                <w:szCs w:val="21"/>
              </w:rPr>
              <w:t>总投资30万元，按20年折旧期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szCs w:val="21"/>
              </w:rPr>
            </w:pPr>
            <w:r>
              <w:rPr>
                <w:color w:val="000000"/>
                <w:szCs w:val="21"/>
              </w:rPr>
              <w:t>4</w:t>
            </w:r>
          </w:p>
        </w:tc>
        <w:tc>
          <w:tcPr>
            <w:tcW w:w="2101" w:type="dxa"/>
            <w:vAlign w:val="center"/>
          </w:tcPr>
          <w:p>
            <w:pPr>
              <w:topLinePunct/>
              <w:spacing w:line="360" w:lineRule="exact"/>
              <w:jc w:val="center"/>
              <w:rPr>
                <w:color w:val="000000"/>
                <w:szCs w:val="21"/>
              </w:rPr>
            </w:pPr>
            <w:r>
              <w:rPr>
                <w:color w:val="000000"/>
                <w:kern w:val="0"/>
                <w:szCs w:val="21"/>
              </w:rPr>
              <w:t>合计</w:t>
            </w:r>
          </w:p>
        </w:tc>
        <w:tc>
          <w:tcPr>
            <w:tcW w:w="2551" w:type="dxa"/>
            <w:vAlign w:val="center"/>
          </w:tcPr>
          <w:p>
            <w:pPr>
              <w:topLinePunct/>
              <w:spacing w:line="360" w:lineRule="exact"/>
              <w:jc w:val="center"/>
              <w:rPr>
                <w:color w:val="000000"/>
                <w:szCs w:val="21"/>
              </w:rPr>
            </w:pPr>
            <w:r>
              <w:rPr>
                <w:color w:val="000000"/>
                <w:szCs w:val="21"/>
              </w:rPr>
              <w:t>1</w:t>
            </w:r>
            <w:r>
              <w:rPr>
                <w:rFonts w:hint="eastAsia"/>
                <w:color w:val="000000"/>
                <w:szCs w:val="21"/>
                <w:lang w:val="en-US" w:eastAsia="zh-CN"/>
              </w:rPr>
              <w:t>0</w:t>
            </w:r>
            <w:r>
              <w:rPr>
                <w:color w:val="000000"/>
                <w:szCs w:val="21"/>
              </w:rPr>
              <w:t>.5</w:t>
            </w:r>
          </w:p>
        </w:tc>
        <w:tc>
          <w:tcPr>
            <w:tcW w:w="3451" w:type="dxa"/>
            <w:vAlign w:val="center"/>
          </w:tcPr>
          <w:p>
            <w:pPr>
              <w:topLinePunct/>
              <w:spacing w:line="360" w:lineRule="exact"/>
              <w:jc w:val="center"/>
              <w:rPr>
                <w:color w:val="000000"/>
                <w:szCs w:val="21"/>
              </w:rPr>
            </w:pPr>
            <w:r>
              <w:rPr>
                <w:color w:val="000000"/>
                <w:szCs w:val="21"/>
              </w:rPr>
              <w:t>/</w:t>
            </w:r>
          </w:p>
        </w:tc>
      </w:tr>
    </w:tbl>
    <w:p>
      <w:pPr>
        <w:topLinePunct/>
        <w:spacing w:line="500" w:lineRule="exact"/>
        <w:ind w:firstLine="573"/>
        <w:rPr>
          <w:color w:val="000000"/>
          <w:sz w:val="24"/>
          <w:szCs w:val="28"/>
        </w:rPr>
      </w:pPr>
      <w:r>
        <w:rPr>
          <w:color w:val="000000"/>
          <w:sz w:val="24"/>
          <w:szCs w:val="28"/>
        </w:rPr>
        <w:t>本次完成后，全场年利润总额为</w:t>
      </w:r>
      <w:r>
        <w:rPr>
          <w:rFonts w:hint="eastAsia"/>
          <w:color w:val="000000"/>
          <w:sz w:val="24"/>
          <w:szCs w:val="28"/>
          <w:lang w:val="en-US" w:eastAsia="zh-CN"/>
        </w:rPr>
        <w:t>1500</w:t>
      </w:r>
      <w:r>
        <w:rPr>
          <w:color w:val="000000"/>
          <w:sz w:val="24"/>
          <w:szCs w:val="28"/>
        </w:rPr>
        <w:t>万元，环保设施运行年费用为1</w:t>
      </w:r>
      <w:r>
        <w:rPr>
          <w:rFonts w:hint="eastAsia"/>
          <w:color w:val="000000"/>
          <w:sz w:val="24"/>
          <w:szCs w:val="28"/>
          <w:lang w:val="en-US" w:eastAsia="zh-CN"/>
        </w:rPr>
        <w:t>0</w:t>
      </w:r>
      <w:r>
        <w:rPr>
          <w:color w:val="000000"/>
          <w:sz w:val="24"/>
          <w:szCs w:val="28"/>
        </w:rPr>
        <w:t>.5万，占年利润总额的0.</w:t>
      </w:r>
      <w:r>
        <w:rPr>
          <w:rFonts w:hint="eastAsia"/>
          <w:color w:val="000000"/>
          <w:sz w:val="24"/>
          <w:szCs w:val="28"/>
          <w:lang w:val="en-US" w:eastAsia="zh-CN"/>
        </w:rPr>
        <w:t>7</w:t>
      </w:r>
      <w:r>
        <w:rPr>
          <w:color w:val="000000"/>
          <w:sz w:val="24"/>
          <w:szCs w:val="28"/>
        </w:rPr>
        <w:t>%，本项目环保设施运行费用合理。</w:t>
      </w:r>
    </w:p>
    <w:p>
      <w:pPr>
        <w:pStyle w:val="5"/>
        <w:spacing w:before="156" w:after="156"/>
        <w:rPr>
          <w:rFonts w:hAnsi="Times New Roman"/>
          <w:color w:val="000000"/>
        </w:rPr>
      </w:pPr>
      <w:bookmarkStart w:id="302" w:name="_Toc375206212"/>
      <w:bookmarkStart w:id="303" w:name="_Toc488572582"/>
      <w:bookmarkStart w:id="304" w:name="_Toc17953"/>
      <w:r>
        <w:rPr>
          <w:rFonts w:hint="eastAsia" w:hAnsi="Times New Roman"/>
          <w:color w:val="000000"/>
          <w:lang w:val="en-US" w:eastAsia="zh-CN"/>
        </w:rPr>
        <w:t>7</w:t>
      </w:r>
      <w:r>
        <w:rPr>
          <w:rFonts w:hAnsi="Times New Roman"/>
          <w:color w:val="000000"/>
        </w:rPr>
        <w:t xml:space="preserve">.3 </w:t>
      </w:r>
      <w:bookmarkEnd w:id="302"/>
      <w:r>
        <w:rPr>
          <w:rFonts w:hAnsi="Times New Roman"/>
          <w:color w:val="000000"/>
        </w:rPr>
        <w:t>经济效益分析</w:t>
      </w:r>
      <w:bookmarkEnd w:id="303"/>
      <w:bookmarkEnd w:id="304"/>
    </w:p>
    <w:p>
      <w:pPr>
        <w:topLinePunct/>
        <w:spacing w:line="500" w:lineRule="exact"/>
        <w:ind w:firstLine="480" w:firstLineChars="200"/>
        <w:rPr>
          <w:color w:val="000000"/>
          <w:sz w:val="24"/>
        </w:rPr>
      </w:pPr>
      <w:r>
        <w:rPr>
          <w:color w:val="000000"/>
          <w:sz w:val="24"/>
        </w:rPr>
        <w:t>本项目为生猪养殖项目，工程总投资为</w:t>
      </w:r>
      <w:r>
        <w:rPr>
          <w:rFonts w:hint="eastAsia"/>
          <w:color w:val="000000"/>
          <w:sz w:val="24"/>
          <w:lang w:val="en-US" w:eastAsia="zh-CN"/>
        </w:rPr>
        <w:t>2000</w:t>
      </w:r>
      <w:r>
        <w:rPr>
          <w:color w:val="000000"/>
          <w:sz w:val="24"/>
        </w:rPr>
        <w:t>万元，包括猪舍、污染治理工程及辅助生产设施等。工程主要经济指标见表</w:t>
      </w:r>
      <w:r>
        <w:rPr>
          <w:rFonts w:hint="eastAsia"/>
          <w:color w:val="000000"/>
          <w:sz w:val="24"/>
          <w:lang w:val="en-US" w:eastAsia="zh-CN"/>
        </w:rPr>
        <w:t>8.3-1</w:t>
      </w:r>
      <w:r>
        <w:rPr>
          <w:color w:val="000000"/>
          <w:sz w:val="24"/>
        </w:rPr>
        <w:t>。</w:t>
      </w:r>
    </w:p>
    <w:p>
      <w:pPr>
        <w:topLinePunct/>
        <w:spacing w:line="500" w:lineRule="exact"/>
        <w:ind w:firstLine="422" w:firstLineChars="200"/>
        <w:jc w:val="center"/>
        <w:rPr>
          <w:b/>
          <w:color w:val="000000"/>
          <w:szCs w:val="21"/>
        </w:rPr>
      </w:pPr>
      <w:r>
        <w:rPr>
          <w:b/>
          <w:color w:val="000000"/>
          <w:szCs w:val="21"/>
        </w:rPr>
        <w:t>表</w:t>
      </w:r>
      <w:r>
        <w:rPr>
          <w:rFonts w:hint="eastAsia"/>
          <w:b/>
          <w:color w:val="000000"/>
          <w:szCs w:val="21"/>
          <w:lang w:val="en-US" w:eastAsia="zh-CN"/>
        </w:rPr>
        <w:t xml:space="preserve">8.3-1  </w:t>
      </w:r>
      <w:r>
        <w:rPr>
          <w:b/>
          <w:color w:val="000000"/>
          <w:szCs w:val="21"/>
        </w:rPr>
        <w:t>工程主要技术经济指标表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075"/>
        <w:gridCol w:w="1447"/>
        <w:gridCol w:w="2163"/>
        <w:gridCol w:w="2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2" w:type="dxa"/>
            <w:vAlign w:val="center"/>
          </w:tcPr>
          <w:p>
            <w:pPr>
              <w:topLinePunct/>
              <w:adjustRightInd w:val="0"/>
              <w:snapToGrid w:val="0"/>
              <w:spacing w:line="320" w:lineRule="exact"/>
              <w:jc w:val="center"/>
              <w:rPr>
                <w:b/>
                <w:color w:val="000000"/>
                <w:szCs w:val="21"/>
              </w:rPr>
            </w:pPr>
            <w:r>
              <w:rPr>
                <w:b/>
                <w:color w:val="000000"/>
                <w:szCs w:val="21"/>
              </w:rPr>
              <w:t>序号</w:t>
            </w:r>
          </w:p>
        </w:tc>
        <w:tc>
          <w:tcPr>
            <w:tcW w:w="2075" w:type="dxa"/>
            <w:vAlign w:val="center"/>
          </w:tcPr>
          <w:p>
            <w:pPr>
              <w:topLinePunct/>
              <w:adjustRightInd w:val="0"/>
              <w:snapToGrid w:val="0"/>
              <w:spacing w:line="320" w:lineRule="exact"/>
              <w:jc w:val="center"/>
              <w:rPr>
                <w:b/>
                <w:color w:val="000000"/>
                <w:szCs w:val="21"/>
              </w:rPr>
            </w:pPr>
            <w:r>
              <w:rPr>
                <w:b/>
                <w:color w:val="000000"/>
                <w:szCs w:val="21"/>
              </w:rPr>
              <w:t>指标名称</w:t>
            </w:r>
          </w:p>
        </w:tc>
        <w:tc>
          <w:tcPr>
            <w:tcW w:w="1447" w:type="dxa"/>
            <w:vAlign w:val="center"/>
          </w:tcPr>
          <w:p>
            <w:pPr>
              <w:topLinePunct/>
              <w:adjustRightInd w:val="0"/>
              <w:snapToGrid w:val="0"/>
              <w:spacing w:line="320" w:lineRule="exact"/>
              <w:jc w:val="center"/>
              <w:rPr>
                <w:b/>
                <w:color w:val="000000"/>
                <w:szCs w:val="21"/>
              </w:rPr>
            </w:pPr>
            <w:r>
              <w:rPr>
                <w:b/>
                <w:color w:val="000000"/>
                <w:szCs w:val="21"/>
              </w:rPr>
              <w:t>单位</w:t>
            </w:r>
          </w:p>
        </w:tc>
        <w:tc>
          <w:tcPr>
            <w:tcW w:w="2163" w:type="dxa"/>
            <w:vAlign w:val="center"/>
          </w:tcPr>
          <w:p>
            <w:pPr>
              <w:topLinePunct/>
              <w:adjustRightInd w:val="0"/>
              <w:snapToGrid w:val="0"/>
              <w:spacing w:line="320" w:lineRule="exact"/>
              <w:jc w:val="center"/>
              <w:rPr>
                <w:b/>
                <w:color w:val="000000"/>
                <w:szCs w:val="21"/>
              </w:rPr>
            </w:pPr>
            <w:r>
              <w:rPr>
                <w:b/>
                <w:color w:val="000000"/>
                <w:szCs w:val="21"/>
              </w:rPr>
              <w:t>总体工程</w:t>
            </w:r>
          </w:p>
        </w:tc>
        <w:tc>
          <w:tcPr>
            <w:tcW w:w="2059" w:type="dxa"/>
            <w:vAlign w:val="center"/>
          </w:tcPr>
          <w:p>
            <w:pPr>
              <w:topLinePunct/>
              <w:adjustRightInd w:val="0"/>
              <w:snapToGrid w:val="0"/>
              <w:spacing w:line="320" w:lineRule="exact"/>
              <w:jc w:val="center"/>
              <w:rPr>
                <w:b/>
                <w:color w:val="000000"/>
                <w:szCs w:val="21"/>
              </w:rPr>
            </w:pPr>
            <w:r>
              <w:rPr>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1</w:t>
            </w:r>
          </w:p>
        </w:tc>
        <w:tc>
          <w:tcPr>
            <w:tcW w:w="2075" w:type="dxa"/>
            <w:vAlign w:val="center"/>
          </w:tcPr>
          <w:p>
            <w:pPr>
              <w:topLinePunct/>
              <w:adjustRightInd w:val="0"/>
              <w:snapToGrid w:val="0"/>
              <w:spacing w:line="320" w:lineRule="exact"/>
              <w:jc w:val="center"/>
              <w:rPr>
                <w:color w:val="000000"/>
                <w:szCs w:val="21"/>
              </w:rPr>
            </w:pPr>
            <w:r>
              <w:rPr>
                <w:color w:val="000000"/>
                <w:szCs w:val="21"/>
              </w:rPr>
              <w:t>项目总投资</w:t>
            </w:r>
          </w:p>
        </w:tc>
        <w:tc>
          <w:tcPr>
            <w:tcW w:w="1447" w:type="dxa"/>
            <w:vAlign w:val="center"/>
          </w:tcPr>
          <w:p>
            <w:pPr>
              <w:topLinePunct/>
              <w:adjustRightInd w:val="0"/>
              <w:snapToGrid w:val="0"/>
              <w:spacing w:line="320" w:lineRule="exact"/>
              <w:jc w:val="center"/>
              <w:rPr>
                <w:color w:val="000000"/>
                <w:szCs w:val="21"/>
              </w:rPr>
            </w:pPr>
            <w:r>
              <w:rPr>
                <w:color w:val="000000"/>
                <w:szCs w:val="21"/>
              </w:rPr>
              <w:t>万元</w:t>
            </w:r>
          </w:p>
        </w:tc>
        <w:tc>
          <w:tcPr>
            <w:tcW w:w="2163" w:type="dxa"/>
            <w:vAlign w:val="bottom"/>
          </w:tcPr>
          <w:p>
            <w:pPr>
              <w:jc w:val="center"/>
              <w:rPr>
                <w:rFonts w:hint="default" w:eastAsia="宋体"/>
                <w:color w:val="000000"/>
                <w:sz w:val="24"/>
                <w:lang w:val="en-US" w:eastAsia="zh-CN"/>
              </w:rPr>
            </w:pPr>
            <w:r>
              <w:rPr>
                <w:rFonts w:hint="eastAsia"/>
                <w:color w:val="000000"/>
                <w:sz w:val="22"/>
                <w:lang w:val="en-US" w:eastAsia="zh-CN"/>
              </w:rPr>
              <w:t>2000</w:t>
            </w:r>
          </w:p>
        </w:tc>
        <w:tc>
          <w:tcPr>
            <w:tcW w:w="2059" w:type="dxa"/>
            <w:vAlign w:val="center"/>
          </w:tcPr>
          <w:p>
            <w:pPr>
              <w:topLinePunct/>
              <w:adjustRightInd w:val="0"/>
              <w:snapToGrid w:val="0"/>
              <w:spacing w:line="320" w:lineRule="exact"/>
              <w:jc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2</w:t>
            </w:r>
          </w:p>
        </w:tc>
        <w:tc>
          <w:tcPr>
            <w:tcW w:w="2075" w:type="dxa"/>
            <w:vAlign w:val="center"/>
          </w:tcPr>
          <w:p>
            <w:pPr>
              <w:topLinePunct/>
              <w:adjustRightInd w:val="0"/>
              <w:snapToGrid w:val="0"/>
              <w:spacing w:line="320" w:lineRule="exact"/>
              <w:jc w:val="center"/>
              <w:rPr>
                <w:color w:val="000000"/>
                <w:szCs w:val="21"/>
              </w:rPr>
            </w:pPr>
            <w:r>
              <w:rPr>
                <w:color w:val="000000"/>
                <w:szCs w:val="21"/>
              </w:rPr>
              <w:t>年利润总额</w:t>
            </w:r>
          </w:p>
        </w:tc>
        <w:tc>
          <w:tcPr>
            <w:tcW w:w="1447" w:type="dxa"/>
            <w:vAlign w:val="center"/>
          </w:tcPr>
          <w:p>
            <w:pPr>
              <w:topLinePunct/>
              <w:adjustRightInd w:val="0"/>
              <w:snapToGrid w:val="0"/>
              <w:spacing w:line="320" w:lineRule="exact"/>
              <w:jc w:val="center"/>
              <w:rPr>
                <w:color w:val="000000"/>
                <w:szCs w:val="21"/>
              </w:rPr>
            </w:pPr>
            <w:r>
              <w:rPr>
                <w:color w:val="000000"/>
                <w:szCs w:val="21"/>
              </w:rPr>
              <w:t>万元</w:t>
            </w:r>
          </w:p>
        </w:tc>
        <w:tc>
          <w:tcPr>
            <w:tcW w:w="2163" w:type="dxa"/>
            <w:vAlign w:val="bottom"/>
          </w:tcPr>
          <w:p>
            <w:pPr>
              <w:jc w:val="center"/>
              <w:rPr>
                <w:color w:val="000000"/>
                <w:szCs w:val="21"/>
              </w:rPr>
            </w:pPr>
            <w:r>
              <w:rPr>
                <w:rFonts w:hint="eastAsia"/>
                <w:color w:val="000000"/>
                <w:szCs w:val="21"/>
                <w:lang w:val="en-US" w:eastAsia="zh-CN"/>
              </w:rPr>
              <w:t>1500</w:t>
            </w:r>
            <w:r>
              <w:rPr>
                <w:color w:val="000000"/>
                <w:szCs w:val="21"/>
              </w:rPr>
              <w:t xml:space="preserve"> </w:t>
            </w:r>
          </w:p>
        </w:tc>
        <w:tc>
          <w:tcPr>
            <w:tcW w:w="2059" w:type="dxa"/>
            <w:vAlign w:val="center"/>
          </w:tcPr>
          <w:p>
            <w:pPr>
              <w:topLinePunct/>
              <w:adjustRightInd w:val="0"/>
              <w:snapToGrid w:val="0"/>
              <w:spacing w:line="320" w:lineRule="exact"/>
              <w:jc w:val="center"/>
              <w:rPr>
                <w:color w:val="000000"/>
                <w:szCs w:val="21"/>
              </w:rPr>
            </w:pPr>
            <w:r>
              <w:rPr>
                <w:color w:val="000000"/>
                <w:szCs w:val="21"/>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3</w:t>
            </w:r>
          </w:p>
        </w:tc>
        <w:tc>
          <w:tcPr>
            <w:tcW w:w="2075" w:type="dxa"/>
            <w:vAlign w:val="center"/>
          </w:tcPr>
          <w:p>
            <w:pPr>
              <w:topLinePunct/>
              <w:adjustRightInd w:val="0"/>
              <w:snapToGrid w:val="0"/>
              <w:spacing w:line="320" w:lineRule="exact"/>
              <w:jc w:val="center"/>
              <w:rPr>
                <w:color w:val="000000"/>
                <w:szCs w:val="21"/>
              </w:rPr>
            </w:pPr>
            <w:r>
              <w:rPr>
                <w:color w:val="000000"/>
                <w:szCs w:val="21"/>
              </w:rPr>
              <w:t>净现值</w:t>
            </w:r>
          </w:p>
        </w:tc>
        <w:tc>
          <w:tcPr>
            <w:tcW w:w="1447" w:type="dxa"/>
            <w:vAlign w:val="center"/>
          </w:tcPr>
          <w:p>
            <w:pPr>
              <w:topLinePunct/>
              <w:adjustRightInd w:val="0"/>
              <w:snapToGrid w:val="0"/>
              <w:spacing w:line="320" w:lineRule="exact"/>
              <w:jc w:val="center"/>
              <w:rPr>
                <w:color w:val="000000"/>
                <w:szCs w:val="21"/>
              </w:rPr>
            </w:pPr>
            <w:r>
              <w:rPr>
                <w:color w:val="000000"/>
                <w:szCs w:val="21"/>
              </w:rPr>
              <w:t>万元</w:t>
            </w:r>
          </w:p>
        </w:tc>
        <w:tc>
          <w:tcPr>
            <w:tcW w:w="2163" w:type="dxa"/>
            <w:vAlign w:val="bottom"/>
          </w:tcPr>
          <w:p>
            <w:pPr>
              <w:jc w:val="center"/>
              <w:rPr>
                <w:rFonts w:hint="default" w:eastAsia="宋体"/>
                <w:color w:val="000000"/>
                <w:szCs w:val="21"/>
                <w:lang w:val="en-US" w:eastAsia="zh-CN"/>
              </w:rPr>
            </w:pPr>
            <w:r>
              <w:rPr>
                <w:rFonts w:hint="eastAsia"/>
                <w:color w:val="000000"/>
                <w:szCs w:val="21"/>
                <w:lang w:val="en-US" w:eastAsia="zh-CN"/>
              </w:rPr>
              <w:t>3000</w:t>
            </w:r>
          </w:p>
        </w:tc>
        <w:tc>
          <w:tcPr>
            <w:tcW w:w="2059" w:type="dxa"/>
            <w:vAlign w:val="center"/>
          </w:tcPr>
          <w:p>
            <w:pPr>
              <w:topLinePunct/>
              <w:adjustRightInd w:val="0"/>
              <w:snapToGrid w:val="0"/>
              <w:spacing w:line="320" w:lineRule="exact"/>
              <w:jc w:val="center"/>
              <w:rPr>
                <w:color w:val="000000"/>
                <w:szCs w:val="21"/>
              </w:rPr>
            </w:pPr>
            <w:r>
              <w:rPr>
                <w:color w:val="000000"/>
                <w:szCs w:val="21"/>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rFonts w:hint="eastAsia" w:eastAsia="宋体"/>
                <w:color w:val="000000"/>
                <w:szCs w:val="21"/>
                <w:lang w:eastAsia="zh-CN"/>
              </w:rPr>
            </w:pPr>
            <w:r>
              <w:rPr>
                <w:rFonts w:hint="eastAsia"/>
                <w:color w:val="000000"/>
                <w:szCs w:val="21"/>
                <w:lang w:val="en-US" w:eastAsia="zh-CN"/>
              </w:rPr>
              <w:t>4</w:t>
            </w:r>
          </w:p>
        </w:tc>
        <w:tc>
          <w:tcPr>
            <w:tcW w:w="2075" w:type="dxa"/>
            <w:vAlign w:val="center"/>
          </w:tcPr>
          <w:p>
            <w:pPr>
              <w:topLinePunct/>
              <w:adjustRightInd w:val="0"/>
              <w:snapToGrid w:val="0"/>
              <w:spacing w:line="320" w:lineRule="exact"/>
              <w:jc w:val="center"/>
              <w:rPr>
                <w:color w:val="000000"/>
                <w:szCs w:val="21"/>
              </w:rPr>
            </w:pPr>
            <w:r>
              <w:rPr>
                <w:color w:val="000000"/>
                <w:szCs w:val="21"/>
              </w:rPr>
              <w:t>全部投资回收期</w:t>
            </w:r>
          </w:p>
        </w:tc>
        <w:tc>
          <w:tcPr>
            <w:tcW w:w="1447" w:type="dxa"/>
            <w:vAlign w:val="center"/>
          </w:tcPr>
          <w:p>
            <w:pPr>
              <w:topLinePunct/>
              <w:adjustRightInd w:val="0"/>
              <w:snapToGrid w:val="0"/>
              <w:spacing w:line="320" w:lineRule="exact"/>
              <w:jc w:val="center"/>
              <w:rPr>
                <w:color w:val="000000"/>
                <w:szCs w:val="21"/>
              </w:rPr>
            </w:pPr>
            <w:r>
              <w:rPr>
                <w:color w:val="000000"/>
                <w:szCs w:val="21"/>
              </w:rPr>
              <w:t>年</w:t>
            </w:r>
          </w:p>
        </w:tc>
        <w:tc>
          <w:tcPr>
            <w:tcW w:w="2163" w:type="dxa"/>
            <w:vAlign w:val="center"/>
          </w:tcPr>
          <w:p>
            <w:pPr>
              <w:jc w:val="center"/>
              <w:rPr>
                <w:rFonts w:hint="eastAsia" w:eastAsia="宋体"/>
                <w:color w:val="000000"/>
                <w:szCs w:val="21"/>
                <w:lang w:eastAsia="zh-CN"/>
              </w:rPr>
            </w:pPr>
            <w:r>
              <w:rPr>
                <w:rFonts w:hint="eastAsia"/>
                <w:color w:val="000000"/>
                <w:szCs w:val="21"/>
                <w:lang w:val="en-US" w:eastAsia="zh-CN"/>
              </w:rPr>
              <w:t>2</w:t>
            </w:r>
          </w:p>
        </w:tc>
        <w:tc>
          <w:tcPr>
            <w:tcW w:w="2059" w:type="dxa"/>
            <w:vAlign w:val="center"/>
          </w:tcPr>
          <w:p>
            <w:pPr>
              <w:topLinePunct/>
              <w:adjustRightInd w:val="0"/>
              <w:snapToGrid w:val="0"/>
              <w:spacing w:line="320" w:lineRule="exact"/>
              <w:jc w:val="center"/>
              <w:rPr>
                <w:color w:val="000000"/>
                <w:szCs w:val="21"/>
              </w:rPr>
            </w:pPr>
            <w:r>
              <w:rPr>
                <w:color w:val="000000"/>
                <w:szCs w:val="21"/>
              </w:rPr>
              <w:t>税后，含建设期</w:t>
            </w:r>
            <w:r>
              <w:rPr>
                <w:rFonts w:hint="eastAsia"/>
                <w:color w:val="000000"/>
                <w:szCs w:val="21"/>
                <w:lang w:val="en-US" w:eastAsia="zh-CN"/>
              </w:rPr>
              <w:t>半</w:t>
            </w:r>
            <w:r>
              <w:rPr>
                <w:color w:val="000000"/>
                <w:szCs w:val="21"/>
              </w:rPr>
              <w:t>年</w:t>
            </w:r>
          </w:p>
        </w:tc>
      </w:tr>
    </w:tbl>
    <w:p>
      <w:pPr>
        <w:topLinePunct/>
        <w:spacing w:line="500" w:lineRule="exact"/>
        <w:ind w:firstLine="480" w:firstLineChars="200"/>
        <w:rPr>
          <w:color w:val="000000"/>
          <w:sz w:val="24"/>
        </w:rPr>
      </w:pPr>
      <w:r>
        <w:rPr>
          <w:color w:val="000000"/>
          <w:sz w:val="24"/>
        </w:rPr>
        <w:t>由表</w:t>
      </w:r>
      <w:r>
        <w:rPr>
          <w:rFonts w:hint="eastAsia"/>
          <w:color w:val="000000"/>
          <w:sz w:val="24"/>
          <w:lang w:val="en-US" w:eastAsia="zh-CN"/>
        </w:rPr>
        <w:t>7.3-1</w:t>
      </w:r>
      <w:r>
        <w:rPr>
          <w:color w:val="000000"/>
          <w:sz w:val="24"/>
        </w:rPr>
        <w:t>可以看出，该项目投资回收期较短，投资利润率高，具有较强的盈利能力，从工程的经济效益分析，该项目可行。</w:t>
      </w:r>
    </w:p>
    <w:p>
      <w:pPr>
        <w:topLinePunct/>
        <w:spacing w:line="500" w:lineRule="exact"/>
        <w:ind w:firstLine="480" w:firstLineChars="200"/>
        <w:rPr>
          <w:color w:val="000000"/>
          <w:sz w:val="24"/>
        </w:rPr>
      </w:pPr>
      <w:r>
        <w:rPr>
          <w:color w:val="000000"/>
          <w:sz w:val="24"/>
        </w:rPr>
        <w:t>此外，本工程的建设具有产业链效益，能够带动一方经济的快速发展，并能促进饲料加工、种植业、养殖业等相关行业的发展。</w:t>
      </w:r>
    </w:p>
    <w:p>
      <w:pPr>
        <w:pStyle w:val="5"/>
        <w:spacing w:before="156" w:after="156"/>
        <w:rPr>
          <w:rFonts w:hAnsi="Times New Roman"/>
          <w:color w:val="000000"/>
        </w:rPr>
      </w:pPr>
      <w:bookmarkStart w:id="305" w:name="_Toc375206213"/>
      <w:bookmarkStart w:id="306" w:name="_Toc488572583"/>
      <w:bookmarkStart w:id="307" w:name="_Toc12039"/>
      <w:r>
        <w:rPr>
          <w:rFonts w:hint="eastAsia" w:hAnsi="Times New Roman"/>
          <w:color w:val="000000"/>
          <w:lang w:val="en-US" w:eastAsia="zh-CN"/>
        </w:rPr>
        <w:t>7</w:t>
      </w:r>
      <w:r>
        <w:rPr>
          <w:rFonts w:hAnsi="Times New Roman"/>
          <w:color w:val="000000"/>
        </w:rPr>
        <w:t>.4 环境效益分析</w:t>
      </w:r>
      <w:bookmarkEnd w:id="305"/>
      <w:bookmarkEnd w:id="306"/>
      <w:bookmarkEnd w:id="307"/>
    </w:p>
    <w:p>
      <w:pPr>
        <w:topLinePunct/>
        <w:spacing w:line="500" w:lineRule="exact"/>
        <w:ind w:firstLine="480" w:firstLineChars="200"/>
        <w:rPr>
          <w:color w:val="000000"/>
          <w:sz w:val="24"/>
        </w:rPr>
      </w:pPr>
      <w:r>
        <w:rPr>
          <w:color w:val="000000"/>
          <w:sz w:val="24"/>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topLinePunct/>
        <w:spacing w:line="500" w:lineRule="exact"/>
        <w:ind w:firstLine="480" w:firstLineChars="200"/>
        <w:rPr>
          <w:color w:val="000000"/>
          <w:sz w:val="24"/>
        </w:rPr>
      </w:pPr>
      <w:r>
        <w:rPr>
          <w:color w:val="000000"/>
          <w:kern w:val="0"/>
          <w:sz w:val="24"/>
        </w:rPr>
        <w:t>项目环保投资为</w:t>
      </w:r>
      <w:r>
        <w:rPr>
          <w:rFonts w:hint="eastAsia"/>
          <w:color w:val="000000"/>
          <w:kern w:val="0"/>
          <w:sz w:val="24"/>
          <w:lang w:val="en-US" w:eastAsia="zh-CN"/>
        </w:rPr>
        <w:t>421</w:t>
      </w:r>
      <w:r>
        <w:rPr>
          <w:color w:val="000000"/>
          <w:kern w:val="0"/>
          <w:sz w:val="24"/>
        </w:rPr>
        <w:t>万元，占总投资</w:t>
      </w:r>
      <w:r>
        <w:rPr>
          <w:rFonts w:hint="eastAsia"/>
          <w:color w:val="000000"/>
          <w:kern w:val="0"/>
          <w:sz w:val="24"/>
          <w:lang w:val="en-US" w:eastAsia="zh-CN"/>
        </w:rPr>
        <w:t>2000</w:t>
      </w:r>
      <w:r>
        <w:rPr>
          <w:color w:val="000000"/>
          <w:kern w:val="0"/>
          <w:sz w:val="24"/>
        </w:rPr>
        <w:t>万元的比例为</w:t>
      </w:r>
      <w:r>
        <w:rPr>
          <w:rFonts w:hint="eastAsia"/>
          <w:color w:val="000000"/>
          <w:kern w:val="0"/>
          <w:sz w:val="24"/>
          <w:lang w:val="en-US" w:eastAsia="zh-CN"/>
        </w:rPr>
        <w:t>21</w:t>
      </w:r>
      <w:r>
        <w:rPr>
          <w:color w:val="000000"/>
          <w:kern w:val="0"/>
          <w:sz w:val="24"/>
        </w:rPr>
        <w:t>%。</w:t>
      </w:r>
      <w:r>
        <w:rPr>
          <w:color w:val="000000"/>
          <w:sz w:val="24"/>
        </w:rPr>
        <w:t>通过各项污染防治措施的实施和清洁生产技术的落实，可做到养殖区废水最大程度的综合利用和固体废弃物的资源化利用，可取得良好的环境效益。项目环境效益分析见表</w:t>
      </w:r>
      <w:r>
        <w:rPr>
          <w:rFonts w:hint="eastAsia"/>
          <w:color w:val="000000"/>
          <w:sz w:val="24"/>
          <w:lang w:val="en-US" w:eastAsia="zh-CN"/>
        </w:rPr>
        <w:t>7.4-1</w:t>
      </w:r>
      <w:r>
        <w:rPr>
          <w:color w:val="000000"/>
          <w:sz w:val="24"/>
        </w:rPr>
        <w:t>。</w:t>
      </w:r>
    </w:p>
    <w:p>
      <w:pPr>
        <w:topLinePunct/>
        <w:spacing w:beforeLines="50" w:afterLines="50"/>
        <w:ind w:firstLine="422" w:firstLineChars="200"/>
        <w:jc w:val="center"/>
        <w:rPr>
          <w:b/>
          <w:color w:val="000000"/>
          <w:szCs w:val="21"/>
        </w:rPr>
      </w:pPr>
      <w:r>
        <w:rPr>
          <w:b/>
          <w:color w:val="000000"/>
          <w:szCs w:val="21"/>
        </w:rPr>
        <w:t>表</w:t>
      </w:r>
      <w:r>
        <w:rPr>
          <w:rFonts w:hint="eastAsia"/>
          <w:b/>
          <w:color w:val="000000"/>
          <w:szCs w:val="21"/>
          <w:lang w:val="en-US" w:eastAsia="zh-CN"/>
        </w:rPr>
        <w:t>7.4-1</w:t>
      </w:r>
      <w:r>
        <w:rPr>
          <w:b/>
          <w:color w:val="000000"/>
          <w:szCs w:val="21"/>
        </w:rPr>
        <w:t xml:space="preserve">   项目环境效益分析表</w:t>
      </w:r>
    </w:p>
    <w:tbl>
      <w:tblPr>
        <w:tblStyle w:val="45"/>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6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75" w:type="dxa"/>
            <w:vAlign w:val="center"/>
          </w:tcPr>
          <w:p>
            <w:pPr>
              <w:topLinePunct/>
              <w:adjustRightInd w:val="0"/>
              <w:snapToGrid w:val="0"/>
              <w:spacing w:line="320" w:lineRule="exact"/>
              <w:jc w:val="center"/>
              <w:rPr>
                <w:b/>
                <w:color w:val="000000"/>
              </w:rPr>
            </w:pPr>
            <w:r>
              <w:rPr>
                <w:b/>
                <w:color w:val="000000"/>
              </w:rPr>
              <w:t>序号</w:t>
            </w:r>
          </w:p>
        </w:tc>
        <w:tc>
          <w:tcPr>
            <w:tcW w:w="1560" w:type="dxa"/>
            <w:vAlign w:val="center"/>
          </w:tcPr>
          <w:p>
            <w:pPr>
              <w:topLinePunct/>
              <w:adjustRightInd w:val="0"/>
              <w:snapToGrid w:val="0"/>
              <w:spacing w:line="320" w:lineRule="exact"/>
              <w:jc w:val="center"/>
              <w:rPr>
                <w:b/>
                <w:color w:val="000000"/>
              </w:rPr>
            </w:pPr>
            <w:r>
              <w:rPr>
                <w:b/>
                <w:color w:val="000000"/>
              </w:rPr>
              <w:t>项目</w:t>
            </w:r>
          </w:p>
        </w:tc>
        <w:tc>
          <w:tcPr>
            <w:tcW w:w="6711" w:type="dxa"/>
            <w:vAlign w:val="center"/>
          </w:tcPr>
          <w:p>
            <w:pPr>
              <w:topLinePunct/>
              <w:adjustRightInd w:val="0"/>
              <w:snapToGrid w:val="0"/>
              <w:spacing w:line="320" w:lineRule="exact"/>
              <w:jc w:val="center"/>
              <w:rPr>
                <w:b/>
                <w:color w:val="000000"/>
              </w:rPr>
            </w:pPr>
            <w:r>
              <w:rPr>
                <w:b/>
                <w:color w:val="000000"/>
              </w:rPr>
              <w:t>环境效益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1</w:t>
            </w:r>
          </w:p>
        </w:tc>
        <w:tc>
          <w:tcPr>
            <w:tcW w:w="1560" w:type="dxa"/>
            <w:vAlign w:val="center"/>
          </w:tcPr>
          <w:p>
            <w:pPr>
              <w:topLinePunct/>
              <w:adjustRightInd w:val="0"/>
              <w:snapToGrid w:val="0"/>
              <w:spacing w:line="320" w:lineRule="exact"/>
              <w:jc w:val="center"/>
              <w:rPr>
                <w:color w:val="000000"/>
              </w:rPr>
            </w:pPr>
            <w:r>
              <w:rPr>
                <w:color w:val="000000"/>
              </w:rPr>
              <w:t>废水沼气化处理工程</w:t>
            </w:r>
          </w:p>
        </w:tc>
        <w:tc>
          <w:tcPr>
            <w:tcW w:w="6711" w:type="dxa"/>
            <w:vAlign w:val="center"/>
          </w:tcPr>
          <w:p>
            <w:pPr>
              <w:topLinePunct/>
              <w:adjustRightInd w:val="0"/>
              <w:snapToGrid w:val="0"/>
              <w:spacing w:line="320" w:lineRule="exact"/>
              <w:rPr>
                <w:color w:val="000000"/>
              </w:rPr>
            </w:pPr>
            <w:r>
              <w:rPr>
                <w:color w:val="000000"/>
                <w:szCs w:val="21"/>
              </w:rPr>
              <w:t>厌氧无害化处理后，沼液储存池暂存，定期还田利用；沼气用于食堂燃料，多余部分锅炉使用；沼渣用于制作固体有机肥基肥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2</w:t>
            </w:r>
          </w:p>
        </w:tc>
        <w:tc>
          <w:tcPr>
            <w:tcW w:w="1560" w:type="dxa"/>
            <w:vAlign w:val="center"/>
          </w:tcPr>
          <w:p>
            <w:pPr>
              <w:topLinePunct/>
              <w:adjustRightInd w:val="0"/>
              <w:snapToGrid w:val="0"/>
              <w:spacing w:line="320" w:lineRule="exact"/>
              <w:jc w:val="center"/>
              <w:rPr>
                <w:color w:val="000000"/>
              </w:rPr>
            </w:pPr>
            <w:r>
              <w:rPr>
                <w:color w:val="000000"/>
              </w:rPr>
              <w:t>猪粪、沼渣综合利用</w:t>
            </w:r>
          </w:p>
        </w:tc>
        <w:tc>
          <w:tcPr>
            <w:tcW w:w="6711" w:type="dxa"/>
            <w:vAlign w:val="center"/>
          </w:tcPr>
          <w:p>
            <w:pPr>
              <w:topLinePunct/>
              <w:adjustRightInd w:val="0"/>
              <w:snapToGrid w:val="0"/>
              <w:spacing w:line="320" w:lineRule="exact"/>
              <w:rPr>
                <w:color w:val="000000"/>
              </w:rPr>
            </w:pPr>
            <w:r>
              <w:rPr>
                <w:color w:val="000000"/>
                <w:szCs w:val="21"/>
              </w:rPr>
              <w:t>无害化处理后，制作固体有机肥基肥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3</w:t>
            </w:r>
          </w:p>
        </w:tc>
        <w:tc>
          <w:tcPr>
            <w:tcW w:w="1560" w:type="dxa"/>
            <w:vAlign w:val="center"/>
          </w:tcPr>
          <w:p>
            <w:pPr>
              <w:topLinePunct/>
              <w:spacing w:line="320" w:lineRule="exact"/>
              <w:jc w:val="center"/>
              <w:rPr>
                <w:color w:val="000000"/>
                <w:szCs w:val="21"/>
              </w:rPr>
            </w:pPr>
            <w:r>
              <w:rPr>
                <w:color w:val="000000"/>
                <w:szCs w:val="21"/>
              </w:rPr>
              <w:t>沼气回收、处理、利用</w:t>
            </w:r>
          </w:p>
        </w:tc>
        <w:tc>
          <w:tcPr>
            <w:tcW w:w="6711" w:type="dxa"/>
            <w:vAlign w:val="center"/>
          </w:tcPr>
          <w:p>
            <w:pPr>
              <w:topLinePunct/>
              <w:spacing w:line="320" w:lineRule="exact"/>
              <w:jc w:val="left"/>
              <w:rPr>
                <w:color w:val="000000"/>
                <w:szCs w:val="21"/>
              </w:rPr>
            </w:pPr>
            <w:r>
              <w:rPr>
                <w:color w:val="000000"/>
                <w:szCs w:val="21"/>
              </w:rPr>
              <w:t>减少废气排放，实现资源的回收利用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4</w:t>
            </w:r>
          </w:p>
        </w:tc>
        <w:tc>
          <w:tcPr>
            <w:tcW w:w="1560" w:type="dxa"/>
            <w:vAlign w:val="center"/>
          </w:tcPr>
          <w:p>
            <w:pPr>
              <w:topLinePunct/>
              <w:adjustRightInd w:val="0"/>
              <w:snapToGrid w:val="0"/>
              <w:spacing w:line="320" w:lineRule="exact"/>
              <w:jc w:val="center"/>
              <w:rPr>
                <w:color w:val="000000"/>
              </w:rPr>
            </w:pPr>
            <w:r>
              <w:rPr>
                <w:color w:val="000000"/>
              </w:rPr>
              <w:t>废气处理</w:t>
            </w:r>
          </w:p>
        </w:tc>
        <w:tc>
          <w:tcPr>
            <w:tcW w:w="6711" w:type="dxa"/>
            <w:vAlign w:val="center"/>
          </w:tcPr>
          <w:p>
            <w:pPr>
              <w:topLinePunct/>
              <w:adjustRightInd w:val="0"/>
              <w:snapToGrid w:val="0"/>
              <w:spacing w:line="320" w:lineRule="exact"/>
              <w:rPr>
                <w:color w:val="000000"/>
              </w:rPr>
            </w:pPr>
            <w:r>
              <w:rPr>
                <w:color w:val="000000"/>
              </w:rPr>
              <w:t>恶臭采用除臭措施处理后，实现达标排放；无害化处理中心废气采用冷凝处理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5</w:t>
            </w:r>
          </w:p>
        </w:tc>
        <w:tc>
          <w:tcPr>
            <w:tcW w:w="1560" w:type="dxa"/>
            <w:vAlign w:val="center"/>
          </w:tcPr>
          <w:p>
            <w:pPr>
              <w:topLinePunct/>
              <w:adjustRightInd w:val="0"/>
              <w:snapToGrid w:val="0"/>
              <w:spacing w:line="320" w:lineRule="exact"/>
              <w:jc w:val="center"/>
              <w:rPr>
                <w:color w:val="000000"/>
              </w:rPr>
            </w:pPr>
            <w:r>
              <w:rPr>
                <w:color w:val="000000"/>
              </w:rPr>
              <w:t>噪声处理</w:t>
            </w:r>
          </w:p>
        </w:tc>
        <w:tc>
          <w:tcPr>
            <w:tcW w:w="6711" w:type="dxa"/>
            <w:vAlign w:val="center"/>
          </w:tcPr>
          <w:p>
            <w:pPr>
              <w:topLinePunct/>
              <w:adjustRightInd w:val="0"/>
              <w:snapToGrid w:val="0"/>
              <w:spacing w:line="320" w:lineRule="exact"/>
              <w:rPr>
                <w:color w:val="000000"/>
              </w:rPr>
            </w:pPr>
            <w:r>
              <w:rPr>
                <w:color w:val="000000"/>
              </w:rPr>
              <w:t>采用设备基础减振及场房隔声等降噪措施，实现达标排放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6</w:t>
            </w:r>
          </w:p>
        </w:tc>
        <w:tc>
          <w:tcPr>
            <w:tcW w:w="1560" w:type="dxa"/>
            <w:vAlign w:val="center"/>
          </w:tcPr>
          <w:p>
            <w:pPr>
              <w:topLinePunct/>
              <w:adjustRightInd w:val="0"/>
              <w:snapToGrid w:val="0"/>
              <w:spacing w:line="320" w:lineRule="exact"/>
              <w:jc w:val="center"/>
              <w:rPr>
                <w:color w:val="000000"/>
              </w:rPr>
            </w:pPr>
            <w:r>
              <w:rPr>
                <w:color w:val="000000"/>
                <w:szCs w:val="21"/>
              </w:rPr>
              <w:t>雨污分流及“三防”措施</w:t>
            </w:r>
          </w:p>
        </w:tc>
        <w:tc>
          <w:tcPr>
            <w:tcW w:w="6711" w:type="dxa"/>
            <w:vAlign w:val="center"/>
          </w:tcPr>
          <w:p>
            <w:pPr>
              <w:topLinePunct/>
              <w:adjustRightInd w:val="0"/>
              <w:snapToGrid w:val="0"/>
              <w:spacing w:line="320" w:lineRule="exact"/>
              <w:rPr>
                <w:color w:val="000000"/>
              </w:rPr>
            </w:pPr>
            <w:r>
              <w:rPr>
                <w:color w:val="000000"/>
              </w:rPr>
              <w:t>经过</w:t>
            </w:r>
            <w:r>
              <w:rPr>
                <w:color w:val="000000"/>
                <w:szCs w:val="21"/>
              </w:rPr>
              <w:t>防渗和设置围堰防溢处置等措施后，不会对地下水、地表水及土壤造成直接污染</w:t>
            </w:r>
          </w:p>
        </w:tc>
      </w:tr>
    </w:tbl>
    <w:p>
      <w:pPr>
        <w:topLinePunct/>
        <w:spacing w:line="500" w:lineRule="exact"/>
        <w:ind w:firstLine="480" w:firstLineChars="200"/>
        <w:rPr>
          <w:color w:val="000000"/>
          <w:sz w:val="24"/>
        </w:rPr>
      </w:pPr>
      <w:r>
        <w:rPr>
          <w:color w:val="000000"/>
          <w:sz w:val="24"/>
        </w:rPr>
        <w:t>通过表</w:t>
      </w:r>
      <w:r>
        <w:rPr>
          <w:rFonts w:hint="eastAsia"/>
          <w:color w:val="000000"/>
          <w:sz w:val="24"/>
          <w:lang w:val="en-US" w:eastAsia="zh-CN"/>
        </w:rPr>
        <w:t>7.4-1</w:t>
      </w:r>
      <w:r>
        <w:rPr>
          <w:color w:val="000000"/>
          <w:sz w:val="24"/>
        </w:rPr>
        <w:t>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5"/>
        <w:spacing w:before="156" w:after="156"/>
        <w:rPr>
          <w:rFonts w:hAnsi="Times New Roman"/>
          <w:color w:val="000000"/>
        </w:rPr>
      </w:pPr>
      <w:bookmarkStart w:id="308" w:name="_Toc375206214"/>
      <w:bookmarkStart w:id="309" w:name="_Toc30399"/>
      <w:bookmarkStart w:id="310" w:name="_Toc488572584"/>
      <w:r>
        <w:rPr>
          <w:rFonts w:hint="eastAsia" w:hAnsi="Times New Roman"/>
          <w:color w:val="000000"/>
          <w:lang w:val="en-US" w:eastAsia="zh-CN"/>
        </w:rPr>
        <w:t>7</w:t>
      </w:r>
      <w:r>
        <w:rPr>
          <w:rFonts w:hAnsi="Times New Roman"/>
          <w:color w:val="000000"/>
        </w:rPr>
        <w:t>.5 社会效益分析</w:t>
      </w:r>
      <w:bookmarkEnd w:id="308"/>
      <w:bookmarkEnd w:id="309"/>
      <w:bookmarkEnd w:id="310"/>
    </w:p>
    <w:p>
      <w:pPr>
        <w:topLinePunct/>
        <w:spacing w:line="500" w:lineRule="exact"/>
        <w:ind w:firstLine="480" w:firstLineChars="200"/>
        <w:rPr>
          <w:color w:val="000000"/>
          <w:sz w:val="24"/>
        </w:rPr>
      </w:pPr>
      <w:r>
        <w:rPr>
          <w:color w:val="000000"/>
          <w:sz w:val="24"/>
        </w:rPr>
        <w:t>本项目全场的社会效益主要表现在以下几个方面：</w:t>
      </w:r>
    </w:p>
    <w:p>
      <w:pPr>
        <w:topLinePunct/>
        <w:spacing w:line="500" w:lineRule="exact"/>
        <w:ind w:firstLine="480" w:firstLineChars="200"/>
        <w:rPr>
          <w:color w:val="000000"/>
          <w:sz w:val="24"/>
        </w:rPr>
      </w:pPr>
      <w:r>
        <w:rPr>
          <w:color w:val="000000"/>
          <w:sz w:val="24"/>
        </w:rPr>
        <w:t>（1）该项目的实施促进了养殖场的良性发展，增强了建设单位的市场竞争力。养殖场的废物得到资源化的利用，促进了项目单位循环经济和生态经济的良性发展。同时，项目单位具有一定的生猪销售市场，养殖场的污染治理，实现了清洁养殖，为生猪的良性繁育创造了较好卫生环境，增强了市场竞争力。</w:t>
      </w:r>
    </w:p>
    <w:p>
      <w:pPr>
        <w:topLinePunct/>
        <w:spacing w:line="500" w:lineRule="exact"/>
        <w:ind w:firstLine="480" w:firstLineChars="200"/>
        <w:rPr>
          <w:color w:val="000000"/>
          <w:sz w:val="24"/>
        </w:rPr>
      </w:pPr>
      <w:r>
        <w:rPr>
          <w:color w:val="000000"/>
          <w:sz w:val="24"/>
        </w:rPr>
        <w:t>（2）项目的清洁生产措施，很大程度上节约了资源和能源，起到了“节能、降耗、减污、增效”的作用，符合国家产业政策和环保治理要求。</w:t>
      </w:r>
    </w:p>
    <w:p>
      <w:pPr>
        <w:topLinePunct/>
        <w:spacing w:line="500" w:lineRule="exact"/>
        <w:ind w:firstLine="480" w:firstLineChars="200"/>
        <w:rPr>
          <w:color w:val="000000"/>
          <w:sz w:val="24"/>
        </w:rPr>
      </w:pPr>
      <w:r>
        <w:rPr>
          <w:color w:val="000000"/>
          <w:sz w:val="24"/>
        </w:rPr>
        <w:t>（3）该项目未来的标准化、规模化建设将形成农村能源产业，由此所需的技术、管理队伍可就地吸纳农村剩余劳动力，有利于维护农村社会稳定，对提高人民生活水平起到积极作用。</w:t>
      </w:r>
    </w:p>
    <w:p>
      <w:pPr>
        <w:topLinePunct/>
        <w:spacing w:line="500" w:lineRule="exact"/>
        <w:ind w:firstLine="480" w:firstLineChars="200"/>
        <w:rPr>
          <w:color w:val="000000"/>
          <w:sz w:val="24"/>
        </w:rPr>
      </w:pPr>
      <w:r>
        <w:rPr>
          <w:color w:val="000000"/>
          <w:sz w:val="24"/>
        </w:rPr>
        <w:t>（4）项目的建设可拉动周边畜禽养殖业、肉制品加工业、饲料加工业等行业的快速发展，同时为周围种植业提供了大量优质肥料，降低了化肥、农药在农产品生产中的使用量，为无公害农产品生产提供了有利条件，有利于促进周围农村产业结构调整。</w:t>
      </w:r>
    </w:p>
    <w:p>
      <w:pPr>
        <w:topLinePunct/>
        <w:spacing w:line="500" w:lineRule="exact"/>
        <w:ind w:firstLine="480" w:firstLineChars="200"/>
        <w:rPr>
          <w:color w:val="000000"/>
          <w:sz w:val="24"/>
        </w:rPr>
      </w:pPr>
      <w:r>
        <w:rPr>
          <w:color w:val="000000"/>
          <w:sz w:val="24"/>
        </w:rPr>
        <w:t>（5）项目投产后，可增加当地财政收入，提高当地社会经济发展水平，对区域社会稳定发挥了较强作用。</w:t>
      </w:r>
    </w:p>
    <w:p>
      <w:pPr>
        <w:topLinePunct/>
        <w:spacing w:line="500" w:lineRule="exact"/>
        <w:ind w:firstLine="480" w:firstLineChars="200"/>
        <w:rPr>
          <w:color w:val="000000"/>
          <w:sz w:val="24"/>
        </w:rPr>
      </w:pPr>
      <w:r>
        <w:rPr>
          <w:color w:val="000000"/>
          <w:sz w:val="24"/>
        </w:rPr>
        <w:t>综合以上分析，项目具有较好经济、环境和社会效益，它的建成，将能够拉动地方经济的快速发展；废物资源化利用，将促进人类与社会的和谐发展。</w:t>
      </w:r>
    </w:p>
    <w:p>
      <w:pPr>
        <w:pStyle w:val="5"/>
        <w:spacing w:before="156" w:after="156"/>
        <w:rPr>
          <w:rFonts w:hAnsi="Times New Roman"/>
          <w:color w:val="000000"/>
        </w:rPr>
      </w:pPr>
      <w:bookmarkStart w:id="311" w:name="_Toc375206215"/>
      <w:bookmarkStart w:id="312" w:name="_Toc7757"/>
      <w:bookmarkStart w:id="313" w:name="_Toc488572585"/>
      <w:r>
        <w:rPr>
          <w:rFonts w:hint="eastAsia" w:hAnsi="Times New Roman"/>
          <w:color w:val="000000"/>
          <w:lang w:val="en-US" w:eastAsia="zh-CN"/>
        </w:rPr>
        <w:t>7</w:t>
      </w:r>
      <w:r>
        <w:rPr>
          <w:rFonts w:hAnsi="Times New Roman"/>
          <w:color w:val="000000"/>
        </w:rPr>
        <w:t xml:space="preserve">.6 </w:t>
      </w:r>
      <w:bookmarkEnd w:id="311"/>
      <w:r>
        <w:rPr>
          <w:rFonts w:hAnsi="Times New Roman"/>
          <w:color w:val="000000"/>
        </w:rPr>
        <w:t>生态效益</w:t>
      </w:r>
      <w:bookmarkEnd w:id="312"/>
      <w:bookmarkEnd w:id="313"/>
    </w:p>
    <w:p>
      <w:pPr>
        <w:topLinePunct/>
        <w:spacing w:line="500" w:lineRule="exact"/>
        <w:ind w:firstLine="480" w:firstLineChars="200"/>
        <w:rPr>
          <w:color w:val="000000"/>
          <w:sz w:val="24"/>
        </w:rPr>
      </w:pPr>
      <w:r>
        <w:rPr>
          <w:color w:val="000000"/>
          <w:sz w:val="24"/>
        </w:rPr>
        <w:t>项目完成后，养殖场将建成以种植业为基础，养殖业为主体，沼气为纽带，促进物质能量良性循环的生态养殖场，明显改善区域内农业生态环境，有利农业可持续发展。</w:t>
      </w:r>
    </w:p>
    <w:p>
      <w:pPr>
        <w:topLinePunct/>
        <w:spacing w:line="500" w:lineRule="exact"/>
        <w:ind w:firstLine="480" w:firstLineChars="200"/>
        <w:rPr>
          <w:color w:val="000000"/>
          <w:sz w:val="24"/>
        </w:rPr>
      </w:pPr>
      <w:r>
        <w:rPr>
          <w:color w:val="000000"/>
          <w:sz w:val="24"/>
        </w:rPr>
        <w:t>猪粪、沼渣生产有机农肥，沼液作为肥水综合利用，沼气是清洁能源，替代燃煤作食堂燃料，可减少大气污染物排放。</w:t>
      </w:r>
    </w:p>
    <w:p>
      <w:pPr>
        <w:topLinePunct/>
        <w:spacing w:line="500" w:lineRule="exact"/>
        <w:ind w:firstLine="480" w:firstLineChars="200"/>
        <w:rPr>
          <w:b/>
          <w:bCs/>
          <w:color w:val="000000"/>
          <w:szCs w:val="21"/>
        </w:rPr>
      </w:pPr>
      <w:r>
        <w:rPr>
          <w:color w:val="000000"/>
          <w:sz w:val="24"/>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p>
    <w:p>
      <w:pPr>
        <w:pStyle w:val="5"/>
        <w:spacing w:before="156" w:after="156"/>
        <w:rPr>
          <w:rFonts w:hAnsi="Times New Roman"/>
          <w:color w:val="000000"/>
        </w:rPr>
      </w:pPr>
      <w:bookmarkStart w:id="314" w:name="_Toc375206216"/>
      <w:bookmarkStart w:id="315" w:name="_Toc488572586"/>
      <w:bookmarkStart w:id="316" w:name="_Toc22960"/>
      <w:r>
        <w:rPr>
          <w:rFonts w:hint="eastAsia" w:hAnsi="Times New Roman"/>
          <w:color w:val="000000"/>
          <w:lang w:val="en-US" w:eastAsia="zh-CN"/>
        </w:rPr>
        <w:t>7</w:t>
      </w:r>
      <w:r>
        <w:rPr>
          <w:rFonts w:hAnsi="Times New Roman"/>
          <w:color w:val="000000"/>
        </w:rPr>
        <w:t xml:space="preserve">.7 </w:t>
      </w:r>
      <w:bookmarkEnd w:id="314"/>
      <w:r>
        <w:rPr>
          <w:rFonts w:hAnsi="Times New Roman"/>
          <w:color w:val="000000"/>
        </w:rPr>
        <w:t>分析结论</w:t>
      </w:r>
      <w:bookmarkEnd w:id="315"/>
      <w:bookmarkEnd w:id="316"/>
    </w:p>
    <w:p>
      <w:pPr>
        <w:topLinePunct/>
        <w:spacing w:line="500" w:lineRule="exact"/>
        <w:ind w:firstLine="480" w:firstLineChars="200"/>
        <w:rPr>
          <w:color w:val="000000"/>
          <w:sz w:val="24"/>
        </w:rPr>
      </w:pPr>
      <w:r>
        <w:rPr>
          <w:color w:val="000000"/>
          <w:sz w:val="24"/>
        </w:rPr>
        <w:t>综合以上分析，本项目具有较好经济、环境和社会效益，它的建成，将能够拉动地方经济的快速发展；废物资源化利用，将促进人类与社会的和谐发展。</w:t>
      </w:r>
    </w:p>
    <w:p>
      <w:pPr>
        <w:topLinePunct/>
        <w:rPr>
          <w:color w:val="000000"/>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p>
    <w:p>
      <w:pPr>
        <w:keepNext/>
        <w:keepLines/>
        <w:spacing w:before="100" w:beforeAutospacing="1" w:after="100" w:afterAutospacing="1"/>
        <w:jc w:val="center"/>
        <w:outlineLvl w:val="0"/>
        <w:rPr>
          <w:b/>
          <w:sz w:val="44"/>
          <w:szCs w:val="44"/>
        </w:rPr>
      </w:pPr>
      <w:bookmarkStart w:id="317" w:name="_Toc488572587"/>
      <w:bookmarkStart w:id="318" w:name="_Toc18124"/>
      <w:r>
        <w:rPr>
          <w:b/>
          <w:sz w:val="44"/>
          <w:szCs w:val="44"/>
        </w:rPr>
        <w:t>第</w:t>
      </w:r>
      <w:r>
        <w:rPr>
          <w:rFonts w:hint="eastAsia"/>
          <w:b/>
          <w:sz w:val="44"/>
          <w:szCs w:val="44"/>
          <w:lang w:val="en-US" w:eastAsia="zh-CN"/>
        </w:rPr>
        <w:t>八</w:t>
      </w:r>
      <w:r>
        <w:rPr>
          <w:b/>
          <w:sz w:val="44"/>
          <w:szCs w:val="44"/>
        </w:rPr>
        <w:t>章 场址选择及场区平面布置合理性分析</w:t>
      </w:r>
      <w:bookmarkEnd w:id="317"/>
      <w:bookmarkEnd w:id="318"/>
    </w:p>
    <w:p>
      <w:pPr>
        <w:pStyle w:val="5"/>
        <w:spacing w:before="156" w:after="156"/>
        <w:rPr>
          <w:rFonts w:hAnsi="Times New Roman"/>
          <w:color w:val="000000"/>
        </w:rPr>
      </w:pPr>
      <w:bookmarkStart w:id="319" w:name="_Toc488572588"/>
      <w:bookmarkStart w:id="320" w:name="_Toc16732"/>
      <w:r>
        <w:rPr>
          <w:rFonts w:hint="eastAsia" w:hAnsi="Times New Roman"/>
          <w:color w:val="000000"/>
          <w:lang w:val="en-US" w:eastAsia="zh-CN"/>
        </w:rPr>
        <w:t>8</w:t>
      </w:r>
      <w:r>
        <w:rPr>
          <w:rFonts w:hAnsi="Times New Roman"/>
          <w:color w:val="000000"/>
        </w:rPr>
        <w:t>.1 场址可行性分析</w:t>
      </w:r>
      <w:bookmarkEnd w:id="319"/>
      <w:bookmarkEnd w:id="320"/>
    </w:p>
    <w:p>
      <w:pPr>
        <w:spacing w:line="600" w:lineRule="exact"/>
        <w:outlineLvl w:val="2"/>
        <w:rPr>
          <w:b/>
          <w:color w:val="000000"/>
          <w:sz w:val="24"/>
        </w:rPr>
      </w:pPr>
      <w:r>
        <w:rPr>
          <w:rFonts w:hint="eastAsia"/>
          <w:b/>
          <w:color w:val="000000"/>
          <w:sz w:val="24"/>
          <w:lang w:val="en-US" w:eastAsia="zh-CN"/>
        </w:rPr>
        <w:t>8</w:t>
      </w:r>
      <w:r>
        <w:rPr>
          <w:b/>
          <w:color w:val="000000"/>
          <w:sz w:val="24"/>
        </w:rPr>
        <w:t>.1.1 规划相符性分析</w:t>
      </w:r>
    </w:p>
    <w:p>
      <w:pPr>
        <w:spacing w:line="520" w:lineRule="exact"/>
        <w:ind w:firstLine="480" w:firstLineChars="200"/>
        <w:rPr>
          <w:bCs/>
          <w:color w:val="000000"/>
          <w:sz w:val="24"/>
        </w:rPr>
      </w:pPr>
      <w:r>
        <w:rPr>
          <w:bCs/>
          <w:color w:val="000000"/>
          <w:sz w:val="24"/>
        </w:rPr>
        <w:t>（1）</w:t>
      </w:r>
      <w:r>
        <w:rPr>
          <w:rFonts w:hint="eastAsia"/>
          <w:bCs/>
          <w:color w:val="000000"/>
          <w:sz w:val="24"/>
          <w:lang w:eastAsia="zh-CN"/>
        </w:rPr>
        <w:t>正阳县</w:t>
      </w:r>
      <w:r>
        <w:rPr>
          <w:bCs/>
          <w:color w:val="000000"/>
          <w:sz w:val="24"/>
        </w:rPr>
        <w:t>城市总体发展规划</w:t>
      </w:r>
    </w:p>
    <w:p>
      <w:pPr>
        <w:spacing w:line="500" w:lineRule="exact"/>
        <w:ind w:firstLine="480" w:firstLineChars="200"/>
        <w:jc w:val="left"/>
        <w:rPr>
          <w:color w:val="000000"/>
          <w:sz w:val="24"/>
        </w:rPr>
      </w:pPr>
      <w:r>
        <w:rPr>
          <w:color w:val="000000"/>
          <w:sz w:val="24"/>
        </w:rPr>
        <w:t>本项目位于</w:t>
      </w:r>
      <w:r>
        <w:rPr>
          <w:rFonts w:hint="eastAsia"/>
          <w:color w:val="000000"/>
          <w:sz w:val="24"/>
          <w:lang w:eastAsia="zh-CN"/>
        </w:rPr>
        <w:t>正阳县</w:t>
      </w:r>
      <w:r>
        <w:rPr>
          <w:rFonts w:hint="eastAsia"/>
          <w:color w:val="000000"/>
          <w:sz w:val="24"/>
          <w:lang w:val="en-US" w:eastAsia="zh-CN"/>
        </w:rPr>
        <w:t>青年农场</w:t>
      </w:r>
      <w:r>
        <w:rPr>
          <w:color w:val="000000"/>
          <w:sz w:val="24"/>
        </w:rPr>
        <w:t>，不在</w:t>
      </w:r>
      <w:r>
        <w:rPr>
          <w:rFonts w:hint="eastAsia"/>
          <w:color w:val="000000"/>
          <w:sz w:val="24"/>
          <w:lang w:eastAsia="zh-CN"/>
        </w:rPr>
        <w:t>正阳县</w:t>
      </w:r>
      <w:r>
        <w:rPr>
          <w:color w:val="000000"/>
          <w:sz w:val="24"/>
        </w:rPr>
        <w:t>城市总体发展规划范围内，故本次项目的建设不违背</w:t>
      </w:r>
      <w:r>
        <w:rPr>
          <w:rFonts w:hint="eastAsia"/>
          <w:color w:val="000000"/>
          <w:sz w:val="24"/>
          <w:lang w:eastAsia="zh-CN"/>
        </w:rPr>
        <w:t>正阳县</w:t>
      </w:r>
      <w:r>
        <w:rPr>
          <w:color w:val="000000"/>
          <w:sz w:val="24"/>
        </w:rPr>
        <w:t>城市总体发展规划。</w:t>
      </w:r>
    </w:p>
    <w:p>
      <w:pPr>
        <w:spacing w:line="520" w:lineRule="exact"/>
        <w:ind w:firstLine="480" w:firstLineChars="200"/>
        <w:rPr>
          <w:color w:val="000000"/>
          <w:sz w:val="24"/>
        </w:rPr>
      </w:pPr>
      <w:r>
        <w:rPr>
          <w:color w:val="000000"/>
          <w:sz w:val="24"/>
        </w:rPr>
        <w:t>（2）土地利用规划</w:t>
      </w:r>
    </w:p>
    <w:p>
      <w:pPr>
        <w:spacing w:line="500" w:lineRule="exact"/>
        <w:ind w:firstLine="480" w:firstLineChars="200"/>
        <w:rPr>
          <w:color w:val="000000"/>
          <w:sz w:val="24"/>
        </w:rPr>
      </w:pPr>
      <w:r>
        <w:rPr>
          <w:color w:val="000000"/>
          <w:sz w:val="24"/>
        </w:rPr>
        <w:t>本项目拟建场址位于</w:t>
      </w:r>
      <w:r>
        <w:rPr>
          <w:rFonts w:hint="eastAsia"/>
          <w:color w:val="000000"/>
          <w:sz w:val="24"/>
          <w:lang w:eastAsia="zh-CN"/>
        </w:rPr>
        <w:t>正阳县</w:t>
      </w:r>
      <w:r>
        <w:rPr>
          <w:rFonts w:hint="eastAsia"/>
          <w:color w:val="000000"/>
          <w:sz w:val="24"/>
          <w:lang w:val="en-US" w:eastAsia="zh-CN"/>
        </w:rPr>
        <w:t>青年农场</w:t>
      </w:r>
      <w:r>
        <w:rPr>
          <w:color w:val="000000"/>
          <w:sz w:val="24"/>
        </w:rPr>
        <w:t>，本项目占地为</w:t>
      </w:r>
      <w:r>
        <w:rPr>
          <w:rFonts w:hint="eastAsia"/>
          <w:color w:val="000000"/>
          <w:sz w:val="24"/>
          <w:lang w:val="en-US" w:eastAsia="zh-CN"/>
        </w:rPr>
        <w:t>林</w:t>
      </w:r>
      <w:r>
        <w:rPr>
          <w:color w:val="000000"/>
          <w:sz w:val="24"/>
        </w:rPr>
        <w:t>地，项目用地符合</w:t>
      </w:r>
      <w:r>
        <w:rPr>
          <w:rFonts w:hint="eastAsia"/>
          <w:color w:val="000000"/>
          <w:sz w:val="24"/>
          <w:lang w:eastAsia="zh-CN"/>
        </w:rPr>
        <w:t>正阳县</w:t>
      </w:r>
      <w:r>
        <w:rPr>
          <w:rFonts w:hint="eastAsia"/>
          <w:color w:val="000000"/>
          <w:sz w:val="24"/>
          <w:lang w:val="en-US" w:eastAsia="zh-CN"/>
        </w:rPr>
        <w:t>土地利用</w:t>
      </w:r>
      <w:r>
        <w:rPr>
          <w:color w:val="000000"/>
          <w:sz w:val="24"/>
        </w:rPr>
        <w:t>总体规划要求。</w:t>
      </w:r>
      <w:r>
        <w:rPr>
          <w:rFonts w:hint="eastAsia"/>
          <w:color w:val="000000"/>
          <w:sz w:val="24"/>
          <w:lang w:eastAsia="zh-CN"/>
        </w:rPr>
        <w:t>正阳县</w:t>
      </w:r>
      <w:r>
        <w:rPr>
          <w:color w:val="000000"/>
          <w:sz w:val="24"/>
        </w:rPr>
        <w:t>国土局证明见附件。</w:t>
      </w:r>
    </w:p>
    <w:p>
      <w:pPr>
        <w:spacing w:line="520" w:lineRule="exact"/>
        <w:ind w:firstLine="480" w:firstLineChars="200"/>
        <w:rPr>
          <w:color w:val="000000"/>
          <w:sz w:val="24"/>
        </w:rPr>
      </w:pPr>
      <w:r>
        <w:rPr>
          <w:color w:val="000000"/>
          <w:sz w:val="24"/>
        </w:rPr>
        <w:t>（</w:t>
      </w:r>
      <w:r>
        <w:rPr>
          <w:rFonts w:hint="eastAsia"/>
          <w:color w:val="000000"/>
          <w:sz w:val="24"/>
          <w:lang w:val="en-US" w:eastAsia="zh-CN"/>
        </w:rPr>
        <w:t>3</w:t>
      </w:r>
      <w:r>
        <w:rPr>
          <w:color w:val="000000"/>
          <w:sz w:val="24"/>
        </w:rPr>
        <w:t>）</w:t>
      </w:r>
      <w:r>
        <w:rPr>
          <w:rFonts w:hint="eastAsia"/>
          <w:color w:val="000000"/>
          <w:sz w:val="24"/>
          <w:lang w:eastAsia="zh-CN"/>
        </w:rPr>
        <w:t>正阳县</w:t>
      </w:r>
      <w:r>
        <w:rPr>
          <w:color w:val="000000"/>
          <w:sz w:val="24"/>
        </w:rPr>
        <w:t>饮用水水源地保护区划</w:t>
      </w:r>
    </w:p>
    <w:p>
      <w:pPr>
        <w:spacing w:line="520" w:lineRule="exact"/>
        <w:ind w:firstLine="480" w:firstLineChars="200"/>
        <w:jc w:val="left"/>
        <w:rPr>
          <w:color w:val="000000"/>
          <w:sz w:val="24"/>
        </w:rPr>
      </w:pPr>
      <w:r>
        <w:rPr>
          <w:color w:val="000000"/>
          <w:sz w:val="24"/>
        </w:rPr>
        <w:t>本项目位于</w:t>
      </w:r>
      <w:r>
        <w:rPr>
          <w:rFonts w:hint="eastAsia"/>
          <w:color w:val="000000"/>
          <w:sz w:val="24"/>
          <w:lang w:eastAsia="zh-CN"/>
        </w:rPr>
        <w:t>正阳县</w:t>
      </w:r>
      <w:r>
        <w:rPr>
          <w:rFonts w:hint="eastAsia"/>
          <w:color w:val="000000"/>
          <w:sz w:val="24"/>
          <w:lang w:val="en-US" w:eastAsia="zh-CN"/>
        </w:rPr>
        <w:t>青年农场</w:t>
      </w:r>
      <w:r>
        <w:rPr>
          <w:color w:val="000000"/>
          <w:sz w:val="24"/>
        </w:rPr>
        <w:t>，经对比</w:t>
      </w:r>
      <w:r>
        <w:rPr>
          <w:rFonts w:hint="eastAsia"/>
          <w:color w:val="000000"/>
          <w:kern w:val="0"/>
          <w:sz w:val="24"/>
          <w:szCs w:val="21"/>
          <w:lang w:eastAsia="zh-CN"/>
        </w:rPr>
        <w:t>正阳县</w:t>
      </w:r>
      <w:r>
        <w:rPr>
          <w:color w:val="000000"/>
          <w:sz w:val="24"/>
        </w:rPr>
        <w:t>饮用水水源地保护区划，</w:t>
      </w:r>
      <w:r>
        <w:rPr>
          <w:rFonts w:ascii="Times New Roman" w:hAnsi="Times New Roman"/>
          <w:color w:val="000000"/>
          <w:sz w:val="24"/>
        </w:rPr>
        <w:t>本项目距</w:t>
      </w:r>
      <w:r>
        <w:rPr>
          <w:rFonts w:hint="eastAsia" w:ascii="Times New Roman" w:hAnsi="Times New Roman"/>
          <w:color w:val="000000"/>
          <w:kern w:val="0"/>
          <w:sz w:val="24"/>
          <w:szCs w:val="21"/>
        </w:rPr>
        <w:t>正阳</w:t>
      </w:r>
      <w:r>
        <w:rPr>
          <w:rFonts w:ascii="Times New Roman" w:hAnsi="Times New Roman"/>
          <w:color w:val="000000"/>
          <w:kern w:val="0"/>
          <w:sz w:val="24"/>
          <w:szCs w:val="21"/>
        </w:rPr>
        <w:t>县</w:t>
      </w:r>
      <w:r>
        <w:rPr>
          <w:rFonts w:ascii="Times New Roman" w:hAnsi="Times New Roman"/>
          <w:color w:val="000000"/>
          <w:sz w:val="24"/>
        </w:rPr>
        <w:t>城市饮用水水源地一级保护区最近距离约为</w:t>
      </w:r>
      <w:r>
        <w:rPr>
          <w:rFonts w:hint="eastAsia" w:ascii="Times New Roman" w:hAnsi="Times New Roman"/>
          <w:color w:val="000000"/>
          <w:sz w:val="24"/>
          <w:lang w:val="en-US" w:eastAsia="zh-CN"/>
        </w:rPr>
        <w:t>3</w:t>
      </w:r>
      <w:r>
        <w:rPr>
          <w:rFonts w:hint="eastAsia" w:ascii="Times New Roman" w:hAnsi="Times New Roman"/>
          <w:color w:val="000000"/>
          <w:sz w:val="24"/>
        </w:rPr>
        <w:t>8.49</w:t>
      </w:r>
      <w:r>
        <w:rPr>
          <w:rFonts w:ascii="Times New Roman" w:hAnsi="Times New Roman"/>
          <w:color w:val="000000"/>
          <w:sz w:val="24"/>
        </w:rPr>
        <w:t>km，不在</w:t>
      </w:r>
      <w:r>
        <w:rPr>
          <w:rFonts w:hint="eastAsia" w:ascii="Times New Roman" w:hAnsi="Times New Roman"/>
          <w:color w:val="000000"/>
          <w:kern w:val="0"/>
          <w:sz w:val="24"/>
          <w:szCs w:val="21"/>
        </w:rPr>
        <w:t>正阳</w:t>
      </w:r>
      <w:r>
        <w:rPr>
          <w:rFonts w:ascii="Times New Roman" w:hAnsi="Times New Roman"/>
          <w:color w:val="000000"/>
          <w:kern w:val="0"/>
          <w:sz w:val="24"/>
          <w:szCs w:val="21"/>
        </w:rPr>
        <w:t>县</w:t>
      </w:r>
      <w:r>
        <w:rPr>
          <w:rFonts w:ascii="Times New Roman" w:hAnsi="Times New Roman"/>
          <w:color w:val="000000"/>
          <w:sz w:val="24"/>
        </w:rPr>
        <w:t>饮用水水源保护区范围内，故项目的建设与</w:t>
      </w:r>
      <w:r>
        <w:rPr>
          <w:rFonts w:hint="eastAsia" w:ascii="Times New Roman" w:hAnsi="Times New Roman"/>
          <w:color w:val="000000"/>
          <w:kern w:val="0"/>
          <w:sz w:val="24"/>
          <w:szCs w:val="21"/>
        </w:rPr>
        <w:t>正阳</w:t>
      </w:r>
      <w:r>
        <w:rPr>
          <w:rFonts w:ascii="Times New Roman" w:hAnsi="Times New Roman"/>
          <w:color w:val="000000"/>
          <w:kern w:val="0"/>
          <w:sz w:val="24"/>
          <w:szCs w:val="21"/>
        </w:rPr>
        <w:t>县</w:t>
      </w:r>
      <w:r>
        <w:rPr>
          <w:rFonts w:ascii="Times New Roman" w:hAnsi="Times New Roman"/>
          <w:color w:val="000000"/>
          <w:sz w:val="24"/>
        </w:rPr>
        <w:t>饮用水水源地保护区划是相符的</w:t>
      </w:r>
      <w:r>
        <w:rPr>
          <w:color w:val="000000"/>
          <w:sz w:val="24"/>
        </w:rPr>
        <w:t>。</w:t>
      </w:r>
    </w:p>
    <w:p>
      <w:pPr>
        <w:spacing w:line="520" w:lineRule="exact"/>
        <w:ind w:firstLine="480" w:firstLineChars="200"/>
        <w:rPr>
          <w:color w:val="000000"/>
          <w:sz w:val="24"/>
        </w:rPr>
      </w:pPr>
      <w:r>
        <w:rPr>
          <w:color w:val="000000"/>
          <w:sz w:val="24"/>
        </w:rPr>
        <w:t>（</w:t>
      </w:r>
      <w:r>
        <w:rPr>
          <w:rFonts w:hint="eastAsia"/>
          <w:color w:val="000000"/>
          <w:sz w:val="24"/>
          <w:lang w:val="en-US" w:eastAsia="zh-CN"/>
        </w:rPr>
        <w:t>4</w:t>
      </w:r>
      <w:r>
        <w:rPr>
          <w:color w:val="000000"/>
          <w:sz w:val="24"/>
        </w:rPr>
        <w:t>）</w:t>
      </w:r>
      <w:r>
        <w:rPr>
          <w:rFonts w:hint="eastAsia"/>
          <w:color w:val="000000"/>
          <w:sz w:val="24"/>
          <w:lang w:eastAsia="zh-CN"/>
        </w:rPr>
        <w:t>油坊店乡</w:t>
      </w:r>
      <w:r>
        <w:rPr>
          <w:color w:val="000000"/>
          <w:sz w:val="24"/>
        </w:rPr>
        <w:t>饮用水水源地保护区划</w:t>
      </w:r>
    </w:p>
    <w:p>
      <w:pPr>
        <w:spacing w:line="520" w:lineRule="exact"/>
        <w:ind w:firstLine="480" w:firstLineChars="200"/>
        <w:rPr>
          <w:color w:val="000000"/>
          <w:sz w:val="24"/>
        </w:rPr>
      </w:pPr>
      <w:r>
        <w:rPr>
          <w:color w:val="000000"/>
          <w:sz w:val="24"/>
        </w:rPr>
        <w:t>本项目位于</w:t>
      </w:r>
      <w:r>
        <w:rPr>
          <w:rFonts w:hint="eastAsia"/>
          <w:color w:val="000000"/>
          <w:sz w:val="24"/>
          <w:lang w:eastAsia="zh-CN"/>
        </w:rPr>
        <w:t>正阳县</w:t>
      </w:r>
      <w:r>
        <w:rPr>
          <w:rFonts w:hint="eastAsia"/>
          <w:color w:val="000000"/>
          <w:sz w:val="24"/>
          <w:lang w:val="en-US" w:eastAsia="zh-CN"/>
        </w:rPr>
        <w:t>青年农场</w:t>
      </w:r>
      <w:r>
        <w:rPr>
          <w:color w:val="000000"/>
          <w:sz w:val="24"/>
        </w:rPr>
        <w:t>，经对比</w:t>
      </w:r>
      <w:r>
        <w:rPr>
          <w:rFonts w:hint="eastAsia"/>
          <w:color w:val="000000"/>
          <w:sz w:val="24"/>
          <w:lang w:val="en-US" w:eastAsia="zh-CN"/>
        </w:rPr>
        <w:t>《关于印发河南省乡镇集中式饮用水水源保护区划的通知》（豫政办〔</w:t>
      </w:r>
      <w:r>
        <w:rPr>
          <w:rFonts w:hint="default"/>
          <w:color w:val="000000"/>
          <w:sz w:val="24"/>
          <w:lang w:val="en-US" w:eastAsia="zh-CN"/>
        </w:rPr>
        <w:t>2016</w:t>
      </w:r>
      <w:r>
        <w:rPr>
          <w:rFonts w:hint="eastAsia"/>
          <w:color w:val="000000"/>
          <w:sz w:val="24"/>
          <w:lang w:val="en-US" w:eastAsia="zh-CN"/>
        </w:rPr>
        <w:t>〕</w:t>
      </w:r>
      <w:r>
        <w:rPr>
          <w:rFonts w:hint="default"/>
          <w:color w:val="000000"/>
          <w:sz w:val="24"/>
          <w:lang w:val="en-US" w:eastAsia="zh-CN"/>
        </w:rPr>
        <w:t>23</w:t>
      </w:r>
      <w:r>
        <w:rPr>
          <w:rFonts w:hint="eastAsia"/>
          <w:color w:val="000000"/>
          <w:sz w:val="24"/>
          <w:lang w:val="en-US" w:eastAsia="zh-CN"/>
        </w:rPr>
        <w:t>号）</w:t>
      </w:r>
      <w:r>
        <w:rPr>
          <w:color w:val="000000"/>
          <w:sz w:val="24"/>
        </w:rPr>
        <w:t>，本项目距</w:t>
      </w:r>
      <w:r>
        <w:rPr>
          <w:rFonts w:hint="eastAsia"/>
          <w:color w:val="000000"/>
          <w:sz w:val="24"/>
          <w:lang w:eastAsia="zh-CN"/>
        </w:rPr>
        <w:t>油坊店乡</w:t>
      </w:r>
      <w:r>
        <w:rPr>
          <w:rFonts w:hint="eastAsia"/>
          <w:color w:val="000000"/>
          <w:sz w:val="24"/>
          <w:lang w:val="en-US" w:eastAsia="zh-CN"/>
        </w:rPr>
        <w:t>地下水</w:t>
      </w:r>
      <w:r>
        <w:rPr>
          <w:color w:val="000000"/>
          <w:sz w:val="24"/>
        </w:rPr>
        <w:t>饮用水水源地一级保护区最近距离约为</w:t>
      </w:r>
      <w:r>
        <w:rPr>
          <w:rFonts w:hint="eastAsia"/>
          <w:color w:val="000000"/>
          <w:sz w:val="24"/>
          <w:lang w:val="en-US" w:eastAsia="zh-CN"/>
        </w:rPr>
        <w:t>4.6</w:t>
      </w:r>
      <w:r>
        <w:rPr>
          <w:color w:val="000000"/>
          <w:sz w:val="24"/>
        </w:rPr>
        <w:t>km，不在</w:t>
      </w:r>
      <w:r>
        <w:rPr>
          <w:rFonts w:hint="eastAsia"/>
          <w:color w:val="000000"/>
          <w:sz w:val="24"/>
          <w:lang w:eastAsia="zh-CN"/>
        </w:rPr>
        <w:t>油坊店乡</w:t>
      </w:r>
      <w:r>
        <w:rPr>
          <w:rFonts w:hint="eastAsia"/>
          <w:color w:val="000000"/>
          <w:sz w:val="24"/>
          <w:lang w:val="en-US" w:eastAsia="zh-CN"/>
        </w:rPr>
        <w:t>地下水</w:t>
      </w:r>
      <w:r>
        <w:rPr>
          <w:color w:val="000000"/>
          <w:sz w:val="24"/>
        </w:rPr>
        <w:t>饮用水水源保护区范围内。</w:t>
      </w:r>
    </w:p>
    <w:p>
      <w:pPr>
        <w:spacing w:line="520" w:lineRule="exact"/>
        <w:ind w:firstLine="480" w:firstLineChars="200"/>
        <w:rPr>
          <w:color w:val="000000"/>
          <w:sz w:val="24"/>
        </w:rPr>
      </w:pPr>
      <w:r>
        <w:rPr>
          <w:color w:val="000000"/>
          <w:sz w:val="24"/>
        </w:rPr>
        <w:t>（</w:t>
      </w:r>
      <w:r>
        <w:rPr>
          <w:rFonts w:hint="eastAsia"/>
          <w:color w:val="000000"/>
          <w:sz w:val="24"/>
          <w:lang w:val="en-US" w:eastAsia="zh-CN"/>
        </w:rPr>
        <w:t>5</w:t>
      </w:r>
      <w:r>
        <w:rPr>
          <w:color w:val="000000"/>
          <w:sz w:val="24"/>
        </w:rPr>
        <w:t>）项目与《</w:t>
      </w:r>
      <w:r>
        <w:rPr>
          <w:rFonts w:hint="eastAsia"/>
          <w:color w:val="000000"/>
          <w:sz w:val="24"/>
          <w:lang w:eastAsia="zh-CN"/>
        </w:rPr>
        <w:t>正阳县</w:t>
      </w:r>
      <w:r>
        <w:rPr>
          <w:color w:val="000000"/>
          <w:sz w:val="24"/>
        </w:rPr>
        <w:t>畜禽养殖禁养区</w:t>
      </w:r>
      <w:r>
        <w:rPr>
          <w:rFonts w:hint="eastAsia"/>
          <w:color w:val="000000"/>
          <w:sz w:val="24"/>
          <w:lang w:val="en-US" w:eastAsia="zh-CN"/>
        </w:rPr>
        <w:t>限养区</w:t>
      </w:r>
      <w:r>
        <w:rPr>
          <w:color w:val="000000"/>
          <w:sz w:val="24"/>
        </w:rPr>
        <w:t>划</w:t>
      </w:r>
      <w:r>
        <w:rPr>
          <w:rFonts w:hint="eastAsia"/>
          <w:color w:val="000000"/>
          <w:sz w:val="24"/>
          <w:lang w:val="en-US" w:eastAsia="zh-CN"/>
        </w:rPr>
        <w:t>定</w:t>
      </w:r>
      <w:r>
        <w:rPr>
          <w:color w:val="000000"/>
          <w:sz w:val="24"/>
        </w:rPr>
        <w:t>方案》相符性分析</w:t>
      </w:r>
    </w:p>
    <w:p>
      <w:pPr>
        <w:spacing w:line="520" w:lineRule="exact"/>
        <w:ind w:firstLine="480" w:firstLineChars="200"/>
        <w:rPr>
          <w:color w:val="000000"/>
          <w:sz w:val="24"/>
        </w:rPr>
      </w:pPr>
      <w:r>
        <w:rPr>
          <w:color w:val="000000"/>
          <w:sz w:val="24"/>
        </w:rPr>
        <w:t>本项目位于</w:t>
      </w:r>
      <w:r>
        <w:rPr>
          <w:rFonts w:hint="eastAsia"/>
          <w:color w:val="000000"/>
          <w:sz w:val="24"/>
          <w:lang w:val="en-US" w:eastAsia="zh-CN"/>
        </w:rPr>
        <w:t>正阳县青年农场</w:t>
      </w:r>
      <w:r>
        <w:rPr>
          <w:color w:val="000000"/>
          <w:sz w:val="24"/>
        </w:rPr>
        <w:t>，根据现场勘踏，经与《</w:t>
      </w:r>
      <w:r>
        <w:rPr>
          <w:rFonts w:hint="eastAsia"/>
          <w:color w:val="000000"/>
          <w:sz w:val="24"/>
          <w:lang w:eastAsia="zh-CN"/>
        </w:rPr>
        <w:t>正阳县</w:t>
      </w:r>
      <w:r>
        <w:rPr>
          <w:color w:val="000000"/>
          <w:sz w:val="24"/>
        </w:rPr>
        <w:t>畜禽养殖禁养区划分方案》比对可知，项目所在地距离最近的村庄为</w:t>
      </w:r>
      <w:r>
        <w:rPr>
          <w:rFonts w:hint="eastAsia"/>
          <w:color w:val="000000"/>
          <w:sz w:val="24"/>
          <w:lang w:val="en-US" w:eastAsia="zh-CN"/>
        </w:rPr>
        <w:t>东</w:t>
      </w:r>
      <w:r>
        <w:rPr>
          <w:color w:val="000000"/>
          <w:sz w:val="24"/>
        </w:rPr>
        <w:t>侧5</w:t>
      </w:r>
      <w:r>
        <w:rPr>
          <w:rFonts w:hint="eastAsia"/>
          <w:color w:val="000000"/>
          <w:sz w:val="24"/>
          <w:lang w:val="en-US" w:eastAsia="zh-CN"/>
        </w:rPr>
        <w:t>01</w:t>
      </w:r>
      <w:r>
        <w:rPr>
          <w:color w:val="000000"/>
          <w:sz w:val="24"/>
        </w:rPr>
        <w:t>m的</w:t>
      </w:r>
      <w:r>
        <w:rPr>
          <w:rFonts w:hint="eastAsia"/>
          <w:color w:val="000000"/>
          <w:sz w:val="24"/>
          <w:lang w:val="en-US" w:eastAsia="zh-CN"/>
        </w:rPr>
        <w:t>前周庄</w:t>
      </w:r>
      <w:r>
        <w:rPr>
          <w:color w:val="000000"/>
          <w:sz w:val="24"/>
        </w:rPr>
        <w:t>，不在</w:t>
      </w:r>
      <w:r>
        <w:rPr>
          <w:rFonts w:hint="eastAsia"/>
          <w:color w:val="000000"/>
          <w:sz w:val="24"/>
          <w:lang w:eastAsia="zh-CN"/>
        </w:rPr>
        <w:t>正阳县</w:t>
      </w:r>
      <w:r>
        <w:rPr>
          <w:color w:val="000000"/>
          <w:sz w:val="24"/>
        </w:rPr>
        <w:t>划定的禁养区范围内</w:t>
      </w:r>
      <w:r>
        <w:rPr>
          <w:rFonts w:hint="eastAsia"/>
          <w:color w:val="000000"/>
          <w:sz w:val="24"/>
          <w:lang w:eastAsia="zh-CN"/>
        </w:rPr>
        <w:t>，</w:t>
      </w:r>
      <w:r>
        <w:rPr>
          <w:color w:val="000000"/>
          <w:sz w:val="24"/>
        </w:rPr>
        <w:t>因此项目建设符合选址要求。</w:t>
      </w:r>
    </w:p>
    <w:p>
      <w:pPr>
        <w:spacing w:line="500" w:lineRule="exact"/>
        <w:ind w:firstLine="480" w:firstLineChars="200"/>
        <w:rPr>
          <w:color w:val="000000"/>
          <w:sz w:val="24"/>
        </w:rPr>
      </w:pPr>
      <w:r>
        <w:rPr>
          <w:color w:val="000000"/>
          <w:sz w:val="24"/>
        </w:rPr>
        <w:t>本项目与《</w:t>
      </w:r>
      <w:r>
        <w:rPr>
          <w:rFonts w:hint="eastAsia"/>
          <w:color w:val="000000"/>
          <w:sz w:val="24"/>
          <w:lang w:eastAsia="zh-CN"/>
        </w:rPr>
        <w:t>正阳县</w:t>
      </w:r>
      <w:r>
        <w:rPr>
          <w:color w:val="000000"/>
          <w:sz w:val="24"/>
        </w:rPr>
        <w:t>畜禽养殖禁养区</w:t>
      </w:r>
      <w:r>
        <w:rPr>
          <w:rFonts w:hint="eastAsia"/>
          <w:color w:val="000000"/>
          <w:sz w:val="24"/>
          <w:lang w:val="en-US" w:eastAsia="zh-CN"/>
        </w:rPr>
        <w:t>限养区</w:t>
      </w:r>
      <w:r>
        <w:rPr>
          <w:color w:val="000000"/>
          <w:sz w:val="24"/>
        </w:rPr>
        <w:t>划</w:t>
      </w:r>
      <w:r>
        <w:rPr>
          <w:rFonts w:hint="eastAsia"/>
          <w:color w:val="000000"/>
          <w:sz w:val="24"/>
          <w:lang w:val="en-US" w:eastAsia="zh-CN"/>
        </w:rPr>
        <w:t>定</w:t>
      </w:r>
      <w:r>
        <w:rPr>
          <w:color w:val="000000"/>
          <w:sz w:val="24"/>
        </w:rPr>
        <w:t>方案》对比分析见下表</w:t>
      </w:r>
      <w:r>
        <w:rPr>
          <w:rFonts w:hint="eastAsia"/>
          <w:color w:val="000000"/>
          <w:sz w:val="24"/>
          <w:lang w:val="en-US" w:eastAsia="zh-CN"/>
        </w:rPr>
        <w:t>9.1</w:t>
      </w:r>
      <w:r>
        <w:rPr>
          <w:color w:val="000000"/>
          <w:sz w:val="24"/>
        </w:rPr>
        <w:t>-1。</w:t>
      </w:r>
    </w:p>
    <w:p>
      <w:pPr>
        <w:spacing w:beforeLines="50" w:afterLines="50"/>
        <w:ind w:firstLine="398" w:firstLineChars="200"/>
        <w:jc w:val="center"/>
        <w:rPr>
          <w:b/>
          <w:bCs/>
          <w:color w:val="000000"/>
          <w:spacing w:val="-6"/>
          <w:sz w:val="21"/>
          <w:szCs w:val="21"/>
        </w:rPr>
      </w:pPr>
      <w:r>
        <w:rPr>
          <w:b/>
          <w:bCs/>
          <w:color w:val="000000"/>
          <w:spacing w:val="-6"/>
          <w:sz w:val="21"/>
          <w:szCs w:val="21"/>
        </w:rPr>
        <w:t>表</w:t>
      </w:r>
      <w:r>
        <w:rPr>
          <w:rFonts w:hint="eastAsia"/>
          <w:b/>
          <w:bCs/>
          <w:color w:val="000000"/>
          <w:spacing w:val="-6"/>
          <w:sz w:val="21"/>
          <w:szCs w:val="21"/>
          <w:lang w:val="en-US" w:eastAsia="zh-CN"/>
        </w:rPr>
        <w:t>8.1</w:t>
      </w:r>
      <w:r>
        <w:rPr>
          <w:b/>
          <w:bCs/>
          <w:color w:val="000000"/>
          <w:spacing w:val="-6"/>
          <w:sz w:val="21"/>
          <w:szCs w:val="21"/>
        </w:rPr>
        <w:t>-1  与《</w:t>
      </w:r>
      <w:r>
        <w:rPr>
          <w:rFonts w:hint="eastAsia"/>
          <w:b/>
          <w:bCs/>
          <w:color w:val="000000"/>
          <w:sz w:val="21"/>
          <w:szCs w:val="21"/>
          <w:lang w:eastAsia="zh-CN"/>
        </w:rPr>
        <w:t>正阳县</w:t>
      </w:r>
      <w:r>
        <w:rPr>
          <w:b/>
          <w:bCs/>
          <w:color w:val="000000"/>
          <w:sz w:val="21"/>
          <w:szCs w:val="21"/>
        </w:rPr>
        <w:t>畜禽养殖禁养区</w:t>
      </w:r>
      <w:r>
        <w:rPr>
          <w:rFonts w:hint="eastAsia"/>
          <w:b/>
          <w:bCs/>
          <w:color w:val="000000"/>
          <w:sz w:val="21"/>
          <w:szCs w:val="21"/>
          <w:lang w:val="en-US" w:eastAsia="zh-CN"/>
        </w:rPr>
        <w:t>限养区</w:t>
      </w:r>
      <w:r>
        <w:rPr>
          <w:b/>
          <w:bCs/>
          <w:color w:val="000000"/>
          <w:sz w:val="21"/>
          <w:szCs w:val="21"/>
        </w:rPr>
        <w:t>划</w:t>
      </w:r>
      <w:r>
        <w:rPr>
          <w:rFonts w:hint="eastAsia"/>
          <w:b/>
          <w:bCs/>
          <w:color w:val="000000"/>
          <w:sz w:val="21"/>
          <w:szCs w:val="21"/>
          <w:lang w:val="en-US" w:eastAsia="zh-CN"/>
        </w:rPr>
        <w:t>定</w:t>
      </w:r>
      <w:r>
        <w:rPr>
          <w:b/>
          <w:bCs/>
          <w:color w:val="000000"/>
          <w:sz w:val="21"/>
          <w:szCs w:val="21"/>
        </w:rPr>
        <w:t>方案</w:t>
      </w:r>
      <w:r>
        <w:rPr>
          <w:b/>
          <w:bCs/>
          <w:color w:val="000000"/>
          <w:spacing w:val="-6"/>
          <w:sz w:val="21"/>
          <w:szCs w:val="21"/>
        </w:rPr>
        <w:t>》对比分析一览表</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4644"/>
        <w:gridCol w:w="3450"/>
        <w:gridCol w:w="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070" w:type="dxa"/>
            <w:gridSpan w:val="2"/>
            <w:tcBorders>
              <w:top w:val="single" w:color="auto" w:sz="4" w:space="0"/>
              <w:left w:val="single" w:color="auto" w:sz="4"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bCs/>
                <w:color w:val="000000"/>
                <w:sz w:val="21"/>
                <w:szCs w:val="21"/>
              </w:rPr>
              <w:t>划分方案</w:t>
            </w:r>
          </w:p>
        </w:tc>
        <w:tc>
          <w:tcPr>
            <w:tcW w:w="3450" w:type="dxa"/>
            <w:tcBorders>
              <w:top w:val="single" w:color="auto" w:sz="4"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本项目</w:t>
            </w:r>
          </w:p>
        </w:tc>
        <w:tc>
          <w:tcPr>
            <w:tcW w:w="426" w:type="dxa"/>
            <w:tcBorders>
              <w:top w:val="single" w:color="auto" w:sz="4" w:space="0"/>
              <w:left w:val="single" w:color="auto" w:sz="6" w:space="0"/>
              <w:bottom w:val="single" w:color="auto" w:sz="6"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426" w:type="dxa"/>
            <w:vMerge w:val="restart"/>
            <w:tcBorders>
              <w:top w:val="single" w:color="auto" w:sz="6" w:space="0"/>
              <w:left w:val="single" w:color="auto" w:sz="4" w:space="0"/>
              <w:bottom w:val="single" w:color="auto" w:sz="6" w:space="0"/>
              <w:right w:val="single" w:color="auto" w:sz="6" w:space="0"/>
            </w:tcBorders>
            <w:noWrap w:val="0"/>
            <w:vAlign w:val="center"/>
          </w:tcPr>
          <w:p>
            <w:pPr>
              <w:pStyle w:val="31"/>
              <w:jc w:val="center"/>
              <w:rPr>
                <w:rFonts w:ascii="Times New Roman"/>
                <w:color w:val="000000"/>
                <w:szCs w:val="21"/>
              </w:rPr>
            </w:pPr>
            <w:r>
              <w:rPr>
                <w:rFonts w:ascii="Times New Roman"/>
                <w:color w:val="000000"/>
                <w:szCs w:val="21"/>
              </w:rPr>
              <w:t>禁</w:t>
            </w:r>
          </w:p>
          <w:p>
            <w:pPr>
              <w:pStyle w:val="31"/>
              <w:jc w:val="center"/>
              <w:rPr>
                <w:rFonts w:ascii="Times New Roman"/>
                <w:color w:val="000000"/>
                <w:szCs w:val="21"/>
              </w:rPr>
            </w:pPr>
            <w:r>
              <w:rPr>
                <w:rFonts w:ascii="Times New Roman"/>
                <w:color w:val="000000"/>
                <w:szCs w:val="21"/>
              </w:rPr>
              <w:t>养</w:t>
            </w:r>
          </w:p>
          <w:p>
            <w:pPr>
              <w:pStyle w:val="31"/>
              <w:jc w:val="center"/>
              <w:rPr>
                <w:rFonts w:ascii="Times New Roman"/>
                <w:color w:val="000000"/>
                <w:szCs w:val="21"/>
              </w:rPr>
            </w:pPr>
            <w:r>
              <w:rPr>
                <w:rFonts w:ascii="Times New Roman"/>
                <w:color w:val="000000"/>
                <w:szCs w:val="21"/>
              </w:rPr>
              <w:t>区</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城市规划区、各乡镇规划区和上述区域外的文教科研区、医疗区、商业区、工业区、游览区等人口集中地区。</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本项目距</w:t>
            </w:r>
            <w:r>
              <w:rPr>
                <w:rFonts w:hint="eastAsia" w:ascii="Times New Roman" w:hAnsi="Times New Roman"/>
                <w:color w:val="000000"/>
                <w:sz w:val="21"/>
                <w:szCs w:val="21"/>
              </w:rPr>
              <w:t>正阳</w:t>
            </w:r>
            <w:r>
              <w:rPr>
                <w:rFonts w:ascii="Times New Roman" w:hAnsi="Times New Roman"/>
                <w:color w:val="000000"/>
                <w:sz w:val="21"/>
                <w:szCs w:val="21"/>
              </w:rPr>
              <w:t>县城市规划区最近距离约为</w:t>
            </w:r>
            <w:r>
              <w:rPr>
                <w:rFonts w:hint="eastAsia" w:ascii="Times New Roman" w:hAnsi="Times New Roman"/>
                <w:color w:val="000000"/>
                <w:sz w:val="21"/>
                <w:szCs w:val="21"/>
                <w:lang w:val="en-US" w:eastAsia="zh-CN"/>
              </w:rPr>
              <w:t>3</w:t>
            </w:r>
            <w:r>
              <w:rPr>
                <w:rFonts w:hint="eastAsia" w:ascii="Times New Roman" w:hAnsi="Times New Roman"/>
                <w:color w:val="000000"/>
                <w:sz w:val="21"/>
                <w:szCs w:val="21"/>
              </w:rPr>
              <w:t>9.25</w:t>
            </w:r>
            <w:r>
              <w:rPr>
                <w:rFonts w:ascii="Times New Roman" w:hAnsi="Times New Roman"/>
                <w:color w:val="000000"/>
                <w:sz w:val="21"/>
                <w:szCs w:val="21"/>
              </w:rPr>
              <w:t>km，不在</w:t>
            </w:r>
            <w:r>
              <w:rPr>
                <w:rFonts w:ascii="Times New Roman" w:hAnsi="Times New Roman"/>
                <w:bCs/>
                <w:color w:val="000000"/>
                <w:kern w:val="0"/>
                <w:sz w:val="21"/>
                <w:szCs w:val="21"/>
              </w:rPr>
              <w:t>县城规划区</w:t>
            </w:r>
            <w:r>
              <w:rPr>
                <w:rFonts w:ascii="Times New Roman" w:hAnsi="Times New Roman"/>
                <w:color w:val="000000"/>
                <w:sz w:val="21"/>
                <w:szCs w:val="21"/>
              </w:rPr>
              <w:t>范围内。</w:t>
            </w:r>
          </w:p>
        </w:tc>
        <w:tc>
          <w:tcPr>
            <w:tcW w:w="426" w:type="dxa"/>
            <w:vMerge w:val="restart"/>
            <w:tcBorders>
              <w:top w:val="single" w:color="auto" w:sz="6" w:space="0"/>
              <w:left w:val="single" w:color="auto" w:sz="6" w:space="0"/>
              <w:bottom w:val="single" w:color="auto" w:sz="6"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不在禁养区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26" w:type="dxa"/>
            <w:vMerge w:val="continue"/>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Times New Roman" w:hAnsi="Times New Roman"/>
                <w:b/>
                <w:bCs/>
                <w:caps/>
                <w:color w:val="000000"/>
                <w:sz w:val="21"/>
                <w:szCs w:val="21"/>
                <w:u w:val="single"/>
              </w:rPr>
            </w:pP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集中式饮用水源地保护区；</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Times New Roman"/>
                <w:bCs/>
                <w:color w:val="000000"/>
                <w:kern w:val="0"/>
                <w:sz w:val="21"/>
                <w:szCs w:val="21"/>
              </w:rPr>
            </w:pPr>
            <w:r>
              <w:rPr>
                <w:rFonts w:ascii="Times New Roman" w:hAnsi="Times New Roman"/>
                <w:bCs/>
                <w:color w:val="000000"/>
                <w:kern w:val="0"/>
                <w:sz w:val="21"/>
                <w:szCs w:val="21"/>
              </w:rPr>
              <w:t>本项目距</w:t>
            </w:r>
            <w:r>
              <w:rPr>
                <w:rFonts w:hint="eastAsia" w:ascii="Times New Roman" w:hAnsi="Times New Roman"/>
                <w:bCs/>
                <w:color w:val="000000"/>
                <w:kern w:val="0"/>
                <w:sz w:val="21"/>
                <w:szCs w:val="21"/>
              </w:rPr>
              <w:t>正阳</w:t>
            </w:r>
            <w:r>
              <w:rPr>
                <w:rFonts w:ascii="Times New Roman" w:hAnsi="Times New Roman"/>
                <w:bCs/>
                <w:color w:val="000000"/>
                <w:kern w:val="0"/>
                <w:sz w:val="21"/>
                <w:szCs w:val="21"/>
              </w:rPr>
              <w:t>县城市饮用水水源地</w:t>
            </w:r>
          </w:p>
          <w:p>
            <w:pPr>
              <w:rPr>
                <w:rFonts w:ascii="Times New Roman" w:hAnsi="Times New Roman"/>
                <w:color w:val="000000"/>
                <w:sz w:val="21"/>
                <w:szCs w:val="21"/>
              </w:rPr>
            </w:pPr>
            <w:r>
              <w:rPr>
                <w:rFonts w:ascii="Times New Roman" w:hAnsi="Times New Roman"/>
                <w:bCs/>
                <w:color w:val="000000"/>
                <w:kern w:val="0"/>
                <w:sz w:val="21"/>
                <w:szCs w:val="21"/>
              </w:rPr>
              <w:t>一级保护区最近距离约为</w:t>
            </w:r>
            <w:r>
              <w:rPr>
                <w:rFonts w:hint="eastAsia" w:ascii="Times New Roman" w:hAnsi="Times New Roman"/>
                <w:bCs/>
                <w:color w:val="000000"/>
                <w:kern w:val="0"/>
                <w:sz w:val="21"/>
                <w:szCs w:val="21"/>
                <w:lang w:val="en-US" w:eastAsia="zh-CN"/>
              </w:rPr>
              <w:t>3</w:t>
            </w:r>
            <w:r>
              <w:rPr>
                <w:rFonts w:hint="eastAsia" w:ascii="Times New Roman" w:hAnsi="Times New Roman"/>
                <w:bCs/>
                <w:color w:val="000000"/>
                <w:kern w:val="0"/>
                <w:sz w:val="21"/>
                <w:szCs w:val="21"/>
              </w:rPr>
              <w:t>8.19</w:t>
            </w:r>
            <w:r>
              <w:rPr>
                <w:rFonts w:ascii="Times New Roman" w:hAnsi="Times New Roman"/>
                <w:bCs/>
                <w:color w:val="000000"/>
                <w:kern w:val="0"/>
                <w:sz w:val="21"/>
                <w:szCs w:val="21"/>
              </w:rPr>
              <w:t>km，距</w:t>
            </w:r>
            <w:r>
              <w:rPr>
                <w:rFonts w:hint="eastAsia" w:ascii="Times New Roman" w:hAnsi="Times New Roman"/>
                <w:bCs/>
                <w:color w:val="000000"/>
                <w:kern w:val="0"/>
                <w:sz w:val="21"/>
                <w:szCs w:val="21"/>
                <w:lang w:val="en-US" w:eastAsia="zh-CN"/>
              </w:rPr>
              <w:t>油坊店</w:t>
            </w:r>
            <w:r>
              <w:rPr>
                <w:rFonts w:hint="eastAsia" w:ascii="Times New Roman" w:hAnsi="Times New Roman"/>
                <w:bCs/>
                <w:color w:val="000000"/>
                <w:kern w:val="0"/>
                <w:sz w:val="21"/>
                <w:szCs w:val="21"/>
              </w:rPr>
              <w:t>乡</w:t>
            </w:r>
            <w:r>
              <w:rPr>
                <w:rFonts w:ascii="Times New Roman" w:hAnsi="Times New Roman"/>
                <w:bCs/>
                <w:color w:val="000000"/>
                <w:kern w:val="0"/>
                <w:sz w:val="21"/>
                <w:szCs w:val="21"/>
              </w:rPr>
              <w:t>饮用水水源地一级保护区最近距离约为</w:t>
            </w:r>
            <w:r>
              <w:rPr>
                <w:rFonts w:hint="eastAsia" w:ascii="Times New Roman" w:hAnsi="Times New Roman"/>
                <w:bCs/>
                <w:color w:val="000000"/>
                <w:kern w:val="0"/>
                <w:sz w:val="21"/>
                <w:szCs w:val="21"/>
                <w:lang w:val="en-US" w:eastAsia="zh-CN"/>
              </w:rPr>
              <w:t>4.6</w:t>
            </w:r>
            <w:r>
              <w:rPr>
                <w:rFonts w:ascii="Times New Roman" w:hAnsi="Times New Roman"/>
                <w:bCs/>
                <w:color w:val="000000"/>
                <w:kern w:val="0"/>
                <w:sz w:val="21"/>
                <w:szCs w:val="21"/>
              </w:rPr>
              <w:t>km，不在县城现有生活饮用水源地，乡镇和村级集中式生活饮用水源地周围50米范围内</w:t>
            </w:r>
          </w:p>
        </w:tc>
        <w:tc>
          <w:tcPr>
            <w:tcW w:w="426" w:type="dxa"/>
            <w:vMerge w:val="continue"/>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Times New Roman" w:hAnsi="Times New Roman"/>
                <w:b/>
                <w:bCs/>
                <w:caps/>
                <w:color w:val="000000"/>
                <w:sz w:val="21"/>
                <w:szCs w:val="21"/>
                <w:u w:val="single"/>
              </w:rPr>
            </w:pP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自然保护区、风景区、公园、广场、文物保护单位等敏感区域；</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项目不涉及敏感区域</w:t>
            </w:r>
          </w:p>
        </w:tc>
        <w:tc>
          <w:tcPr>
            <w:tcW w:w="426" w:type="dxa"/>
            <w:vMerge w:val="continue"/>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426" w:type="dxa"/>
            <w:vMerge w:val="continue"/>
            <w:tcBorders>
              <w:top w:val="single" w:color="auto" w:sz="6" w:space="0"/>
              <w:left w:val="single" w:color="auto" w:sz="4" w:space="0"/>
              <w:bottom w:val="single" w:color="auto" w:sz="6" w:space="0"/>
              <w:right w:val="single" w:color="auto" w:sz="6" w:space="0"/>
            </w:tcBorders>
            <w:noWrap w:val="0"/>
            <w:vAlign w:val="center"/>
          </w:tcPr>
          <w:p>
            <w:pPr>
              <w:widowControl/>
              <w:jc w:val="center"/>
              <w:rPr>
                <w:rFonts w:ascii="Times New Roman" w:hAnsi="Times New Roman"/>
                <w:b/>
                <w:bCs/>
                <w:caps/>
                <w:color w:val="000000"/>
                <w:sz w:val="21"/>
                <w:szCs w:val="21"/>
                <w:u w:val="single"/>
              </w:rPr>
            </w:pP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周南</w:t>
            </w:r>
            <w:r>
              <w:rPr>
                <w:rFonts w:ascii="Times New Roman" w:hAnsi="Times New Roman"/>
                <w:color w:val="000000"/>
                <w:sz w:val="21"/>
                <w:szCs w:val="21"/>
              </w:rPr>
              <w:t>、</w:t>
            </w:r>
            <w:r>
              <w:rPr>
                <w:rFonts w:hint="eastAsia" w:ascii="Times New Roman" w:hAnsi="Times New Roman"/>
                <w:color w:val="000000"/>
                <w:sz w:val="21"/>
                <w:szCs w:val="21"/>
              </w:rPr>
              <w:t>京港澳</w:t>
            </w:r>
            <w:r>
              <w:rPr>
                <w:rFonts w:ascii="Times New Roman" w:hAnsi="Times New Roman"/>
                <w:color w:val="000000"/>
                <w:sz w:val="21"/>
                <w:szCs w:val="21"/>
              </w:rPr>
              <w:t>高速和10</w:t>
            </w:r>
            <w:r>
              <w:rPr>
                <w:rFonts w:hint="eastAsia" w:ascii="Times New Roman" w:hAnsi="Times New Roman"/>
                <w:color w:val="000000"/>
                <w:sz w:val="21"/>
                <w:szCs w:val="21"/>
              </w:rPr>
              <w:t>7</w:t>
            </w:r>
            <w:r>
              <w:rPr>
                <w:rFonts w:ascii="Times New Roman" w:hAnsi="Times New Roman"/>
                <w:color w:val="000000"/>
                <w:sz w:val="21"/>
                <w:szCs w:val="21"/>
              </w:rPr>
              <w:t>国道两侧各100m范围内的区域；</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项目东侧距</w:t>
            </w:r>
            <w:r>
              <w:rPr>
                <w:rFonts w:hint="eastAsia" w:ascii="Times New Roman" w:hAnsi="Times New Roman"/>
                <w:color w:val="000000"/>
                <w:sz w:val="21"/>
                <w:szCs w:val="21"/>
              </w:rPr>
              <w:t>S</w:t>
            </w:r>
            <w:r>
              <w:rPr>
                <w:rFonts w:hint="eastAsia" w:ascii="Times New Roman" w:hAnsi="Times New Roman"/>
                <w:color w:val="000000"/>
                <w:sz w:val="21"/>
                <w:szCs w:val="21"/>
                <w:lang w:val="en-US" w:eastAsia="zh-CN"/>
              </w:rPr>
              <w:t>335</w:t>
            </w:r>
            <w:r>
              <w:rPr>
                <w:rFonts w:hint="eastAsia" w:ascii="Times New Roman" w:hAnsi="Times New Roman"/>
                <w:color w:val="000000"/>
                <w:sz w:val="21"/>
                <w:szCs w:val="21"/>
              </w:rPr>
              <w:t>省道国道</w:t>
            </w:r>
            <w:r>
              <w:rPr>
                <w:rFonts w:hint="eastAsia" w:ascii="Times New Roman" w:hAnsi="Times New Roman"/>
                <w:color w:val="000000"/>
                <w:sz w:val="21"/>
                <w:szCs w:val="21"/>
                <w:lang w:val="en-US" w:eastAsia="zh-CN"/>
              </w:rPr>
              <w:t>1.7</w:t>
            </w:r>
            <w:r>
              <w:rPr>
                <w:rFonts w:hint="eastAsia" w:ascii="Times New Roman" w:hAnsi="Times New Roman"/>
                <w:color w:val="000000"/>
                <w:sz w:val="21"/>
                <w:szCs w:val="21"/>
              </w:rPr>
              <w:t>k</w:t>
            </w:r>
            <w:r>
              <w:rPr>
                <w:rFonts w:ascii="Times New Roman" w:hAnsi="Times New Roman"/>
                <w:color w:val="000000"/>
                <w:sz w:val="21"/>
                <w:szCs w:val="21"/>
              </w:rPr>
              <w:t>m</w:t>
            </w:r>
          </w:p>
        </w:tc>
        <w:tc>
          <w:tcPr>
            <w:tcW w:w="426" w:type="dxa"/>
            <w:vMerge w:val="continue"/>
            <w:tcBorders>
              <w:top w:val="single" w:color="auto" w:sz="6" w:space="0"/>
              <w:left w:val="single" w:color="auto" w:sz="6" w:space="0"/>
              <w:bottom w:val="single" w:color="auto" w:sz="6"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6" w:type="dxa"/>
            <w:vMerge w:val="restart"/>
            <w:tcBorders>
              <w:top w:val="single" w:color="auto" w:sz="6" w:space="0"/>
              <w:left w:val="single" w:color="auto" w:sz="4" w:space="0"/>
              <w:bottom w:val="single" w:color="auto" w:sz="4"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限养区</w:t>
            </w: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城市规划区周边2000m范围内的区域，城镇居民区、文教科研区周边1000m范围内（按照国统字[2008]177号文件规定：城镇居民区、文化教育科学研究区原则上设定为常住人口3000人以上），乡村周边300m范围内的区域（按照国统字[2008]177号文件规定：乡村是指常住人口3000人以下，且学校、医疗、市场等配套齐全的，其他设定为居民集中区或居民集中点）；</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本项目距</w:t>
            </w:r>
            <w:r>
              <w:rPr>
                <w:rFonts w:hint="eastAsia" w:ascii="Times New Roman" w:hAnsi="Times New Roman"/>
                <w:color w:val="000000"/>
                <w:sz w:val="21"/>
                <w:szCs w:val="21"/>
              </w:rPr>
              <w:t>正阳</w:t>
            </w:r>
            <w:r>
              <w:rPr>
                <w:rFonts w:ascii="Times New Roman" w:hAnsi="Times New Roman"/>
                <w:color w:val="000000"/>
                <w:sz w:val="21"/>
                <w:szCs w:val="21"/>
              </w:rPr>
              <w:t>县城市规划区最近距离约为</w:t>
            </w:r>
            <w:r>
              <w:rPr>
                <w:rFonts w:hint="eastAsia" w:ascii="Times New Roman" w:hAnsi="Times New Roman"/>
                <w:color w:val="000000"/>
                <w:sz w:val="21"/>
                <w:szCs w:val="21"/>
                <w:lang w:val="en-US" w:eastAsia="zh-CN"/>
              </w:rPr>
              <w:t>3</w:t>
            </w:r>
            <w:r>
              <w:rPr>
                <w:rFonts w:hint="eastAsia" w:ascii="Times New Roman" w:hAnsi="Times New Roman"/>
                <w:color w:val="000000"/>
                <w:sz w:val="21"/>
                <w:szCs w:val="21"/>
              </w:rPr>
              <w:t>9.25</w:t>
            </w:r>
            <w:r>
              <w:rPr>
                <w:rFonts w:ascii="Times New Roman" w:hAnsi="Times New Roman"/>
                <w:color w:val="000000"/>
                <w:sz w:val="21"/>
                <w:szCs w:val="21"/>
              </w:rPr>
              <w:t>km，不在</w:t>
            </w:r>
            <w:r>
              <w:rPr>
                <w:rFonts w:ascii="Times New Roman" w:hAnsi="Times New Roman"/>
                <w:bCs/>
                <w:color w:val="000000"/>
                <w:kern w:val="0"/>
                <w:sz w:val="21"/>
                <w:szCs w:val="21"/>
              </w:rPr>
              <w:t>县城规划区</w:t>
            </w:r>
            <w:r>
              <w:rPr>
                <w:rFonts w:ascii="Times New Roman" w:hAnsi="Times New Roman"/>
                <w:color w:val="000000"/>
                <w:sz w:val="21"/>
                <w:szCs w:val="21"/>
              </w:rPr>
              <w:t>范围内。</w:t>
            </w:r>
          </w:p>
        </w:tc>
        <w:tc>
          <w:tcPr>
            <w:tcW w:w="426" w:type="dxa"/>
            <w:vMerge w:val="continue"/>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26" w:type="dxa"/>
            <w:vMerge w:val="continue"/>
            <w:tcBorders>
              <w:top w:val="single" w:color="auto" w:sz="6" w:space="0"/>
              <w:left w:val="single" w:color="auto" w:sz="4" w:space="0"/>
              <w:bottom w:val="single" w:color="auto" w:sz="4" w:space="0"/>
              <w:right w:val="single" w:color="auto" w:sz="6" w:space="0"/>
            </w:tcBorders>
            <w:noWrap w:val="0"/>
            <w:vAlign w:val="center"/>
          </w:tcPr>
          <w:p>
            <w:pPr>
              <w:widowControl/>
              <w:jc w:val="center"/>
              <w:rPr>
                <w:rFonts w:ascii="Times New Roman" w:hAnsi="Times New Roman"/>
                <w:b/>
                <w:color w:val="000000"/>
                <w:sz w:val="21"/>
                <w:szCs w:val="21"/>
                <w:u w:val="single"/>
              </w:rPr>
            </w:pP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集中式饮用水源地准保护区</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bCs/>
                <w:color w:val="000000"/>
                <w:sz w:val="21"/>
                <w:szCs w:val="21"/>
              </w:rPr>
              <w:t>项目所在区域内无集中式饮用水源地</w:t>
            </w:r>
          </w:p>
        </w:tc>
        <w:tc>
          <w:tcPr>
            <w:tcW w:w="426" w:type="dxa"/>
            <w:vMerge w:val="continue"/>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426" w:type="dxa"/>
            <w:vMerge w:val="continue"/>
            <w:tcBorders>
              <w:top w:val="single" w:color="auto" w:sz="6" w:space="0"/>
              <w:left w:val="single" w:color="auto" w:sz="4" w:space="0"/>
              <w:bottom w:val="single" w:color="auto" w:sz="4" w:space="0"/>
              <w:right w:val="single" w:color="auto" w:sz="6" w:space="0"/>
            </w:tcBorders>
            <w:noWrap w:val="0"/>
            <w:vAlign w:val="center"/>
          </w:tcPr>
          <w:p>
            <w:pPr>
              <w:widowControl/>
              <w:jc w:val="center"/>
              <w:rPr>
                <w:rFonts w:ascii="Times New Roman" w:hAnsi="Times New Roman"/>
                <w:b/>
                <w:color w:val="000000"/>
                <w:sz w:val="21"/>
                <w:szCs w:val="21"/>
                <w:u w:val="single"/>
              </w:rPr>
            </w:pP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经市级以上政府批准的产业园区及各产业集聚区区域外延500米范围内的区域</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Times New Roman"/>
                <w:color w:val="000000"/>
                <w:sz w:val="21"/>
                <w:szCs w:val="21"/>
              </w:rPr>
            </w:pPr>
            <w:r>
              <w:rPr>
                <w:rFonts w:ascii="Times New Roman" w:hAnsi="Times New Roman"/>
                <w:color w:val="000000"/>
                <w:sz w:val="21"/>
                <w:szCs w:val="21"/>
              </w:rPr>
              <w:t>项目场址距离</w:t>
            </w:r>
            <w:r>
              <w:rPr>
                <w:rFonts w:hint="eastAsia" w:ascii="Times New Roman" w:hAnsi="Times New Roman"/>
                <w:color w:val="000000"/>
                <w:sz w:val="21"/>
                <w:szCs w:val="21"/>
              </w:rPr>
              <w:t>正阳</w:t>
            </w:r>
            <w:r>
              <w:rPr>
                <w:rFonts w:ascii="Times New Roman" w:hAnsi="Times New Roman"/>
                <w:color w:val="000000"/>
                <w:sz w:val="21"/>
                <w:szCs w:val="21"/>
              </w:rPr>
              <w:t>县产业集聚区约</w:t>
            </w:r>
            <w:r>
              <w:rPr>
                <w:rFonts w:hint="eastAsia" w:ascii="Times New Roman" w:hAnsi="Times New Roman"/>
                <w:color w:val="000000"/>
                <w:sz w:val="21"/>
                <w:szCs w:val="21"/>
                <w:lang w:val="en-US" w:eastAsia="zh-CN"/>
              </w:rPr>
              <w:t>3</w:t>
            </w:r>
            <w:r>
              <w:rPr>
                <w:rFonts w:hint="eastAsia" w:ascii="Times New Roman" w:hAnsi="Times New Roman"/>
                <w:color w:val="000000"/>
                <w:sz w:val="21"/>
                <w:szCs w:val="21"/>
              </w:rPr>
              <w:t>9.58</w:t>
            </w:r>
            <w:r>
              <w:rPr>
                <w:rFonts w:ascii="Times New Roman" w:hAnsi="Times New Roman"/>
                <w:color w:val="000000"/>
                <w:sz w:val="21"/>
                <w:szCs w:val="21"/>
              </w:rPr>
              <w:t>km，不在各产业集聚区区域外</w:t>
            </w:r>
          </w:p>
          <w:p>
            <w:pPr>
              <w:rPr>
                <w:rFonts w:ascii="Times New Roman" w:hAnsi="Times New Roman"/>
                <w:color w:val="000000"/>
                <w:sz w:val="21"/>
                <w:szCs w:val="21"/>
              </w:rPr>
            </w:pPr>
            <w:r>
              <w:rPr>
                <w:rFonts w:ascii="Times New Roman" w:hAnsi="Times New Roman"/>
                <w:color w:val="000000"/>
                <w:sz w:val="21"/>
                <w:szCs w:val="21"/>
              </w:rPr>
              <w:t>500m范围内</w:t>
            </w:r>
          </w:p>
        </w:tc>
        <w:tc>
          <w:tcPr>
            <w:tcW w:w="426" w:type="dxa"/>
            <w:vMerge w:val="continue"/>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26" w:type="dxa"/>
            <w:vMerge w:val="continue"/>
            <w:tcBorders>
              <w:top w:val="single" w:color="auto" w:sz="6" w:space="0"/>
              <w:left w:val="single" w:color="auto" w:sz="4" w:space="0"/>
              <w:bottom w:val="single" w:color="auto" w:sz="4" w:space="0"/>
              <w:right w:val="single" w:color="auto" w:sz="6" w:space="0"/>
            </w:tcBorders>
            <w:noWrap w:val="0"/>
            <w:vAlign w:val="center"/>
          </w:tcPr>
          <w:p>
            <w:pPr>
              <w:widowControl/>
              <w:jc w:val="center"/>
              <w:rPr>
                <w:rFonts w:ascii="Times New Roman" w:hAnsi="Times New Roman"/>
                <w:b/>
                <w:color w:val="000000"/>
                <w:sz w:val="21"/>
                <w:szCs w:val="21"/>
                <w:u w:val="single"/>
              </w:rPr>
            </w:pPr>
          </w:p>
        </w:tc>
        <w:tc>
          <w:tcPr>
            <w:tcW w:w="4644"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自然保护区、风景名胜区、地质公园、森林公园、文物保护单位等敏感区外500米范围内</w:t>
            </w:r>
          </w:p>
        </w:tc>
        <w:tc>
          <w:tcPr>
            <w:tcW w:w="3450" w:type="dxa"/>
            <w:tcBorders>
              <w:top w:val="single" w:color="auto" w:sz="6" w:space="0"/>
              <w:left w:val="single" w:color="auto" w:sz="6" w:space="0"/>
              <w:bottom w:val="single" w:color="auto" w:sz="6"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项目周边1km内无自然保护区、风景名胜区、地质公园、森林公园、文物保护单位等敏感区</w:t>
            </w:r>
          </w:p>
        </w:tc>
        <w:tc>
          <w:tcPr>
            <w:tcW w:w="426" w:type="dxa"/>
            <w:vMerge w:val="continue"/>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Times New Roman" w:hAnsi="Times New Roman"/>
                <w:b/>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6" w:type="dxa"/>
            <w:vMerge w:val="continue"/>
            <w:tcBorders>
              <w:top w:val="single" w:color="auto" w:sz="6" w:space="0"/>
              <w:left w:val="single" w:color="auto" w:sz="4" w:space="0"/>
              <w:bottom w:val="single" w:color="auto" w:sz="4" w:space="0"/>
              <w:right w:val="single" w:color="auto" w:sz="6" w:space="0"/>
            </w:tcBorders>
            <w:noWrap w:val="0"/>
            <w:vAlign w:val="center"/>
          </w:tcPr>
          <w:p>
            <w:pPr>
              <w:widowControl/>
              <w:jc w:val="center"/>
              <w:rPr>
                <w:rFonts w:ascii="Times New Roman" w:hAnsi="Times New Roman"/>
                <w:b/>
                <w:color w:val="000000"/>
                <w:sz w:val="21"/>
                <w:szCs w:val="21"/>
                <w:u w:val="single"/>
              </w:rPr>
            </w:pPr>
          </w:p>
        </w:tc>
        <w:tc>
          <w:tcPr>
            <w:tcW w:w="4644" w:type="dxa"/>
            <w:tcBorders>
              <w:top w:val="single" w:color="auto" w:sz="6" w:space="0"/>
              <w:left w:val="single" w:color="auto" w:sz="6" w:space="0"/>
              <w:bottom w:val="single" w:color="auto" w:sz="4"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根据城镇发展规划和区域污染物排放总量控制要求，其他应当限制养殖的区域</w:t>
            </w:r>
          </w:p>
        </w:tc>
        <w:tc>
          <w:tcPr>
            <w:tcW w:w="3450" w:type="dxa"/>
            <w:tcBorders>
              <w:top w:val="single" w:color="auto" w:sz="6" w:space="0"/>
              <w:left w:val="single" w:color="auto" w:sz="6" w:space="0"/>
              <w:bottom w:val="single" w:color="auto" w:sz="4" w:space="0"/>
              <w:right w:val="single" w:color="auto" w:sz="6"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不在其他限制养殖区域</w:t>
            </w:r>
          </w:p>
        </w:tc>
        <w:tc>
          <w:tcPr>
            <w:tcW w:w="426" w:type="dxa"/>
            <w:vMerge w:val="continue"/>
            <w:tcBorders>
              <w:top w:val="single" w:color="auto" w:sz="6" w:space="0"/>
              <w:left w:val="single" w:color="auto" w:sz="6" w:space="0"/>
              <w:bottom w:val="single" w:color="auto" w:sz="4" w:space="0"/>
              <w:right w:val="single" w:color="auto" w:sz="4" w:space="0"/>
            </w:tcBorders>
            <w:noWrap w:val="0"/>
            <w:vAlign w:val="center"/>
          </w:tcPr>
          <w:p>
            <w:pPr>
              <w:widowControl/>
              <w:jc w:val="center"/>
              <w:rPr>
                <w:rFonts w:ascii="Times New Roman" w:hAnsi="Times New Roman"/>
                <w:b/>
                <w:color w:val="000000"/>
                <w:sz w:val="21"/>
                <w:szCs w:val="21"/>
                <w:u w:val="single"/>
              </w:rPr>
            </w:pPr>
          </w:p>
        </w:tc>
      </w:tr>
    </w:tbl>
    <w:p>
      <w:pPr>
        <w:tabs>
          <w:tab w:val="left" w:pos="3240"/>
        </w:tabs>
        <w:spacing w:line="360" w:lineRule="auto"/>
        <w:ind w:firstLine="480" w:firstLineChars="200"/>
        <w:rPr>
          <w:b w:val="0"/>
          <w:bCs/>
          <w:sz w:val="24"/>
          <w:u w:val="none"/>
        </w:rPr>
      </w:pPr>
      <w:r>
        <w:rPr>
          <w:b w:val="0"/>
          <w:bCs/>
          <w:sz w:val="24"/>
          <w:u w:val="none"/>
        </w:rPr>
        <w:t>（</w:t>
      </w:r>
      <w:r>
        <w:rPr>
          <w:rFonts w:hint="eastAsia"/>
          <w:b w:val="0"/>
          <w:bCs/>
          <w:sz w:val="24"/>
          <w:u w:val="none"/>
          <w:lang w:val="en-US" w:eastAsia="zh-CN"/>
        </w:rPr>
        <w:t>6</w:t>
      </w:r>
      <w:r>
        <w:rPr>
          <w:b w:val="0"/>
          <w:bCs/>
          <w:sz w:val="24"/>
          <w:u w:val="none"/>
        </w:rPr>
        <w:t>）“三线一单”相符性分析</w:t>
      </w:r>
    </w:p>
    <w:p>
      <w:pPr>
        <w:tabs>
          <w:tab w:val="left" w:pos="3240"/>
        </w:tabs>
        <w:spacing w:line="360" w:lineRule="auto"/>
        <w:ind w:firstLine="480" w:firstLineChars="200"/>
        <w:rPr>
          <w:b w:val="0"/>
          <w:bCs/>
          <w:sz w:val="24"/>
          <w:u w:val="none"/>
        </w:rPr>
      </w:pPr>
      <w:r>
        <w:rPr>
          <w:b w:val="0"/>
          <w:bCs/>
          <w:sz w:val="24"/>
          <w:u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tabs>
          <w:tab w:val="left" w:pos="3240"/>
        </w:tabs>
        <w:spacing w:line="360" w:lineRule="auto"/>
        <w:ind w:firstLine="480" w:firstLineChars="200"/>
        <w:rPr>
          <w:b w:val="0"/>
          <w:bCs/>
          <w:sz w:val="24"/>
          <w:u w:val="none"/>
        </w:rPr>
      </w:pPr>
      <w:r>
        <w:rPr>
          <w:b w:val="0"/>
          <w:bCs/>
          <w:sz w:val="24"/>
          <w:u w:val="none"/>
        </w:rPr>
        <w:t>（1）生态红线</w:t>
      </w:r>
    </w:p>
    <w:p>
      <w:pPr>
        <w:tabs>
          <w:tab w:val="left" w:pos="3240"/>
        </w:tabs>
        <w:spacing w:line="360" w:lineRule="auto"/>
        <w:ind w:firstLine="480" w:firstLineChars="200"/>
        <w:rPr>
          <w:b w:val="0"/>
          <w:bCs/>
          <w:sz w:val="24"/>
          <w:u w:val="none"/>
        </w:rPr>
      </w:pPr>
      <w:r>
        <w:rPr>
          <w:b w:val="0"/>
          <w:bCs/>
          <w:sz w:val="24"/>
          <w:u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tabs>
          <w:tab w:val="left" w:pos="3240"/>
        </w:tabs>
        <w:spacing w:line="360" w:lineRule="auto"/>
        <w:ind w:firstLine="480" w:firstLineChars="200"/>
        <w:rPr>
          <w:b w:val="0"/>
          <w:bCs/>
          <w:sz w:val="24"/>
          <w:u w:val="none"/>
        </w:rPr>
      </w:pPr>
      <w:r>
        <w:rPr>
          <w:b w:val="0"/>
          <w:bCs/>
          <w:sz w:val="24"/>
          <w:u w:val="none"/>
        </w:rPr>
        <w:t>需依法在重点生态功能区、生态环境敏感区和脆弱区等区域划定的严格管控边界，是国家和区域生态安全的底线，对于维护生态安全格局、保障生态服务功能、支撑经济社会可持续发展具有重要作用。根据《河南省生态保护红线划定方案》（征求意见稿），对全省各市区的生态保护红线进行了划定。其中北汝河水源涵养生态保护红线区、唐河水源涵养生态保护红线区、宿鸭湖湿地生物多样性维护生态保护红线区、桐柏山淮河源水源涵养生态保护红线区、汝河水源涵养生态保护红线区、汝河汝南生物多样性维护生态保护红线区、洪河水源涵养生态保护红线区、淮河干流水源保护生态保护红线区、澧河水源涵养生态保护红线区、高乐山天目山生物多样性维护生态保护红线区被列入了驻马店市生态保护红线区。本项目选址位于</w:t>
      </w:r>
      <w:r>
        <w:rPr>
          <w:b w:val="0"/>
          <w:bCs/>
          <w:iCs/>
          <w:sz w:val="24"/>
          <w:u w:val="none"/>
        </w:rPr>
        <w:t>驻马店市</w:t>
      </w:r>
      <w:r>
        <w:rPr>
          <w:rFonts w:hint="eastAsia"/>
          <w:b w:val="0"/>
          <w:bCs/>
          <w:iCs/>
          <w:sz w:val="24"/>
          <w:u w:val="none"/>
          <w:lang w:eastAsia="zh-CN"/>
        </w:rPr>
        <w:t>正阳县</w:t>
      </w:r>
      <w:r>
        <w:rPr>
          <w:rFonts w:hint="eastAsia"/>
          <w:b w:val="0"/>
          <w:bCs/>
          <w:iCs/>
          <w:sz w:val="24"/>
          <w:u w:val="none"/>
          <w:lang w:val="en-US" w:eastAsia="zh-CN"/>
        </w:rPr>
        <w:t>青年农场</w:t>
      </w:r>
      <w:r>
        <w:rPr>
          <w:b w:val="0"/>
          <w:bCs/>
          <w:sz w:val="24"/>
          <w:u w:val="none"/>
        </w:rPr>
        <w:t>，不在上述的生态保护红线区范围内，因此项目建设符合生态红线要求。</w:t>
      </w:r>
    </w:p>
    <w:p>
      <w:pPr>
        <w:tabs>
          <w:tab w:val="left" w:pos="3240"/>
        </w:tabs>
        <w:spacing w:line="360" w:lineRule="auto"/>
        <w:ind w:firstLine="480" w:firstLineChars="200"/>
        <w:rPr>
          <w:b w:val="0"/>
          <w:bCs/>
          <w:sz w:val="24"/>
          <w:u w:val="none"/>
        </w:rPr>
      </w:pPr>
      <w:r>
        <w:rPr>
          <w:b w:val="0"/>
          <w:bCs/>
          <w:sz w:val="24"/>
          <w:u w:val="none"/>
        </w:rPr>
        <w:t>（2）环境质量底线</w:t>
      </w:r>
    </w:p>
    <w:p>
      <w:pPr>
        <w:tabs>
          <w:tab w:val="left" w:pos="3240"/>
        </w:tabs>
        <w:spacing w:line="360" w:lineRule="auto"/>
        <w:ind w:firstLine="480" w:firstLineChars="200"/>
        <w:rPr>
          <w:b w:val="0"/>
          <w:bCs/>
          <w:sz w:val="24"/>
          <w:u w:val="none"/>
        </w:rPr>
      </w:pPr>
      <w:r>
        <w:rPr>
          <w:b w:val="0"/>
          <w:bCs/>
          <w:sz w:val="24"/>
          <w:u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tabs>
          <w:tab w:val="left" w:pos="3240"/>
        </w:tabs>
        <w:spacing w:line="360" w:lineRule="auto"/>
        <w:ind w:firstLine="480" w:firstLineChars="200"/>
        <w:rPr>
          <w:b w:val="0"/>
          <w:bCs/>
          <w:sz w:val="24"/>
          <w:u w:val="none"/>
        </w:rPr>
      </w:pPr>
      <w:r>
        <w:rPr>
          <w:b w:val="0"/>
          <w:bCs/>
          <w:sz w:val="24"/>
          <w:u w:val="none"/>
        </w:rPr>
        <w:t>项目选址区域为环境空气功能区二类区，执行二级标准。</w:t>
      </w:r>
      <w:r>
        <w:rPr>
          <w:b w:val="0"/>
          <w:bCs/>
          <w:color w:val="000000"/>
          <w:sz w:val="24"/>
          <w:u w:val="none"/>
        </w:rPr>
        <w:t>根据</w:t>
      </w:r>
      <w:r>
        <w:rPr>
          <w:b w:val="0"/>
          <w:bCs/>
          <w:sz w:val="24"/>
          <w:u w:val="none"/>
        </w:rPr>
        <w:t>现状监测数据，所有</w:t>
      </w:r>
      <w:r>
        <w:rPr>
          <w:rFonts w:hint="eastAsia"/>
          <w:b w:val="0"/>
          <w:bCs/>
          <w:sz w:val="24"/>
          <w:u w:val="none"/>
          <w:lang w:val="en-US" w:eastAsia="zh-CN"/>
        </w:rPr>
        <w:t>区域环境空气质量相对较好</w:t>
      </w:r>
      <w:r>
        <w:rPr>
          <w:b w:val="0"/>
          <w:bCs/>
          <w:sz w:val="24"/>
          <w:u w:val="none"/>
        </w:rPr>
        <w:t>。</w:t>
      </w:r>
    </w:p>
    <w:p>
      <w:pPr>
        <w:tabs>
          <w:tab w:val="left" w:pos="3240"/>
        </w:tabs>
        <w:spacing w:line="360" w:lineRule="auto"/>
        <w:ind w:firstLine="480" w:firstLineChars="200"/>
        <w:rPr>
          <w:b w:val="0"/>
          <w:bCs/>
          <w:sz w:val="24"/>
          <w:u w:val="none"/>
        </w:rPr>
      </w:pPr>
      <w:r>
        <w:rPr>
          <w:b w:val="0"/>
          <w:bCs/>
          <w:sz w:val="24"/>
          <w:u w:val="none"/>
        </w:rPr>
        <w:t>项目</w:t>
      </w:r>
      <w:r>
        <w:rPr>
          <w:b w:val="0"/>
          <w:bCs/>
          <w:kern w:val="0"/>
          <w:sz w:val="24"/>
          <w:u w:val="none"/>
        </w:rPr>
        <w:t>所在地的主要地表水体</w:t>
      </w:r>
      <w:r>
        <w:rPr>
          <w:rFonts w:hint="eastAsia"/>
          <w:b w:val="0"/>
          <w:bCs/>
          <w:kern w:val="0"/>
          <w:sz w:val="24"/>
          <w:u w:val="none"/>
          <w:lang w:val="en-US" w:eastAsia="zh-CN"/>
        </w:rPr>
        <w:t>闾河</w:t>
      </w:r>
      <w:r>
        <w:rPr>
          <w:b w:val="0"/>
          <w:bCs/>
          <w:kern w:val="0"/>
          <w:sz w:val="24"/>
          <w:u w:val="none"/>
        </w:rPr>
        <w:t>，执行《地表水环境质量标准》（GB3838-2002）中的</w:t>
      </w:r>
      <w:r>
        <w:rPr>
          <w:rFonts w:hint="eastAsia" w:ascii="宋体" w:hAnsi="宋体" w:cs="宋体"/>
          <w:b w:val="0"/>
          <w:bCs/>
          <w:sz w:val="24"/>
          <w:u w:val="none"/>
        </w:rPr>
        <w:t>Ⅲ</w:t>
      </w:r>
      <w:r>
        <w:rPr>
          <w:b w:val="0"/>
          <w:bCs/>
          <w:sz w:val="24"/>
          <w:u w:val="none"/>
        </w:rPr>
        <w:t>类标准。根据本次评价实测监测点位的监测因子均能满足《地表水环境质量标准》（GB3838-2002）中</w:t>
      </w:r>
      <w:r>
        <w:rPr>
          <w:rFonts w:hint="eastAsia" w:ascii="宋体" w:hAnsi="宋体" w:cs="宋体"/>
          <w:b w:val="0"/>
          <w:bCs/>
          <w:sz w:val="24"/>
          <w:u w:val="none"/>
        </w:rPr>
        <w:t>Ⅲ</w:t>
      </w:r>
      <w:r>
        <w:rPr>
          <w:b w:val="0"/>
          <w:bCs/>
          <w:sz w:val="24"/>
          <w:u w:val="none"/>
        </w:rPr>
        <w:t>类水质标准要求。本项目无废水外排，因此，不会对地表水体产生影响。</w:t>
      </w:r>
    </w:p>
    <w:p>
      <w:pPr>
        <w:tabs>
          <w:tab w:val="left" w:pos="3240"/>
        </w:tabs>
        <w:spacing w:line="360" w:lineRule="auto"/>
        <w:ind w:firstLine="480" w:firstLineChars="200"/>
        <w:rPr>
          <w:b w:val="0"/>
          <w:bCs/>
          <w:sz w:val="24"/>
          <w:u w:val="none"/>
        </w:rPr>
      </w:pPr>
      <w:r>
        <w:rPr>
          <w:b w:val="0"/>
          <w:bCs/>
          <w:sz w:val="24"/>
          <w:u w:val="none"/>
        </w:rPr>
        <w:t>本项目所在区域为2类声环境功能区，根据环境噪声现状监测结果，项目区域内边界的昼、夜间噪声符合《声环境质量标准》GB3096-2008中2类标准。本项目建成后噪声产生量小，能满足《声环境质量标准》2类标准要求，本项目建设运营不会改变项目所在区域的声环境功能，因此项目建设声环境质量是符合要求的。</w:t>
      </w:r>
    </w:p>
    <w:p>
      <w:pPr>
        <w:tabs>
          <w:tab w:val="left" w:pos="3240"/>
        </w:tabs>
        <w:spacing w:line="360" w:lineRule="auto"/>
        <w:ind w:firstLine="480" w:firstLineChars="200"/>
        <w:rPr>
          <w:b w:val="0"/>
          <w:bCs/>
          <w:sz w:val="24"/>
          <w:u w:val="none"/>
        </w:rPr>
      </w:pPr>
      <w:r>
        <w:rPr>
          <w:b w:val="0"/>
          <w:bCs/>
          <w:sz w:val="24"/>
          <w:u w:val="none"/>
        </w:rPr>
        <w:t>综上，本项目建设符合环境质量底线要求的。</w:t>
      </w:r>
    </w:p>
    <w:p>
      <w:pPr>
        <w:tabs>
          <w:tab w:val="left" w:pos="3240"/>
        </w:tabs>
        <w:spacing w:line="360" w:lineRule="auto"/>
        <w:ind w:firstLine="480" w:firstLineChars="200"/>
        <w:rPr>
          <w:b w:val="0"/>
          <w:bCs/>
          <w:sz w:val="24"/>
          <w:u w:val="none"/>
        </w:rPr>
      </w:pPr>
      <w:r>
        <w:rPr>
          <w:b w:val="0"/>
          <w:bCs/>
          <w:sz w:val="24"/>
          <w:u w:val="none"/>
        </w:rPr>
        <w:t>（3）资源利用上线</w:t>
      </w:r>
    </w:p>
    <w:p>
      <w:pPr>
        <w:tabs>
          <w:tab w:val="left" w:pos="3240"/>
        </w:tabs>
        <w:spacing w:line="360" w:lineRule="auto"/>
        <w:ind w:firstLine="480" w:firstLineChars="200"/>
        <w:rPr>
          <w:b w:val="0"/>
          <w:bCs/>
          <w:sz w:val="24"/>
          <w:u w:val="none"/>
        </w:rPr>
      </w:pPr>
      <w:r>
        <w:rPr>
          <w:b w:val="0"/>
          <w:bCs/>
          <w:sz w:val="24"/>
          <w:u w:val="non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能源主要依托当地电网供电。项目建设土地不涉及基本农田，土地资源消耗符合要求。</w:t>
      </w:r>
    </w:p>
    <w:p>
      <w:pPr>
        <w:tabs>
          <w:tab w:val="left" w:pos="3240"/>
        </w:tabs>
        <w:spacing w:line="360" w:lineRule="auto"/>
        <w:ind w:firstLine="480" w:firstLineChars="200"/>
        <w:rPr>
          <w:b w:val="0"/>
          <w:bCs/>
          <w:sz w:val="24"/>
          <w:u w:val="none"/>
        </w:rPr>
      </w:pPr>
      <w:r>
        <w:rPr>
          <w:b w:val="0"/>
          <w:bCs/>
          <w:sz w:val="24"/>
          <w:u w:val="none"/>
        </w:rPr>
        <w:t>因此，项目资源利用满足要求。</w:t>
      </w:r>
    </w:p>
    <w:p>
      <w:pPr>
        <w:tabs>
          <w:tab w:val="left" w:pos="3240"/>
        </w:tabs>
        <w:spacing w:line="360" w:lineRule="auto"/>
        <w:ind w:firstLine="480" w:firstLineChars="200"/>
        <w:rPr>
          <w:b w:val="0"/>
          <w:bCs/>
          <w:sz w:val="24"/>
          <w:u w:val="none"/>
        </w:rPr>
      </w:pPr>
      <w:r>
        <w:rPr>
          <w:b w:val="0"/>
          <w:bCs/>
          <w:sz w:val="24"/>
          <w:u w:val="none"/>
        </w:rPr>
        <w:t>（4）环境准入负面清单</w:t>
      </w:r>
    </w:p>
    <w:p>
      <w:pPr>
        <w:tabs>
          <w:tab w:val="left" w:pos="3240"/>
        </w:tabs>
        <w:spacing w:line="360" w:lineRule="auto"/>
        <w:ind w:firstLine="480" w:firstLineChars="200"/>
        <w:rPr>
          <w:b w:val="0"/>
          <w:bCs/>
          <w:sz w:val="24"/>
          <w:u w:val="none"/>
        </w:rPr>
      </w:pPr>
      <w:r>
        <w:rPr>
          <w:b w:val="0"/>
          <w:bCs/>
          <w:sz w:val="24"/>
          <w:u w:val="none"/>
        </w:rPr>
        <w:t>目前项目选址区域暂无明确的环境准入负面清单，本项目为</w:t>
      </w:r>
      <w:r>
        <w:rPr>
          <w:rFonts w:hint="eastAsia"/>
          <w:b w:val="0"/>
          <w:bCs/>
          <w:sz w:val="24"/>
          <w:u w:val="none"/>
          <w:lang w:val="en-US" w:eastAsia="zh-CN"/>
        </w:rPr>
        <w:t>育肥猪养殖</w:t>
      </w:r>
      <w:r>
        <w:rPr>
          <w:b w:val="0"/>
          <w:bCs/>
          <w:sz w:val="24"/>
          <w:u w:val="none"/>
        </w:rPr>
        <w:t>项目，不属于高污染、高能耗和资源型的产业类型。因此本项目应为环境准入允许类别。</w:t>
      </w:r>
    </w:p>
    <w:p>
      <w:pPr>
        <w:tabs>
          <w:tab w:val="left" w:pos="3240"/>
        </w:tabs>
        <w:spacing w:line="360" w:lineRule="auto"/>
        <w:ind w:firstLine="480" w:firstLineChars="200"/>
        <w:rPr>
          <w:b w:val="0"/>
          <w:bCs/>
          <w:color w:val="000000"/>
          <w:sz w:val="24"/>
          <w:u w:val="none"/>
        </w:rPr>
      </w:pPr>
      <w:r>
        <w:rPr>
          <w:b w:val="0"/>
          <w:bCs/>
          <w:sz w:val="24"/>
          <w:u w:val="none"/>
        </w:rPr>
        <w:t>综上所述，本项目选址合理。</w:t>
      </w:r>
    </w:p>
    <w:p>
      <w:pPr>
        <w:spacing w:line="600" w:lineRule="exact"/>
        <w:outlineLvl w:val="2"/>
        <w:rPr>
          <w:color w:val="000000"/>
        </w:rPr>
      </w:pPr>
      <w:r>
        <w:rPr>
          <w:rFonts w:hint="eastAsia"/>
          <w:color w:val="000000"/>
          <w:sz w:val="24"/>
          <w:lang w:val="en-US" w:eastAsia="zh-CN"/>
        </w:rPr>
        <w:t>8</w:t>
      </w:r>
      <w:r>
        <w:rPr>
          <w:color w:val="000000"/>
          <w:sz w:val="24"/>
        </w:rPr>
        <w:t>.1.2 环境条件可行性分析</w:t>
      </w:r>
    </w:p>
    <w:p>
      <w:pPr>
        <w:spacing w:line="520" w:lineRule="exact"/>
        <w:ind w:firstLine="480" w:firstLineChars="200"/>
        <w:rPr>
          <w:bCs/>
          <w:color w:val="000000"/>
          <w:sz w:val="24"/>
        </w:rPr>
      </w:pPr>
      <w:r>
        <w:rPr>
          <w:bCs/>
          <w:color w:val="000000"/>
          <w:sz w:val="24"/>
        </w:rPr>
        <w:t>本项目场址环境地质条件、环境自然条件、气象气候条件、水文条件、基础设施以及环境敏感点等方面均满足工程建设条件，从环境条件上讲，场址可行。本项目场址环境条件可行性分析见表</w:t>
      </w:r>
      <w:r>
        <w:rPr>
          <w:rFonts w:hint="eastAsia"/>
          <w:bCs/>
          <w:color w:val="000000"/>
          <w:sz w:val="24"/>
          <w:lang w:val="en-US" w:eastAsia="zh-CN"/>
        </w:rPr>
        <w:t>8.1</w:t>
      </w:r>
      <w:r>
        <w:rPr>
          <w:bCs/>
          <w:color w:val="000000"/>
          <w:sz w:val="24"/>
        </w:rPr>
        <w:t>-2。</w:t>
      </w:r>
    </w:p>
    <w:p>
      <w:pPr>
        <w:adjustRightInd w:val="0"/>
        <w:snapToGrid w:val="0"/>
        <w:spacing w:beforeLines="50" w:afterLines="50"/>
        <w:jc w:val="center"/>
        <w:rPr>
          <w:b/>
          <w:bCs/>
          <w:color w:val="000000"/>
          <w:sz w:val="24"/>
          <w:lang w:bidi="ar-BH"/>
        </w:rPr>
      </w:pPr>
      <w:r>
        <w:rPr>
          <w:b/>
          <w:bCs/>
          <w:color w:val="000000"/>
          <w:szCs w:val="21"/>
          <w:lang w:bidi="ar-BH"/>
        </w:rPr>
        <w:t>表</w:t>
      </w:r>
      <w:r>
        <w:rPr>
          <w:rFonts w:hint="eastAsia"/>
          <w:b/>
          <w:bCs/>
          <w:color w:val="000000"/>
          <w:szCs w:val="21"/>
          <w:lang w:val="en-US" w:eastAsia="zh-CN" w:bidi="ar-BH"/>
        </w:rPr>
        <w:t>8.1</w:t>
      </w:r>
      <w:r>
        <w:rPr>
          <w:b/>
          <w:bCs/>
          <w:color w:val="000000"/>
          <w:szCs w:val="21"/>
          <w:lang w:bidi="ar-BH"/>
        </w:rPr>
        <w:t>-2</w:t>
      </w:r>
      <w:r>
        <w:rPr>
          <w:rFonts w:hint="eastAsia"/>
          <w:b/>
          <w:bCs/>
          <w:color w:val="000000"/>
          <w:szCs w:val="21"/>
          <w:lang w:val="en-US" w:eastAsia="zh-CN" w:bidi="ar-BH"/>
        </w:rPr>
        <w:t xml:space="preserve">   </w:t>
      </w:r>
      <w:r>
        <w:rPr>
          <w:b/>
          <w:bCs/>
          <w:color w:val="000000"/>
          <w:szCs w:val="21"/>
          <w:lang w:bidi="ar-BH"/>
        </w:rPr>
        <w:t>场址环境条件可行性分析结果</w:t>
      </w:r>
    </w:p>
    <w:tbl>
      <w:tblPr>
        <w:tblStyle w:val="45"/>
        <w:tblW w:w="84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4"/>
        <w:gridCol w:w="5529"/>
        <w:gridCol w:w="14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项目</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环境条件描述</w:t>
            </w:r>
          </w:p>
        </w:tc>
        <w:tc>
          <w:tcPr>
            <w:tcW w:w="1477" w:type="dxa"/>
            <w:vAlign w:val="center"/>
          </w:tcPr>
          <w:p>
            <w:pPr>
              <w:adjustRightInd w:val="0"/>
              <w:snapToGrid w:val="0"/>
              <w:jc w:val="center"/>
              <w:rPr>
                <w:color w:val="000000"/>
                <w:szCs w:val="21"/>
                <w:lang w:bidi="ar-BH"/>
              </w:rPr>
            </w:pPr>
            <w:r>
              <w:rPr>
                <w:color w:val="000000"/>
                <w:szCs w:val="21"/>
                <w:lang w:bidi="ar-BH"/>
              </w:rPr>
              <w:t>是否满足项目建设条件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场址</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rPr>
              <w:t>位于</w:t>
            </w:r>
            <w:r>
              <w:rPr>
                <w:rFonts w:hint="eastAsia"/>
                <w:color w:val="000000"/>
                <w:szCs w:val="21"/>
                <w:lang w:eastAsia="zh-CN"/>
              </w:rPr>
              <w:t>正阳县</w:t>
            </w:r>
            <w:r>
              <w:rPr>
                <w:rFonts w:hint="eastAsia"/>
                <w:color w:val="000000"/>
                <w:szCs w:val="21"/>
                <w:lang w:val="en-US" w:eastAsia="zh-CN"/>
              </w:rPr>
              <w:t>青年农场</w:t>
            </w:r>
            <w:r>
              <w:rPr>
                <w:color w:val="000000"/>
                <w:szCs w:val="21"/>
              </w:rPr>
              <w:t>，场区周围主要为农田，非城市、城镇居民集中区，场址符合</w:t>
            </w:r>
            <w:r>
              <w:rPr>
                <w:rFonts w:hint="eastAsia"/>
                <w:color w:val="000000"/>
                <w:szCs w:val="21"/>
                <w:lang w:eastAsia="zh-CN"/>
              </w:rPr>
              <w:t>油坊店乡</w:t>
            </w:r>
            <w:r>
              <w:rPr>
                <w:color w:val="000000"/>
                <w:szCs w:val="21"/>
              </w:rPr>
              <w:t>总体发展规划。</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占地类型</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rPr>
              <w:t>该养殖场占地性质为</w:t>
            </w:r>
            <w:r>
              <w:rPr>
                <w:rFonts w:hint="eastAsia"/>
                <w:color w:val="000000"/>
                <w:szCs w:val="21"/>
                <w:lang w:val="en-US" w:eastAsia="zh-CN"/>
              </w:rPr>
              <w:t>林</w:t>
            </w:r>
            <w:r>
              <w:rPr>
                <w:color w:val="000000"/>
                <w:szCs w:val="21"/>
              </w:rPr>
              <w:t>地</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发展规划相符性</w:t>
            </w:r>
          </w:p>
        </w:tc>
        <w:tc>
          <w:tcPr>
            <w:tcW w:w="5529"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项目</w:t>
            </w:r>
            <w:r>
              <w:rPr>
                <w:rFonts w:hint="eastAsia"/>
                <w:color w:val="000000"/>
                <w:szCs w:val="21"/>
                <w:lang w:val="en-US" w:eastAsia="zh-CN"/>
              </w:rPr>
              <w:t>不在</w:t>
            </w:r>
            <w:r>
              <w:rPr>
                <w:color w:val="000000"/>
                <w:szCs w:val="21"/>
              </w:rPr>
              <w:t>饮用水源保护区；项目场界距离周边村庄均在500m以上，不在禁养区范围内，属非禁养区。</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rPr>
            </w:pPr>
            <w:r>
              <w:rPr>
                <w:color w:val="000000"/>
                <w:szCs w:val="21"/>
                <w:lang w:bidi="ar-BH"/>
              </w:rPr>
              <w:t>周围敏感点及设防距离</w:t>
            </w:r>
          </w:p>
        </w:tc>
        <w:tc>
          <w:tcPr>
            <w:tcW w:w="5529" w:type="dxa"/>
            <w:tcMar>
              <w:top w:w="0" w:type="dxa"/>
              <w:left w:w="0" w:type="dxa"/>
              <w:bottom w:w="0" w:type="dxa"/>
              <w:right w:w="0" w:type="dxa"/>
            </w:tcMar>
            <w:vAlign w:val="center"/>
          </w:tcPr>
          <w:p>
            <w:pPr>
              <w:adjustRightInd w:val="0"/>
              <w:snapToGrid w:val="0"/>
              <w:jc w:val="center"/>
              <w:rPr>
                <w:color w:val="000000" w:themeColor="text1"/>
                <w:szCs w:val="21"/>
                <w:lang w:bidi="ar-BH"/>
              </w:rPr>
            </w:pPr>
            <w:r>
              <w:rPr>
                <w:color w:val="000000" w:themeColor="text1"/>
                <w:szCs w:val="21"/>
              </w:rPr>
              <w:t>距离养殖场区最近村庄为</w:t>
            </w:r>
            <w:r>
              <w:rPr>
                <w:rFonts w:hint="eastAsia"/>
                <w:color w:val="000000" w:themeColor="text1"/>
                <w:szCs w:val="21"/>
                <w:lang w:val="en-US" w:eastAsia="zh-CN"/>
              </w:rPr>
              <w:t>东</w:t>
            </w:r>
            <w:r>
              <w:rPr>
                <w:color w:val="000000" w:themeColor="text1"/>
                <w:szCs w:val="21"/>
              </w:rPr>
              <w:t>侧5</w:t>
            </w:r>
            <w:r>
              <w:rPr>
                <w:rFonts w:hint="eastAsia"/>
                <w:color w:val="000000" w:themeColor="text1"/>
                <w:szCs w:val="21"/>
                <w:lang w:val="en-US" w:eastAsia="zh-CN"/>
              </w:rPr>
              <w:t>01</w:t>
            </w:r>
            <w:r>
              <w:rPr>
                <w:color w:val="000000" w:themeColor="text1"/>
                <w:szCs w:val="21"/>
              </w:rPr>
              <w:t>m的</w:t>
            </w:r>
            <w:r>
              <w:rPr>
                <w:rFonts w:hint="eastAsia"/>
                <w:color w:val="000000" w:themeColor="text1"/>
                <w:szCs w:val="21"/>
                <w:lang w:val="en-US" w:eastAsia="zh-CN"/>
              </w:rPr>
              <w:t>前周庄</w:t>
            </w:r>
            <w:r>
              <w:rPr>
                <w:color w:val="000000" w:themeColor="text1"/>
                <w:szCs w:val="21"/>
              </w:rPr>
              <w:t>。</w:t>
            </w:r>
            <w:r>
              <w:rPr>
                <w:color w:val="000000" w:themeColor="text1"/>
                <w:szCs w:val="21"/>
                <w:lang w:bidi="ar-BH"/>
              </w:rPr>
              <w:t>根据预测分析，大气环境防护距离为0，评价设置100m卫生防护距离（距场界），最近环境敏感点距离项目场界500m，满足防护距离要求。</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沼液消纳能力分析</w:t>
            </w:r>
          </w:p>
        </w:tc>
        <w:tc>
          <w:tcPr>
            <w:tcW w:w="5529" w:type="dxa"/>
            <w:tcMar>
              <w:top w:w="0" w:type="dxa"/>
              <w:left w:w="0" w:type="dxa"/>
              <w:bottom w:w="0" w:type="dxa"/>
              <w:right w:w="0" w:type="dxa"/>
            </w:tcMar>
            <w:vAlign w:val="center"/>
          </w:tcPr>
          <w:p>
            <w:pPr>
              <w:adjustRightInd w:val="0"/>
              <w:snapToGrid w:val="0"/>
              <w:spacing w:line="240" w:lineRule="exact"/>
              <w:jc w:val="center"/>
              <w:rPr>
                <w:color w:val="000000"/>
                <w:szCs w:val="21"/>
              </w:rPr>
            </w:pPr>
            <w:r>
              <w:rPr>
                <w:color w:val="000000"/>
                <w:szCs w:val="21"/>
              </w:rPr>
              <w:t>工程场区产生的沼液需</w:t>
            </w:r>
            <w:r>
              <w:rPr>
                <w:rFonts w:hint="eastAsia"/>
                <w:color w:val="000000"/>
                <w:szCs w:val="21"/>
                <w:lang w:val="en-US" w:eastAsia="zh-CN"/>
              </w:rPr>
              <w:t xml:space="preserve">林地 </w:t>
            </w:r>
            <w:r>
              <w:rPr>
                <w:color w:val="000000"/>
                <w:szCs w:val="21"/>
              </w:rPr>
              <w:t>面积不少于</w:t>
            </w:r>
            <w:r>
              <w:rPr>
                <w:rFonts w:hint="eastAsia"/>
                <w:color w:val="000000"/>
                <w:szCs w:val="21"/>
                <w:lang w:val="en-US" w:eastAsia="zh-CN"/>
              </w:rPr>
              <w:t>75亩</w:t>
            </w:r>
            <w:r>
              <w:rPr>
                <w:color w:val="000000"/>
                <w:szCs w:val="21"/>
              </w:rPr>
              <w:t>。</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区域地表水体</w:t>
            </w:r>
          </w:p>
        </w:tc>
        <w:tc>
          <w:tcPr>
            <w:tcW w:w="5529" w:type="dxa"/>
            <w:tcMar>
              <w:top w:w="0" w:type="dxa"/>
              <w:left w:w="0" w:type="dxa"/>
              <w:bottom w:w="0" w:type="dxa"/>
              <w:right w:w="0" w:type="dxa"/>
            </w:tcMar>
            <w:vAlign w:val="center"/>
          </w:tcPr>
          <w:p>
            <w:pPr>
              <w:adjustRightInd w:val="0"/>
              <w:snapToGrid w:val="0"/>
              <w:jc w:val="center"/>
              <w:rPr>
                <w:color w:val="000000"/>
                <w:szCs w:val="21"/>
              </w:rPr>
            </w:pPr>
            <w:r>
              <w:rPr>
                <w:color w:val="000000"/>
                <w:szCs w:val="21"/>
                <w:lang w:bidi="ar-BH"/>
              </w:rPr>
              <w:t>项目场区最近地表水体为</w:t>
            </w:r>
            <w:r>
              <w:rPr>
                <w:rFonts w:hint="eastAsia"/>
                <w:color w:val="000000"/>
                <w:szCs w:val="21"/>
                <w:lang w:val="en-US" w:eastAsia="zh-CN" w:bidi="ar-BH"/>
              </w:rPr>
              <w:t>南侧闾河</w:t>
            </w:r>
            <w:r>
              <w:rPr>
                <w:color w:val="000000"/>
                <w:szCs w:val="21"/>
                <w:lang w:bidi="ar-BH"/>
              </w:rPr>
              <w:t>，满</w:t>
            </w:r>
            <w:r>
              <w:rPr>
                <w:color w:val="000000"/>
                <w:szCs w:val="21"/>
              </w:rPr>
              <w:t>足《畜禽养殖业污染防治技术规范》（HJ/T81—2001）的规定（粪便贮存设施的位置必须远离各类功能地表水体，距离不得小于400m）；</w:t>
            </w:r>
            <w:r>
              <w:rPr>
                <w:color w:val="000000"/>
                <w:szCs w:val="21"/>
                <w:lang w:bidi="ar-BH"/>
              </w:rPr>
              <w:t>粪污处理及暂存区处于生产区、生活管理区的常年主导风向的侧风向和下风向处，满足HJ/T81—2001的管理规定。</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气候、气象</w:t>
            </w:r>
          </w:p>
        </w:tc>
        <w:tc>
          <w:tcPr>
            <w:tcW w:w="5529" w:type="dxa"/>
            <w:tcMar>
              <w:top w:w="0" w:type="dxa"/>
              <w:left w:w="0" w:type="dxa"/>
              <w:bottom w:w="0" w:type="dxa"/>
              <w:right w:w="0" w:type="dxa"/>
            </w:tcMar>
            <w:vAlign w:val="center"/>
          </w:tcPr>
          <w:p>
            <w:pPr>
              <w:adjustRightInd w:val="0"/>
              <w:snapToGrid w:val="0"/>
              <w:jc w:val="center"/>
              <w:rPr>
                <w:color w:val="000000"/>
                <w:szCs w:val="21"/>
              </w:rPr>
            </w:pPr>
            <w:r>
              <w:rPr>
                <w:color w:val="000000"/>
                <w:szCs w:val="21"/>
              </w:rPr>
              <w:t>场址所处区域属温带大陆性季风气候，四季分明，且地质条件良好。距离养殖场区最近的村庄古刘在当地主导风向的上风向。</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环境影响预测</w:t>
            </w:r>
          </w:p>
        </w:tc>
        <w:tc>
          <w:tcPr>
            <w:tcW w:w="5529" w:type="dxa"/>
            <w:tcMar>
              <w:top w:w="0" w:type="dxa"/>
              <w:left w:w="0" w:type="dxa"/>
              <w:bottom w:w="0" w:type="dxa"/>
              <w:right w:w="0" w:type="dxa"/>
            </w:tcMar>
            <w:vAlign w:val="center"/>
          </w:tcPr>
          <w:p>
            <w:pPr>
              <w:adjustRightInd w:val="0"/>
              <w:snapToGrid w:val="0"/>
              <w:jc w:val="center"/>
              <w:rPr>
                <w:color w:val="000000"/>
                <w:szCs w:val="21"/>
              </w:rPr>
            </w:pPr>
            <w:r>
              <w:rPr>
                <w:color w:val="000000"/>
                <w:szCs w:val="21"/>
                <w:lang w:bidi="ar-BH"/>
              </w:rPr>
              <w:t>项目运营期场界恶臭排放浓度及场界噪声均实现达标排放；在落实环评建议的前提下，对地下水的影响将降至最低。</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环境风险防范</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企业在认真落实评价提出的各项防范措施后，可将项目风险发生的概率降至最低</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与文物古迹的关系</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根据调查，</w:t>
            </w:r>
            <w:r>
              <w:rPr>
                <w:color w:val="000000"/>
                <w:szCs w:val="21"/>
              </w:rPr>
              <w:t>本项目不在风景区、名胜古迹周围1000米范围内</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与周围企业形容性分析</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项目区地处农村，区域没有工业污染源存在，区域污染源主要为农村面源污染，对本项目影响较小。</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清洁生产水平</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清洁生产达到国内先进水平</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政府及管理部门意见</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对项目表支持态度，同意本工程在此地建设</w:t>
            </w:r>
          </w:p>
        </w:tc>
        <w:tc>
          <w:tcPr>
            <w:tcW w:w="1477" w:type="dxa"/>
            <w:vAlign w:val="center"/>
          </w:tcPr>
          <w:p>
            <w:pPr>
              <w:adjustRightInd w:val="0"/>
              <w:snapToGrid w:val="0"/>
              <w:jc w:val="center"/>
              <w:rPr>
                <w:color w:val="000000"/>
                <w:szCs w:val="21"/>
              </w:rPr>
            </w:pPr>
            <w:r>
              <w:rPr>
                <w:color w:val="000000"/>
                <w:szCs w:val="21"/>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分析结果</w:t>
            </w:r>
          </w:p>
        </w:tc>
        <w:tc>
          <w:tcPr>
            <w:tcW w:w="5529" w:type="dxa"/>
            <w:tcMar>
              <w:top w:w="0" w:type="dxa"/>
              <w:left w:w="0" w:type="dxa"/>
              <w:bottom w:w="0" w:type="dxa"/>
              <w:right w:w="0" w:type="dxa"/>
            </w:tcMar>
            <w:vAlign w:val="center"/>
          </w:tcPr>
          <w:p>
            <w:pPr>
              <w:adjustRightInd w:val="0"/>
              <w:snapToGrid w:val="0"/>
              <w:jc w:val="center"/>
              <w:rPr>
                <w:color w:val="000000"/>
                <w:szCs w:val="21"/>
                <w:lang w:bidi="ar-BH"/>
              </w:rPr>
            </w:pPr>
            <w:r>
              <w:rPr>
                <w:color w:val="000000"/>
                <w:szCs w:val="21"/>
                <w:lang w:bidi="ar-BH"/>
              </w:rPr>
              <w:t>从环境保护角度分析，本项目选址可行</w:t>
            </w:r>
          </w:p>
        </w:tc>
        <w:tc>
          <w:tcPr>
            <w:tcW w:w="1477" w:type="dxa"/>
            <w:vAlign w:val="center"/>
          </w:tcPr>
          <w:p>
            <w:pPr>
              <w:adjustRightInd w:val="0"/>
              <w:snapToGrid w:val="0"/>
              <w:jc w:val="center"/>
              <w:rPr>
                <w:color w:val="000000"/>
                <w:szCs w:val="21"/>
              </w:rPr>
            </w:pPr>
            <w:r>
              <w:rPr>
                <w:color w:val="000000"/>
                <w:szCs w:val="21"/>
              </w:rPr>
              <w:t>满足</w:t>
            </w:r>
          </w:p>
        </w:tc>
      </w:tr>
    </w:tbl>
    <w:p>
      <w:pPr>
        <w:adjustRightInd w:val="0"/>
        <w:snapToGrid w:val="0"/>
        <w:spacing w:beforeLines="50" w:line="500" w:lineRule="exact"/>
        <w:ind w:firstLine="480" w:firstLineChars="200"/>
        <w:rPr>
          <w:color w:val="000000"/>
          <w:sz w:val="24"/>
          <w:lang w:bidi="ar-BH"/>
        </w:rPr>
      </w:pPr>
      <w:r>
        <w:rPr>
          <w:color w:val="000000"/>
          <w:sz w:val="24"/>
          <w:lang w:bidi="ar-BH"/>
        </w:rPr>
        <w:t>综上所述，项目选址可行。</w:t>
      </w:r>
    </w:p>
    <w:p>
      <w:pPr>
        <w:spacing w:line="600" w:lineRule="exact"/>
        <w:outlineLvl w:val="2"/>
        <w:rPr>
          <w:color w:val="000000"/>
        </w:rPr>
      </w:pPr>
      <w:r>
        <w:rPr>
          <w:rFonts w:hint="eastAsia"/>
          <w:b/>
          <w:color w:val="000000"/>
          <w:sz w:val="24"/>
          <w:lang w:val="en-US" w:eastAsia="zh-CN"/>
        </w:rPr>
        <w:t>8</w:t>
      </w:r>
      <w:r>
        <w:rPr>
          <w:b/>
          <w:color w:val="000000"/>
          <w:sz w:val="24"/>
        </w:rPr>
        <w:t>.1.3 防护距离可行性分析</w:t>
      </w:r>
    </w:p>
    <w:p>
      <w:pPr>
        <w:spacing w:line="520" w:lineRule="exact"/>
        <w:ind w:firstLine="470" w:firstLineChars="196"/>
        <w:rPr>
          <w:color w:val="000000"/>
          <w:sz w:val="24"/>
          <w:lang w:bidi="ar-BH"/>
        </w:rPr>
      </w:pPr>
      <w:r>
        <w:rPr>
          <w:color w:val="000000"/>
          <w:sz w:val="24"/>
        </w:rPr>
        <w:t>根据环境影响预测结果及</w:t>
      </w:r>
      <w:r>
        <w:rPr>
          <w:bCs/>
          <w:color w:val="000000"/>
          <w:sz w:val="24"/>
        </w:rPr>
        <w:t>《畜禽养殖业污染防治技术规范》（HJ／T81-2001）</w:t>
      </w:r>
      <w:r>
        <w:rPr>
          <w:color w:val="000000"/>
          <w:sz w:val="24"/>
        </w:rPr>
        <w:t>可知</w:t>
      </w:r>
      <w:r>
        <w:rPr>
          <w:color w:val="000000"/>
          <w:spacing w:val="-2"/>
          <w:sz w:val="24"/>
        </w:rPr>
        <w:t>，</w:t>
      </w:r>
      <w:r>
        <w:rPr>
          <w:bCs/>
          <w:color w:val="000000"/>
          <w:sz w:val="24"/>
        </w:rPr>
        <w:t>养殖场</w:t>
      </w:r>
      <w:r>
        <w:rPr>
          <w:color w:val="000000"/>
          <w:sz w:val="24"/>
        </w:rPr>
        <w:t>场界与禁建区域边界的最小距离不得小于500m。</w:t>
      </w:r>
    </w:p>
    <w:p>
      <w:pPr>
        <w:spacing w:line="520" w:lineRule="exact"/>
        <w:ind w:firstLine="470" w:firstLineChars="196"/>
        <w:rPr>
          <w:bCs/>
          <w:color w:val="000000"/>
          <w:sz w:val="24"/>
        </w:rPr>
      </w:pPr>
      <w:r>
        <w:rPr>
          <w:bCs/>
          <w:color w:val="000000"/>
          <w:sz w:val="24"/>
        </w:rPr>
        <w:t>由卫生防护距离图可知项目卫生防护距离内无敏感点，评价要求在项目卫生防护距离范围内，不再规划建设居民区、学校、医院等环境敏感点和食品、医药、饮料等环境敏感企业。因此，从防护距离方面讲，拟建工程场址可行。</w:t>
      </w:r>
    </w:p>
    <w:p>
      <w:pPr>
        <w:spacing w:line="600" w:lineRule="exact"/>
        <w:outlineLvl w:val="2"/>
        <w:rPr>
          <w:color w:val="000000"/>
        </w:rPr>
      </w:pPr>
      <w:r>
        <w:rPr>
          <w:rFonts w:hint="eastAsia"/>
          <w:b/>
          <w:color w:val="000000"/>
          <w:sz w:val="24"/>
          <w:lang w:val="en-US" w:eastAsia="zh-CN"/>
        </w:rPr>
        <w:t>8</w:t>
      </w:r>
      <w:r>
        <w:rPr>
          <w:b/>
          <w:color w:val="000000"/>
          <w:sz w:val="24"/>
        </w:rPr>
        <w:t>.1.4 环境影响可行性分析</w:t>
      </w:r>
    </w:p>
    <w:p>
      <w:pPr>
        <w:spacing w:line="520" w:lineRule="exact"/>
        <w:ind w:firstLine="480" w:firstLineChars="200"/>
        <w:rPr>
          <w:b/>
          <w:color w:val="000000"/>
          <w:szCs w:val="21"/>
        </w:rPr>
      </w:pPr>
      <w:r>
        <w:rPr>
          <w:bCs/>
          <w:color w:val="000000"/>
          <w:sz w:val="24"/>
        </w:rPr>
        <w:t>项目建成后环境影响可行性分析见表</w:t>
      </w:r>
      <w:r>
        <w:rPr>
          <w:rFonts w:hint="eastAsia"/>
          <w:bCs/>
          <w:color w:val="000000"/>
          <w:sz w:val="24"/>
          <w:lang w:val="en-US" w:eastAsia="zh-CN"/>
        </w:rPr>
        <w:t>8.1</w:t>
      </w:r>
      <w:r>
        <w:rPr>
          <w:bCs/>
          <w:color w:val="000000"/>
          <w:sz w:val="24"/>
        </w:rPr>
        <w:t>-3。</w:t>
      </w:r>
    </w:p>
    <w:p>
      <w:pPr>
        <w:tabs>
          <w:tab w:val="left" w:pos="1260"/>
        </w:tabs>
        <w:spacing w:beforeLines="30" w:afterLines="20"/>
        <w:jc w:val="center"/>
        <w:rPr>
          <w:b/>
          <w:color w:val="000000"/>
        </w:rPr>
      </w:pPr>
      <w:r>
        <w:rPr>
          <w:b/>
          <w:color w:val="000000"/>
        </w:rPr>
        <w:t>表</w:t>
      </w:r>
      <w:r>
        <w:rPr>
          <w:rFonts w:hint="eastAsia"/>
          <w:b/>
          <w:color w:val="000000"/>
          <w:lang w:val="en-US" w:eastAsia="zh-CN"/>
        </w:rPr>
        <w:t>8.1</w:t>
      </w:r>
      <w:r>
        <w:rPr>
          <w:b/>
          <w:color w:val="000000"/>
        </w:rPr>
        <w:t>-3项目环境影响可行性分析表</w:t>
      </w:r>
    </w:p>
    <w:tbl>
      <w:tblPr>
        <w:tblStyle w:val="45"/>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68"/>
        <w:gridCol w:w="5405"/>
        <w:gridCol w:w="1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868" w:type="dxa"/>
          </w:tcPr>
          <w:p>
            <w:pPr>
              <w:tabs>
                <w:tab w:val="left" w:pos="1260"/>
              </w:tabs>
              <w:spacing w:line="380" w:lineRule="exact"/>
              <w:jc w:val="center"/>
              <w:rPr>
                <w:b/>
                <w:color w:val="000000"/>
              </w:rPr>
            </w:pPr>
            <w:r>
              <w:rPr>
                <w:b/>
                <w:color w:val="000000"/>
                <w:szCs w:val="21"/>
              </w:rPr>
              <w:t>项目</w:t>
            </w:r>
          </w:p>
        </w:tc>
        <w:tc>
          <w:tcPr>
            <w:tcW w:w="5405" w:type="dxa"/>
          </w:tcPr>
          <w:p>
            <w:pPr>
              <w:tabs>
                <w:tab w:val="left" w:pos="1260"/>
              </w:tabs>
              <w:spacing w:line="380" w:lineRule="exact"/>
              <w:jc w:val="center"/>
              <w:rPr>
                <w:b/>
                <w:color w:val="000000"/>
              </w:rPr>
            </w:pPr>
            <w:r>
              <w:rPr>
                <w:b/>
                <w:color w:val="000000"/>
                <w:szCs w:val="21"/>
              </w:rPr>
              <w:t>内  容</w:t>
            </w:r>
          </w:p>
        </w:tc>
        <w:tc>
          <w:tcPr>
            <w:tcW w:w="1673" w:type="dxa"/>
          </w:tcPr>
          <w:p>
            <w:pPr>
              <w:tabs>
                <w:tab w:val="left" w:pos="1260"/>
              </w:tabs>
              <w:spacing w:line="380" w:lineRule="exact"/>
              <w:jc w:val="center"/>
              <w:rPr>
                <w:b/>
                <w:color w:val="000000"/>
              </w:rPr>
            </w:pPr>
            <w:r>
              <w:rPr>
                <w:b/>
                <w:color w:val="000000"/>
                <w:szCs w:val="21"/>
              </w:rPr>
              <w:t>场址是否可行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68" w:type="dxa"/>
            <w:vAlign w:val="center"/>
          </w:tcPr>
          <w:p>
            <w:pPr>
              <w:tabs>
                <w:tab w:val="left" w:pos="1260"/>
              </w:tabs>
              <w:spacing w:beforeLines="50" w:afterLines="50"/>
              <w:jc w:val="center"/>
              <w:rPr>
                <w:b/>
                <w:color w:val="000000"/>
              </w:rPr>
            </w:pPr>
            <w:r>
              <w:rPr>
                <w:color w:val="000000"/>
                <w:szCs w:val="21"/>
              </w:rPr>
              <w:t>环境空气影响</w:t>
            </w:r>
          </w:p>
        </w:tc>
        <w:tc>
          <w:tcPr>
            <w:tcW w:w="5405" w:type="dxa"/>
            <w:tcMar>
              <w:top w:w="57" w:type="dxa"/>
              <w:bottom w:w="57" w:type="dxa"/>
            </w:tcMar>
          </w:tcPr>
          <w:p>
            <w:pPr>
              <w:tabs>
                <w:tab w:val="left" w:pos="1260"/>
              </w:tabs>
              <w:spacing w:line="300" w:lineRule="exact"/>
              <w:rPr>
                <w:color w:val="000000"/>
                <w:szCs w:val="21"/>
              </w:rPr>
            </w:pPr>
            <w:r>
              <w:rPr>
                <w:color w:val="000000"/>
                <w:szCs w:val="21"/>
              </w:rPr>
              <w:t>项目完成后，全场无组织恶臭根据不同产生单元，采取相应的处理方式后，</w:t>
            </w:r>
            <w:r>
              <w:rPr>
                <w:szCs w:val="21"/>
              </w:rPr>
              <w:t>各场界</w:t>
            </w:r>
            <w:r>
              <w:rPr>
                <w:szCs w:val="22"/>
              </w:rPr>
              <w:t>NH</w:t>
            </w:r>
            <w:r>
              <w:rPr>
                <w:szCs w:val="22"/>
                <w:vertAlign w:val="subscript"/>
              </w:rPr>
              <w:t>3</w:t>
            </w:r>
            <w:r>
              <w:rPr>
                <w:szCs w:val="22"/>
              </w:rPr>
              <w:t>、H</w:t>
            </w:r>
            <w:r>
              <w:rPr>
                <w:szCs w:val="22"/>
                <w:vertAlign w:val="subscript"/>
              </w:rPr>
              <w:t>2</w:t>
            </w:r>
            <w:r>
              <w:rPr>
                <w:szCs w:val="22"/>
              </w:rPr>
              <w:t>S</w:t>
            </w:r>
            <w:r>
              <w:rPr>
                <w:szCs w:val="21"/>
              </w:rPr>
              <w:t>的浓度值均满足《恶臭污染物排放标准》（GB14554-93）中场界标准值的要求，臭气浓度满足《畜禽养殖业污染物排放标准》（GB18596-2001）标准要求；</w:t>
            </w:r>
            <w:r>
              <w:rPr>
                <w:color w:val="000000"/>
                <w:szCs w:val="21"/>
              </w:rPr>
              <w:t>有组织废气可实现达标排放，对环境空气的贡献量较小，环境保护目标能够满足评价标准要求。</w:t>
            </w:r>
          </w:p>
        </w:tc>
        <w:tc>
          <w:tcPr>
            <w:tcW w:w="1673" w:type="dxa"/>
            <w:vAlign w:val="center"/>
          </w:tcPr>
          <w:p>
            <w:pPr>
              <w:tabs>
                <w:tab w:val="left" w:pos="1260"/>
              </w:tabs>
              <w:spacing w:beforeLines="50" w:afterLines="50"/>
              <w:jc w:val="center"/>
              <w:rPr>
                <w:b/>
                <w:color w:val="000000"/>
              </w:rPr>
            </w:pPr>
            <w:r>
              <w:rPr>
                <w:color w:val="000000"/>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68" w:type="dxa"/>
            <w:vAlign w:val="center"/>
          </w:tcPr>
          <w:p>
            <w:pPr>
              <w:tabs>
                <w:tab w:val="left" w:pos="1260"/>
              </w:tabs>
              <w:spacing w:beforeLines="50" w:afterLines="50"/>
              <w:jc w:val="center"/>
              <w:rPr>
                <w:b/>
                <w:color w:val="000000"/>
              </w:rPr>
            </w:pPr>
            <w:r>
              <w:rPr>
                <w:color w:val="000000"/>
                <w:szCs w:val="21"/>
              </w:rPr>
              <w:t>地表水影响</w:t>
            </w:r>
          </w:p>
        </w:tc>
        <w:tc>
          <w:tcPr>
            <w:tcW w:w="5405" w:type="dxa"/>
            <w:tcMar>
              <w:top w:w="57" w:type="dxa"/>
              <w:bottom w:w="57" w:type="dxa"/>
            </w:tcMar>
          </w:tcPr>
          <w:p>
            <w:pPr>
              <w:tabs>
                <w:tab w:val="left" w:pos="1260"/>
              </w:tabs>
              <w:spacing w:line="300" w:lineRule="exact"/>
              <w:rPr>
                <w:b/>
                <w:color w:val="000000"/>
              </w:rPr>
            </w:pPr>
            <w:r>
              <w:rPr>
                <w:color w:val="000000"/>
                <w:szCs w:val="21"/>
              </w:rPr>
              <w:t>项目全场废水经场区内污水处理设施处理后，暂存于沼液储存池内，定期肥田，不外排</w:t>
            </w:r>
          </w:p>
        </w:tc>
        <w:tc>
          <w:tcPr>
            <w:tcW w:w="1673" w:type="dxa"/>
            <w:vAlign w:val="center"/>
          </w:tcPr>
          <w:p>
            <w:pPr>
              <w:tabs>
                <w:tab w:val="left" w:pos="1260"/>
              </w:tabs>
              <w:spacing w:beforeLines="50" w:afterLines="50"/>
              <w:jc w:val="center"/>
              <w:rPr>
                <w:b/>
                <w:color w:val="000000"/>
              </w:rPr>
            </w:pPr>
            <w:r>
              <w:rPr>
                <w:color w:val="000000"/>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68" w:type="dxa"/>
            <w:vAlign w:val="center"/>
          </w:tcPr>
          <w:p>
            <w:pPr>
              <w:tabs>
                <w:tab w:val="left" w:pos="1260"/>
              </w:tabs>
              <w:spacing w:line="360" w:lineRule="exact"/>
              <w:jc w:val="center"/>
              <w:rPr>
                <w:color w:val="000000"/>
                <w:szCs w:val="21"/>
              </w:rPr>
            </w:pPr>
            <w:r>
              <w:rPr>
                <w:color w:val="000000"/>
                <w:szCs w:val="21"/>
              </w:rPr>
              <w:t>地下水影响</w:t>
            </w:r>
          </w:p>
        </w:tc>
        <w:tc>
          <w:tcPr>
            <w:tcW w:w="5405" w:type="dxa"/>
            <w:tcMar>
              <w:top w:w="57" w:type="dxa"/>
              <w:bottom w:w="57" w:type="dxa"/>
            </w:tcMar>
            <w:vAlign w:val="center"/>
          </w:tcPr>
          <w:p>
            <w:pPr>
              <w:tabs>
                <w:tab w:val="left" w:pos="1260"/>
              </w:tabs>
              <w:spacing w:line="360" w:lineRule="exact"/>
              <w:rPr>
                <w:color w:val="000000"/>
                <w:szCs w:val="21"/>
              </w:rPr>
            </w:pPr>
            <w:r>
              <w:rPr>
                <w:color w:val="000000"/>
                <w:szCs w:val="21"/>
              </w:rPr>
              <w:t>基本维持现状</w:t>
            </w:r>
          </w:p>
        </w:tc>
        <w:tc>
          <w:tcPr>
            <w:tcW w:w="1673" w:type="dxa"/>
            <w:vAlign w:val="center"/>
          </w:tcPr>
          <w:p>
            <w:pPr>
              <w:tabs>
                <w:tab w:val="left" w:pos="1260"/>
              </w:tabs>
              <w:jc w:val="center"/>
              <w:rPr>
                <w:color w:val="000000"/>
                <w:szCs w:val="21"/>
              </w:rPr>
            </w:pPr>
            <w:r>
              <w:rPr>
                <w:color w:val="000000"/>
                <w:szCs w:val="21"/>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68" w:type="dxa"/>
          </w:tcPr>
          <w:p>
            <w:pPr>
              <w:tabs>
                <w:tab w:val="left" w:pos="1260"/>
              </w:tabs>
              <w:spacing w:line="360" w:lineRule="exact"/>
              <w:jc w:val="center"/>
              <w:rPr>
                <w:b/>
                <w:color w:val="000000"/>
              </w:rPr>
            </w:pPr>
            <w:r>
              <w:rPr>
                <w:color w:val="000000"/>
                <w:szCs w:val="21"/>
              </w:rPr>
              <w:t>声环境影响</w:t>
            </w:r>
          </w:p>
        </w:tc>
        <w:tc>
          <w:tcPr>
            <w:tcW w:w="5405" w:type="dxa"/>
            <w:tcMar>
              <w:top w:w="57" w:type="dxa"/>
              <w:bottom w:w="57" w:type="dxa"/>
            </w:tcMar>
          </w:tcPr>
          <w:p>
            <w:pPr>
              <w:tabs>
                <w:tab w:val="left" w:pos="1260"/>
              </w:tabs>
              <w:spacing w:line="360" w:lineRule="exact"/>
              <w:rPr>
                <w:b/>
                <w:color w:val="000000"/>
              </w:rPr>
            </w:pPr>
            <w:r>
              <w:rPr>
                <w:color w:val="000000"/>
                <w:szCs w:val="21"/>
              </w:rPr>
              <w:t>场界噪声达标，对周围环境影响较小</w:t>
            </w:r>
          </w:p>
        </w:tc>
        <w:tc>
          <w:tcPr>
            <w:tcW w:w="1673" w:type="dxa"/>
          </w:tcPr>
          <w:p>
            <w:pPr>
              <w:tabs>
                <w:tab w:val="left" w:pos="1260"/>
              </w:tabs>
              <w:jc w:val="center"/>
              <w:rPr>
                <w:b/>
                <w:color w:val="000000"/>
              </w:rPr>
            </w:pPr>
            <w:r>
              <w:rPr>
                <w:color w:val="000000"/>
                <w:szCs w:val="21"/>
              </w:rPr>
              <w:t>可行</w:t>
            </w:r>
          </w:p>
        </w:tc>
      </w:tr>
    </w:tbl>
    <w:p>
      <w:pPr>
        <w:spacing w:line="500" w:lineRule="exact"/>
        <w:ind w:firstLine="480" w:firstLineChars="200"/>
        <w:rPr>
          <w:color w:val="000000"/>
          <w:sz w:val="24"/>
        </w:rPr>
      </w:pPr>
      <w:r>
        <w:rPr>
          <w:color w:val="000000"/>
          <w:sz w:val="24"/>
        </w:rPr>
        <w:t>根据环境影响预测结果可知，项目的废气对环境的影响不大；废水经场区内污水处理设施处理后，暂存于沼液储存池内，定期肥田，不外排，对地表水和地下水影响不大。场界噪声达标，项目不会对周边环境敏感点造成噪声污染。在各项环保措施得以落实、杜绝事故排放的情况下，综合大气环境、水环境、噪声环境的预测结果可知，拟建工程从环境影响方面来说选址是可行的。</w:t>
      </w:r>
    </w:p>
    <w:p>
      <w:pPr>
        <w:spacing w:line="600" w:lineRule="exact"/>
        <w:outlineLvl w:val="2"/>
        <w:rPr>
          <w:color w:val="000000"/>
        </w:rPr>
      </w:pPr>
      <w:r>
        <w:rPr>
          <w:rFonts w:hint="eastAsia"/>
          <w:b/>
          <w:color w:val="000000"/>
          <w:sz w:val="24"/>
          <w:lang w:val="en-US" w:eastAsia="zh-CN"/>
        </w:rPr>
        <w:t>8</w:t>
      </w:r>
      <w:r>
        <w:rPr>
          <w:b/>
          <w:color w:val="000000"/>
          <w:sz w:val="24"/>
        </w:rPr>
        <w:t>.1.5 环境风险评价结论</w:t>
      </w:r>
    </w:p>
    <w:p>
      <w:pPr>
        <w:spacing w:line="520" w:lineRule="exact"/>
        <w:ind w:firstLine="480" w:firstLineChars="200"/>
        <w:rPr>
          <w:bCs/>
          <w:color w:val="000000"/>
          <w:sz w:val="24"/>
        </w:rPr>
      </w:pPr>
      <w:r>
        <w:rPr>
          <w:color w:val="000000"/>
          <w:kern w:val="0"/>
          <w:sz w:val="24"/>
        </w:rPr>
        <w:t>项目全场营运过程中涉及到的沼气</w:t>
      </w:r>
      <w:r>
        <w:rPr>
          <w:color w:val="000000"/>
          <w:sz w:val="24"/>
        </w:rPr>
        <w:t>为易燃气体且具有一定的毒性。在物质的运输（输送）、贮存和使用过程中，如管理操作不当或发生意外泄露，存在着中毒等事故风险。一旦发生这类事故，将造成有害物质的外泄，对周围环境产生较大的不利影响。</w:t>
      </w:r>
    </w:p>
    <w:p>
      <w:pPr>
        <w:spacing w:line="520" w:lineRule="exact"/>
        <w:ind w:firstLine="480" w:firstLineChars="200"/>
        <w:rPr>
          <w:bCs/>
          <w:color w:val="000000"/>
          <w:sz w:val="24"/>
        </w:rPr>
      </w:pPr>
      <w:r>
        <w:rPr>
          <w:color w:val="000000"/>
          <w:kern w:val="0"/>
          <w:sz w:val="24"/>
        </w:rPr>
        <w:t>项目采取了较为完善、合理可行的风险防范措施，可将项目的环境风险水平降至最低，只要严格遵守各项安全操作规程和制度，加强安全管理，并尽快开展安全评价工作，进一步补充、完善突发事件后的应急预案，防止重大风险事故的发生，其环境风险程度属于可接受水平。</w:t>
      </w:r>
    </w:p>
    <w:p>
      <w:pPr>
        <w:spacing w:line="600" w:lineRule="exact"/>
        <w:outlineLvl w:val="2"/>
        <w:rPr>
          <w:b/>
          <w:u w:val="none"/>
        </w:rPr>
      </w:pPr>
      <w:r>
        <w:rPr>
          <w:rFonts w:hint="eastAsia"/>
          <w:b/>
          <w:sz w:val="24"/>
          <w:u w:val="none"/>
          <w:lang w:val="en-US" w:eastAsia="zh-CN"/>
        </w:rPr>
        <w:t>8</w:t>
      </w:r>
      <w:r>
        <w:rPr>
          <w:b/>
          <w:sz w:val="24"/>
          <w:u w:val="none"/>
        </w:rPr>
        <w:t>.1.</w:t>
      </w:r>
      <w:r>
        <w:rPr>
          <w:rFonts w:hint="eastAsia"/>
          <w:b/>
          <w:sz w:val="24"/>
          <w:u w:val="none"/>
        </w:rPr>
        <w:t>6畜禽粪便无害化处理技术规范</w:t>
      </w:r>
    </w:p>
    <w:p>
      <w:pPr>
        <w:spacing w:line="520" w:lineRule="exact"/>
        <w:ind w:firstLine="480" w:firstLineChars="200"/>
        <w:rPr>
          <w:rFonts w:hint="eastAsia"/>
          <w:b w:val="0"/>
          <w:bCs/>
          <w:i w:val="0"/>
          <w:iCs w:val="0"/>
          <w:kern w:val="0"/>
          <w:sz w:val="24"/>
          <w:u w:val="none"/>
        </w:rPr>
      </w:pPr>
      <w:r>
        <w:rPr>
          <w:rFonts w:hint="eastAsia"/>
          <w:b w:val="0"/>
          <w:bCs/>
          <w:i w:val="0"/>
          <w:iCs w:val="0"/>
          <w:kern w:val="0"/>
          <w:sz w:val="24"/>
          <w:u w:val="none"/>
        </w:rPr>
        <w:t>《畜禽粪便无害化处理技术规范》（GB/T36195-2018）选址可行分析见表</w:t>
      </w:r>
      <w:r>
        <w:rPr>
          <w:rFonts w:hint="eastAsia"/>
          <w:b w:val="0"/>
          <w:bCs/>
          <w:i w:val="0"/>
          <w:iCs w:val="0"/>
          <w:kern w:val="0"/>
          <w:sz w:val="24"/>
          <w:u w:val="none"/>
          <w:lang w:val="en-US" w:eastAsia="zh-CN"/>
        </w:rPr>
        <w:t>8.1</w:t>
      </w:r>
      <w:r>
        <w:rPr>
          <w:rFonts w:hint="eastAsia"/>
          <w:b w:val="0"/>
          <w:bCs/>
          <w:i w:val="0"/>
          <w:iCs w:val="0"/>
          <w:kern w:val="0"/>
          <w:sz w:val="24"/>
          <w:u w:val="none"/>
        </w:rPr>
        <w:t>-4。</w:t>
      </w:r>
    </w:p>
    <w:p>
      <w:pPr>
        <w:ind w:firstLine="480" w:firstLineChars="200"/>
        <w:jc w:val="center"/>
        <w:rPr>
          <w:rFonts w:hint="eastAsia"/>
          <w:b w:val="0"/>
          <w:bCs/>
          <w:i w:val="0"/>
          <w:iCs w:val="0"/>
          <w:sz w:val="28"/>
          <w:szCs w:val="22"/>
          <w:u w:val="none"/>
        </w:rPr>
      </w:pPr>
      <w:r>
        <w:rPr>
          <w:rFonts w:hint="eastAsia"/>
          <w:b w:val="0"/>
          <w:bCs/>
          <w:i w:val="0"/>
          <w:iCs w:val="0"/>
          <w:kern w:val="0"/>
          <w:sz w:val="24"/>
          <w:u w:val="none"/>
        </w:rPr>
        <w:t>表</w:t>
      </w:r>
      <w:r>
        <w:rPr>
          <w:rFonts w:hint="eastAsia"/>
          <w:b w:val="0"/>
          <w:bCs/>
          <w:i w:val="0"/>
          <w:iCs w:val="0"/>
          <w:kern w:val="0"/>
          <w:sz w:val="24"/>
          <w:u w:val="none"/>
          <w:lang w:val="en-US" w:eastAsia="zh-CN"/>
        </w:rPr>
        <w:t>8.1</w:t>
      </w:r>
      <w:r>
        <w:rPr>
          <w:rFonts w:hint="eastAsia"/>
          <w:b w:val="0"/>
          <w:bCs/>
          <w:i w:val="0"/>
          <w:iCs w:val="0"/>
          <w:kern w:val="0"/>
          <w:sz w:val="24"/>
          <w:u w:val="none"/>
        </w:rPr>
        <w:t>-4  畜禽粪便无害化处理技术规范要求</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4253"/>
        <w:gridCol w:w="3402"/>
        <w:gridCol w:w="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928" w:type="dxa"/>
            <w:gridSpan w:val="2"/>
            <w:tcBorders>
              <w:top w:val="single" w:color="auto" w:sz="4" w:space="0"/>
              <w:left w:val="single" w:color="auto" w:sz="4" w:space="0"/>
              <w:bottom w:val="single" w:color="auto" w:sz="6"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粪便处理场选址及布局</w:t>
            </w:r>
          </w:p>
        </w:tc>
        <w:tc>
          <w:tcPr>
            <w:tcW w:w="3402" w:type="dxa"/>
            <w:tcBorders>
              <w:top w:val="single" w:color="auto" w:sz="4" w:space="0"/>
              <w:left w:val="single" w:color="auto" w:sz="6" w:space="0"/>
              <w:bottom w:val="single" w:color="auto" w:sz="6" w:space="0"/>
              <w:right w:val="single" w:color="auto" w:sz="6" w:space="0"/>
            </w:tcBorders>
            <w:vAlign w:val="center"/>
          </w:tcPr>
          <w:p>
            <w:pPr>
              <w:jc w:val="center"/>
              <w:rPr>
                <w:b w:val="0"/>
                <w:bCs/>
                <w:i w:val="0"/>
                <w:iCs w:val="0"/>
                <w:szCs w:val="21"/>
                <w:u w:val="none"/>
              </w:rPr>
            </w:pPr>
            <w:r>
              <w:rPr>
                <w:b w:val="0"/>
                <w:bCs/>
                <w:i w:val="0"/>
                <w:iCs w:val="0"/>
                <w:szCs w:val="21"/>
                <w:u w:val="none"/>
              </w:rPr>
              <w:t>本项目</w:t>
            </w:r>
          </w:p>
        </w:tc>
        <w:tc>
          <w:tcPr>
            <w:tcW w:w="616" w:type="dxa"/>
            <w:tcBorders>
              <w:top w:val="single" w:color="auto" w:sz="4" w:space="0"/>
              <w:left w:val="single" w:color="auto" w:sz="6" w:space="0"/>
              <w:bottom w:val="single" w:color="auto" w:sz="6" w:space="0"/>
              <w:right w:val="single" w:color="auto" w:sz="4" w:space="0"/>
            </w:tcBorders>
            <w:vAlign w:val="center"/>
          </w:tcPr>
          <w:p>
            <w:pPr>
              <w:jc w:val="center"/>
              <w:rPr>
                <w:b w:val="0"/>
                <w:bCs/>
                <w:i w:val="0"/>
                <w:iCs w:val="0"/>
                <w:szCs w:val="21"/>
                <w:u w:val="none"/>
              </w:rPr>
            </w:pPr>
            <w:r>
              <w:rPr>
                <w:b w:val="0"/>
                <w:bCs/>
                <w:i w:val="0"/>
                <w:iCs w:val="0"/>
                <w:szCs w:val="21"/>
                <w:u w:val="non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675" w:type="dxa"/>
            <w:vMerge w:val="restart"/>
            <w:tcBorders>
              <w:top w:val="single" w:color="auto" w:sz="6" w:space="0"/>
              <w:left w:val="single" w:color="auto" w:sz="4" w:space="0"/>
              <w:bottom w:val="single" w:color="auto" w:sz="6" w:space="0"/>
              <w:right w:val="single" w:color="auto" w:sz="6" w:space="0"/>
            </w:tcBorders>
            <w:vAlign w:val="center"/>
          </w:tcPr>
          <w:p>
            <w:pPr>
              <w:jc w:val="center"/>
              <w:rPr>
                <w:b w:val="0"/>
                <w:bCs/>
                <w:i w:val="0"/>
                <w:iCs w:val="0"/>
                <w:caps/>
                <w:szCs w:val="21"/>
                <w:u w:val="none"/>
              </w:rPr>
            </w:pPr>
            <w:r>
              <w:rPr>
                <w:rFonts w:hint="eastAsia" w:ascii="宋体"/>
                <w:b w:val="0"/>
                <w:bCs/>
                <w:i w:val="0"/>
                <w:iCs w:val="0"/>
                <w:caps/>
                <w:szCs w:val="20"/>
                <w:u w:val="none"/>
              </w:rPr>
              <w:t>5.1不应区域内建设畜禽粪便处理场</w:t>
            </w: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作为活饮用水水源保护区、风景名胜区、白然保护区的核心区及缓冲区；</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bCs/>
                <w:color w:val="000000"/>
                <w:kern w:val="0"/>
                <w:sz w:val="21"/>
                <w:szCs w:val="21"/>
              </w:rPr>
            </w:pPr>
            <w:r>
              <w:rPr>
                <w:rFonts w:ascii="Times New Roman" w:hAnsi="Times New Roman"/>
                <w:bCs/>
                <w:color w:val="000000"/>
                <w:kern w:val="0"/>
                <w:sz w:val="21"/>
                <w:szCs w:val="21"/>
              </w:rPr>
              <w:t>本项目距</w:t>
            </w:r>
            <w:r>
              <w:rPr>
                <w:rFonts w:hint="eastAsia" w:ascii="Times New Roman" w:hAnsi="Times New Roman"/>
                <w:bCs/>
                <w:color w:val="000000"/>
                <w:kern w:val="0"/>
                <w:sz w:val="21"/>
                <w:szCs w:val="21"/>
              </w:rPr>
              <w:t>正阳</w:t>
            </w:r>
            <w:r>
              <w:rPr>
                <w:rFonts w:ascii="Times New Roman" w:hAnsi="Times New Roman"/>
                <w:bCs/>
                <w:color w:val="000000"/>
                <w:kern w:val="0"/>
                <w:sz w:val="21"/>
                <w:szCs w:val="21"/>
              </w:rPr>
              <w:t>县城市饮用水水源地</w:t>
            </w:r>
          </w:p>
          <w:p>
            <w:pPr>
              <w:jc w:val="center"/>
              <w:rPr>
                <w:b w:val="0"/>
                <w:bCs/>
                <w:i w:val="0"/>
                <w:iCs w:val="0"/>
                <w:szCs w:val="21"/>
                <w:u w:val="none"/>
              </w:rPr>
            </w:pPr>
            <w:r>
              <w:rPr>
                <w:rFonts w:ascii="Times New Roman" w:hAnsi="Times New Roman"/>
                <w:bCs/>
                <w:color w:val="000000"/>
                <w:kern w:val="0"/>
                <w:sz w:val="21"/>
                <w:szCs w:val="21"/>
              </w:rPr>
              <w:t>一级保护区最近距离约为</w:t>
            </w:r>
            <w:r>
              <w:rPr>
                <w:rFonts w:hint="eastAsia" w:ascii="Times New Roman" w:hAnsi="Times New Roman"/>
                <w:bCs/>
                <w:color w:val="000000"/>
                <w:kern w:val="0"/>
                <w:sz w:val="21"/>
                <w:szCs w:val="21"/>
                <w:lang w:val="en-US" w:eastAsia="zh-CN"/>
              </w:rPr>
              <w:t>3</w:t>
            </w:r>
            <w:r>
              <w:rPr>
                <w:rFonts w:hint="eastAsia" w:ascii="Times New Roman" w:hAnsi="Times New Roman"/>
                <w:bCs/>
                <w:color w:val="000000"/>
                <w:kern w:val="0"/>
                <w:sz w:val="21"/>
                <w:szCs w:val="21"/>
              </w:rPr>
              <w:t>8.19</w:t>
            </w:r>
            <w:r>
              <w:rPr>
                <w:rFonts w:ascii="Times New Roman" w:hAnsi="Times New Roman"/>
                <w:bCs/>
                <w:color w:val="000000"/>
                <w:kern w:val="0"/>
                <w:sz w:val="21"/>
                <w:szCs w:val="21"/>
              </w:rPr>
              <w:t>km，距</w:t>
            </w:r>
            <w:r>
              <w:rPr>
                <w:rFonts w:hint="eastAsia" w:ascii="Times New Roman" w:hAnsi="Times New Roman"/>
                <w:bCs/>
                <w:color w:val="000000"/>
                <w:kern w:val="0"/>
                <w:sz w:val="21"/>
                <w:szCs w:val="21"/>
                <w:lang w:val="en-US" w:eastAsia="zh-CN"/>
              </w:rPr>
              <w:t>油坊店</w:t>
            </w:r>
            <w:r>
              <w:rPr>
                <w:rFonts w:hint="eastAsia" w:ascii="Times New Roman" w:hAnsi="Times New Roman"/>
                <w:bCs/>
                <w:color w:val="000000"/>
                <w:kern w:val="0"/>
                <w:sz w:val="21"/>
                <w:szCs w:val="21"/>
              </w:rPr>
              <w:t>乡</w:t>
            </w:r>
            <w:r>
              <w:rPr>
                <w:rFonts w:ascii="Times New Roman" w:hAnsi="Times New Roman"/>
                <w:bCs/>
                <w:color w:val="000000"/>
                <w:kern w:val="0"/>
                <w:sz w:val="21"/>
                <w:szCs w:val="21"/>
              </w:rPr>
              <w:t>饮用水水源地一级保护区最近距离约为</w:t>
            </w:r>
            <w:r>
              <w:rPr>
                <w:rFonts w:hint="eastAsia" w:ascii="Times New Roman" w:hAnsi="Times New Roman"/>
                <w:bCs/>
                <w:color w:val="000000"/>
                <w:kern w:val="0"/>
                <w:sz w:val="21"/>
                <w:szCs w:val="21"/>
                <w:lang w:val="en-US" w:eastAsia="zh-CN"/>
              </w:rPr>
              <w:t>4.6</w:t>
            </w:r>
            <w:r>
              <w:rPr>
                <w:rFonts w:ascii="Times New Roman" w:hAnsi="Times New Roman"/>
                <w:bCs/>
                <w:color w:val="000000"/>
                <w:kern w:val="0"/>
                <w:sz w:val="21"/>
                <w:szCs w:val="21"/>
              </w:rPr>
              <w:t>km，不在县城现有生活饮用水源地，乡镇和村级集中式生活饮用水源地周围50米范围内</w:t>
            </w:r>
          </w:p>
        </w:tc>
        <w:tc>
          <w:tcPr>
            <w:tcW w:w="616" w:type="dxa"/>
            <w:vMerge w:val="restart"/>
            <w:tcBorders>
              <w:top w:val="single" w:color="auto" w:sz="6" w:space="0"/>
              <w:left w:val="single" w:color="auto" w:sz="6" w:space="0"/>
              <w:right w:val="single" w:color="auto" w:sz="4" w:space="0"/>
            </w:tcBorders>
            <w:vAlign w:val="center"/>
          </w:tcPr>
          <w:p>
            <w:pPr>
              <w:jc w:val="center"/>
              <w:rPr>
                <w:b w:val="0"/>
                <w:bCs/>
                <w:i w:val="0"/>
                <w:iCs w:val="0"/>
                <w:szCs w:val="21"/>
                <w:u w:val="none"/>
              </w:rPr>
            </w:pPr>
            <w:r>
              <w:rPr>
                <w:rFonts w:hint="eastAsia"/>
                <w:b w:val="0"/>
                <w:bCs/>
                <w:i w:val="0"/>
                <w:iCs w:val="0"/>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75"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val="0"/>
                <w:bCs/>
                <w:i w:val="0"/>
                <w:iCs w:val="0"/>
                <w:caps/>
                <w:szCs w:val="21"/>
                <w:u w:val="none"/>
              </w:rPr>
            </w:pP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城市和城镇居民区，包括文教科研、医疗、商业和工业等人口集中地区；</w:t>
            </w:r>
          </w:p>
        </w:tc>
        <w:tc>
          <w:tcPr>
            <w:tcW w:w="3402" w:type="dxa"/>
            <w:tcBorders>
              <w:top w:val="single" w:color="auto" w:sz="6" w:space="0"/>
              <w:left w:val="single" w:color="auto" w:sz="6" w:space="0"/>
              <w:bottom w:val="single" w:color="auto" w:sz="6" w:space="0"/>
              <w:right w:val="single" w:color="auto" w:sz="6" w:space="0"/>
            </w:tcBorders>
            <w:vAlign w:val="center"/>
          </w:tcPr>
          <w:p>
            <w:pPr>
              <w:rPr>
                <w:b w:val="0"/>
                <w:bCs/>
                <w:i w:val="0"/>
                <w:iCs w:val="0"/>
                <w:szCs w:val="21"/>
                <w:u w:val="none"/>
              </w:rPr>
            </w:pPr>
            <w:r>
              <w:rPr>
                <w:rFonts w:ascii="Times New Roman" w:hAnsi="Times New Roman"/>
                <w:color w:val="000000"/>
                <w:sz w:val="21"/>
                <w:szCs w:val="21"/>
              </w:rPr>
              <w:t>本项目距</w:t>
            </w:r>
            <w:r>
              <w:rPr>
                <w:rFonts w:hint="eastAsia" w:ascii="Times New Roman" w:hAnsi="Times New Roman"/>
                <w:color w:val="000000"/>
                <w:sz w:val="21"/>
                <w:szCs w:val="21"/>
              </w:rPr>
              <w:t>正阳</w:t>
            </w:r>
            <w:r>
              <w:rPr>
                <w:rFonts w:ascii="Times New Roman" w:hAnsi="Times New Roman"/>
                <w:color w:val="000000"/>
                <w:sz w:val="21"/>
                <w:szCs w:val="21"/>
              </w:rPr>
              <w:t>县城市规划区最近距离约为</w:t>
            </w:r>
            <w:r>
              <w:rPr>
                <w:rFonts w:hint="eastAsia" w:ascii="Times New Roman" w:hAnsi="Times New Roman"/>
                <w:color w:val="000000"/>
                <w:sz w:val="21"/>
                <w:szCs w:val="21"/>
                <w:lang w:val="en-US" w:eastAsia="zh-CN"/>
              </w:rPr>
              <w:t>3</w:t>
            </w:r>
            <w:r>
              <w:rPr>
                <w:rFonts w:hint="eastAsia" w:ascii="Times New Roman" w:hAnsi="Times New Roman"/>
                <w:color w:val="000000"/>
                <w:sz w:val="21"/>
                <w:szCs w:val="21"/>
              </w:rPr>
              <w:t>9.25</w:t>
            </w:r>
            <w:r>
              <w:rPr>
                <w:rFonts w:ascii="Times New Roman" w:hAnsi="Times New Roman"/>
                <w:color w:val="000000"/>
                <w:sz w:val="21"/>
                <w:szCs w:val="21"/>
              </w:rPr>
              <w:t>km，不在</w:t>
            </w:r>
            <w:r>
              <w:rPr>
                <w:rFonts w:ascii="Times New Roman" w:hAnsi="Times New Roman"/>
                <w:bCs/>
                <w:color w:val="000000"/>
                <w:kern w:val="0"/>
                <w:sz w:val="21"/>
                <w:szCs w:val="21"/>
              </w:rPr>
              <w:t>县城规划区</w:t>
            </w:r>
            <w:r>
              <w:rPr>
                <w:rFonts w:ascii="Times New Roman" w:hAnsi="Times New Roman"/>
                <w:color w:val="000000"/>
                <w:sz w:val="21"/>
                <w:szCs w:val="21"/>
              </w:rPr>
              <w:t>范围内</w:t>
            </w:r>
          </w:p>
        </w:tc>
        <w:tc>
          <w:tcPr>
            <w:tcW w:w="616" w:type="dxa"/>
            <w:vMerge w:val="continue"/>
            <w:tcBorders>
              <w:left w:val="single" w:color="auto" w:sz="6" w:space="0"/>
              <w:right w:val="single" w:color="auto" w:sz="4" w:space="0"/>
            </w:tcBorders>
            <w:vAlign w:val="center"/>
          </w:tcPr>
          <w:p>
            <w:pPr>
              <w:widowControl/>
              <w:jc w:val="center"/>
              <w:rPr>
                <w:b w:val="0"/>
                <w:bCs/>
                <w:i w:val="0"/>
                <w:i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675"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val="0"/>
                <w:bCs/>
                <w:i w:val="0"/>
                <w:iCs w:val="0"/>
                <w:caps/>
                <w:szCs w:val="21"/>
                <w:u w:val="none"/>
              </w:rPr>
            </w:pP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县级及县级以上人民政府依法划定的禁养区域；</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不在</w:t>
            </w:r>
            <w:r>
              <w:rPr>
                <w:rFonts w:hint="eastAsia"/>
                <w:b w:val="0"/>
                <w:bCs/>
                <w:i w:val="0"/>
                <w:iCs w:val="0"/>
                <w:szCs w:val="21"/>
                <w:u w:val="none"/>
                <w:lang w:eastAsia="zh-CN"/>
              </w:rPr>
              <w:t>正阳县</w:t>
            </w:r>
            <w:r>
              <w:rPr>
                <w:rFonts w:hint="eastAsia"/>
                <w:b w:val="0"/>
                <w:bCs/>
                <w:i w:val="0"/>
                <w:iCs w:val="0"/>
                <w:szCs w:val="21"/>
                <w:u w:val="none"/>
              </w:rPr>
              <w:t>人民政府依法划定的禁养区域</w:t>
            </w:r>
          </w:p>
        </w:tc>
        <w:tc>
          <w:tcPr>
            <w:tcW w:w="616" w:type="dxa"/>
            <w:vMerge w:val="continue"/>
            <w:tcBorders>
              <w:left w:val="single" w:color="auto" w:sz="6" w:space="0"/>
              <w:right w:val="single" w:color="auto" w:sz="4" w:space="0"/>
            </w:tcBorders>
            <w:vAlign w:val="center"/>
          </w:tcPr>
          <w:p>
            <w:pPr>
              <w:widowControl/>
              <w:jc w:val="center"/>
              <w:rPr>
                <w:b w:val="0"/>
                <w:bCs/>
                <w:i w:val="0"/>
                <w:i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675"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val="0"/>
                <w:bCs/>
                <w:i w:val="0"/>
                <w:iCs w:val="0"/>
                <w:caps/>
                <w:szCs w:val="21"/>
                <w:u w:val="none"/>
              </w:rPr>
            </w:pP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国家或地方法律、法规规定需特殊保护的其他区域。</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b w:val="0"/>
                <w:bCs/>
                <w:i w:val="0"/>
                <w:iCs w:val="0"/>
                <w:szCs w:val="21"/>
                <w:u w:val="none"/>
              </w:rPr>
              <w:t>项目不涉及敏感区域</w:t>
            </w:r>
          </w:p>
        </w:tc>
        <w:tc>
          <w:tcPr>
            <w:tcW w:w="616" w:type="dxa"/>
            <w:vMerge w:val="continue"/>
            <w:tcBorders>
              <w:left w:val="single" w:color="auto" w:sz="6" w:space="0"/>
              <w:bottom w:val="single" w:color="auto" w:sz="4" w:space="0"/>
              <w:right w:val="single" w:color="auto" w:sz="4" w:space="0"/>
            </w:tcBorders>
            <w:vAlign w:val="center"/>
          </w:tcPr>
          <w:p>
            <w:pPr>
              <w:jc w:val="center"/>
              <w:rPr>
                <w:b w:val="0"/>
                <w:bCs/>
                <w:i w:val="0"/>
                <w:iCs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928" w:type="dxa"/>
            <w:gridSpan w:val="2"/>
            <w:tcBorders>
              <w:top w:val="single" w:color="auto" w:sz="6" w:space="0"/>
              <w:left w:val="single" w:color="auto" w:sz="4" w:space="0"/>
              <w:bottom w:val="single" w:color="auto" w:sz="4" w:space="0"/>
              <w:right w:val="single" w:color="auto" w:sz="6" w:space="0"/>
            </w:tcBorders>
            <w:vAlign w:val="center"/>
          </w:tcPr>
          <w:p>
            <w:pPr>
              <w:jc w:val="center"/>
              <w:rPr>
                <w:b w:val="0"/>
                <w:bCs/>
                <w:i w:val="0"/>
                <w:iCs w:val="0"/>
                <w:szCs w:val="21"/>
                <w:u w:val="none"/>
              </w:rPr>
            </w:pPr>
            <w:r>
              <w:rPr>
                <w:rFonts w:hint="eastAsia"/>
                <w:b w:val="0"/>
                <w:bCs/>
                <w:i w:val="0"/>
                <w:iCs w:val="0"/>
                <w:szCs w:val="21"/>
                <w:u w:val="none"/>
              </w:rPr>
              <w:t>5 2在禁建区域附近建设畜禽粪使处理场，应设在5.1规定的禁建区域常年主导风向的下风向或侧风向处，场界与禁建区域边界的最小距离不应小于3 km。</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val="0"/>
                <w:bCs/>
                <w:i w:val="0"/>
                <w:iCs w:val="0"/>
                <w:szCs w:val="21"/>
                <w:u w:val="none"/>
              </w:rPr>
            </w:pPr>
            <w:r>
              <w:rPr>
                <w:b w:val="0"/>
                <w:bCs/>
                <w:i w:val="0"/>
                <w:iCs w:val="0"/>
                <w:color w:val="000000"/>
                <w:szCs w:val="21"/>
                <w:u w:val="none"/>
              </w:rPr>
              <w:t>本项目距</w:t>
            </w:r>
            <w:r>
              <w:rPr>
                <w:rFonts w:hint="eastAsia"/>
                <w:b w:val="0"/>
                <w:bCs/>
                <w:i w:val="0"/>
                <w:iCs w:val="0"/>
                <w:color w:val="000000"/>
                <w:szCs w:val="21"/>
                <w:u w:val="none"/>
                <w:lang w:eastAsia="zh-CN"/>
              </w:rPr>
              <w:t>正阳县</w:t>
            </w:r>
            <w:r>
              <w:rPr>
                <w:b w:val="0"/>
                <w:bCs/>
                <w:i w:val="0"/>
                <w:iCs w:val="0"/>
                <w:color w:val="000000"/>
                <w:szCs w:val="21"/>
                <w:u w:val="none"/>
              </w:rPr>
              <w:t>城市规划区最近距离约为</w:t>
            </w:r>
            <w:r>
              <w:rPr>
                <w:rFonts w:hint="eastAsia" w:ascii="Times New Roman" w:hAnsi="Times New Roman"/>
                <w:color w:val="000000"/>
                <w:sz w:val="21"/>
                <w:szCs w:val="21"/>
                <w:lang w:val="en-US" w:eastAsia="zh-CN"/>
              </w:rPr>
              <w:t>3</w:t>
            </w:r>
            <w:r>
              <w:rPr>
                <w:rFonts w:hint="eastAsia" w:ascii="Times New Roman" w:hAnsi="Times New Roman"/>
                <w:color w:val="000000"/>
                <w:sz w:val="21"/>
                <w:szCs w:val="21"/>
              </w:rPr>
              <w:t>9.25</w:t>
            </w:r>
            <w:r>
              <w:rPr>
                <w:b w:val="0"/>
                <w:bCs/>
                <w:i w:val="0"/>
                <w:iCs w:val="0"/>
                <w:color w:val="000000"/>
                <w:szCs w:val="21"/>
                <w:u w:val="none"/>
              </w:rPr>
              <w:t>km，不在</w:t>
            </w:r>
            <w:r>
              <w:rPr>
                <w:b w:val="0"/>
                <w:bCs/>
                <w:i w:val="0"/>
                <w:iCs w:val="0"/>
                <w:color w:val="000000"/>
                <w:kern w:val="0"/>
                <w:szCs w:val="21"/>
                <w:u w:val="none"/>
              </w:rPr>
              <w:t>县城规划区</w:t>
            </w:r>
            <w:r>
              <w:rPr>
                <w:b w:val="0"/>
                <w:bCs/>
                <w:i w:val="0"/>
                <w:iCs w:val="0"/>
                <w:color w:val="000000"/>
                <w:szCs w:val="21"/>
                <w:u w:val="none"/>
              </w:rPr>
              <w:t>范围内。</w:t>
            </w:r>
          </w:p>
        </w:tc>
        <w:tc>
          <w:tcPr>
            <w:tcW w:w="616" w:type="dxa"/>
            <w:tcBorders>
              <w:top w:val="single" w:color="auto" w:sz="6" w:space="0"/>
              <w:left w:val="single" w:color="auto" w:sz="6" w:space="0"/>
              <w:bottom w:val="single" w:color="auto" w:sz="4" w:space="0"/>
              <w:right w:val="single" w:color="auto" w:sz="4" w:space="0"/>
            </w:tcBorders>
            <w:vAlign w:val="center"/>
          </w:tcPr>
          <w:p>
            <w:pPr>
              <w:widowControl/>
              <w:jc w:val="center"/>
              <w:rPr>
                <w:b w:val="0"/>
                <w:bCs/>
                <w:i w:val="0"/>
                <w:iCs w:val="0"/>
                <w:szCs w:val="21"/>
                <w:u w:val="none"/>
              </w:rPr>
            </w:pPr>
            <w:r>
              <w:rPr>
                <w:rFonts w:hint="eastAsia"/>
                <w:b w:val="0"/>
                <w:bCs/>
                <w:i w:val="0"/>
                <w:iCs w:val="0"/>
                <w:szCs w:val="21"/>
                <w:u w:val="none"/>
              </w:rPr>
              <w:t>符合</w:t>
            </w:r>
          </w:p>
        </w:tc>
      </w:tr>
    </w:tbl>
    <w:p>
      <w:pPr>
        <w:spacing w:line="600" w:lineRule="exact"/>
        <w:outlineLvl w:val="2"/>
        <w:rPr>
          <w:color w:val="000000"/>
        </w:rPr>
      </w:pPr>
      <w:r>
        <w:rPr>
          <w:rFonts w:hint="eastAsia"/>
          <w:b/>
          <w:color w:val="000000"/>
          <w:sz w:val="24"/>
          <w:lang w:val="en-US" w:eastAsia="zh-CN"/>
        </w:rPr>
        <w:t>8</w:t>
      </w:r>
      <w:r>
        <w:rPr>
          <w:b/>
          <w:color w:val="000000"/>
          <w:sz w:val="24"/>
        </w:rPr>
        <w:t>.1.</w:t>
      </w:r>
      <w:r>
        <w:rPr>
          <w:rFonts w:hint="eastAsia"/>
          <w:b/>
          <w:color w:val="000000"/>
          <w:sz w:val="24"/>
        </w:rPr>
        <w:t>7</w:t>
      </w:r>
      <w:r>
        <w:rPr>
          <w:b/>
          <w:color w:val="000000"/>
          <w:sz w:val="24"/>
        </w:rPr>
        <w:t xml:space="preserve"> 场址可行性结论</w:t>
      </w:r>
    </w:p>
    <w:p>
      <w:pPr>
        <w:adjustRightInd w:val="0"/>
        <w:snapToGrid w:val="0"/>
        <w:spacing w:beforeLines="50" w:line="500" w:lineRule="exact"/>
        <w:ind w:firstLine="480" w:firstLineChars="200"/>
        <w:rPr>
          <w:color w:val="000000"/>
          <w:sz w:val="24"/>
          <w:lang w:bidi="ar-BH"/>
        </w:rPr>
      </w:pPr>
      <w:r>
        <w:rPr>
          <w:color w:val="000000"/>
          <w:sz w:val="24"/>
        </w:rPr>
        <w:t>综上所述，项目场址符合</w:t>
      </w:r>
      <w:r>
        <w:rPr>
          <w:rFonts w:hint="eastAsia"/>
          <w:bCs/>
          <w:color w:val="000000"/>
          <w:sz w:val="24"/>
          <w:lang w:eastAsia="zh-CN"/>
        </w:rPr>
        <w:t>正阳县</w:t>
      </w:r>
      <w:r>
        <w:rPr>
          <w:bCs/>
          <w:color w:val="000000"/>
          <w:sz w:val="24"/>
        </w:rPr>
        <w:t>城市总体发展规划</w:t>
      </w:r>
      <w:r>
        <w:rPr>
          <w:color w:val="000000"/>
          <w:sz w:val="24"/>
        </w:rPr>
        <w:t>、</w:t>
      </w:r>
      <w:r>
        <w:rPr>
          <w:rFonts w:hint="eastAsia"/>
          <w:color w:val="000000"/>
          <w:sz w:val="24"/>
          <w:lang w:val="en-US" w:eastAsia="zh-CN"/>
        </w:rPr>
        <w:t>土地利用规划</w:t>
      </w:r>
      <w:r>
        <w:rPr>
          <w:color w:val="000000"/>
          <w:sz w:val="24"/>
        </w:rPr>
        <w:t>、</w:t>
      </w:r>
      <w:r>
        <w:rPr>
          <w:rFonts w:hint="eastAsia"/>
          <w:color w:val="000000"/>
          <w:sz w:val="24"/>
          <w:lang w:eastAsia="zh-CN"/>
        </w:rPr>
        <w:t>正阳县</w:t>
      </w:r>
      <w:r>
        <w:rPr>
          <w:color w:val="000000"/>
          <w:sz w:val="24"/>
        </w:rPr>
        <w:t>及</w:t>
      </w:r>
      <w:r>
        <w:rPr>
          <w:rFonts w:hint="eastAsia"/>
          <w:color w:val="000000"/>
          <w:sz w:val="24"/>
          <w:lang w:eastAsia="zh-CN"/>
        </w:rPr>
        <w:t>油坊店乡</w:t>
      </w:r>
      <w:r>
        <w:rPr>
          <w:color w:val="000000"/>
          <w:sz w:val="24"/>
        </w:rPr>
        <w:t>饮用水水源保护区划，本项目不在</w:t>
      </w:r>
      <w:r>
        <w:rPr>
          <w:rFonts w:hint="eastAsia"/>
          <w:color w:val="000000"/>
          <w:sz w:val="24"/>
          <w:lang w:eastAsia="zh-CN"/>
        </w:rPr>
        <w:t>正阳县</w:t>
      </w:r>
      <w:r>
        <w:rPr>
          <w:color w:val="000000"/>
          <w:sz w:val="24"/>
        </w:rPr>
        <w:t>及乡集中式饮用水水源地保护区划</w:t>
      </w:r>
      <w:r>
        <w:rPr>
          <w:bCs/>
          <w:color w:val="000000"/>
          <w:sz w:val="24"/>
        </w:rPr>
        <w:t>范围内，</w:t>
      </w:r>
      <w:r>
        <w:rPr>
          <w:color w:val="000000"/>
          <w:sz w:val="24"/>
        </w:rPr>
        <w:t>场址地质条件良好，距离养殖场区较近的村庄</w:t>
      </w:r>
      <w:r>
        <w:rPr>
          <w:rFonts w:hint="eastAsia"/>
          <w:color w:val="000000"/>
          <w:sz w:val="24"/>
          <w:lang w:val="en-US" w:eastAsia="zh-CN"/>
        </w:rPr>
        <w:t>前周庄</w:t>
      </w:r>
      <w:r>
        <w:rPr>
          <w:color w:val="000000"/>
          <w:sz w:val="24"/>
        </w:rPr>
        <w:t>位于项目的</w:t>
      </w:r>
      <w:r>
        <w:rPr>
          <w:rFonts w:hint="eastAsia"/>
          <w:color w:val="000000"/>
          <w:sz w:val="24"/>
          <w:lang w:val="en-US" w:eastAsia="zh-CN"/>
        </w:rPr>
        <w:t>上</w:t>
      </w:r>
      <w:r>
        <w:rPr>
          <w:color w:val="000000"/>
          <w:sz w:val="24"/>
        </w:rPr>
        <w:t>风向，供水、供电可靠，交通运输便利；项目卫生防护距离内无环境敏感点；在各项环保措施得以落实、杜绝事故排放的情况下，项目对环境的影响可以接受，项目场址可行。</w:t>
      </w:r>
    </w:p>
    <w:p>
      <w:pPr>
        <w:pStyle w:val="5"/>
        <w:spacing w:before="156" w:after="156"/>
        <w:rPr>
          <w:rFonts w:hAnsi="Times New Roman"/>
          <w:color w:val="000000"/>
        </w:rPr>
      </w:pPr>
      <w:bookmarkStart w:id="321" w:name="_Toc27889"/>
      <w:bookmarkStart w:id="322" w:name="_Toc488572589"/>
      <w:r>
        <w:rPr>
          <w:rFonts w:hint="eastAsia" w:hAnsi="Times New Roman"/>
          <w:color w:val="000000"/>
          <w:lang w:val="en-US" w:eastAsia="zh-CN"/>
        </w:rPr>
        <w:t>8</w:t>
      </w:r>
      <w:r>
        <w:rPr>
          <w:rFonts w:hAnsi="Times New Roman"/>
          <w:color w:val="000000"/>
        </w:rPr>
        <w:t>.2 场区平面布置合理性分析</w:t>
      </w:r>
      <w:bookmarkEnd w:id="321"/>
      <w:bookmarkEnd w:id="322"/>
    </w:p>
    <w:p>
      <w:pPr>
        <w:pStyle w:val="27"/>
        <w:topLinePunct/>
        <w:spacing w:after="0" w:line="500" w:lineRule="exact"/>
        <w:ind w:left="0" w:leftChars="0" w:firstLine="480" w:firstLineChars="200"/>
        <w:rPr>
          <w:color w:val="000000"/>
          <w:sz w:val="24"/>
        </w:rPr>
      </w:pPr>
      <w:r>
        <w:rPr>
          <w:color w:val="000000"/>
          <w:sz w:val="24"/>
        </w:rPr>
        <w:t>本项目场区实行生产区、办公区与污染治理区的三区分离。生活区包括宿舍楼、食堂、仓库等；养殖区主要包括猪舍等；粪污处理区包括污水的收集池、</w:t>
      </w:r>
      <w:r>
        <w:rPr>
          <w:rFonts w:hint="eastAsia"/>
          <w:color w:val="000000"/>
          <w:sz w:val="24"/>
          <w:lang w:eastAsia="zh-CN"/>
        </w:rPr>
        <w:t>黑膜</w:t>
      </w:r>
      <w:r>
        <w:rPr>
          <w:color w:val="000000"/>
          <w:sz w:val="24"/>
        </w:rPr>
        <w:t>沼气池、沼液暂存池等。</w:t>
      </w:r>
    </w:p>
    <w:p>
      <w:pPr>
        <w:adjustRightInd w:val="0"/>
        <w:snapToGrid w:val="0"/>
        <w:spacing w:line="500" w:lineRule="exact"/>
        <w:ind w:firstLine="570"/>
        <w:rPr>
          <w:color w:val="000000"/>
          <w:sz w:val="24"/>
        </w:rPr>
      </w:pPr>
      <w:r>
        <w:rPr>
          <w:color w:val="000000"/>
          <w:sz w:val="24"/>
        </w:rPr>
        <w:t>根据企业全场平面设计，办公生活区设置在养殖区</w:t>
      </w:r>
      <w:r>
        <w:rPr>
          <w:rFonts w:hint="eastAsia"/>
          <w:color w:val="000000"/>
          <w:sz w:val="24"/>
          <w:lang w:val="en-US" w:eastAsia="zh-CN"/>
        </w:rPr>
        <w:t>北</w:t>
      </w:r>
      <w:r>
        <w:rPr>
          <w:color w:val="000000"/>
          <w:sz w:val="24"/>
        </w:rPr>
        <w:t>侧，位于区域主导风向的</w:t>
      </w:r>
      <w:r>
        <w:rPr>
          <w:rFonts w:hint="eastAsia"/>
          <w:color w:val="000000"/>
          <w:sz w:val="24"/>
          <w:lang w:val="en-US" w:eastAsia="zh-CN"/>
        </w:rPr>
        <w:t>上</w:t>
      </w:r>
      <w:r>
        <w:rPr>
          <w:color w:val="000000"/>
          <w:sz w:val="24"/>
        </w:rPr>
        <w:t>风向，和养殖区之间有绿化带相隔，生产人员进出场区时可以尽可能避开养殖区，有利于猪舍防疫，可最大程度减轻对场区内部的影响。考虑到沼液储存池所处地势较低有利于污水处理站出水的自流，将沼液储存池置于养殖区</w:t>
      </w:r>
      <w:r>
        <w:rPr>
          <w:rFonts w:hint="eastAsia"/>
          <w:color w:val="000000"/>
          <w:sz w:val="24"/>
          <w:lang w:val="en-US" w:eastAsia="zh-CN"/>
        </w:rPr>
        <w:t>西南</w:t>
      </w:r>
      <w:r>
        <w:rPr>
          <w:color w:val="000000"/>
          <w:sz w:val="24"/>
        </w:rPr>
        <w:t>角。污水处理区位于养殖区</w:t>
      </w:r>
      <w:r>
        <w:rPr>
          <w:rFonts w:hint="eastAsia"/>
          <w:color w:val="000000"/>
          <w:sz w:val="24"/>
          <w:lang w:val="en-US" w:eastAsia="zh-CN"/>
        </w:rPr>
        <w:t>南</w:t>
      </w:r>
      <w:r>
        <w:rPr>
          <w:color w:val="000000"/>
          <w:sz w:val="24"/>
        </w:rPr>
        <w:t>侧，以便于养殖区污水通过管道直接输送至污水处理区，污水处理后可自流至沼液储存池中。沼液储存池、固粪处置区、污水处理设施均位于养殖区及生活区的下风向及侧风向，减轻了对养殖区和办公生活区的不利影响，满足规定要求。</w:t>
      </w:r>
    </w:p>
    <w:p>
      <w:pPr>
        <w:spacing w:line="520" w:lineRule="exact"/>
        <w:ind w:firstLine="470" w:firstLineChars="196"/>
        <w:rPr>
          <w:color w:val="000000"/>
          <w:sz w:val="24"/>
        </w:rPr>
      </w:pPr>
      <w:r>
        <w:rPr>
          <w:color w:val="000000"/>
          <w:sz w:val="24"/>
        </w:rPr>
        <w:t>（1）养殖区设置消毒设施，进场人员入消毒间消毒再进入饲养区，养殖场设置围墙，隔绝与外界往来，内设清洁路与脏路。清洁道为运输饲料和人员流动通道，脏道为专用运出粪便及废弃物的流动路线。同时在场区内设置专门兽医和病疫诊断化验设施，负责防疫、治疗、检疫等工作。</w:t>
      </w:r>
    </w:p>
    <w:p>
      <w:pPr>
        <w:spacing w:line="520" w:lineRule="exact"/>
        <w:ind w:firstLine="470" w:firstLineChars="196"/>
        <w:rPr>
          <w:bCs/>
          <w:color w:val="000000"/>
          <w:sz w:val="24"/>
        </w:rPr>
      </w:pPr>
      <w:r>
        <w:rPr>
          <w:color w:val="000000"/>
          <w:kern w:val="0"/>
          <w:sz w:val="24"/>
        </w:rPr>
        <w:t>（2）</w:t>
      </w:r>
      <w:r>
        <w:rPr>
          <w:bCs/>
          <w:color w:val="000000"/>
          <w:sz w:val="24"/>
          <w:szCs w:val="28"/>
        </w:rPr>
        <w:t>场区各功能区之间都设有绿化带，道路和绿化带的设置可有效防止各区之间交叉污染影响，同时也可为员工的办公和生产营造一个良好的工作环境。另外，</w:t>
      </w:r>
      <w:r>
        <w:rPr>
          <w:bCs/>
          <w:color w:val="000000"/>
          <w:sz w:val="24"/>
        </w:rPr>
        <w:t>评价建议企业在建设过程中，对场区空闲土地和场界进行多层次多方位立体绿化，减轻工程恶臭污染物排放对区域环境的影响，并逐步完善和优化场区平面布置。</w:t>
      </w:r>
    </w:p>
    <w:p>
      <w:pPr>
        <w:spacing w:line="520" w:lineRule="exact"/>
        <w:ind w:firstLine="470" w:firstLineChars="196"/>
        <w:rPr>
          <w:bCs/>
          <w:color w:val="000000"/>
          <w:sz w:val="24"/>
        </w:rPr>
      </w:pPr>
      <w:r>
        <w:rPr>
          <w:bCs/>
          <w:color w:val="000000"/>
          <w:sz w:val="24"/>
        </w:rPr>
        <w:t>（3）</w:t>
      </w:r>
      <w:r>
        <w:rPr>
          <w:color w:val="000000"/>
          <w:kern w:val="0"/>
          <w:sz w:val="24"/>
        </w:rPr>
        <w:t>整个场区总体布置简洁明快，道路通畅。</w:t>
      </w:r>
    </w:p>
    <w:p>
      <w:pPr>
        <w:adjustRightInd w:val="0"/>
        <w:snapToGrid w:val="0"/>
        <w:spacing w:line="500" w:lineRule="exact"/>
        <w:ind w:firstLine="570"/>
        <w:rPr>
          <w:color w:val="000000"/>
          <w:kern w:val="0"/>
          <w:sz w:val="24"/>
          <w:szCs w:val="28"/>
        </w:rPr>
      </w:pPr>
      <w:r>
        <w:rPr>
          <w:bCs/>
          <w:color w:val="000000"/>
          <w:sz w:val="24"/>
        </w:rPr>
        <w:t>根据场区布置情况，评价认为项目</w:t>
      </w:r>
      <w:r>
        <w:rPr>
          <w:color w:val="000000"/>
          <w:kern w:val="0"/>
          <w:sz w:val="24"/>
        </w:rPr>
        <w:t>平面布置功能分区明确，</w:t>
      </w:r>
      <w:r>
        <w:rPr>
          <w:bCs/>
          <w:color w:val="000000"/>
          <w:sz w:val="24"/>
        </w:rPr>
        <w:t>场址平面布置可行，同时，要求项目建设时应严格按照《畜禽养殖业污染防治技术规范》（HJ/T81-2001）要求进行布置。</w:t>
      </w:r>
    </w:p>
    <w:p>
      <w:pPr>
        <w:adjustRightInd w:val="0"/>
        <w:snapToGrid w:val="0"/>
        <w:spacing w:line="500" w:lineRule="exact"/>
        <w:ind w:firstLine="480" w:firstLineChars="200"/>
        <w:rPr>
          <w:bCs/>
          <w:color w:val="000000"/>
          <w:sz w:val="24"/>
        </w:rPr>
      </w:pPr>
      <w:r>
        <w:rPr>
          <w:bCs/>
          <w:color w:val="000000"/>
          <w:sz w:val="24"/>
        </w:rPr>
        <w:t>评价建议企业在建设过程中，对场区空闲土地和场界进行多层次多方位立体绿化，如在猪舍之间及粪污处理及暂存区加强绿化，减轻工程恶臭污染物排放对区域环境的影响，并逐步完善和优化场区平面布置。</w:t>
      </w:r>
    </w:p>
    <w:p>
      <w:pPr>
        <w:adjustRightInd w:val="0"/>
        <w:snapToGrid w:val="0"/>
        <w:spacing w:line="500" w:lineRule="exact"/>
        <w:ind w:firstLine="480" w:firstLineChars="200"/>
        <w:rPr>
          <w:bCs/>
          <w:color w:val="000000"/>
          <w:sz w:val="24"/>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type="lines" w:linePitch="312" w:charSpace="0"/>
        </w:sectPr>
      </w:pPr>
      <w:r>
        <w:rPr>
          <w:bCs/>
          <w:color w:val="000000"/>
          <w:sz w:val="24"/>
        </w:rPr>
        <w:t>本项目位于</w:t>
      </w:r>
      <w:r>
        <w:rPr>
          <w:rFonts w:hint="eastAsia"/>
          <w:bCs/>
          <w:color w:val="000000"/>
          <w:sz w:val="24"/>
          <w:lang w:eastAsia="zh-CN"/>
        </w:rPr>
        <w:t>正阳县</w:t>
      </w:r>
      <w:r>
        <w:rPr>
          <w:rFonts w:hint="eastAsia"/>
          <w:bCs/>
          <w:color w:val="000000"/>
          <w:sz w:val="24"/>
          <w:lang w:val="en-US" w:eastAsia="zh-CN"/>
        </w:rPr>
        <w:t>青年农场</w:t>
      </w:r>
      <w:r>
        <w:rPr>
          <w:bCs/>
          <w:color w:val="000000"/>
          <w:sz w:val="24"/>
        </w:rPr>
        <w:t>，占地面积</w:t>
      </w:r>
      <w:r>
        <w:rPr>
          <w:rFonts w:hint="eastAsia"/>
          <w:bCs/>
          <w:color w:val="000000"/>
          <w:sz w:val="24"/>
          <w:lang w:val="en-US" w:eastAsia="zh-CN"/>
        </w:rPr>
        <w:t>67.4999亩</w:t>
      </w:r>
      <w:r>
        <w:rPr>
          <w:bCs/>
          <w:color w:val="000000"/>
          <w:sz w:val="24"/>
        </w:rPr>
        <w:t>，根据</w:t>
      </w:r>
      <w:r>
        <w:rPr>
          <w:rFonts w:hint="eastAsia"/>
          <w:bCs/>
          <w:color w:val="000000"/>
          <w:sz w:val="24"/>
          <w:lang w:eastAsia="zh-CN"/>
        </w:rPr>
        <w:t>正阳县</w:t>
      </w:r>
      <w:r>
        <w:rPr>
          <w:bCs/>
          <w:color w:val="000000"/>
          <w:sz w:val="24"/>
        </w:rPr>
        <w:t>国土资源局出具的证明该地块为</w:t>
      </w:r>
      <w:r>
        <w:rPr>
          <w:rFonts w:hint="eastAsia"/>
          <w:bCs/>
          <w:color w:val="000000"/>
          <w:sz w:val="24"/>
          <w:lang w:val="en-US" w:eastAsia="zh-CN"/>
        </w:rPr>
        <w:t>林地</w:t>
      </w:r>
      <w:r>
        <w:rPr>
          <w:bCs/>
          <w:color w:val="000000"/>
          <w:sz w:val="24"/>
        </w:rPr>
        <w:t>，项目占地可行；根据《规模化猪养殖场技术规范》要求，商品猪育肥单头猪占地为3-4m</w:t>
      </w:r>
      <w:r>
        <w:rPr>
          <w:bCs/>
          <w:color w:val="000000"/>
          <w:sz w:val="24"/>
          <w:vertAlign w:val="superscript"/>
        </w:rPr>
        <w:t>2</w:t>
      </w:r>
      <w:r>
        <w:rPr>
          <w:bCs/>
          <w:color w:val="000000"/>
          <w:sz w:val="24"/>
        </w:rPr>
        <w:t>，且需预留发展用地；本项目占地</w:t>
      </w:r>
      <w:r>
        <w:rPr>
          <w:rFonts w:hint="eastAsia"/>
          <w:bCs/>
          <w:color w:val="000000"/>
          <w:sz w:val="24"/>
          <w:lang w:val="en-US" w:eastAsia="zh-CN"/>
        </w:rPr>
        <w:t>44999.92</w:t>
      </w:r>
      <w:r>
        <w:rPr>
          <w:bCs/>
          <w:color w:val="000000"/>
          <w:sz w:val="24"/>
        </w:rPr>
        <w:t xml:space="preserve"> m</w:t>
      </w:r>
      <w:r>
        <w:rPr>
          <w:bCs/>
          <w:color w:val="000000"/>
          <w:sz w:val="24"/>
          <w:vertAlign w:val="superscript"/>
        </w:rPr>
        <w:t>2</w:t>
      </w:r>
      <w:r>
        <w:rPr>
          <w:bCs/>
          <w:color w:val="000000"/>
          <w:sz w:val="24"/>
        </w:rPr>
        <w:t>，商品猪常年存栏量为</w:t>
      </w:r>
      <w:r>
        <w:rPr>
          <w:rFonts w:hint="eastAsia"/>
          <w:bCs/>
          <w:color w:val="000000"/>
          <w:sz w:val="24"/>
          <w:lang w:val="en-US" w:eastAsia="zh-CN"/>
        </w:rPr>
        <w:t>51</w:t>
      </w:r>
      <w:r>
        <w:rPr>
          <w:bCs/>
          <w:color w:val="000000"/>
          <w:sz w:val="24"/>
        </w:rPr>
        <w:t>00头，养殖区域需用面积1</w:t>
      </w:r>
      <w:r>
        <w:rPr>
          <w:rFonts w:hint="eastAsia"/>
          <w:bCs/>
          <w:color w:val="000000"/>
          <w:sz w:val="24"/>
          <w:lang w:val="en-US" w:eastAsia="zh-CN"/>
        </w:rPr>
        <w:t>5300</w:t>
      </w:r>
      <w:r>
        <w:rPr>
          <w:bCs/>
          <w:color w:val="000000"/>
          <w:sz w:val="24"/>
        </w:rPr>
        <w:t xml:space="preserve"> m</w:t>
      </w:r>
      <w:r>
        <w:rPr>
          <w:bCs/>
          <w:color w:val="000000"/>
          <w:sz w:val="24"/>
          <w:vertAlign w:val="superscript"/>
        </w:rPr>
        <w:t>2</w:t>
      </w:r>
      <w:r>
        <w:rPr>
          <w:bCs/>
          <w:color w:val="000000"/>
          <w:sz w:val="24"/>
        </w:rPr>
        <w:t>，同时需预留交通、绿化、粪污处置工程、生活配套等用地，项目占地较为紧凑，布局合理，占地规模合理。</w:t>
      </w:r>
    </w:p>
    <w:p>
      <w:pPr>
        <w:keepNext/>
        <w:keepLines/>
        <w:spacing w:before="100" w:beforeAutospacing="1" w:after="100" w:afterAutospacing="1"/>
        <w:jc w:val="center"/>
        <w:outlineLvl w:val="0"/>
        <w:rPr>
          <w:b/>
          <w:sz w:val="44"/>
          <w:szCs w:val="44"/>
        </w:rPr>
      </w:pPr>
      <w:bookmarkStart w:id="323" w:name="_Toc13713"/>
      <w:bookmarkStart w:id="324" w:name="_Toc488572590"/>
      <w:r>
        <w:rPr>
          <w:b/>
          <w:sz w:val="44"/>
          <w:szCs w:val="44"/>
        </w:rPr>
        <w:t>第</w:t>
      </w:r>
      <w:r>
        <w:rPr>
          <w:rFonts w:hint="eastAsia"/>
          <w:b/>
          <w:sz w:val="44"/>
          <w:szCs w:val="44"/>
          <w:lang w:val="en-US" w:eastAsia="zh-CN"/>
        </w:rPr>
        <w:t>九</w:t>
      </w:r>
      <w:r>
        <w:rPr>
          <w:b/>
          <w:sz w:val="44"/>
          <w:szCs w:val="44"/>
        </w:rPr>
        <w:t>章  评价结论与建议</w:t>
      </w:r>
      <w:bookmarkEnd w:id="323"/>
      <w:bookmarkEnd w:id="324"/>
    </w:p>
    <w:p>
      <w:pPr>
        <w:pStyle w:val="5"/>
        <w:spacing w:before="156" w:after="156"/>
        <w:rPr>
          <w:rFonts w:hAnsi="Times New Roman"/>
          <w:color w:val="000000"/>
        </w:rPr>
      </w:pPr>
      <w:bookmarkStart w:id="325" w:name="_Toc25092"/>
      <w:bookmarkStart w:id="326" w:name="_Toc488572591"/>
      <w:r>
        <w:rPr>
          <w:rFonts w:hint="eastAsia" w:hAnsi="Times New Roman"/>
          <w:color w:val="000000"/>
          <w:lang w:val="en-US" w:eastAsia="zh-CN"/>
        </w:rPr>
        <w:t>9</w:t>
      </w:r>
      <w:r>
        <w:rPr>
          <w:rFonts w:hAnsi="Times New Roman"/>
          <w:color w:val="000000"/>
        </w:rPr>
        <w:t>.1评价结论</w:t>
      </w:r>
      <w:bookmarkEnd w:id="325"/>
      <w:bookmarkEnd w:id="326"/>
    </w:p>
    <w:p>
      <w:pPr>
        <w:spacing w:line="600" w:lineRule="exact"/>
        <w:outlineLvl w:val="2"/>
        <w:rPr>
          <w:b/>
          <w:color w:val="000000"/>
          <w:sz w:val="24"/>
        </w:rPr>
      </w:pPr>
      <w:r>
        <w:rPr>
          <w:rFonts w:hint="eastAsia"/>
          <w:b/>
          <w:color w:val="000000"/>
          <w:sz w:val="24"/>
          <w:lang w:val="en-US" w:eastAsia="zh-CN"/>
        </w:rPr>
        <w:t>9</w:t>
      </w:r>
      <w:r>
        <w:rPr>
          <w:b/>
          <w:color w:val="000000"/>
          <w:sz w:val="24"/>
        </w:rPr>
        <w:t>.1.1项目概况</w:t>
      </w:r>
    </w:p>
    <w:p>
      <w:pPr>
        <w:topLinePunct/>
        <w:spacing w:line="500" w:lineRule="exact"/>
        <w:ind w:firstLine="480" w:firstLineChars="200"/>
        <w:rPr>
          <w:color w:val="000000"/>
          <w:spacing w:val="-4"/>
          <w:sz w:val="24"/>
          <w:lang w:val="zh-CN"/>
        </w:rPr>
      </w:pPr>
      <w:r>
        <w:rPr>
          <w:color w:val="000000"/>
          <w:sz w:val="24"/>
        </w:rPr>
        <w:t>本次项目为</w:t>
      </w:r>
      <w:r>
        <w:rPr>
          <w:rFonts w:hint="eastAsia"/>
          <w:bCs/>
          <w:color w:val="000000"/>
          <w:sz w:val="24"/>
          <w:lang w:val="en-US" w:eastAsia="zh-CN"/>
        </w:rPr>
        <w:t>正阳县辉鸿农牧有限公司新建年出栏生猪一万头生产</w:t>
      </w:r>
      <w:r>
        <w:rPr>
          <w:rFonts w:hint="eastAsia"/>
          <w:bCs/>
          <w:color w:val="000000"/>
          <w:sz w:val="24"/>
        </w:rPr>
        <w:t>项目</w:t>
      </w:r>
      <w:r>
        <w:rPr>
          <w:color w:val="000000"/>
          <w:sz w:val="24"/>
        </w:rPr>
        <w:t>，</w:t>
      </w:r>
      <w:r>
        <w:rPr>
          <w:color w:val="000000"/>
          <w:kern w:val="0"/>
          <w:sz w:val="24"/>
        </w:rPr>
        <w:t>项目建设</w:t>
      </w:r>
      <w:r>
        <w:rPr>
          <w:color w:val="000000"/>
          <w:sz w:val="24"/>
        </w:rPr>
        <w:t>地位于</w:t>
      </w:r>
      <w:r>
        <w:rPr>
          <w:rFonts w:hint="eastAsia"/>
          <w:bCs/>
          <w:color w:val="000000"/>
          <w:sz w:val="24"/>
          <w:lang w:eastAsia="zh-CN"/>
        </w:rPr>
        <w:t>正阳县</w:t>
      </w:r>
      <w:r>
        <w:rPr>
          <w:rFonts w:hint="eastAsia"/>
          <w:bCs/>
          <w:color w:val="000000"/>
          <w:sz w:val="24"/>
          <w:lang w:val="en-US" w:eastAsia="zh-CN"/>
        </w:rPr>
        <w:t>青年农场</w:t>
      </w:r>
      <w:r>
        <w:rPr>
          <w:color w:val="000000"/>
          <w:sz w:val="24"/>
        </w:rPr>
        <w:t>，属</w:t>
      </w:r>
      <w:r>
        <w:rPr>
          <w:rFonts w:hint="eastAsia"/>
          <w:color w:val="000000"/>
          <w:sz w:val="24"/>
          <w:lang w:val="en-US" w:eastAsia="zh-CN"/>
        </w:rPr>
        <w:t>新</w:t>
      </w:r>
      <w:r>
        <w:rPr>
          <w:color w:val="000000"/>
          <w:sz w:val="24"/>
        </w:rPr>
        <w:t>建项目，项目建成后规模为年出栏</w:t>
      </w:r>
      <w:r>
        <w:rPr>
          <w:rFonts w:hint="eastAsia"/>
          <w:color w:val="000000"/>
          <w:sz w:val="24"/>
          <w:lang w:val="en-US" w:eastAsia="zh-CN"/>
        </w:rPr>
        <w:t>10000头生</w:t>
      </w:r>
      <w:r>
        <w:rPr>
          <w:color w:val="000000"/>
          <w:sz w:val="24"/>
        </w:rPr>
        <w:t>猪。</w:t>
      </w:r>
      <w:r>
        <w:rPr>
          <w:bCs/>
          <w:color w:val="000000"/>
          <w:kern w:val="0"/>
          <w:sz w:val="24"/>
        </w:rPr>
        <w:t>主要包括保育、育肥阶段。</w:t>
      </w:r>
      <w:r>
        <w:rPr>
          <w:color w:val="000000"/>
          <w:sz w:val="24"/>
        </w:rPr>
        <w:t>建设内容：猪舍、废水综合治理沼气工程及配套工程；清粪方式采用干清粪工艺；该养殖场总占地面积</w:t>
      </w:r>
      <w:r>
        <w:rPr>
          <w:rFonts w:hint="eastAsia"/>
          <w:color w:val="000000"/>
          <w:sz w:val="24"/>
          <w:lang w:val="en-US" w:eastAsia="zh-CN"/>
        </w:rPr>
        <w:t>67.4999亩</w:t>
      </w:r>
      <w:r>
        <w:rPr>
          <w:color w:val="000000"/>
          <w:sz w:val="24"/>
        </w:rPr>
        <w:t>，</w:t>
      </w:r>
      <w:r>
        <w:rPr>
          <w:color w:val="000000"/>
          <w:spacing w:val="-4"/>
          <w:sz w:val="24"/>
        </w:rPr>
        <w:t>总投资</w:t>
      </w:r>
      <w:r>
        <w:rPr>
          <w:rFonts w:hint="eastAsia"/>
          <w:color w:val="000000"/>
          <w:spacing w:val="-4"/>
          <w:sz w:val="24"/>
          <w:lang w:val="en-US" w:eastAsia="zh-CN"/>
        </w:rPr>
        <w:t>20</w:t>
      </w:r>
      <w:r>
        <w:rPr>
          <w:color w:val="000000"/>
          <w:spacing w:val="-4"/>
          <w:sz w:val="24"/>
        </w:rPr>
        <w:t>00万元，劳动定员工为</w:t>
      </w:r>
      <w:r>
        <w:rPr>
          <w:rFonts w:hint="eastAsia"/>
          <w:color w:val="000000"/>
          <w:spacing w:val="-4"/>
          <w:sz w:val="24"/>
          <w:lang w:val="en-US" w:eastAsia="zh-CN"/>
        </w:rPr>
        <w:t>2</w:t>
      </w:r>
      <w:r>
        <w:rPr>
          <w:color w:val="000000"/>
          <w:spacing w:val="-4"/>
          <w:sz w:val="24"/>
        </w:rPr>
        <w:t>0人</w:t>
      </w:r>
      <w:r>
        <w:rPr>
          <w:color w:val="000000"/>
          <w:spacing w:val="-4"/>
          <w:sz w:val="24"/>
          <w:lang w:val="zh-CN"/>
        </w:rPr>
        <w:t>。</w:t>
      </w:r>
    </w:p>
    <w:p>
      <w:pPr>
        <w:spacing w:line="600" w:lineRule="exact"/>
        <w:outlineLvl w:val="2"/>
        <w:rPr>
          <w:b/>
          <w:color w:val="000000"/>
          <w:sz w:val="24"/>
        </w:rPr>
      </w:pPr>
      <w:r>
        <w:rPr>
          <w:rFonts w:hint="eastAsia"/>
          <w:b/>
          <w:color w:val="000000"/>
          <w:sz w:val="24"/>
          <w:lang w:val="en-US" w:eastAsia="zh-CN"/>
        </w:rPr>
        <w:t>9</w:t>
      </w:r>
      <w:r>
        <w:rPr>
          <w:b/>
          <w:color w:val="000000"/>
          <w:sz w:val="24"/>
        </w:rPr>
        <w:t>.1.2 项目与相关规划相符性</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.1.2.1产业政策</w:t>
      </w:r>
    </w:p>
    <w:p>
      <w:pPr>
        <w:tabs>
          <w:tab w:val="right" w:leader="dot" w:pos="8647"/>
        </w:tabs>
        <w:topLinePunct/>
        <w:spacing w:line="500" w:lineRule="exact"/>
        <w:ind w:firstLine="480" w:firstLineChars="200"/>
        <w:rPr>
          <w:color w:val="000000"/>
          <w:kern w:val="0"/>
          <w:sz w:val="24"/>
        </w:rPr>
      </w:pPr>
      <w:r>
        <w:rPr>
          <w:color w:val="000000"/>
          <w:sz w:val="24"/>
        </w:rPr>
        <w:t>本项目已在</w:t>
      </w:r>
      <w:r>
        <w:rPr>
          <w:rFonts w:hint="eastAsia"/>
          <w:color w:val="000000"/>
          <w:sz w:val="24"/>
          <w:lang w:eastAsia="zh-CN"/>
        </w:rPr>
        <w:t>正阳县</w:t>
      </w:r>
      <w:r>
        <w:rPr>
          <w:color w:val="000000"/>
          <w:sz w:val="24"/>
        </w:rPr>
        <w:t>发展和改革委员会备案，备案编号为20</w:t>
      </w:r>
      <w:r>
        <w:rPr>
          <w:rFonts w:hint="eastAsia"/>
          <w:color w:val="000000"/>
          <w:sz w:val="24"/>
          <w:lang w:val="en-US" w:eastAsia="zh-CN"/>
        </w:rPr>
        <w:t>20-411724-03-03-029638</w:t>
      </w:r>
      <w:r>
        <w:rPr>
          <w:color w:val="000000"/>
          <w:sz w:val="24"/>
        </w:rPr>
        <w:t>。</w:t>
      </w:r>
      <w:r>
        <w:rPr>
          <w:color w:val="000000"/>
          <w:kern w:val="0"/>
          <w:sz w:val="24"/>
        </w:rPr>
        <w:t>根据</w:t>
      </w:r>
      <w:r>
        <w:rPr>
          <w:color w:val="000000"/>
          <w:sz w:val="24"/>
        </w:rPr>
        <w:t>《产业结构调整指导目录（201</w:t>
      </w:r>
      <w:r>
        <w:rPr>
          <w:rFonts w:hint="eastAsia"/>
          <w:color w:val="000000"/>
          <w:sz w:val="24"/>
          <w:lang w:val="en-US" w:eastAsia="zh-CN"/>
        </w:rPr>
        <w:t>9</w:t>
      </w:r>
      <w:r>
        <w:rPr>
          <w:color w:val="000000"/>
          <w:sz w:val="24"/>
        </w:rPr>
        <w:t>年本）</w:t>
      </w:r>
      <w:r>
        <w:rPr>
          <w:color w:val="000000"/>
          <w:kern w:val="0"/>
          <w:sz w:val="24"/>
        </w:rPr>
        <w:t>，本项目属于鼓励类“一、农林业5、畜禽标准化规模养殖技术开发与应用”，工艺、设备均不在限制类和淘汰类范围内，符合国家产业政策。</w:t>
      </w:r>
    </w:p>
    <w:p>
      <w:pPr>
        <w:tabs>
          <w:tab w:val="right" w:leader="dot" w:pos="8647"/>
        </w:tabs>
        <w:topLinePunct/>
        <w:spacing w:line="500" w:lineRule="exact"/>
        <w:rPr>
          <w:color w:val="000000"/>
          <w:kern w:val="0"/>
          <w:sz w:val="24"/>
        </w:rPr>
      </w:pPr>
      <w:r>
        <w:rPr>
          <w:rFonts w:hint="eastAsia"/>
          <w:color w:val="000000"/>
          <w:kern w:val="0"/>
          <w:sz w:val="24"/>
          <w:lang w:val="en-US" w:eastAsia="zh-CN"/>
        </w:rPr>
        <w:t>9</w:t>
      </w:r>
      <w:r>
        <w:rPr>
          <w:color w:val="000000"/>
          <w:kern w:val="0"/>
          <w:sz w:val="24"/>
        </w:rPr>
        <w:t>.1.2.2 项目建设与</w:t>
      </w:r>
      <w:r>
        <w:rPr>
          <w:rFonts w:hint="eastAsia"/>
          <w:color w:val="000000"/>
          <w:kern w:val="0"/>
          <w:sz w:val="24"/>
          <w:lang w:eastAsia="zh-CN"/>
        </w:rPr>
        <w:t>正阳县</w:t>
      </w:r>
      <w:r>
        <w:rPr>
          <w:color w:val="000000"/>
          <w:kern w:val="0"/>
          <w:sz w:val="24"/>
        </w:rPr>
        <w:t>城市总体规划的相符性</w:t>
      </w:r>
    </w:p>
    <w:p>
      <w:pPr>
        <w:spacing w:line="500" w:lineRule="exact"/>
        <w:ind w:firstLine="480" w:firstLineChars="200"/>
        <w:jc w:val="left"/>
        <w:rPr>
          <w:color w:val="000000"/>
          <w:sz w:val="24"/>
        </w:rPr>
      </w:pPr>
      <w:r>
        <w:rPr>
          <w:color w:val="000000"/>
          <w:sz w:val="24"/>
        </w:rPr>
        <w:t>本项目位于</w:t>
      </w:r>
      <w:r>
        <w:rPr>
          <w:rFonts w:hint="eastAsia"/>
          <w:bCs/>
          <w:color w:val="000000"/>
          <w:sz w:val="24"/>
          <w:lang w:eastAsia="zh-CN"/>
        </w:rPr>
        <w:t>正阳县</w:t>
      </w:r>
      <w:r>
        <w:rPr>
          <w:rFonts w:hint="eastAsia"/>
          <w:bCs/>
          <w:color w:val="000000"/>
          <w:sz w:val="24"/>
          <w:lang w:val="en-US" w:eastAsia="zh-CN"/>
        </w:rPr>
        <w:t>青年农场</w:t>
      </w:r>
      <w:r>
        <w:rPr>
          <w:color w:val="000000"/>
          <w:sz w:val="24"/>
        </w:rPr>
        <w:t>，本次项目的建设不违背</w:t>
      </w:r>
      <w:r>
        <w:rPr>
          <w:rFonts w:hint="eastAsia"/>
          <w:color w:val="000000"/>
          <w:kern w:val="0"/>
          <w:sz w:val="24"/>
          <w:lang w:eastAsia="zh-CN"/>
        </w:rPr>
        <w:t>正阳县</w:t>
      </w:r>
      <w:r>
        <w:rPr>
          <w:color w:val="000000"/>
          <w:sz w:val="24"/>
        </w:rPr>
        <w:t>城市总体规划。</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.1.2.</w:t>
      </w:r>
      <w:r>
        <w:rPr>
          <w:rFonts w:hint="eastAsia"/>
          <w:color w:val="000000"/>
          <w:sz w:val="24"/>
          <w:lang w:val="en-US" w:eastAsia="zh-CN"/>
        </w:rPr>
        <w:t>3</w:t>
      </w:r>
      <w:r>
        <w:rPr>
          <w:color w:val="000000"/>
          <w:sz w:val="24"/>
        </w:rPr>
        <w:t xml:space="preserve"> 项目建设与饮用水源保护规划相符性分析</w:t>
      </w:r>
    </w:p>
    <w:p>
      <w:pPr>
        <w:spacing w:line="520" w:lineRule="exact"/>
        <w:ind w:firstLine="480" w:firstLineChars="200"/>
        <w:jc w:val="left"/>
        <w:rPr>
          <w:color w:val="000000"/>
          <w:sz w:val="24"/>
        </w:rPr>
      </w:pPr>
      <w:r>
        <w:rPr>
          <w:color w:val="000000"/>
          <w:sz w:val="24"/>
        </w:rPr>
        <w:t>本项目位于</w:t>
      </w:r>
      <w:r>
        <w:rPr>
          <w:rFonts w:hint="eastAsia"/>
          <w:color w:val="000000"/>
          <w:sz w:val="24"/>
          <w:lang w:eastAsia="zh-CN"/>
        </w:rPr>
        <w:t>正阳县</w:t>
      </w:r>
      <w:r>
        <w:rPr>
          <w:rFonts w:hint="eastAsia"/>
          <w:bCs/>
          <w:color w:val="000000"/>
          <w:sz w:val="24"/>
          <w:lang w:val="en-US" w:eastAsia="zh-CN"/>
        </w:rPr>
        <w:t>青年农场</w:t>
      </w:r>
      <w:r>
        <w:rPr>
          <w:color w:val="000000"/>
          <w:sz w:val="24"/>
        </w:rPr>
        <w:t>，经对比</w:t>
      </w:r>
      <w:r>
        <w:rPr>
          <w:rFonts w:hint="eastAsia"/>
          <w:color w:val="000000"/>
          <w:kern w:val="0"/>
          <w:sz w:val="24"/>
          <w:szCs w:val="21"/>
          <w:lang w:eastAsia="zh-CN"/>
        </w:rPr>
        <w:t>正阳县</w:t>
      </w:r>
      <w:r>
        <w:rPr>
          <w:color w:val="000000"/>
          <w:sz w:val="24"/>
        </w:rPr>
        <w:t>饮用水水源地保护区划，</w:t>
      </w:r>
      <w:r>
        <w:rPr>
          <w:rFonts w:ascii="Times New Roman" w:hAnsi="Times New Roman"/>
          <w:color w:val="000000"/>
          <w:sz w:val="24"/>
        </w:rPr>
        <w:t>本项目距</w:t>
      </w:r>
      <w:r>
        <w:rPr>
          <w:rFonts w:hint="eastAsia" w:ascii="Times New Roman" w:hAnsi="Times New Roman"/>
          <w:color w:val="000000"/>
          <w:kern w:val="0"/>
          <w:sz w:val="24"/>
          <w:szCs w:val="21"/>
        </w:rPr>
        <w:t>正阳</w:t>
      </w:r>
      <w:r>
        <w:rPr>
          <w:rFonts w:ascii="Times New Roman" w:hAnsi="Times New Roman"/>
          <w:color w:val="000000"/>
          <w:kern w:val="0"/>
          <w:sz w:val="24"/>
          <w:szCs w:val="21"/>
        </w:rPr>
        <w:t>县</w:t>
      </w:r>
      <w:r>
        <w:rPr>
          <w:rFonts w:ascii="Times New Roman" w:hAnsi="Times New Roman"/>
          <w:color w:val="000000"/>
          <w:sz w:val="24"/>
        </w:rPr>
        <w:t>城市饮用水水源地一级保护区最近距离约为</w:t>
      </w:r>
      <w:r>
        <w:rPr>
          <w:rFonts w:hint="eastAsia" w:ascii="Times New Roman" w:hAnsi="Times New Roman"/>
          <w:color w:val="000000"/>
          <w:sz w:val="24"/>
          <w:lang w:val="en-US" w:eastAsia="zh-CN"/>
        </w:rPr>
        <w:t>3</w:t>
      </w:r>
      <w:r>
        <w:rPr>
          <w:rFonts w:hint="eastAsia" w:ascii="Times New Roman" w:hAnsi="Times New Roman"/>
          <w:color w:val="000000"/>
          <w:sz w:val="24"/>
        </w:rPr>
        <w:t>8.49</w:t>
      </w:r>
      <w:r>
        <w:rPr>
          <w:rFonts w:ascii="Times New Roman" w:hAnsi="Times New Roman"/>
          <w:color w:val="000000"/>
          <w:sz w:val="24"/>
        </w:rPr>
        <w:t>km</w:t>
      </w:r>
      <w:r>
        <w:rPr>
          <w:color w:val="000000"/>
          <w:sz w:val="24"/>
        </w:rPr>
        <w:t>，</w:t>
      </w:r>
      <w:r>
        <w:rPr>
          <w:rFonts w:hint="eastAsia"/>
          <w:color w:val="000000"/>
          <w:sz w:val="24"/>
          <w:lang w:val="en-US" w:eastAsia="zh-CN"/>
        </w:rPr>
        <w:t>距油坊店乡集中</w:t>
      </w:r>
      <w:r>
        <w:rPr>
          <w:color w:val="000000"/>
          <w:sz w:val="24"/>
        </w:rPr>
        <w:t>饮用水水源地一级保护区最近距离约为</w:t>
      </w:r>
      <w:r>
        <w:rPr>
          <w:rFonts w:hint="eastAsia"/>
          <w:color w:val="000000"/>
          <w:sz w:val="24"/>
          <w:lang w:val="en-US" w:eastAsia="zh-CN"/>
        </w:rPr>
        <w:t>4.6</w:t>
      </w:r>
      <w:r>
        <w:rPr>
          <w:color w:val="000000"/>
          <w:sz w:val="24"/>
        </w:rPr>
        <w:t>km</w:t>
      </w:r>
      <w:r>
        <w:rPr>
          <w:rFonts w:hint="eastAsia"/>
          <w:color w:val="000000"/>
          <w:sz w:val="24"/>
          <w:lang w:val="en-US" w:eastAsia="zh-CN"/>
        </w:rPr>
        <w:t>，</w:t>
      </w:r>
      <w:r>
        <w:rPr>
          <w:color w:val="000000"/>
          <w:sz w:val="24"/>
        </w:rPr>
        <w:t>不在</w:t>
      </w:r>
      <w:r>
        <w:rPr>
          <w:rFonts w:hint="eastAsia"/>
          <w:color w:val="000000"/>
          <w:kern w:val="0"/>
          <w:sz w:val="24"/>
          <w:szCs w:val="21"/>
          <w:lang w:eastAsia="zh-CN"/>
        </w:rPr>
        <w:t>正阳县</w:t>
      </w:r>
      <w:r>
        <w:rPr>
          <w:color w:val="000000"/>
          <w:sz w:val="24"/>
        </w:rPr>
        <w:t>饮用水水源保护区范围内，故项目的建设与</w:t>
      </w:r>
      <w:r>
        <w:rPr>
          <w:rFonts w:hint="eastAsia"/>
          <w:color w:val="000000"/>
          <w:kern w:val="0"/>
          <w:sz w:val="24"/>
          <w:szCs w:val="21"/>
          <w:lang w:eastAsia="zh-CN"/>
        </w:rPr>
        <w:t>正阳县</w:t>
      </w:r>
      <w:r>
        <w:rPr>
          <w:color w:val="000000"/>
          <w:sz w:val="24"/>
        </w:rPr>
        <w:t>饮用水水源地保护区划是相符的。</w:t>
      </w:r>
    </w:p>
    <w:p>
      <w:pPr>
        <w:tabs>
          <w:tab w:val="right" w:leader="dot" w:pos="8647"/>
        </w:tabs>
        <w:topLinePunct/>
        <w:spacing w:line="500" w:lineRule="exact"/>
        <w:rPr>
          <w:color w:val="000000"/>
          <w:szCs w:val="28"/>
        </w:rPr>
      </w:pPr>
      <w:r>
        <w:rPr>
          <w:rFonts w:hint="eastAsia"/>
          <w:color w:val="000000"/>
          <w:sz w:val="24"/>
          <w:lang w:val="en-US" w:eastAsia="zh-CN"/>
        </w:rPr>
        <w:t>9</w:t>
      </w:r>
      <w:r>
        <w:rPr>
          <w:color w:val="000000"/>
          <w:sz w:val="24"/>
        </w:rPr>
        <w:t>.1.2.</w:t>
      </w:r>
      <w:r>
        <w:rPr>
          <w:rFonts w:hint="eastAsia"/>
          <w:color w:val="000000"/>
          <w:sz w:val="24"/>
          <w:lang w:val="en-US" w:eastAsia="zh-CN"/>
        </w:rPr>
        <w:t>4</w:t>
      </w:r>
      <w:r>
        <w:rPr>
          <w:color w:val="000000"/>
          <w:sz w:val="24"/>
        </w:rPr>
        <w:t xml:space="preserve"> 项目与《</w:t>
      </w:r>
      <w:r>
        <w:rPr>
          <w:rFonts w:hint="eastAsia"/>
          <w:color w:val="000000"/>
          <w:sz w:val="24"/>
          <w:lang w:eastAsia="zh-CN"/>
        </w:rPr>
        <w:t>正阳县</w:t>
      </w:r>
      <w:r>
        <w:rPr>
          <w:color w:val="000000"/>
          <w:sz w:val="24"/>
        </w:rPr>
        <w:t>畜禽养殖禁养区限养区划定方案》相符性分析</w:t>
      </w:r>
    </w:p>
    <w:p>
      <w:pPr>
        <w:spacing w:line="520" w:lineRule="exact"/>
        <w:ind w:firstLine="480" w:firstLineChars="200"/>
        <w:rPr>
          <w:color w:val="000000"/>
          <w:sz w:val="24"/>
        </w:rPr>
      </w:pPr>
      <w:r>
        <w:rPr>
          <w:color w:val="000000"/>
          <w:sz w:val="24"/>
        </w:rPr>
        <w:t>本项目位于</w:t>
      </w:r>
      <w:r>
        <w:rPr>
          <w:rFonts w:hint="eastAsia"/>
          <w:bCs/>
          <w:color w:val="000000"/>
          <w:sz w:val="24"/>
          <w:lang w:eastAsia="zh-CN"/>
        </w:rPr>
        <w:t>正阳县</w:t>
      </w:r>
      <w:r>
        <w:rPr>
          <w:rFonts w:hint="eastAsia"/>
          <w:bCs/>
          <w:color w:val="000000"/>
          <w:sz w:val="24"/>
          <w:lang w:val="en-US" w:eastAsia="zh-CN"/>
        </w:rPr>
        <w:t>青年农场</w:t>
      </w:r>
      <w:r>
        <w:rPr>
          <w:color w:val="000000"/>
          <w:sz w:val="24"/>
        </w:rPr>
        <w:t>，场区四周均为农耕地，根据现场勘踏，经与《</w:t>
      </w:r>
      <w:r>
        <w:rPr>
          <w:rFonts w:hint="eastAsia"/>
          <w:color w:val="000000"/>
          <w:sz w:val="24"/>
          <w:lang w:eastAsia="zh-CN"/>
        </w:rPr>
        <w:t>正阳县</w:t>
      </w:r>
      <w:r>
        <w:rPr>
          <w:color w:val="000000"/>
          <w:sz w:val="24"/>
        </w:rPr>
        <w:t>畜禽养殖禁养区限养区划定方案》比对可知，项目所在地距离最近的村庄为</w:t>
      </w:r>
      <w:r>
        <w:rPr>
          <w:rFonts w:hint="eastAsia"/>
          <w:color w:val="000000"/>
          <w:sz w:val="24"/>
          <w:lang w:val="en-US" w:eastAsia="zh-CN"/>
        </w:rPr>
        <w:t>东</w:t>
      </w:r>
      <w:r>
        <w:rPr>
          <w:color w:val="000000"/>
          <w:sz w:val="24"/>
        </w:rPr>
        <w:t>侧5</w:t>
      </w:r>
      <w:r>
        <w:rPr>
          <w:rFonts w:hint="eastAsia"/>
          <w:color w:val="000000"/>
          <w:sz w:val="24"/>
          <w:lang w:val="en-US" w:eastAsia="zh-CN"/>
        </w:rPr>
        <w:t>01</w:t>
      </w:r>
      <w:r>
        <w:rPr>
          <w:color w:val="000000"/>
          <w:sz w:val="24"/>
        </w:rPr>
        <w:t>m的</w:t>
      </w:r>
      <w:r>
        <w:rPr>
          <w:rFonts w:hint="eastAsia"/>
          <w:color w:val="000000"/>
          <w:sz w:val="24"/>
          <w:lang w:val="en-US" w:eastAsia="zh-CN"/>
        </w:rPr>
        <w:t>前周庄</w:t>
      </w:r>
      <w:r>
        <w:rPr>
          <w:color w:val="000000"/>
          <w:sz w:val="24"/>
        </w:rPr>
        <w:t>，不在</w:t>
      </w:r>
      <w:r>
        <w:rPr>
          <w:rFonts w:hint="eastAsia"/>
          <w:color w:val="000000"/>
          <w:sz w:val="24"/>
          <w:lang w:eastAsia="zh-CN"/>
        </w:rPr>
        <w:t>正阳县</w:t>
      </w:r>
      <w:r>
        <w:rPr>
          <w:color w:val="000000"/>
          <w:sz w:val="24"/>
        </w:rPr>
        <w:t>划定的禁养区范围内，项目建设符合《</w:t>
      </w:r>
      <w:r>
        <w:rPr>
          <w:rFonts w:hint="eastAsia"/>
          <w:color w:val="000000"/>
          <w:sz w:val="24"/>
          <w:lang w:eastAsia="zh-CN"/>
        </w:rPr>
        <w:t>正阳县</w:t>
      </w:r>
      <w:r>
        <w:rPr>
          <w:color w:val="000000"/>
          <w:sz w:val="24"/>
        </w:rPr>
        <w:t>畜禽养殖禁养区限养区划定方案》要求，项目建设符合选址要求。</w:t>
      </w:r>
    </w:p>
    <w:p>
      <w:pPr>
        <w:spacing w:line="600" w:lineRule="exact"/>
        <w:outlineLvl w:val="2"/>
        <w:rPr>
          <w:b/>
          <w:color w:val="000000"/>
          <w:sz w:val="24"/>
        </w:rPr>
      </w:pPr>
      <w:r>
        <w:rPr>
          <w:rFonts w:hint="eastAsia"/>
          <w:b/>
          <w:color w:val="000000"/>
          <w:sz w:val="24"/>
          <w:lang w:val="en-US" w:eastAsia="zh-CN"/>
        </w:rPr>
        <w:t>9</w:t>
      </w:r>
      <w:r>
        <w:rPr>
          <w:b/>
          <w:color w:val="000000"/>
          <w:sz w:val="24"/>
        </w:rPr>
        <w:t>.1.3 环境现状</w:t>
      </w:r>
    </w:p>
    <w:p>
      <w:pPr>
        <w:tabs>
          <w:tab w:val="right" w:leader="dot" w:pos="8647"/>
        </w:tabs>
        <w:topLinePunct/>
        <w:spacing w:line="500" w:lineRule="exact"/>
        <w:rPr>
          <w:color w:val="000000" w:themeColor="text1"/>
          <w:sz w:val="24"/>
        </w:rPr>
      </w:pPr>
      <w:r>
        <w:rPr>
          <w:rFonts w:hint="eastAsia"/>
          <w:color w:val="000000" w:themeColor="text1"/>
          <w:sz w:val="24"/>
          <w:lang w:val="en-US" w:eastAsia="zh-CN"/>
        </w:rPr>
        <w:t>9</w:t>
      </w:r>
      <w:r>
        <w:rPr>
          <w:color w:val="000000" w:themeColor="text1"/>
          <w:sz w:val="24"/>
        </w:rPr>
        <w:t>.1.3.1 地表水</w:t>
      </w:r>
    </w:p>
    <w:p>
      <w:pPr>
        <w:topLinePunct/>
        <w:autoSpaceDE w:val="0"/>
        <w:spacing w:line="500" w:lineRule="exact"/>
        <w:ind w:firstLine="480" w:firstLineChars="200"/>
        <w:jc w:val="left"/>
        <w:rPr>
          <w:color w:val="000000" w:themeColor="text1"/>
          <w:sz w:val="24"/>
        </w:rPr>
      </w:pPr>
      <w:r>
        <w:rPr>
          <w:color w:val="000000" w:themeColor="text1"/>
          <w:sz w:val="24"/>
        </w:rPr>
        <w:t>项目</w:t>
      </w:r>
      <w:r>
        <w:rPr>
          <w:rFonts w:hint="eastAsia"/>
          <w:color w:val="000000" w:themeColor="text1"/>
          <w:sz w:val="24"/>
          <w:lang w:val="en-US" w:eastAsia="zh-CN"/>
        </w:rPr>
        <w:t>最近的地表水体为南侧闾河</w:t>
      </w:r>
      <w:r>
        <w:rPr>
          <w:color w:val="000000" w:themeColor="text1"/>
          <w:sz w:val="24"/>
        </w:rPr>
        <w:t>。根据监测，</w:t>
      </w:r>
      <w:r>
        <w:rPr>
          <w:rFonts w:hint="eastAsia"/>
          <w:color w:val="000000" w:themeColor="text1"/>
          <w:sz w:val="24"/>
          <w:lang w:val="en-US" w:eastAsia="zh-CN"/>
        </w:rPr>
        <w:t>闾河何岗</w:t>
      </w:r>
      <w:r>
        <w:rPr>
          <w:color w:val="000000" w:themeColor="text1"/>
          <w:sz w:val="24"/>
        </w:rPr>
        <w:t>监测点位的监测因子能满足《地表水环境质量标准》（GB</w:t>
      </w:r>
      <w:r>
        <w:rPr>
          <w:color w:val="000000"/>
          <w:sz w:val="24"/>
        </w:rPr>
        <w:t>3838-2002）中</w:t>
      </w:r>
      <w:r>
        <w:rPr>
          <w:bCs/>
          <w:color w:val="000000" w:themeColor="text1"/>
          <w:sz w:val="24"/>
        </w:rPr>
        <w:fldChar w:fldCharType="begin"/>
      </w:r>
      <w:r>
        <w:rPr>
          <w:bCs/>
          <w:color w:val="000000" w:themeColor="text1"/>
          <w:sz w:val="24"/>
        </w:rPr>
        <w:instrText xml:space="preserve"> = 3 \* ROMAN </w:instrText>
      </w:r>
      <w:r>
        <w:rPr>
          <w:bCs/>
          <w:color w:val="000000" w:themeColor="text1"/>
          <w:sz w:val="24"/>
        </w:rPr>
        <w:fldChar w:fldCharType="separate"/>
      </w:r>
      <w:r>
        <w:rPr>
          <w:bCs/>
          <w:color w:val="000000" w:themeColor="text1"/>
          <w:sz w:val="24"/>
        </w:rPr>
        <w:t>III</w:t>
      </w:r>
      <w:r>
        <w:rPr>
          <w:bCs/>
          <w:color w:val="000000" w:themeColor="text1"/>
          <w:sz w:val="24"/>
        </w:rPr>
        <w:fldChar w:fldCharType="end"/>
      </w:r>
      <w:r>
        <w:rPr>
          <w:color w:val="000000"/>
          <w:sz w:val="24"/>
        </w:rPr>
        <w:t>类水质标准要求。</w:t>
      </w:r>
    </w:p>
    <w:p>
      <w:pPr>
        <w:topLinePunct/>
        <w:autoSpaceDE w:val="0"/>
        <w:spacing w:line="500" w:lineRule="exact"/>
        <w:jc w:val="left"/>
        <w:rPr>
          <w:color w:val="000000" w:themeColor="text1"/>
          <w:sz w:val="24"/>
        </w:rPr>
      </w:pPr>
      <w:r>
        <w:rPr>
          <w:rFonts w:hint="eastAsia"/>
          <w:color w:val="000000" w:themeColor="text1"/>
          <w:sz w:val="24"/>
          <w:lang w:val="en-US" w:eastAsia="zh-CN"/>
        </w:rPr>
        <w:t>9</w:t>
      </w:r>
      <w:r>
        <w:rPr>
          <w:color w:val="000000" w:themeColor="text1"/>
          <w:sz w:val="24"/>
        </w:rPr>
        <w:t>.1.3.2 环境空气</w:t>
      </w:r>
    </w:p>
    <w:p>
      <w:pPr>
        <w:topLinePunct/>
        <w:spacing w:line="500" w:lineRule="exact"/>
        <w:ind w:firstLine="480" w:firstLineChars="200"/>
        <w:rPr>
          <w:color w:val="000000" w:themeColor="text1"/>
          <w:sz w:val="24"/>
        </w:rPr>
      </w:pPr>
      <w:r>
        <w:rPr>
          <w:rFonts w:hint="eastAsia"/>
          <w:i w:val="0"/>
          <w:iCs w:val="0"/>
          <w:sz w:val="24"/>
          <w:szCs w:val="24"/>
          <w:u w:val="none"/>
          <w:lang w:val="en-US" w:eastAsia="zh-CN"/>
        </w:rPr>
        <w:t>根据</w:t>
      </w:r>
      <w:r>
        <w:rPr>
          <w:i w:val="0"/>
          <w:iCs w:val="0"/>
          <w:sz w:val="24"/>
          <w:szCs w:val="24"/>
          <w:u w:val="none"/>
        </w:rPr>
        <w:t>驻马店环境保护局发布的《201</w:t>
      </w:r>
      <w:r>
        <w:rPr>
          <w:rFonts w:hint="eastAsia"/>
          <w:i w:val="0"/>
          <w:iCs w:val="0"/>
          <w:sz w:val="24"/>
          <w:szCs w:val="24"/>
          <w:u w:val="none"/>
          <w:lang w:val="en-US" w:eastAsia="zh-CN"/>
        </w:rPr>
        <w:t>8</w:t>
      </w:r>
      <w:r>
        <w:rPr>
          <w:i w:val="0"/>
          <w:iCs w:val="0"/>
          <w:sz w:val="24"/>
          <w:szCs w:val="24"/>
          <w:u w:val="none"/>
        </w:rPr>
        <w:t>年度驻马店市环境</w:t>
      </w:r>
      <w:r>
        <w:rPr>
          <w:rFonts w:hint="eastAsia"/>
          <w:i w:val="0"/>
          <w:iCs w:val="0"/>
          <w:sz w:val="24"/>
          <w:szCs w:val="24"/>
          <w:u w:val="none"/>
        </w:rPr>
        <w:t>影响</w:t>
      </w:r>
      <w:r>
        <w:rPr>
          <w:i w:val="0"/>
          <w:iCs w:val="0"/>
          <w:sz w:val="24"/>
          <w:szCs w:val="24"/>
          <w:u w:val="none"/>
        </w:rPr>
        <w:t>概要》中环境空气质量数据</w:t>
      </w:r>
      <w:r>
        <w:rPr>
          <w:rFonts w:hint="eastAsia"/>
          <w:i w:val="0"/>
          <w:iCs w:val="0"/>
          <w:sz w:val="24"/>
          <w:szCs w:val="24"/>
          <w:u w:val="none"/>
          <w:lang w:eastAsia="zh-CN"/>
        </w:rPr>
        <w:t>，</w:t>
      </w:r>
      <w:r>
        <w:rPr>
          <w:rFonts w:hint="eastAsia"/>
          <w:i w:val="0"/>
          <w:iCs w:val="0"/>
          <w:sz w:val="24"/>
          <w:szCs w:val="24"/>
          <w:u w:val="none"/>
          <w:lang w:val="en-US" w:eastAsia="zh-CN"/>
        </w:rPr>
        <w:t>项目所在区域属于不达标区</w:t>
      </w:r>
      <w:r>
        <w:rPr>
          <w:color w:val="000000" w:themeColor="text1"/>
          <w:sz w:val="24"/>
          <w:szCs w:val="28"/>
        </w:rPr>
        <w:t>；各监测点位NH</w:t>
      </w:r>
      <w:r>
        <w:rPr>
          <w:color w:val="000000" w:themeColor="text1"/>
          <w:sz w:val="24"/>
          <w:szCs w:val="28"/>
          <w:vertAlign w:val="subscript"/>
        </w:rPr>
        <w:t>3</w:t>
      </w:r>
      <w:r>
        <w:rPr>
          <w:color w:val="000000" w:themeColor="text1"/>
          <w:sz w:val="24"/>
          <w:szCs w:val="28"/>
        </w:rPr>
        <w:t>、H</w:t>
      </w:r>
      <w:r>
        <w:rPr>
          <w:color w:val="000000" w:themeColor="text1"/>
          <w:sz w:val="24"/>
          <w:szCs w:val="28"/>
          <w:vertAlign w:val="subscript"/>
        </w:rPr>
        <w:t>2</w:t>
      </w:r>
      <w:r>
        <w:rPr>
          <w:color w:val="000000" w:themeColor="text1"/>
          <w:sz w:val="24"/>
          <w:szCs w:val="28"/>
        </w:rPr>
        <w:t>S均符合</w:t>
      </w:r>
      <w:r>
        <w:rPr>
          <w:rFonts w:hint="eastAsia"/>
          <w:color w:val="000000" w:themeColor="text1"/>
          <w:sz w:val="24"/>
          <w:szCs w:val="28"/>
          <w:lang w:eastAsia="zh-CN"/>
        </w:rPr>
        <w:t>《环境影响评价技术导则 大气环境（HJ2.2-2018）》中附录D</w:t>
      </w:r>
      <w:r>
        <w:rPr>
          <w:color w:val="000000" w:themeColor="text1"/>
          <w:sz w:val="24"/>
          <w:szCs w:val="28"/>
        </w:rPr>
        <w:t>中居住区大气中有害物质的最高允许浓度限值。</w:t>
      </w:r>
    </w:p>
    <w:p>
      <w:pPr>
        <w:tabs>
          <w:tab w:val="right" w:leader="dot" w:pos="8647"/>
        </w:tabs>
        <w:topLinePunct/>
        <w:spacing w:line="500" w:lineRule="exact"/>
        <w:rPr>
          <w:color w:val="000000" w:themeColor="text1"/>
          <w:sz w:val="24"/>
        </w:rPr>
      </w:pPr>
      <w:r>
        <w:rPr>
          <w:rFonts w:hint="eastAsia"/>
          <w:color w:val="000000" w:themeColor="text1"/>
          <w:sz w:val="24"/>
          <w:lang w:val="en-US" w:eastAsia="zh-CN"/>
        </w:rPr>
        <w:t>9</w:t>
      </w:r>
      <w:r>
        <w:rPr>
          <w:color w:val="000000" w:themeColor="text1"/>
          <w:sz w:val="24"/>
        </w:rPr>
        <w:t>.1.3.3 地下水</w:t>
      </w:r>
    </w:p>
    <w:p>
      <w:pPr>
        <w:topLinePunct/>
        <w:spacing w:line="500" w:lineRule="exact"/>
        <w:ind w:firstLine="480" w:firstLineChars="200"/>
        <w:rPr>
          <w:color w:val="000000" w:themeColor="text1"/>
          <w:kern w:val="0"/>
          <w:sz w:val="24"/>
        </w:rPr>
      </w:pPr>
      <w:r>
        <w:rPr>
          <w:color w:val="000000" w:themeColor="text1"/>
          <w:sz w:val="24"/>
          <w:szCs w:val="28"/>
        </w:rPr>
        <w:t>由监测结果可知，</w:t>
      </w:r>
      <w:r>
        <w:rPr>
          <w:bCs/>
          <w:color w:val="000000" w:themeColor="text1"/>
          <w:sz w:val="24"/>
        </w:rPr>
        <w:t>各监测点位监测因子均满足《地下水质量标准》（GB/T 14848-2017）中的</w:t>
      </w:r>
      <w:r>
        <w:rPr>
          <w:bCs/>
          <w:color w:val="000000" w:themeColor="text1"/>
          <w:sz w:val="24"/>
        </w:rPr>
        <w:fldChar w:fldCharType="begin"/>
      </w:r>
      <w:r>
        <w:rPr>
          <w:bCs/>
          <w:color w:val="000000" w:themeColor="text1"/>
          <w:sz w:val="24"/>
        </w:rPr>
        <w:instrText xml:space="preserve"> = 3 \* ROMAN </w:instrText>
      </w:r>
      <w:r>
        <w:rPr>
          <w:bCs/>
          <w:color w:val="000000" w:themeColor="text1"/>
          <w:sz w:val="24"/>
        </w:rPr>
        <w:fldChar w:fldCharType="separate"/>
      </w:r>
      <w:r>
        <w:rPr>
          <w:bCs/>
          <w:color w:val="000000" w:themeColor="text1"/>
          <w:sz w:val="24"/>
        </w:rPr>
        <w:t>III</w:t>
      </w:r>
      <w:r>
        <w:rPr>
          <w:bCs/>
          <w:color w:val="000000" w:themeColor="text1"/>
          <w:sz w:val="24"/>
        </w:rPr>
        <w:fldChar w:fldCharType="end"/>
      </w:r>
      <w:r>
        <w:rPr>
          <w:bCs/>
          <w:color w:val="000000" w:themeColor="text1"/>
          <w:sz w:val="24"/>
        </w:rPr>
        <w:t>类标准</w:t>
      </w:r>
      <w:r>
        <w:rPr>
          <w:bCs/>
          <w:color w:val="000000" w:themeColor="text1"/>
          <w:szCs w:val="28"/>
        </w:rPr>
        <w:t>。</w:t>
      </w:r>
    </w:p>
    <w:p>
      <w:pPr>
        <w:tabs>
          <w:tab w:val="right" w:leader="dot" w:pos="8647"/>
        </w:tabs>
        <w:topLinePunct/>
        <w:spacing w:line="500" w:lineRule="exact"/>
        <w:rPr>
          <w:color w:val="000000" w:themeColor="text1"/>
          <w:sz w:val="24"/>
        </w:rPr>
      </w:pPr>
      <w:r>
        <w:rPr>
          <w:rFonts w:hint="eastAsia"/>
          <w:color w:val="000000" w:themeColor="text1"/>
          <w:sz w:val="24"/>
          <w:lang w:val="en-US" w:eastAsia="zh-CN"/>
        </w:rPr>
        <w:t>9</w:t>
      </w:r>
      <w:r>
        <w:rPr>
          <w:color w:val="000000" w:themeColor="text1"/>
          <w:sz w:val="24"/>
        </w:rPr>
        <w:t>.1.3.4 声环境</w:t>
      </w:r>
    </w:p>
    <w:p>
      <w:pPr>
        <w:tabs>
          <w:tab w:val="right" w:leader="dot" w:pos="8647"/>
        </w:tabs>
        <w:topLinePunct/>
        <w:spacing w:line="500" w:lineRule="exact"/>
        <w:ind w:firstLine="480" w:firstLineChars="200"/>
        <w:rPr>
          <w:color w:val="000000" w:themeColor="text1"/>
          <w:sz w:val="24"/>
        </w:rPr>
      </w:pPr>
      <w:r>
        <w:rPr>
          <w:color w:val="000000" w:themeColor="text1"/>
          <w:sz w:val="24"/>
        </w:rPr>
        <w:t>项目场界昼、夜噪声监测值均可以满足《声环境质量标准》(GB3096-2008)2类标准要求。</w:t>
      </w:r>
    </w:p>
    <w:p>
      <w:pPr>
        <w:tabs>
          <w:tab w:val="right" w:leader="dot" w:pos="8647"/>
        </w:tabs>
        <w:topLinePunct/>
        <w:spacing w:line="500" w:lineRule="exact"/>
        <w:rPr>
          <w:color w:val="000000" w:themeColor="text1"/>
          <w:sz w:val="24"/>
        </w:rPr>
      </w:pPr>
      <w:r>
        <w:rPr>
          <w:rFonts w:hint="eastAsia"/>
          <w:color w:val="000000" w:themeColor="text1"/>
          <w:sz w:val="24"/>
          <w:lang w:val="en-US" w:eastAsia="zh-CN"/>
        </w:rPr>
        <w:t>9</w:t>
      </w:r>
      <w:r>
        <w:rPr>
          <w:color w:val="000000" w:themeColor="text1"/>
          <w:sz w:val="24"/>
        </w:rPr>
        <w:t>.1.3.5 土壤</w:t>
      </w:r>
    </w:p>
    <w:p>
      <w:pPr>
        <w:tabs>
          <w:tab w:val="right" w:leader="dot" w:pos="8647"/>
        </w:tabs>
        <w:topLinePunct/>
        <w:autoSpaceDE w:val="0"/>
        <w:adjustRightInd w:val="0"/>
        <w:spacing w:line="500" w:lineRule="exact"/>
        <w:ind w:firstLine="484" w:firstLineChars="202"/>
        <w:rPr>
          <w:color w:val="000000" w:themeColor="text1"/>
          <w:sz w:val="24"/>
        </w:rPr>
      </w:pPr>
      <w:r>
        <w:rPr>
          <w:color w:val="000000" w:themeColor="text1"/>
          <w:kern w:val="0"/>
          <w:sz w:val="24"/>
        </w:rPr>
        <w:t>项目场区及沼液消纳区土壤各监测因子均能满足</w:t>
      </w:r>
      <w:r>
        <w:rPr>
          <w:sz w:val="24"/>
        </w:rPr>
        <w:t>《土壤环境质量农用地土壤污染风险管控标准》</w:t>
      </w:r>
      <w:r>
        <w:rPr>
          <w:color w:val="000000" w:themeColor="text1"/>
          <w:sz w:val="24"/>
        </w:rPr>
        <w:t>（GB15618-2018）标准要求。</w:t>
      </w:r>
    </w:p>
    <w:p>
      <w:pPr>
        <w:spacing w:line="600" w:lineRule="exact"/>
        <w:outlineLvl w:val="2"/>
        <w:rPr>
          <w:b/>
          <w:color w:val="000000"/>
          <w:sz w:val="24"/>
        </w:rPr>
      </w:pPr>
      <w:r>
        <w:rPr>
          <w:rFonts w:hint="eastAsia"/>
          <w:b/>
          <w:color w:val="000000"/>
          <w:sz w:val="24"/>
          <w:lang w:val="en-US" w:eastAsia="zh-CN"/>
        </w:rPr>
        <w:t>9</w:t>
      </w:r>
      <w:r>
        <w:rPr>
          <w:b/>
          <w:color w:val="000000"/>
          <w:sz w:val="24"/>
        </w:rPr>
        <w:t>.1.4 污染防治措施</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.1.4.1 废气</w:t>
      </w:r>
    </w:p>
    <w:p>
      <w:pPr>
        <w:tabs>
          <w:tab w:val="right" w:leader="dot" w:pos="8647"/>
        </w:tabs>
        <w:topLinePunct/>
        <w:spacing w:line="500" w:lineRule="exact"/>
        <w:ind w:firstLine="480" w:firstLineChars="200"/>
        <w:rPr>
          <w:color w:val="000000"/>
          <w:sz w:val="24"/>
        </w:rPr>
      </w:pPr>
      <w:r>
        <w:rPr>
          <w:color w:val="000000"/>
          <w:sz w:val="24"/>
        </w:rPr>
        <w:t>项目全场产生废气为猪舍、污水处理系统、固粪处置区、沼液储存池等产生的恶臭气体、沼气燃烧废气等。</w:t>
      </w:r>
    </w:p>
    <w:p>
      <w:pPr>
        <w:tabs>
          <w:tab w:val="right" w:leader="dot" w:pos="8647"/>
        </w:tabs>
        <w:topLinePunct/>
        <w:spacing w:line="500" w:lineRule="exact"/>
        <w:ind w:firstLine="480" w:firstLineChars="200"/>
        <w:rPr>
          <w:color w:val="000000"/>
          <w:sz w:val="24"/>
        </w:rPr>
      </w:pPr>
      <w:r>
        <w:rPr>
          <w:color w:val="000000"/>
          <w:sz w:val="24"/>
        </w:rPr>
        <w:t>废气根据不同产生单元，采取相应的处理方式，</w:t>
      </w:r>
      <w:r>
        <w:rPr>
          <w:rFonts w:hint="eastAsia" w:ascii="宋体" w:hAnsi="宋体" w:cs="宋体"/>
          <w:color w:val="000000"/>
          <w:sz w:val="24"/>
        </w:rPr>
        <w:t>①</w:t>
      </w:r>
      <w:r>
        <w:rPr>
          <w:color w:val="000000"/>
          <w:sz w:val="24"/>
        </w:rPr>
        <w:t>猪舍：猪舍定期冲洗、喷洒除臭剂，饲料添加除臭剂；</w:t>
      </w:r>
      <w:r>
        <w:rPr>
          <w:rFonts w:hint="eastAsia" w:ascii="宋体" w:hAnsi="宋体" w:cs="宋体"/>
          <w:color w:val="000000"/>
          <w:sz w:val="24"/>
        </w:rPr>
        <w:t>②</w:t>
      </w:r>
      <w:r>
        <w:rPr>
          <w:color w:val="000000"/>
          <w:sz w:val="24"/>
        </w:rPr>
        <w:t>污水处理系统、粪污处理过程喷洒除臭剂：</w:t>
      </w:r>
      <w:r>
        <w:rPr>
          <w:rFonts w:hint="eastAsia" w:ascii="宋体" w:hAnsi="宋体" w:cs="宋体"/>
          <w:color w:val="000000"/>
          <w:sz w:val="24"/>
        </w:rPr>
        <w:t>③</w:t>
      </w:r>
      <w:r>
        <w:rPr>
          <w:color w:val="000000"/>
          <w:sz w:val="24"/>
        </w:rPr>
        <w:t>臭气产生单元周围加强绿化工作。</w:t>
      </w:r>
    </w:p>
    <w:p>
      <w:pPr>
        <w:tabs>
          <w:tab w:val="right" w:leader="dot" w:pos="8647"/>
        </w:tabs>
        <w:topLinePunct/>
        <w:spacing w:line="500" w:lineRule="exact"/>
        <w:ind w:firstLine="480" w:firstLineChars="200"/>
        <w:rPr>
          <w:color w:val="000000"/>
          <w:sz w:val="24"/>
        </w:rPr>
      </w:pPr>
      <w:r>
        <w:rPr>
          <w:color w:val="000000"/>
          <w:sz w:val="24"/>
        </w:rPr>
        <w:t>通过各项防护措施后，经预测场界废气均能达标排放，场区周围各敏感目标处可满足</w:t>
      </w:r>
      <w:r>
        <w:rPr>
          <w:rFonts w:hint="eastAsia"/>
          <w:color w:val="000000"/>
          <w:sz w:val="24"/>
          <w:lang w:eastAsia="zh-CN"/>
        </w:rPr>
        <w:t>《环境影响评价技术导则 大气环境（HJ2.2-2018）》中附录D</w:t>
      </w:r>
      <w:r>
        <w:rPr>
          <w:color w:val="000000"/>
          <w:sz w:val="24"/>
        </w:rPr>
        <w:t>中的表1居住区大气中有害物质的最高容许浓度要求，废气在对周围环境的影响较小。</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.1.4.2 废水</w:t>
      </w:r>
    </w:p>
    <w:p>
      <w:pPr>
        <w:tabs>
          <w:tab w:val="right" w:leader="dot" w:pos="8647"/>
        </w:tabs>
        <w:topLinePunct/>
        <w:adjustRightInd w:val="0"/>
        <w:snapToGrid w:val="0"/>
        <w:spacing w:line="500" w:lineRule="exact"/>
        <w:ind w:firstLine="480" w:firstLineChars="200"/>
        <w:rPr>
          <w:color w:val="000000"/>
          <w:sz w:val="24"/>
        </w:rPr>
      </w:pPr>
      <w:r>
        <w:rPr>
          <w:color w:val="000000"/>
          <w:sz w:val="24"/>
        </w:rPr>
        <w:t>项目废水主要为养殖废水、生活污水。</w:t>
      </w:r>
      <w:r>
        <w:rPr>
          <w:bCs/>
          <w:color w:val="000000"/>
          <w:sz w:val="24"/>
        </w:rPr>
        <w:t>全场废水总量为</w:t>
      </w:r>
      <w:r>
        <w:rPr>
          <w:rFonts w:hint="eastAsia"/>
          <w:bCs/>
          <w:color w:val="000000"/>
          <w:sz w:val="24"/>
          <w:lang w:val="en-US" w:eastAsia="zh-CN"/>
        </w:rPr>
        <w:t>9024.49</w:t>
      </w:r>
      <w:r>
        <w:rPr>
          <w:bCs/>
          <w:color w:val="000000"/>
          <w:sz w:val="24"/>
        </w:rPr>
        <w:t>m</w:t>
      </w:r>
      <w:r>
        <w:rPr>
          <w:bCs/>
          <w:color w:val="000000"/>
          <w:sz w:val="24"/>
          <w:vertAlign w:val="superscript"/>
        </w:rPr>
        <w:t>3</w:t>
      </w:r>
      <w:r>
        <w:rPr>
          <w:bCs/>
          <w:color w:val="000000"/>
          <w:sz w:val="24"/>
        </w:rPr>
        <w:t>/a。全场废水经污水处理系统处理后做农肥。</w:t>
      </w:r>
    </w:p>
    <w:p>
      <w:pPr>
        <w:tabs>
          <w:tab w:val="right" w:leader="dot" w:pos="8647"/>
        </w:tabs>
        <w:topLinePunct/>
        <w:spacing w:line="500" w:lineRule="exact"/>
        <w:ind w:firstLine="360" w:firstLineChars="150"/>
        <w:rPr>
          <w:color w:val="000000"/>
          <w:sz w:val="24"/>
        </w:rPr>
      </w:pPr>
      <w:r>
        <w:rPr>
          <w:color w:val="000000"/>
          <w:sz w:val="24"/>
        </w:rPr>
        <w:t>经上述措施处理后，废水实现资源化利用不排入地表水体，措施可行。</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.1.4.3 噪声</w:t>
      </w:r>
    </w:p>
    <w:p>
      <w:pPr>
        <w:tabs>
          <w:tab w:val="right" w:leader="dot" w:pos="8647"/>
        </w:tabs>
        <w:topLinePunct/>
        <w:spacing w:line="500" w:lineRule="exact"/>
        <w:ind w:firstLine="480"/>
        <w:rPr>
          <w:color w:val="000000"/>
          <w:sz w:val="24"/>
        </w:rPr>
      </w:pPr>
      <w:r>
        <w:rPr>
          <w:bCs/>
          <w:color w:val="000000"/>
          <w:sz w:val="24"/>
        </w:rPr>
        <w:t>全场噪声主要为猪叫声、猪舍降温配套负压风机、粪污处理设施等设备运行时产生的噪声，根据类比调查，其源强为70～85dB(A)。</w:t>
      </w:r>
      <w:r>
        <w:rPr>
          <w:color w:val="000000"/>
          <w:sz w:val="24"/>
        </w:rPr>
        <w:t>在采取相应的隔声减振措施后，全场噪声能够达标排放，措施可行。</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.1.4.4 固体废物</w:t>
      </w:r>
    </w:p>
    <w:p>
      <w:pPr>
        <w:tabs>
          <w:tab w:val="right" w:leader="dot" w:pos="8647"/>
        </w:tabs>
        <w:topLinePunct/>
        <w:spacing w:line="500" w:lineRule="exact"/>
        <w:ind w:firstLine="480" w:firstLineChars="200"/>
        <w:rPr>
          <w:color w:val="000000"/>
          <w:sz w:val="24"/>
        </w:rPr>
      </w:pPr>
      <w:r>
        <w:rPr>
          <w:color w:val="000000"/>
          <w:sz w:val="24"/>
        </w:rPr>
        <w:t>全场猪粪在场区内固粪处理区进行发酵，制成有机肥基肥直接出售。沼渣晾晒后作为有机肥基肥外售。病死猪尸</w:t>
      </w:r>
      <w:r>
        <w:rPr>
          <w:rFonts w:hint="eastAsia"/>
          <w:color w:val="000000"/>
          <w:sz w:val="24"/>
          <w:lang w:val="en-US" w:eastAsia="zh-CN"/>
        </w:rPr>
        <w:t>委托正阳县畜禽</w:t>
      </w:r>
      <w:r>
        <w:rPr>
          <w:color w:val="000000"/>
          <w:sz w:val="24"/>
        </w:rPr>
        <w:t>无害化处理中</w:t>
      </w:r>
      <w:r>
        <w:rPr>
          <w:szCs w:val="21"/>
        </w:rPr>
        <w:t>心</w:t>
      </w:r>
      <w:r>
        <w:rPr>
          <w:color w:val="000000"/>
          <w:sz w:val="24"/>
        </w:rPr>
        <w:t>处理；医疗废物</w:t>
      </w:r>
      <w:r>
        <w:rPr>
          <w:rFonts w:hint="eastAsia"/>
          <w:color w:val="000000"/>
          <w:sz w:val="24"/>
          <w:lang w:val="en-US" w:eastAsia="zh-CN"/>
        </w:rPr>
        <w:t>委托有资质单位</w:t>
      </w:r>
      <w:r>
        <w:rPr>
          <w:color w:val="000000"/>
          <w:sz w:val="24"/>
        </w:rPr>
        <w:t>处置；废脱硫剂由生产厂家统一回收处置；生活垃圾外运至垃圾处理场进行处理。</w:t>
      </w:r>
    </w:p>
    <w:p>
      <w:pPr>
        <w:spacing w:line="600" w:lineRule="exact"/>
        <w:outlineLvl w:val="2"/>
        <w:rPr>
          <w:b/>
          <w:color w:val="000000"/>
          <w:sz w:val="24"/>
        </w:rPr>
      </w:pPr>
      <w:r>
        <w:rPr>
          <w:rFonts w:hint="eastAsia"/>
          <w:b/>
          <w:color w:val="000000"/>
          <w:sz w:val="24"/>
          <w:lang w:val="en-US" w:eastAsia="zh-CN"/>
        </w:rPr>
        <w:t>9</w:t>
      </w:r>
      <w:r>
        <w:rPr>
          <w:b/>
          <w:color w:val="000000"/>
          <w:sz w:val="24"/>
        </w:rPr>
        <w:t>.1.5 环境影响预测与评价</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.1.5.1地表水</w:t>
      </w:r>
    </w:p>
    <w:p>
      <w:pPr>
        <w:tabs>
          <w:tab w:val="right" w:leader="dot" w:pos="8647"/>
        </w:tabs>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正常工况</w:t>
      </w:r>
    </w:p>
    <w:p>
      <w:pPr>
        <w:tabs>
          <w:tab w:val="right" w:leader="dot" w:pos="8647"/>
        </w:tabs>
        <w:topLinePunct/>
        <w:adjustRightInd w:val="0"/>
        <w:snapToGrid w:val="0"/>
        <w:spacing w:line="500" w:lineRule="exact"/>
        <w:ind w:left="47" w:firstLine="480" w:firstLineChars="200"/>
        <w:rPr>
          <w:color w:val="000000"/>
          <w:sz w:val="24"/>
        </w:rPr>
      </w:pPr>
      <w:r>
        <w:rPr>
          <w:color w:val="000000"/>
          <w:sz w:val="24"/>
        </w:rPr>
        <w:t>由工程分析可知，项目全场废水属高浓度有机废水，经场区内污水处理站厌氧处理后，沼液作为农肥施于配套农田，因此项目废水对地表水无影响。</w:t>
      </w:r>
    </w:p>
    <w:p>
      <w:pPr>
        <w:tabs>
          <w:tab w:val="right" w:leader="dot" w:pos="8647"/>
        </w:tabs>
        <w:topLinePunct/>
        <w:adjustRightInd w:val="0"/>
        <w:snapToGrid w:val="0"/>
        <w:spacing w:line="500" w:lineRule="exact"/>
        <w:ind w:firstLine="480" w:firstLineChars="200"/>
        <w:rPr>
          <w:color w:val="000000"/>
          <w:sz w:val="24"/>
        </w:rPr>
      </w:pPr>
      <w:r>
        <w:rPr>
          <w:rFonts w:hint="eastAsia" w:ascii="宋体" w:hAnsi="宋体" w:cs="宋体"/>
          <w:color w:val="000000"/>
          <w:sz w:val="24"/>
        </w:rPr>
        <w:t>②</w:t>
      </w:r>
      <w:r>
        <w:rPr>
          <w:color w:val="000000"/>
          <w:sz w:val="24"/>
        </w:rPr>
        <w:t>雨季及非施肥期</w:t>
      </w:r>
    </w:p>
    <w:p>
      <w:pPr>
        <w:tabs>
          <w:tab w:val="right" w:leader="dot" w:pos="8647"/>
        </w:tabs>
        <w:topLinePunct/>
        <w:adjustRightInd w:val="0"/>
        <w:snapToGrid w:val="0"/>
        <w:spacing w:line="500" w:lineRule="exact"/>
        <w:ind w:firstLine="480"/>
        <w:rPr>
          <w:color w:val="000000"/>
          <w:sz w:val="24"/>
        </w:rPr>
      </w:pPr>
      <w:r>
        <w:rPr>
          <w:color w:val="000000"/>
          <w:sz w:val="24"/>
        </w:rPr>
        <w:t>项目采取雨污分流，雨季及非施肥期沼液由</w:t>
      </w:r>
      <w:r>
        <w:rPr>
          <w:bCs/>
          <w:color w:val="000000"/>
          <w:sz w:val="24"/>
        </w:rPr>
        <w:t>沼液储存池</w:t>
      </w:r>
      <w:r>
        <w:rPr>
          <w:color w:val="000000"/>
          <w:sz w:val="24"/>
        </w:rPr>
        <w:t>暂存。</w:t>
      </w:r>
    </w:p>
    <w:p>
      <w:pPr>
        <w:tabs>
          <w:tab w:val="right" w:leader="dot" w:pos="8647"/>
        </w:tabs>
        <w:topLinePunct/>
        <w:spacing w:line="500" w:lineRule="exact"/>
        <w:rPr>
          <w:color w:val="000000"/>
          <w:sz w:val="24"/>
        </w:rPr>
      </w:pPr>
      <w:r>
        <w:rPr>
          <w:rFonts w:hint="eastAsia"/>
          <w:color w:val="000000"/>
          <w:sz w:val="24"/>
          <w:lang w:val="en-US" w:eastAsia="zh-CN"/>
        </w:rPr>
        <w:t>9</w:t>
      </w:r>
      <w:r>
        <w:rPr>
          <w:color w:val="000000"/>
          <w:sz w:val="24"/>
        </w:rPr>
        <w:t>.1.5.2环境空气</w:t>
      </w:r>
    </w:p>
    <w:p>
      <w:pPr>
        <w:tabs>
          <w:tab w:val="right" w:leader="dot" w:pos="8647"/>
        </w:tabs>
        <w:topLinePunct/>
        <w:spacing w:line="500" w:lineRule="exact"/>
        <w:ind w:firstLine="484" w:firstLineChars="202"/>
        <w:rPr>
          <w:color w:val="000000"/>
          <w:sz w:val="24"/>
        </w:rPr>
      </w:pPr>
      <w:r>
        <w:rPr>
          <w:rFonts w:hint="eastAsia" w:ascii="宋体" w:hAnsi="宋体" w:cs="宋体"/>
          <w:color w:val="000000"/>
          <w:sz w:val="24"/>
        </w:rPr>
        <w:t>①</w:t>
      </w:r>
      <w:r>
        <w:rPr>
          <w:color w:val="000000"/>
          <w:sz w:val="24"/>
        </w:rPr>
        <w:t>项目实施后，工程排放的SO</w:t>
      </w:r>
      <w:r>
        <w:rPr>
          <w:color w:val="000000"/>
          <w:sz w:val="24"/>
          <w:vertAlign w:val="subscript"/>
        </w:rPr>
        <w:t>2</w:t>
      </w:r>
      <w:r>
        <w:rPr>
          <w:color w:val="000000"/>
          <w:sz w:val="24"/>
        </w:rPr>
        <w:t>、NO</w:t>
      </w:r>
      <w:r>
        <w:rPr>
          <w:color w:val="000000"/>
          <w:sz w:val="24"/>
          <w:vertAlign w:val="subscript"/>
        </w:rPr>
        <w:t>2</w:t>
      </w:r>
      <w:r>
        <w:rPr>
          <w:color w:val="000000"/>
          <w:sz w:val="24"/>
        </w:rPr>
        <w:t>在各关心点处的污染物浓度均能满足《环境空气质量标准》（GB3095-2012）</w:t>
      </w:r>
      <w:r>
        <w:rPr>
          <w:bCs/>
          <w:color w:val="000000"/>
          <w:sz w:val="24"/>
          <w:szCs w:val="22"/>
        </w:rPr>
        <w:t>二级标准</w:t>
      </w:r>
      <w:r>
        <w:rPr>
          <w:color w:val="000000"/>
          <w:sz w:val="24"/>
        </w:rPr>
        <w:t>。采取脱臭措施后排放的H</w:t>
      </w:r>
      <w:r>
        <w:rPr>
          <w:color w:val="000000"/>
          <w:sz w:val="24"/>
          <w:vertAlign w:val="subscript"/>
        </w:rPr>
        <w:t>2</w:t>
      </w:r>
      <w:r>
        <w:rPr>
          <w:color w:val="000000"/>
          <w:sz w:val="24"/>
        </w:rPr>
        <w:t>S、NH</w:t>
      </w:r>
      <w:r>
        <w:rPr>
          <w:color w:val="000000"/>
          <w:sz w:val="24"/>
          <w:vertAlign w:val="subscript"/>
        </w:rPr>
        <w:t>3</w:t>
      </w:r>
      <w:r>
        <w:rPr>
          <w:color w:val="000000"/>
          <w:sz w:val="24"/>
        </w:rPr>
        <w:t>在各敏感点处的污染物浓度均能满足</w:t>
      </w:r>
      <w:r>
        <w:rPr>
          <w:rFonts w:hint="eastAsia"/>
          <w:color w:val="000000"/>
          <w:sz w:val="24"/>
          <w:lang w:eastAsia="zh-CN"/>
        </w:rPr>
        <w:t>《环境影响评价技术导则 大气环境（HJ2.2-2018）》中附录D</w:t>
      </w:r>
      <w:r>
        <w:rPr>
          <w:color w:val="000000"/>
          <w:sz w:val="24"/>
        </w:rPr>
        <w:t>中居住区大气中有害物质的最高允许浓度限值；</w:t>
      </w:r>
    </w:p>
    <w:p>
      <w:pPr>
        <w:tabs>
          <w:tab w:val="right" w:leader="dot" w:pos="8647"/>
        </w:tabs>
        <w:topLinePunct/>
        <w:spacing w:line="500" w:lineRule="exact"/>
        <w:ind w:firstLine="480"/>
        <w:rPr>
          <w:color w:val="000000"/>
          <w:sz w:val="24"/>
        </w:rPr>
      </w:pPr>
      <w:r>
        <w:rPr>
          <w:rFonts w:hint="eastAsia" w:ascii="宋体" w:hAnsi="宋体" w:cs="宋体"/>
          <w:color w:val="000000"/>
          <w:sz w:val="24"/>
        </w:rPr>
        <w:t>②</w:t>
      </w:r>
      <w:r>
        <w:rPr>
          <w:color w:val="000000"/>
          <w:sz w:val="24"/>
        </w:rPr>
        <w:t>经计算，本项目卫生防护距离均为100m。根据场区平面布置，确定本项目厂界卫生防护距离范围为：</w:t>
      </w:r>
      <w:r>
        <w:rPr>
          <w:bCs/>
          <w:color w:val="000000"/>
          <w:sz w:val="24"/>
          <w:szCs w:val="22"/>
        </w:rPr>
        <w:t>东场界100m、南场界100m、西场界100m、北场界100m。</w:t>
      </w:r>
    </w:p>
    <w:p>
      <w:pPr>
        <w:tabs>
          <w:tab w:val="right" w:leader="dot" w:pos="8647"/>
        </w:tabs>
        <w:topLinePunct/>
        <w:spacing w:line="500" w:lineRule="exact"/>
        <w:ind w:firstLine="484" w:firstLineChars="202"/>
        <w:rPr>
          <w:color w:val="000000"/>
          <w:sz w:val="24"/>
        </w:rPr>
      </w:pPr>
      <w:r>
        <w:rPr>
          <w:rFonts w:hint="eastAsia" w:ascii="宋体" w:hAnsi="宋体" w:cs="宋体"/>
          <w:color w:val="000000"/>
          <w:sz w:val="24"/>
        </w:rPr>
        <w:t>③</w:t>
      </w:r>
      <w:r>
        <w:rPr>
          <w:color w:val="000000"/>
          <w:sz w:val="24"/>
        </w:rPr>
        <w:t>卫生防护距离内无敏感点存在，满足项目防护距离的条件下，评价认为项目无组织废气的排放对环境的影响可以接受。</w:t>
      </w:r>
    </w:p>
    <w:p>
      <w:pPr>
        <w:tabs>
          <w:tab w:val="right" w:leader="dot" w:pos="8647"/>
        </w:tabs>
        <w:topLinePunct/>
        <w:spacing w:line="520" w:lineRule="exact"/>
        <w:rPr>
          <w:color w:val="000000"/>
          <w:sz w:val="24"/>
        </w:rPr>
      </w:pPr>
      <w:r>
        <w:rPr>
          <w:rFonts w:hint="eastAsia"/>
          <w:color w:val="000000"/>
          <w:sz w:val="24"/>
          <w:lang w:val="en-US" w:eastAsia="zh-CN"/>
        </w:rPr>
        <w:t>9</w:t>
      </w:r>
      <w:r>
        <w:rPr>
          <w:color w:val="000000"/>
          <w:sz w:val="24"/>
        </w:rPr>
        <w:t>.1.5.3噪声</w:t>
      </w:r>
    </w:p>
    <w:p>
      <w:pPr>
        <w:tabs>
          <w:tab w:val="right" w:leader="dot" w:pos="8647"/>
        </w:tabs>
        <w:topLinePunct/>
        <w:spacing w:line="500" w:lineRule="exact"/>
        <w:ind w:firstLine="480" w:firstLineChars="200"/>
        <w:rPr>
          <w:color w:val="000000"/>
          <w:sz w:val="24"/>
        </w:rPr>
      </w:pPr>
      <w:r>
        <w:rPr>
          <w:color w:val="000000"/>
          <w:sz w:val="24"/>
        </w:rPr>
        <w:t xml:space="preserve">建设项目实施后，通过对主要高噪声源采取隔声、减振、厂房屏蔽等降噪措施后，全场各厂界噪声可满足《工业企业厂界噪声排放标准》（GB12348-2008） </w:t>
      </w:r>
      <w:r>
        <w:rPr>
          <w:color w:val="000000"/>
          <w:kern w:val="0"/>
          <w:sz w:val="24"/>
        </w:rPr>
        <w:t>2</w:t>
      </w:r>
      <w:r>
        <w:rPr>
          <w:color w:val="000000"/>
          <w:sz w:val="24"/>
        </w:rPr>
        <w:t>类标准要求。</w:t>
      </w:r>
    </w:p>
    <w:p>
      <w:pPr>
        <w:tabs>
          <w:tab w:val="right" w:leader="dot" w:pos="8647"/>
        </w:tabs>
        <w:topLinePunct/>
        <w:spacing w:line="520" w:lineRule="exact"/>
        <w:rPr>
          <w:color w:val="000000"/>
          <w:sz w:val="24"/>
        </w:rPr>
      </w:pPr>
      <w:r>
        <w:rPr>
          <w:rFonts w:hint="eastAsia"/>
          <w:color w:val="000000"/>
          <w:sz w:val="24"/>
          <w:lang w:val="en-US" w:eastAsia="zh-CN"/>
        </w:rPr>
        <w:t>9</w:t>
      </w:r>
      <w:r>
        <w:rPr>
          <w:color w:val="000000"/>
          <w:sz w:val="24"/>
        </w:rPr>
        <w:t>.1.5.4固体废物</w:t>
      </w:r>
    </w:p>
    <w:p>
      <w:pPr>
        <w:tabs>
          <w:tab w:val="right" w:leader="dot" w:pos="8647"/>
        </w:tabs>
        <w:topLinePunct/>
        <w:spacing w:line="520" w:lineRule="exact"/>
        <w:ind w:firstLine="480" w:firstLineChars="200"/>
        <w:rPr>
          <w:color w:val="000000"/>
          <w:sz w:val="24"/>
        </w:rPr>
      </w:pPr>
      <w:r>
        <w:rPr>
          <w:color w:val="000000"/>
          <w:sz w:val="24"/>
        </w:rPr>
        <w:t>项目全场产生的固体废物均得到合理处理、处置，不会对周围环境造成二次污染。</w:t>
      </w:r>
    </w:p>
    <w:p>
      <w:pPr>
        <w:spacing w:line="600" w:lineRule="exact"/>
        <w:outlineLvl w:val="2"/>
        <w:rPr>
          <w:b/>
          <w:color w:val="000000"/>
          <w:sz w:val="24"/>
        </w:rPr>
      </w:pPr>
      <w:r>
        <w:rPr>
          <w:rFonts w:hint="eastAsia"/>
          <w:b/>
          <w:color w:val="000000"/>
          <w:sz w:val="24"/>
          <w:lang w:val="en-US" w:eastAsia="zh-CN"/>
        </w:rPr>
        <w:t>9</w:t>
      </w:r>
      <w:r>
        <w:rPr>
          <w:b/>
          <w:color w:val="000000"/>
          <w:sz w:val="24"/>
        </w:rPr>
        <w:t>.1.6场址选择及场区平面布置合理性分析</w:t>
      </w:r>
    </w:p>
    <w:p>
      <w:pPr>
        <w:tabs>
          <w:tab w:val="right" w:leader="dot" w:pos="8647"/>
        </w:tabs>
        <w:topLinePunct/>
        <w:spacing w:line="500" w:lineRule="exact"/>
        <w:ind w:firstLine="480" w:firstLineChars="200"/>
        <w:rPr>
          <w:color w:val="000000"/>
          <w:sz w:val="24"/>
        </w:rPr>
      </w:pPr>
      <w:r>
        <w:rPr>
          <w:color w:val="000000"/>
          <w:sz w:val="24"/>
        </w:rPr>
        <w:t>项目选择符合</w:t>
      </w:r>
      <w:r>
        <w:rPr>
          <w:rFonts w:hint="eastAsia"/>
          <w:color w:val="000000"/>
          <w:sz w:val="24"/>
          <w:lang w:eastAsia="zh-CN"/>
        </w:rPr>
        <w:t>正阳县</w:t>
      </w:r>
      <w:r>
        <w:rPr>
          <w:color w:val="000000"/>
          <w:sz w:val="24"/>
        </w:rPr>
        <w:t>城市总体规划和畜禽养殖规划选址要求，该场址具有较好的区位优势，场区平面布置比较合理，评价综合分析后认为，从环保角度考虑，本工程在该场址建设可行。</w:t>
      </w:r>
    </w:p>
    <w:p>
      <w:pPr>
        <w:tabs>
          <w:tab w:val="right" w:leader="dot" w:pos="8647"/>
        </w:tabs>
        <w:topLinePunct/>
        <w:spacing w:line="500" w:lineRule="exact"/>
        <w:rPr>
          <w:color w:val="000000"/>
          <w:sz w:val="24"/>
        </w:rPr>
      </w:pPr>
      <w:r>
        <w:rPr>
          <w:color w:val="000000"/>
          <w:sz w:val="24"/>
        </w:rPr>
        <w:t xml:space="preserve">    工程总图布置工艺流程顺畅、物流简洁合理、运输短捷，交通运输布局组织合理、功能分区明确，充分考虑工艺流程衔接，布置紧凑，符合国家卫生、安全规定及有关设计规范，符合有关环保要求。评价认为本工程总图布置较为合理。</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.1.7公众参与</w:t>
      </w:r>
    </w:p>
    <w:p>
      <w:pPr>
        <w:adjustRightInd w:val="0"/>
        <w:snapToGrid w:val="0"/>
        <w:spacing w:line="500" w:lineRule="exact"/>
        <w:ind w:firstLine="480" w:firstLineChars="200"/>
        <w:rPr>
          <w:color w:val="000000"/>
          <w:sz w:val="24"/>
        </w:rPr>
      </w:pPr>
      <w:r>
        <w:rPr>
          <w:rFonts w:hint="eastAsia"/>
          <w:color w:val="000000"/>
          <w:sz w:val="24"/>
        </w:rPr>
        <w:t>本项目于2</w:t>
      </w:r>
      <w:r>
        <w:rPr>
          <w:color w:val="000000"/>
          <w:sz w:val="24"/>
        </w:rPr>
        <w:t>0</w:t>
      </w:r>
      <w:r>
        <w:rPr>
          <w:rFonts w:hint="eastAsia"/>
          <w:color w:val="000000"/>
          <w:sz w:val="24"/>
          <w:lang w:val="en-US" w:eastAsia="zh-CN"/>
        </w:rPr>
        <w:t>20</w:t>
      </w:r>
      <w:r>
        <w:rPr>
          <w:rFonts w:hint="eastAsia"/>
          <w:color w:val="000000"/>
          <w:sz w:val="24"/>
        </w:rPr>
        <w:t>年</w:t>
      </w:r>
      <w:r>
        <w:rPr>
          <w:rFonts w:hint="eastAsia"/>
          <w:color w:val="000000"/>
          <w:sz w:val="24"/>
          <w:lang w:val="en-US" w:eastAsia="zh-CN"/>
        </w:rPr>
        <w:t>4</w:t>
      </w:r>
      <w:r>
        <w:rPr>
          <w:rFonts w:hint="eastAsia"/>
          <w:color w:val="000000"/>
          <w:sz w:val="24"/>
        </w:rPr>
        <w:t>月</w:t>
      </w:r>
      <w:r>
        <w:rPr>
          <w:rFonts w:hint="eastAsia"/>
          <w:color w:val="000000"/>
          <w:sz w:val="24"/>
          <w:lang w:val="en-US" w:eastAsia="zh-CN"/>
        </w:rPr>
        <w:t>24</w:t>
      </w:r>
      <w:r>
        <w:rPr>
          <w:rFonts w:hint="eastAsia"/>
          <w:color w:val="000000"/>
          <w:sz w:val="24"/>
        </w:rPr>
        <w:t>日在环评爱好者网站开展了第一次公众参与公示，于2</w:t>
      </w:r>
      <w:r>
        <w:rPr>
          <w:color w:val="000000"/>
          <w:sz w:val="24"/>
        </w:rPr>
        <w:t>0</w:t>
      </w:r>
      <w:r>
        <w:rPr>
          <w:rFonts w:hint="eastAsia"/>
          <w:color w:val="000000"/>
          <w:sz w:val="24"/>
          <w:lang w:val="en-US" w:eastAsia="zh-CN"/>
        </w:rPr>
        <w:t>20</w:t>
      </w:r>
      <w:r>
        <w:rPr>
          <w:rFonts w:hint="eastAsia"/>
          <w:color w:val="000000"/>
          <w:sz w:val="24"/>
        </w:rPr>
        <w:t>年</w:t>
      </w:r>
      <w:r>
        <w:rPr>
          <w:rFonts w:hint="eastAsia"/>
          <w:color w:val="000000"/>
          <w:sz w:val="24"/>
          <w:lang w:val="en-US" w:eastAsia="zh-CN"/>
        </w:rPr>
        <w:t>5</w:t>
      </w:r>
      <w:r>
        <w:rPr>
          <w:rFonts w:hint="eastAsia"/>
          <w:color w:val="000000"/>
          <w:sz w:val="24"/>
        </w:rPr>
        <w:t>月</w:t>
      </w:r>
      <w:r>
        <w:rPr>
          <w:rFonts w:hint="eastAsia"/>
          <w:color w:val="000000"/>
          <w:sz w:val="24"/>
          <w:lang w:val="en-US" w:eastAsia="zh-CN"/>
        </w:rPr>
        <w:t>8</w:t>
      </w:r>
      <w:r>
        <w:rPr>
          <w:rFonts w:hint="eastAsia"/>
          <w:color w:val="000000"/>
          <w:sz w:val="24"/>
        </w:rPr>
        <w:t>日，在环评爱好者网站开展了第二次公众参与公示，公示期间未收到公参反对意见。同时项目在厂址周边村庄开展了公众参与调查，根据公众参与调查结果，本项目的建设得到了所在区域的公众的大力支持，公众普遍关注项目建设不要影响到区域环境质量的问题，根据公众的建议，评价单位建议本项目建设要严格落实环评中提出的各项环保措施，加强环境管理，将项目建设对周围环境的不利影响降低到最低，建设单位承诺严格按照环评中的要求进行项目建设，最终实现项目的社会效益、经济效益和环境效益的协调发展</w:t>
      </w:r>
      <w:r>
        <w:rPr>
          <w:color w:val="000000"/>
          <w:sz w:val="24"/>
        </w:rPr>
        <w:t>。</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.1.8总量控制</w:t>
      </w:r>
    </w:p>
    <w:p>
      <w:pPr>
        <w:tabs>
          <w:tab w:val="right" w:leader="dot" w:pos="8647"/>
        </w:tabs>
        <w:topLinePunct/>
        <w:adjustRightInd w:val="0"/>
        <w:snapToGrid w:val="0"/>
        <w:spacing w:line="500" w:lineRule="exact"/>
        <w:ind w:firstLine="480" w:firstLineChars="200"/>
        <w:rPr>
          <w:color w:val="000000"/>
          <w:sz w:val="24"/>
        </w:rPr>
      </w:pPr>
      <w:r>
        <w:rPr>
          <w:bCs/>
          <w:color w:val="000000"/>
          <w:sz w:val="24"/>
          <w:szCs w:val="22"/>
        </w:rPr>
        <w:t>全场</w:t>
      </w:r>
      <w:r>
        <w:rPr>
          <w:color w:val="000000"/>
          <w:sz w:val="24"/>
        </w:rPr>
        <w:t>总量控制指标为SO</w:t>
      </w:r>
      <w:r>
        <w:rPr>
          <w:color w:val="000000"/>
          <w:sz w:val="24"/>
          <w:vertAlign w:val="subscript"/>
        </w:rPr>
        <w:t>2</w:t>
      </w:r>
      <w:r>
        <w:rPr>
          <w:color w:val="000000"/>
          <w:sz w:val="24"/>
        </w:rPr>
        <w:t>：</w:t>
      </w:r>
      <w:r>
        <w:rPr>
          <w:sz w:val="24"/>
        </w:rPr>
        <w:t>0.00</w:t>
      </w:r>
      <w:r>
        <w:rPr>
          <w:rFonts w:hint="eastAsia"/>
          <w:sz w:val="24"/>
          <w:lang w:val="en-US" w:eastAsia="zh-CN"/>
        </w:rPr>
        <w:t>07</w:t>
      </w:r>
      <w:r>
        <w:rPr>
          <w:color w:val="000000"/>
          <w:sz w:val="24"/>
        </w:rPr>
        <w:t>t/a、NOx：</w:t>
      </w:r>
      <w:r>
        <w:rPr>
          <w:sz w:val="24"/>
        </w:rPr>
        <w:t>0.0</w:t>
      </w:r>
      <w:r>
        <w:rPr>
          <w:rFonts w:hint="eastAsia"/>
          <w:sz w:val="24"/>
          <w:lang w:val="en-US" w:eastAsia="zh-CN"/>
        </w:rPr>
        <w:t>26</w:t>
      </w:r>
      <w:r>
        <w:rPr>
          <w:color w:val="000000"/>
          <w:sz w:val="24"/>
        </w:rPr>
        <w:t>t/a。</w:t>
      </w:r>
    </w:p>
    <w:p>
      <w:pPr>
        <w:pStyle w:val="5"/>
        <w:spacing w:before="156" w:after="156"/>
        <w:rPr>
          <w:rFonts w:hAnsi="Times New Roman"/>
          <w:color w:val="000000"/>
        </w:rPr>
      </w:pPr>
      <w:bookmarkStart w:id="327" w:name="_Toc488572592"/>
      <w:bookmarkStart w:id="328" w:name="_Toc20582"/>
      <w:r>
        <w:rPr>
          <w:rFonts w:hint="eastAsia" w:hAnsi="Times New Roman"/>
          <w:color w:val="000000"/>
          <w:lang w:val="en-US" w:eastAsia="zh-CN"/>
        </w:rPr>
        <w:t>9</w:t>
      </w:r>
      <w:r>
        <w:rPr>
          <w:rFonts w:hAnsi="Times New Roman"/>
          <w:color w:val="000000"/>
        </w:rPr>
        <w:t>.2对策建议</w:t>
      </w:r>
      <w:bookmarkEnd w:id="327"/>
      <w:bookmarkEnd w:id="328"/>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.2.1 环保政策及管理建议</w:t>
      </w:r>
    </w:p>
    <w:p>
      <w:pPr>
        <w:tabs>
          <w:tab w:val="right" w:leader="dot" w:pos="8647"/>
        </w:tabs>
        <w:topLinePunct/>
        <w:spacing w:line="500" w:lineRule="exact"/>
        <w:ind w:firstLine="480" w:firstLineChars="200"/>
        <w:rPr>
          <w:color w:val="000000"/>
          <w:sz w:val="24"/>
        </w:rPr>
      </w:pPr>
      <w:r>
        <w:rPr>
          <w:color w:val="000000"/>
          <w:sz w:val="24"/>
        </w:rPr>
        <w:t>严格执行环保“三同时”制度，评价中提出的各项污染防治设施必须与主体工程同时设计、同时施工、同时投入使用。</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.2.2施工期环境管理建议</w:t>
      </w:r>
    </w:p>
    <w:p>
      <w:pPr>
        <w:tabs>
          <w:tab w:val="right" w:leader="dot" w:pos="8647"/>
        </w:tabs>
        <w:topLinePunct/>
        <w:spacing w:line="500" w:lineRule="exact"/>
        <w:ind w:firstLine="480" w:firstLineChars="200"/>
        <w:rPr>
          <w:color w:val="000000"/>
          <w:sz w:val="24"/>
        </w:rPr>
      </w:pPr>
      <w:r>
        <w:rPr>
          <w:color w:val="000000"/>
          <w:sz w:val="24"/>
        </w:rPr>
        <w:t>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.2.3防止疾病传播和病死猪尸处理要求</w:t>
      </w:r>
    </w:p>
    <w:p>
      <w:pPr>
        <w:tabs>
          <w:tab w:val="right" w:leader="dot" w:pos="8647"/>
        </w:tabs>
        <w:topLinePunct/>
        <w:spacing w:line="500" w:lineRule="exact"/>
        <w:ind w:firstLine="480" w:firstLineChars="200"/>
        <w:rPr>
          <w:bCs/>
          <w:color w:val="000000"/>
          <w:sz w:val="24"/>
        </w:rPr>
      </w:pPr>
      <w:r>
        <w:rPr>
          <w:color w:val="000000"/>
          <w:sz w:val="24"/>
        </w:rPr>
        <w:t>加强全场卫生管理，防止疫病传播与扩散；定期对场区进行消毒，防止蝇、蛆滋生，防止病原体的传播与扩散；场区应合理布局，实现安全生产和无害化管理；</w:t>
      </w:r>
      <w:r>
        <w:rPr>
          <w:bCs/>
          <w:color w:val="000000"/>
          <w:sz w:val="24"/>
        </w:rPr>
        <w:t>病死猪尸体每天由密闭罐车运送至场内无害化处理车间进行无害化处理。</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.2.4 恶臭污染防治及防护距离管理要求</w:t>
      </w:r>
    </w:p>
    <w:p>
      <w:pPr>
        <w:tabs>
          <w:tab w:val="right" w:leader="dot" w:pos="8647"/>
        </w:tabs>
        <w:topLinePunct/>
        <w:spacing w:line="500" w:lineRule="exact"/>
        <w:ind w:firstLine="480" w:firstLineChars="200"/>
        <w:rPr>
          <w:color w:val="000000"/>
          <w:sz w:val="24"/>
        </w:rPr>
      </w:pPr>
      <w:r>
        <w:rPr>
          <w:color w:val="000000"/>
          <w:sz w:val="24"/>
        </w:rPr>
        <w:t>企业应积极稳妥地采取措施，按《畜禽养殖业污染防治技术规范》（HJ/T81－2001）要求强化流程管理，防止各主要环节恶臭污染物的产生。在场界外500m距离内，规划部门不得再规划建设居民区、学校、医院、疗养院等环境敏感点。</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.2.5切实落实主要高噪声源的污染防治措施，确保场界噪声达标排放</w:t>
      </w:r>
    </w:p>
    <w:p>
      <w:pPr>
        <w:tabs>
          <w:tab w:val="right" w:leader="dot" w:pos="8647"/>
        </w:tabs>
        <w:topLinePunct/>
        <w:adjustRightInd w:val="0"/>
        <w:snapToGrid w:val="0"/>
        <w:spacing w:line="500" w:lineRule="exact"/>
        <w:ind w:firstLine="480" w:firstLineChars="200"/>
        <w:rPr>
          <w:bCs/>
          <w:color w:val="000000"/>
          <w:sz w:val="24"/>
        </w:rPr>
      </w:pPr>
      <w:r>
        <w:rPr>
          <w:bCs/>
          <w:color w:val="000000"/>
          <w:sz w:val="24"/>
        </w:rPr>
        <w:t>高噪声设备如鼓风机应采取设备基础减振、场房密闭隔声等措施，实现场界噪声达标排放</w:t>
      </w:r>
      <w:r>
        <w:rPr>
          <w:color w:val="000000"/>
          <w:sz w:val="24"/>
        </w:rPr>
        <w:t>。</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.2.6废水处理措施及综合利用</w:t>
      </w:r>
    </w:p>
    <w:p>
      <w:pPr>
        <w:tabs>
          <w:tab w:val="right" w:leader="dot" w:pos="8647"/>
        </w:tabs>
        <w:topLinePunct/>
        <w:adjustRightInd w:val="0"/>
        <w:snapToGrid w:val="0"/>
        <w:spacing w:line="500" w:lineRule="exact"/>
        <w:ind w:firstLine="480" w:firstLineChars="200"/>
        <w:rPr>
          <w:color w:val="000000"/>
          <w:sz w:val="24"/>
        </w:rPr>
      </w:pPr>
      <w:r>
        <w:rPr>
          <w:bCs/>
          <w:color w:val="000000"/>
          <w:sz w:val="24"/>
        </w:rPr>
        <w:t>评价采用厌氧处理工艺进行处理，出水输送至农田综合利用，实现废水全部还田</w:t>
      </w:r>
      <w:r>
        <w:rPr>
          <w:color w:val="000000"/>
          <w:sz w:val="24"/>
        </w:rPr>
        <w:t>。</w:t>
      </w:r>
    </w:p>
    <w:p>
      <w:pPr>
        <w:spacing w:line="600" w:lineRule="exact"/>
        <w:outlineLvl w:val="2"/>
        <w:rPr>
          <w:b/>
          <w:bCs/>
          <w:color w:val="000000"/>
          <w:sz w:val="24"/>
          <w:szCs w:val="32"/>
        </w:rPr>
      </w:pPr>
      <w:r>
        <w:rPr>
          <w:rFonts w:hint="eastAsia"/>
          <w:b/>
          <w:bCs/>
          <w:color w:val="000000"/>
          <w:sz w:val="24"/>
          <w:szCs w:val="32"/>
          <w:lang w:val="en-US" w:eastAsia="zh-CN"/>
        </w:rPr>
        <w:t>9</w:t>
      </w:r>
      <w:r>
        <w:rPr>
          <w:b/>
          <w:bCs/>
          <w:color w:val="000000"/>
          <w:sz w:val="24"/>
          <w:szCs w:val="32"/>
        </w:rPr>
        <w:t>.2.7场区防洪措施</w:t>
      </w:r>
    </w:p>
    <w:p>
      <w:pPr>
        <w:tabs>
          <w:tab w:val="right" w:leader="dot" w:pos="8647"/>
        </w:tabs>
        <w:topLinePunct/>
        <w:adjustRightInd w:val="0"/>
        <w:snapToGrid w:val="0"/>
        <w:spacing w:line="500" w:lineRule="exact"/>
        <w:ind w:firstLine="480" w:firstLineChars="200"/>
        <w:rPr>
          <w:color w:val="000000"/>
          <w:sz w:val="24"/>
        </w:rPr>
      </w:pPr>
      <w:r>
        <w:rPr>
          <w:color w:val="000000"/>
          <w:sz w:val="24"/>
        </w:rPr>
        <w:t>项目建设过程中雨、污管网不得影响行洪，项目建筑物应按照20年一遇即0.05%洪水频率进行设计，并在场界周边建设防洪堤，在场区设置泄洪排水沟，能够容纳当地最大降雨强度，同时在周边修建生态护坡，能够有效防止水土流失，并加强场区绿化。</w:t>
      </w:r>
    </w:p>
    <w:p>
      <w:pPr>
        <w:pStyle w:val="5"/>
        <w:spacing w:before="156" w:after="156"/>
        <w:rPr>
          <w:rFonts w:hAnsi="Times New Roman"/>
          <w:color w:val="000000"/>
        </w:rPr>
      </w:pPr>
      <w:bookmarkStart w:id="329" w:name="_Toc488572593"/>
      <w:bookmarkStart w:id="330" w:name="_Toc22018"/>
      <w:r>
        <w:rPr>
          <w:rFonts w:hint="eastAsia" w:hAnsi="Times New Roman"/>
          <w:color w:val="000000"/>
          <w:lang w:val="en-US" w:eastAsia="zh-CN"/>
        </w:rPr>
        <w:t>9</w:t>
      </w:r>
      <w:r>
        <w:rPr>
          <w:rFonts w:hAnsi="Times New Roman"/>
          <w:color w:val="000000"/>
        </w:rPr>
        <w:t>.3评价总结论</w:t>
      </w:r>
      <w:bookmarkEnd w:id="329"/>
      <w:bookmarkEnd w:id="330"/>
    </w:p>
    <w:p>
      <w:pPr>
        <w:tabs>
          <w:tab w:val="right" w:leader="dot" w:pos="8647"/>
        </w:tabs>
        <w:topLinePunct/>
        <w:spacing w:line="500" w:lineRule="exact"/>
        <w:ind w:firstLine="480" w:firstLineChars="200"/>
        <w:rPr>
          <w:color w:val="000000"/>
          <w:kern w:val="0"/>
          <w:sz w:val="24"/>
        </w:rPr>
      </w:pPr>
      <w:r>
        <w:rPr>
          <w:iCs/>
          <w:color w:val="000000"/>
          <w:kern w:val="0"/>
          <w:sz w:val="24"/>
        </w:rPr>
        <w:t>综上所述，</w:t>
      </w:r>
      <w:r>
        <w:rPr>
          <w:rFonts w:hint="eastAsia"/>
          <w:bCs/>
          <w:color w:val="000000"/>
          <w:sz w:val="24"/>
          <w:lang w:val="en-US" w:eastAsia="zh-CN"/>
        </w:rPr>
        <w:t>正阳县辉鸿农牧有限公司新建年出栏生猪一万头生产</w:t>
      </w:r>
      <w:r>
        <w:rPr>
          <w:rFonts w:hint="eastAsia"/>
          <w:bCs/>
          <w:color w:val="000000"/>
          <w:sz w:val="24"/>
        </w:rPr>
        <w:t>项目</w:t>
      </w:r>
      <w:r>
        <w:rPr>
          <w:color w:val="000000"/>
          <w:kern w:val="0"/>
          <w:sz w:val="24"/>
        </w:rPr>
        <w:t>符合国家产业政策和清洁生产要求，项目选址可行，通过认真落实评价所提各项环保治理措施，工程排放的各类污染物对周围环境影响可以接受，可以实现其经济效益、社会效益和环境效益的协调发展。因此，在落实各项协议及承诺的前提下，从环保角度分析，本工程建设是可行的。</w:t>
      </w:r>
    </w:p>
    <w:p>
      <w:pPr>
        <w:topLinePunct/>
        <w:jc w:val="right"/>
        <w:rPr>
          <w:color w:val="000000"/>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linePitch="312" w:charSpace="0"/>
        </w:sectPr>
      </w:pPr>
    </w:p>
    <w:p>
      <w:pPr>
        <w:jc w:val="center"/>
        <w:rPr>
          <w:rFonts w:hint="eastAsia" w:ascii="黑体" w:hAnsi="黑体" w:eastAsia="黑体"/>
        </w:rPr>
      </w:pPr>
      <w:r>
        <w:rPr>
          <w:rFonts w:hint="eastAsia" w:ascii="黑体" w:hAnsi="黑体" w:eastAsia="黑体"/>
        </w:rPr>
        <w:t>大气环境影响评价自查表</w:t>
      </w:r>
    </w:p>
    <w:tbl>
      <w:tblPr>
        <w:tblStyle w:val="4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273"/>
        <w:gridCol w:w="786"/>
        <w:gridCol w:w="81"/>
        <w:gridCol w:w="218"/>
        <w:gridCol w:w="582"/>
        <w:gridCol w:w="122"/>
        <w:gridCol w:w="12"/>
        <w:gridCol w:w="132"/>
        <w:gridCol w:w="671"/>
        <w:gridCol w:w="270"/>
        <w:gridCol w:w="39"/>
        <w:gridCol w:w="582"/>
        <w:gridCol w:w="126"/>
        <w:gridCol w:w="396"/>
        <w:gridCol w:w="7"/>
        <w:gridCol w:w="114"/>
        <w:gridCol w:w="508"/>
        <w:gridCol w:w="104"/>
        <w:gridCol w:w="413"/>
        <w:gridCol w:w="65"/>
        <w:gridCol w:w="285"/>
        <w:gridCol w:w="446"/>
        <w:gridCol w:w="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5" w:type="pct"/>
            <w:gridSpan w:val="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工作内容</w:t>
            </w:r>
          </w:p>
        </w:tc>
        <w:tc>
          <w:tcPr>
            <w:tcW w:w="3764" w:type="pct"/>
            <w:gridSpan w:val="2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评价等级与范围</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评价等级</w:t>
            </w:r>
          </w:p>
        </w:tc>
        <w:tc>
          <w:tcPr>
            <w:tcW w:w="927" w:type="pct"/>
            <w:gridSpan w:val="6"/>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一级</w:t>
            </w:r>
            <w:r>
              <w:rPr>
                <w:rFonts w:ascii="宋体" w:hAnsi="宋体" w:cs="Times New Roman"/>
                <w:sz w:val="15"/>
                <w:szCs w:val="15"/>
              </w:rPr>
              <w:t>□</w:t>
            </w:r>
          </w:p>
        </w:tc>
        <w:tc>
          <w:tcPr>
            <w:tcW w:w="1169" w:type="pct"/>
            <w:gridSpan w:val="7"/>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二级</w:t>
            </w:r>
            <w:r>
              <w:rPr>
                <w:rFonts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三级</w:t>
            </w:r>
            <w:r>
              <w:rPr>
                <w:rFonts w:ascii="宋体" w:hAnsi="宋体" w:cs="Times New Roman"/>
                <w:sz w:val="15"/>
                <w:szCs w:val="15"/>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评价范围</w:t>
            </w:r>
          </w:p>
        </w:tc>
        <w:tc>
          <w:tcPr>
            <w:tcW w:w="927" w:type="pct"/>
            <w:gridSpan w:val="6"/>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边长=50km</w:t>
            </w:r>
            <w:r>
              <w:rPr>
                <w:rFonts w:ascii="宋体" w:hAnsi="宋体" w:cs="Times New Roman"/>
                <w:sz w:val="15"/>
                <w:szCs w:val="15"/>
              </w:rPr>
              <w:t>□</w:t>
            </w:r>
          </w:p>
        </w:tc>
        <w:tc>
          <w:tcPr>
            <w:tcW w:w="1169" w:type="pct"/>
            <w:gridSpan w:val="7"/>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边长5~50km</w:t>
            </w:r>
            <w:r>
              <w:rPr>
                <w:rFonts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边长=5km</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评价因子</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SO</w:t>
            </w:r>
            <w:r>
              <w:rPr>
                <w:rFonts w:ascii="Times New Roman" w:hAnsi="Times New Roman" w:cs="Times New Roman"/>
                <w:sz w:val="15"/>
                <w:szCs w:val="15"/>
                <w:vertAlign w:val="subscript"/>
              </w:rPr>
              <w:t>2</w:t>
            </w:r>
            <w:r>
              <w:rPr>
                <w:rFonts w:ascii="Times New Roman" w:hAnsi="Times New Roman" w:cs="Times New Roman"/>
                <w:sz w:val="15"/>
                <w:szCs w:val="15"/>
              </w:rPr>
              <w:t>+NO</w:t>
            </w:r>
            <w:r>
              <w:rPr>
                <w:rFonts w:ascii="Times New Roman" w:hAnsi="Times New Roman" w:cs="Times New Roman"/>
                <w:sz w:val="15"/>
                <w:szCs w:val="15"/>
                <w:vertAlign w:val="subscript"/>
              </w:rPr>
              <w:t>x</w:t>
            </w:r>
            <w:r>
              <w:rPr>
                <w:rFonts w:ascii="Times New Roman" w:hAnsi="Times New Roman" w:cs="Times New Roman"/>
                <w:sz w:val="15"/>
                <w:szCs w:val="15"/>
              </w:rPr>
              <w:t>排放量</w:t>
            </w:r>
          </w:p>
        </w:tc>
        <w:tc>
          <w:tcPr>
            <w:tcW w:w="927" w:type="pct"/>
            <w:gridSpan w:val="6"/>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≥2000t/a</w:t>
            </w:r>
            <w:r>
              <w:rPr>
                <w:rFonts w:ascii="宋体" w:hAnsi="宋体" w:cs="Times New Roman"/>
                <w:sz w:val="15"/>
                <w:szCs w:val="15"/>
              </w:rPr>
              <w:t>□</w:t>
            </w:r>
          </w:p>
        </w:tc>
        <w:tc>
          <w:tcPr>
            <w:tcW w:w="1169" w:type="pct"/>
            <w:gridSpan w:val="7"/>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500~2000t/a</w:t>
            </w:r>
            <w:r>
              <w:rPr>
                <w:rFonts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＜500t/a</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评价因子</w:t>
            </w:r>
          </w:p>
        </w:tc>
        <w:tc>
          <w:tcPr>
            <w:tcW w:w="2097"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基本污染物（SO</w:t>
            </w:r>
            <w:r>
              <w:rPr>
                <w:rFonts w:ascii="Times New Roman" w:hAnsi="Times New Roman" w:cs="Times New Roman"/>
                <w:sz w:val="15"/>
                <w:szCs w:val="15"/>
                <w:vertAlign w:val="subscript"/>
              </w:rPr>
              <w:t>2</w:t>
            </w:r>
            <w:r>
              <w:rPr>
                <w:rFonts w:ascii="Times New Roman" w:hAnsi="Times New Roman" w:cs="Times New Roman"/>
                <w:sz w:val="15"/>
                <w:szCs w:val="15"/>
              </w:rPr>
              <w:t>、NO</w:t>
            </w:r>
            <w:r>
              <w:rPr>
                <w:rFonts w:ascii="Times New Roman" w:hAnsi="Times New Roman" w:cs="Times New Roman"/>
                <w:sz w:val="15"/>
                <w:szCs w:val="15"/>
                <w:vertAlign w:val="subscript"/>
              </w:rPr>
              <w:t>2</w:t>
            </w:r>
            <w:r>
              <w:rPr>
                <w:rFonts w:ascii="Times New Roman" w:hAnsi="Times New Roman" w:cs="Times New Roman"/>
                <w:sz w:val="15"/>
                <w:szCs w:val="15"/>
              </w:rPr>
              <w:t>、PM</w:t>
            </w:r>
            <w:r>
              <w:rPr>
                <w:rFonts w:ascii="Times New Roman" w:hAnsi="Times New Roman" w:cs="Times New Roman"/>
                <w:sz w:val="15"/>
                <w:szCs w:val="15"/>
                <w:vertAlign w:val="subscript"/>
              </w:rPr>
              <w:t>10</w:t>
            </w:r>
            <w:r>
              <w:rPr>
                <w:rFonts w:ascii="Times New Roman" w:hAnsi="Times New Roman" w:cs="Times New Roman"/>
                <w:sz w:val="15"/>
                <w:szCs w:val="15"/>
              </w:rPr>
              <w:t>、PM</w:t>
            </w:r>
            <w:r>
              <w:rPr>
                <w:rFonts w:ascii="Times New Roman" w:hAnsi="Times New Roman" w:cs="Times New Roman"/>
                <w:sz w:val="15"/>
                <w:szCs w:val="15"/>
                <w:vertAlign w:val="subscript"/>
              </w:rPr>
              <w:t>2.5</w:t>
            </w:r>
            <w:r>
              <w:rPr>
                <w:rFonts w:ascii="Times New Roman" w:hAnsi="Times New Roman" w:cs="Times New Roman"/>
                <w:sz w:val="15"/>
                <w:szCs w:val="15"/>
              </w:rPr>
              <w:t>、O</w:t>
            </w:r>
            <w:r>
              <w:rPr>
                <w:rFonts w:ascii="Times New Roman" w:hAnsi="Times New Roman" w:cs="Times New Roman"/>
                <w:sz w:val="15"/>
                <w:szCs w:val="15"/>
                <w:vertAlign w:val="subscript"/>
              </w:rPr>
              <w:t>3</w:t>
            </w:r>
            <w:r>
              <w:rPr>
                <w:rFonts w:ascii="Times New Roman" w:hAnsi="Times New Roman" w:cs="Times New Roman"/>
                <w:sz w:val="15"/>
                <w:szCs w:val="15"/>
              </w:rPr>
              <w:t>、CO ）</w:t>
            </w:r>
          </w:p>
          <w:p>
            <w:pPr>
              <w:jc w:val="center"/>
              <w:rPr>
                <w:rFonts w:ascii="Times New Roman" w:hAnsi="Times New Roman" w:cs="Times New Roman"/>
                <w:sz w:val="15"/>
                <w:szCs w:val="15"/>
              </w:rPr>
            </w:pPr>
            <w:r>
              <w:rPr>
                <w:rFonts w:ascii="Times New Roman" w:hAnsi="Times New Roman" w:cs="Times New Roman"/>
                <w:sz w:val="15"/>
                <w:szCs w:val="15"/>
              </w:rPr>
              <w:t>其他污染物（</w:t>
            </w:r>
            <w:r>
              <w:rPr>
                <w:rFonts w:hint="eastAsia" w:ascii="Times New Roman" w:hAnsi="Times New Roman" w:cs="Times New Roman"/>
                <w:sz w:val="15"/>
                <w:szCs w:val="15"/>
              </w:rPr>
              <w:t>氨气、</w:t>
            </w:r>
            <w:r>
              <w:rPr>
                <w:rFonts w:hint="eastAsia" w:ascii="Times New Roman" w:hAnsi="Times New Roman" w:cs="Times New Roman"/>
                <w:sz w:val="15"/>
                <w:szCs w:val="15"/>
                <w:lang w:val="en-US" w:eastAsia="zh-CN"/>
              </w:rPr>
              <w:t>硫化氢</w:t>
            </w:r>
            <w:r>
              <w:rPr>
                <w:rFonts w:ascii="Times New Roman" w:hAnsi="Times New Roman"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hint="eastAsia" w:ascii="Times New Roman" w:hAnsi="Times New Roman" w:cs="Times New Roman"/>
                <w:sz w:val="15"/>
                <w:szCs w:val="15"/>
              </w:rPr>
              <w:t xml:space="preserve">  </w:t>
            </w:r>
            <w:r>
              <w:rPr>
                <w:rFonts w:ascii="Times New Roman" w:hAnsi="Times New Roman" w:cs="Times New Roman"/>
                <w:sz w:val="15"/>
                <w:szCs w:val="15"/>
              </w:rPr>
              <w:t>包括二次PM2.5</w:t>
            </w:r>
            <w:r>
              <w:rPr>
                <w:rFonts w:ascii="宋体" w:hAnsi="宋体" w:cs="Times New Roman"/>
                <w:sz w:val="15"/>
                <w:szCs w:val="15"/>
              </w:rPr>
              <w:t>□</w:t>
            </w:r>
          </w:p>
          <w:p>
            <w:pPr>
              <w:jc w:val="center"/>
              <w:rPr>
                <w:rFonts w:ascii="Times New Roman" w:hAnsi="Times New Roman" w:cs="Times New Roman"/>
                <w:sz w:val="15"/>
                <w:szCs w:val="15"/>
              </w:rPr>
            </w:pPr>
            <w:r>
              <w:rPr>
                <w:rFonts w:ascii="Times New Roman" w:hAnsi="Times New Roman" w:cs="Times New Roman"/>
                <w:sz w:val="15"/>
                <w:szCs w:val="15"/>
              </w:rPr>
              <w:t>不包括二次PM2.5</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评价标准</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评价标准</w:t>
            </w:r>
          </w:p>
        </w:tc>
        <w:tc>
          <w:tcPr>
            <w:tcW w:w="586" w:type="pct"/>
            <w:gridSpan w:val="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国家标准</w:t>
            </w:r>
            <w:r>
              <w:rPr>
                <w:rFonts w:hint="eastAsia" w:ascii="宋体" w:hAnsi="宋体" w:cs="Times New Roman"/>
                <w:sz w:val="15"/>
                <w:szCs w:val="15"/>
              </w:rPr>
              <w:t>√</w:t>
            </w:r>
          </w:p>
        </w:tc>
        <w:tc>
          <w:tcPr>
            <w:tcW w:w="749"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地方标准</w:t>
            </w:r>
            <w:r>
              <w:rPr>
                <w:rFonts w:ascii="宋体" w:hAnsi="宋体" w:cs="Times New Roman"/>
                <w:sz w:val="15"/>
                <w:szCs w:val="15"/>
              </w:rPr>
              <w:t>□</w:t>
            </w:r>
          </w:p>
        </w:tc>
        <w:tc>
          <w:tcPr>
            <w:tcW w:w="1102"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附录D</w:t>
            </w:r>
            <w:r>
              <w:rPr>
                <w:rFonts w:hint="eastAsia" w:ascii="宋体" w:hAnsi="宋体" w:cs="Times New Roman"/>
                <w:sz w:val="15"/>
                <w:szCs w:val="15"/>
              </w:rPr>
              <w:t>√</w:t>
            </w:r>
          </w:p>
        </w:tc>
        <w:tc>
          <w:tcPr>
            <w:tcW w:w="1325" w:type="pct"/>
            <w:gridSpan w:val="6"/>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其他标准</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现状评价</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环境功能区</w:t>
            </w:r>
          </w:p>
        </w:tc>
        <w:tc>
          <w:tcPr>
            <w:tcW w:w="921"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一类区</w:t>
            </w:r>
            <w:r>
              <w:rPr>
                <w:rFonts w:ascii="宋体" w:hAnsi="宋体" w:cs="Times New Roman"/>
                <w:sz w:val="15"/>
                <w:szCs w:val="15"/>
              </w:rPr>
              <w:t>□</w:t>
            </w:r>
          </w:p>
        </w:tc>
        <w:tc>
          <w:tcPr>
            <w:tcW w:w="1176"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二类区</w:t>
            </w:r>
            <w:r>
              <w:rPr>
                <w:rFonts w:hint="eastAsia"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一类区和二类区</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评价基准年</w:t>
            </w:r>
          </w:p>
        </w:tc>
        <w:tc>
          <w:tcPr>
            <w:tcW w:w="3764" w:type="pct"/>
            <w:gridSpan w:val="2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 xml:space="preserve"> 1 </w:t>
            </w:r>
            <w:r>
              <w:rPr>
                <w:rFonts w:ascii="Times New Roman" w:hAnsi="Times New Roman" w:cs="Times New Roman"/>
                <w:sz w:val="15"/>
                <w:szCs w:val="15"/>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环境空气质量现状调查数据来源</w:t>
            </w:r>
          </w:p>
        </w:tc>
        <w:tc>
          <w:tcPr>
            <w:tcW w:w="921"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长期例行监测数据</w:t>
            </w:r>
            <w:r>
              <w:rPr>
                <w:rFonts w:ascii="宋体" w:hAnsi="宋体" w:cs="Times New Roman"/>
                <w:sz w:val="15"/>
                <w:szCs w:val="15"/>
              </w:rPr>
              <w:t>□</w:t>
            </w:r>
          </w:p>
        </w:tc>
        <w:tc>
          <w:tcPr>
            <w:tcW w:w="1176"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主管部门发布的数据</w:t>
            </w:r>
            <w:r>
              <w:rPr>
                <w:rFonts w:hint="eastAsia"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现状补充监测</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现状评价</w:t>
            </w:r>
          </w:p>
        </w:tc>
        <w:tc>
          <w:tcPr>
            <w:tcW w:w="2097"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达标区</w:t>
            </w:r>
            <w:r>
              <w:rPr>
                <w:rFonts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不达标区</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noWrap w:val="0"/>
            <w:vAlign w:val="center"/>
          </w:tcPr>
          <w:p>
            <w:pPr>
              <w:jc w:val="center"/>
              <w:rPr>
                <w:rFonts w:hint="eastAsia" w:ascii="Times New Roman" w:hAnsi="Times New Roman" w:cs="Times New Roman"/>
                <w:sz w:val="15"/>
                <w:szCs w:val="15"/>
              </w:rPr>
            </w:pPr>
            <w:r>
              <w:rPr>
                <w:rFonts w:ascii="Times New Roman" w:hAnsi="Times New Roman" w:cs="Times New Roman"/>
                <w:sz w:val="15"/>
                <w:szCs w:val="15"/>
              </w:rPr>
              <w:t>污染源</w:t>
            </w:r>
          </w:p>
          <w:p>
            <w:pPr>
              <w:jc w:val="center"/>
              <w:rPr>
                <w:rFonts w:ascii="Times New Roman" w:hAnsi="Times New Roman" w:cs="Times New Roman"/>
                <w:sz w:val="15"/>
                <w:szCs w:val="15"/>
              </w:rPr>
            </w:pPr>
            <w:r>
              <w:rPr>
                <w:rFonts w:ascii="Times New Roman" w:hAnsi="Times New Roman" w:cs="Times New Roman"/>
                <w:sz w:val="15"/>
                <w:szCs w:val="15"/>
              </w:rPr>
              <w:t>调查</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调查内容</w:t>
            </w:r>
          </w:p>
        </w:tc>
        <w:tc>
          <w:tcPr>
            <w:tcW w:w="994" w:type="pct"/>
            <w:gridSpan w:val="7"/>
            <w:noWrap w:val="0"/>
            <w:vAlign w:val="center"/>
          </w:tcPr>
          <w:p>
            <w:pPr>
              <w:jc w:val="right"/>
              <w:rPr>
                <w:rFonts w:ascii="Times New Roman" w:hAnsi="Times New Roman" w:cs="Times New Roman"/>
                <w:sz w:val="15"/>
                <w:szCs w:val="15"/>
              </w:rPr>
            </w:pPr>
            <w:r>
              <w:rPr>
                <w:rFonts w:ascii="Times New Roman" w:hAnsi="Times New Roman" w:cs="Times New Roman"/>
                <w:sz w:val="15"/>
                <w:szCs w:val="15"/>
              </w:rPr>
              <w:t>本项目正常排放源</w:t>
            </w:r>
            <w:r>
              <w:rPr>
                <w:rFonts w:hint="eastAsia" w:ascii="宋体" w:hAnsi="宋体" w:cs="Times New Roman"/>
                <w:sz w:val="15"/>
                <w:szCs w:val="15"/>
              </w:rPr>
              <w:t>√</w:t>
            </w:r>
          </w:p>
          <w:p>
            <w:pPr>
              <w:jc w:val="right"/>
              <w:rPr>
                <w:rFonts w:hint="eastAsia" w:ascii="宋体" w:hAnsi="宋体" w:cs="Times New Roman"/>
                <w:sz w:val="15"/>
                <w:szCs w:val="15"/>
              </w:rPr>
            </w:pPr>
            <w:r>
              <w:rPr>
                <w:rFonts w:ascii="Times New Roman" w:hAnsi="Times New Roman" w:cs="Times New Roman"/>
                <w:sz w:val="15"/>
                <w:szCs w:val="15"/>
              </w:rPr>
              <w:t>本项目非正常排放源</w:t>
            </w:r>
            <w:r>
              <w:rPr>
                <w:rFonts w:hint="eastAsia" w:ascii="宋体" w:hAnsi="宋体" w:cs="Times New Roman"/>
                <w:sz w:val="15"/>
                <w:szCs w:val="15"/>
              </w:rPr>
              <w:t>√</w:t>
            </w:r>
          </w:p>
          <w:p>
            <w:pPr>
              <w:jc w:val="right"/>
              <w:rPr>
                <w:rFonts w:ascii="Times New Roman" w:hAnsi="Times New Roman" w:cs="Times New Roman"/>
                <w:sz w:val="15"/>
                <w:szCs w:val="15"/>
              </w:rPr>
            </w:pPr>
            <w:r>
              <w:rPr>
                <w:rFonts w:ascii="Times New Roman" w:hAnsi="Times New Roman" w:cs="Times New Roman"/>
                <w:sz w:val="15"/>
                <w:szCs w:val="15"/>
              </w:rPr>
              <w:t>现有污染源</w:t>
            </w:r>
            <w:r>
              <w:rPr>
                <w:rFonts w:ascii="宋体" w:hAnsi="宋体" w:cs="Times New Roman"/>
                <w:sz w:val="15"/>
                <w:szCs w:val="15"/>
              </w:rPr>
              <w:t>□</w:t>
            </w:r>
          </w:p>
        </w:tc>
        <w:tc>
          <w:tcPr>
            <w:tcW w:w="817" w:type="pct"/>
            <w:gridSpan w:val="4"/>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拟替代的污染源</w:t>
            </w:r>
            <w:r>
              <w:rPr>
                <w:rFonts w:ascii="宋体" w:hAnsi="宋体" w:cs="Times New Roman"/>
                <w:sz w:val="15"/>
                <w:szCs w:val="15"/>
              </w:rPr>
              <w:t>□</w:t>
            </w:r>
          </w:p>
        </w:tc>
        <w:tc>
          <w:tcPr>
            <w:tcW w:w="1157" w:type="pct"/>
            <w:gridSpan w:val="9"/>
            <w:noWrap w:val="0"/>
            <w:vAlign w:val="center"/>
          </w:tcPr>
          <w:p>
            <w:pPr>
              <w:jc w:val="center"/>
              <w:rPr>
                <w:rFonts w:hint="eastAsia" w:ascii="Times New Roman" w:hAnsi="Times New Roman" w:cs="Times New Roman"/>
                <w:sz w:val="15"/>
                <w:szCs w:val="15"/>
              </w:rPr>
            </w:pPr>
            <w:r>
              <w:rPr>
                <w:rFonts w:ascii="Times New Roman" w:hAnsi="Times New Roman" w:cs="Times New Roman"/>
                <w:sz w:val="15"/>
                <w:szCs w:val="15"/>
              </w:rPr>
              <w:t>其他在建、拟建项目</w:t>
            </w:r>
          </w:p>
          <w:p>
            <w:pPr>
              <w:jc w:val="center"/>
              <w:rPr>
                <w:rFonts w:ascii="Times New Roman" w:hAnsi="Times New Roman" w:cs="Times New Roman"/>
                <w:sz w:val="15"/>
                <w:szCs w:val="15"/>
              </w:rPr>
            </w:pPr>
            <w:r>
              <w:rPr>
                <w:rFonts w:ascii="Times New Roman" w:hAnsi="Times New Roman" w:cs="Times New Roman"/>
                <w:sz w:val="15"/>
                <w:szCs w:val="15"/>
              </w:rPr>
              <w:t>污染源</w:t>
            </w:r>
            <w:r>
              <w:rPr>
                <w:rFonts w:ascii="宋体" w:hAnsi="宋体" w:cs="Times New Roman"/>
                <w:sz w:val="15"/>
                <w:szCs w:val="15"/>
              </w:rPr>
              <w:t>□</w:t>
            </w:r>
          </w:p>
        </w:tc>
        <w:tc>
          <w:tcPr>
            <w:tcW w:w="794" w:type="pct"/>
            <w:gridSpan w:val="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区域污染源</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大气环境影响预测与评价</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预测模型</w:t>
            </w:r>
          </w:p>
        </w:tc>
        <w:tc>
          <w:tcPr>
            <w:tcW w:w="484" w:type="pct"/>
            <w:gridSpan w:val="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AERMOD</w:t>
            </w:r>
            <w:r>
              <w:rPr>
                <w:rFonts w:hint="eastAsia" w:ascii="宋体" w:hAnsi="宋体" w:cs="Times New Roman"/>
                <w:sz w:val="15"/>
                <w:szCs w:val="15"/>
              </w:rPr>
              <w:t>√</w:t>
            </w:r>
          </w:p>
        </w:tc>
        <w:tc>
          <w:tcPr>
            <w:tcW w:w="375" w:type="pct"/>
            <w:gridSpan w:val="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ADMS</w:t>
            </w:r>
            <w:r>
              <w:rPr>
                <w:rFonts w:ascii="宋体" w:hAnsi="宋体" w:cs="Times New Roman"/>
                <w:sz w:val="15"/>
                <w:szCs w:val="15"/>
              </w:rPr>
              <w:t>□</w:t>
            </w:r>
          </w:p>
        </w:tc>
        <w:tc>
          <w:tcPr>
            <w:tcW w:w="633" w:type="pct"/>
            <w:gridSpan w:val="6"/>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AUSTAL2000</w:t>
            </w:r>
            <w:r>
              <w:rPr>
                <w:rFonts w:ascii="宋体" w:hAnsi="宋体" w:cs="Times New Roman"/>
                <w:sz w:val="15"/>
                <w:szCs w:val="15"/>
              </w:rPr>
              <w:t>□</w:t>
            </w:r>
          </w:p>
        </w:tc>
        <w:tc>
          <w:tcPr>
            <w:tcW w:w="671"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EDMS/AEDT</w:t>
            </w:r>
            <w:r>
              <w:rPr>
                <w:rFonts w:ascii="宋体" w:hAnsi="宋体" w:cs="Times New Roman"/>
                <w:sz w:val="15"/>
                <w:szCs w:val="15"/>
              </w:rPr>
              <w:t>□</w:t>
            </w:r>
          </w:p>
        </w:tc>
        <w:tc>
          <w:tcPr>
            <w:tcW w:w="551" w:type="pct"/>
            <w:gridSpan w:val="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CALPUFF</w:t>
            </w:r>
            <w:r>
              <w:rPr>
                <w:rFonts w:ascii="宋体" w:hAnsi="宋体" w:cs="Times New Roman"/>
                <w:sz w:val="15"/>
                <w:szCs w:val="15"/>
              </w:rPr>
              <w:t>□</w:t>
            </w:r>
          </w:p>
        </w:tc>
        <w:tc>
          <w:tcPr>
            <w:tcW w:w="531" w:type="pct"/>
            <w:gridSpan w:val="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网格模型</w:t>
            </w:r>
            <w:r>
              <w:rPr>
                <w:rFonts w:ascii="宋体" w:hAnsi="宋体" w:cs="Times New Roman"/>
                <w:sz w:val="15"/>
                <w:szCs w:val="15"/>
              </w:rPr>
              <w:t>□</w:t>
            </w:r>
          </w:p>
        </w:tc>
        <w:tc>
          <w:tcPr>
            <w:tcW w:w="518"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其他</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预测范围</w:t>
            </w:r>
          </w:p>
        </w:tc>
        <w:tc>
          <w:tcPr>
            <w:tcW w:w="921"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边长≥50km</w:t>
            </w:r>
            <w:r>
              <w:rPr>
                <w:rFonts w:ascii="宋体" w:hAnsi="宋体" w:cs="Times New Roman"/>
                <w:sz w:val="15"/>
                <w:szCs w:val="15"/>
              </w:rPr>
              <w:t>□</w:t>
            </w:r>
          </w:p>
        </w:tc>
        <w:tc>
          <w:tcPr>
            <w:tcW w:w="1179"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边长5~50km</w:t>
            </w:r>
            <w:r>
              <w:rPr>
                <w:rFonts w:ascii="宋体" w:hAnsi="宋体" w:cs="Times New Roman"/>
                <w:sz w:val="15"/>
                <w:szCs w:val="15"/>
              </w:rPr>
              <w:t>□</w:t>
            </w:r>
          </w:p>
        </w:tc>
        <w:tc>
          <w:tcPr>
            <w:tcW w:w="1663"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边长=5km</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预测因子</w:t>
            </w:r>
          </w:p>
        </w:tc>
        <w:tc>
          <w:tcPr>
            <w:tcW w:w="2097"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预测因子（</w:t>
            </w:r>
            <w:r>
              <w:rPr>
                <w:rFonts w:hint="eastAsia" w:ascii="Times New Roman" w:hAnsi="Times New Roman" w:cs="Times New Roman"/>
                <w:sz w:val="15"/>
                <w:szCs w:val="15"/>
              </w:rPr>
              <w:t>二氧化硫、氯气、氨气、氯化氢、甲醇、甲苯、硫酸</w:t>
            </w:r>
            <w:r>
              <w:rPr>
                <w:rFonts w:ascii="Times New Roman" w:hAnsi="Times New Roman" w:cs="Times New Roman"/>
                <w:sz w:val="15"/>
                <w:szCs w:val="15"/>
              </w:rPr>
              <w:t>）</w:t>
            </w:r>
          </w:p>
        </w:tc>
        <w:tc>
          <w:tcPr>
            <w:tcW w:w="1667" w:type="pct"/>
            <w:gridSpan w:val="9"/>
            <w:noWrap w:val="0"/>
            <w:vAlign w:val="center"/>
          </w:tcPr>
          <w:p>
            <w:pPr>
              <w:jc w:val="center"/>
              <w:rPr>
                <w:rFonts w:ascii="Times New Roman" w:hAnsi="Times New Roman" w:cs="Times New Roman"/>
                <w:b/>
                <w:sz w:val="15"/>
                <w:szCs w:val="15"/>
              </w:rPr>
            </w:pPr>
            <w:r>
              <w:rPr>
                <w:rFonts w:ascii="Times New Roman" w:hAnsi="Times New Roman" w:cs="Times New Roman"/>
                <w:sz w:val="15"/>
                <w:szCs w:val="15"/>
              </w:rPr>
              <w:t>包括二次PM2.5</w:t>
            </w:r>
            <w:r>
              <w:rPr>
                <w:rFonts w:ascii="宋体" w:hAnsi="宋体" w:cs="Times New Roman"/>
                <w:sz w:val="15"/>
                <w:szCs w:val="15"/>
              </w:rPr>
              <w:t>□</w:t>
            </w:r>
          </w:p>
          <w:p>
            <w:pPr>
              <w:jc w:val="center"/>
              <w:rPr>
                <w:rFonts w:ascii="Times New Roman" w:hAnsi="Times New Roman" w:cs="Times New Roman"/>
                <w:sz w:val="15"/>
                <w:szCs w:val="15"/>
              </w:rPr>
            </w:pPr>
            <w:r>
              <w:rPr>
                <w:rFonts w:ascii="Times New Roman" w:hAnsi="Times New Roman" w:cs="Times New Roman"/>
                <w:sz w:val="15"/>
                <w:szCs w:val="15"/>
              </w:rPr>
              <w:t>不包括二次PM2.5</w:t>
            </w:r>
            <w:r>
              <w:rPr>
                <w:rFonts w:hint="eastAsia"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正常排放短期浓度贡献值</w:t>
            </w:r>
          </w:p>
        </w:tc>
        <w:tc>
          <w:tcPr>
            <w:tcW w:w="2097"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本项目</w:t>
            </w:r>
            <w:r>
              <w:rPr>
                <w:rFonts w:ascii="Times New Roman" w:hAnsi="Times New Roman" w:cs="Times New Roman"/>
                <w:sz w:val="15"/>
                <w:szCs w:val="15"/>
              </w:rPr>
              <w:t>最大占标率≤100%</w:t>
            </w:r>
            <w:r>
              <w:rPr>
                <w:rFonts w:hint="eastAsia"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本项目</w:t>
            </w:r>
            <w:r>
              <w:rPr>
                <w:rFonts w:ascii="Times New Roman" w:hAnsi="Times New Roman" w:cs="Times New Roman"/>
                <w:sz w:val="15"/>
                <w:szCs w:val="15"/>
              </w:rPr>
              <w:t>最大占标率＞100%</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正常排放年均浓度贡献值</w:t>
            </w:r>
          </w:p>
        </w:tc>
        <w:tc>
          <w:tcPr>
            <w:tcW w:w="4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一类区</w:t>
            </w:r>
          </w:p>
        </w:tc>
        <w:tc>
          <w:tcPr>
            <w:tcW w:w="1661"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本项目</w:t>
            </w:r>
            <w:r>
              <w:rPr>
                <w:rFonts w:ascii="Times New Roman" w:hAnsi="Times New Roman" w:cs="Times New Roman"/>
                <w:sz w:val="15"/>
                <w:szCs w:val="15"/>
              </w:rPr>
              <w:t>最大占标率≤10%</w:t>
            </w:r>
            <w:r>
              <w:rPr>
                <w:rFonts w:ascii="宋体" w:hAnsi="宋体" w:cs="Times New Roman"/>
                <w:sz w:val="15"/>
                <w:szCs w:val="15"/>
              </w:rPr>
              <w:t>□</w:t>
            </w:r>
          </w:p>
        </w:tc>
        <w:tc>
          <w:tcPr>
            <w:tcW w:w="1663"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本项目</w:t>
            </w:r>
            <w:r>
              <w:rPr>
                <w:rFonts w:ascii="Times New Roman" w:hAnsi="Times New Roman" w:cs="Times New Roman"/>
                <w:sz w:val="15"/>
                <w:szCs w:val="15"/>
              </w:rPr>
              <w:t>最大占标率＞10%</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vMerge w:val="continue"/>
            <w:noWrap w:val="0"/>
            <w:vAlign w:val="center"/>
          </w:tcPr>
          <w:p>
            <w:pPr>
              <w:jc w:val="center"/>
              <w:rPr>
                <w:rFonts w:ascii="Times New Roman" w:hAnsi="Times New Roman" w:cs="Times New Roman"/>
                <w:sz w:val="15"/>
                <w:szCs w:val="15"/>
              </w:rPr>
            </w:pPr>
          </w:p>
        </w:tc>
        <w:tc>
          <w:tcPr>
            <w:tcW w:w="4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二类区</w:t>
            </w:r>
          </w:p>
        </w:tc>
        <w:tc>
          <w:tcPr>
            <w:tcW w:w="1661"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本项目</w:t>
            </w:r>
            <w:r>
              <w:rPr>
                <w:rFonts w:ascii="Times New Roman" w:hAnsi="Times New Roman" w:cs="Times New Roman"/>
                <w:sz w:val="15"/>
                <w:szCs w:val="15"/>
              </w:rPr>
              <w:t>最大占标率≤30%</w:t>
            </w:r>
            <w:r>
              <w:rPr>
                <w:rFonts w:ascii="宋体" w:hAnsi="宋体" w:cs="Times New Roman"/>
                <w:sz w:val="15"/>
                <w:szCs w:val="15"/>
              </w:rPr>
              <w:sym w:font="Wingdings 2" w:char="0052"/>
            </w:r>
          </w:p>
        </w:tc>
        <w:tc>
          <w:tcPr>
            <w:tcW w:w="1663"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本项目</w:t>
            </w:r>
            <w:r>
              <w:rPr>
                <w:rFonts w:ascii="Times New Roman" w:hAnsi="Times New Roman" w:cs="Times New Roman"/>
                <w:sz w:val="15"/>
                <w:szCs w:val="15"/>
              </w:rPr>
              <w:t>最大占标率＞30%</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非正常排放1h浓度贡献值</w:t>
            </w:r>
          </w:p>
        </w:tc>
        <w:tc>
          <w:tcPr>
            <w:tcW w:w="859" w:type="pct"/>
            <w:gridSpan w:val="4"/>
            <w:noWrap w:val="0"/>
            <w:vAlign w:val="center"/>
          </w:tcPr>
          <w:p>
            <w:pPr>
              <w:jc w:val="center"/>
              <w:rPr>
                <w:rFonts w:hint="eastAsia" w:ascii="Times New Roman" w:hAnsi="Times New Roman" w:cs="Times New Roman"/>
                <w:sz w:val="15"/>
                <w:szCs w:val="15"/>
              </w:rPr>
            </w:pPr>
            <w:r>
              <w:rPr>
                <w:rFonts w:ascii="Times New Roman" w:hAnsi="Times New Roman" w:cs="Times New Roman"/>
                <w:sz w:val="15"/>
                <w:szCs w:val="15"/>
              </w:rPr>
              <w:t>非正常持续时长</w:t>
            </w:r>
          </w:p>
          <w:p>
            <w:pPr>
              <w:jc w:val="center"/>
              <w:rPr>
                <w:rFonts w:ascii="Times New Roman" w:hAnsi="Times New Roman" w:cs="Times New Roman"/>
                <w:sz w:val="15"/>
                <w:szCs w:val="15"/>
              </w:rPr>
            </w:pPr>
            <w:r>
              <w:rPr>
                <w:rFonts w:ascii="Times New Roman" w:hAnsi="Times New Roman" w:cs="Times New Roman"/>
                <w:sz w:val="15"/>
                <w:szCs w:val="15"/>
              </w:rPr>
              <w:t>（）h</w:t>
            </w:r>
          </w:p>
        </w:tc>
        <w:tc>
          <w:tcPr>
            <w:tcW w:w="1242" w:type="pct"/>
            <w:gridSpan w:val="10"/>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非正常</w:t>
            </w:r>
            <w:r>
              <w:rPr>
                <w:rFonts w:ascii="Times New Roman" w:hAnsi="Times New Roman" w:cs="Times New Roman"/>
                <w:sz w:val="15"/>
                <w:szCs w:val="15"/>
              </w:rPr>
              <w:t>占标率≤100%</w:t>
            </w:r>
            <w:r>
              <w:rPr>
                <w:rFonts w:ascii="宋体" w:hAnsi="宋体" w:cs="Times New Roman"/>
                <w:sz w:val="15"/>
                <w:szCs w:val="15"/>
              </w:rPr>
              <w:sym w:font="Wingdings 2" w:char="0052"/>
            </w:r>
          </w:p>
        </w:tc>
        <w:tc>
          <w:tcPr>
            <w:tcW w:w="1663"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非正常</w:t>
            </w:r>
            <w:r>
              <w:rPr>
                <w:rFonts w:ascii="Times New Roman" w:hAnsi="Times New Roman" w:cs="Times New Roman"/>
                <w:sz w:val="15"/>
                <w:szCs w:val="15"/>
              </w:rPr>
              <w:t>占标率＞100%</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保证率日平均浓度和年平均浓度叠加值</w:t>
            </w:r>
          </w:p>
        </w:tc>
        <w:tc>
          <w:tcPr>
            <w:tcW w:w="2097"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叠加</w:t>
            </w:r>
            <w:r>
              <w:rPr>
                <w:rFonts w:ascii="Times New Roman" w:hAnsi="Times New Roman" w:cs="Times New Roman"/>
                <w:sz w:val="15"/>
                <w:szCs w:val="15"/>
              </w:rPr>
              <w:t>达标</w:t>
            </w:r>
            <w:r>
              <w:rPr>
                <w:rFonts w:hint="eastAsia"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C</w:t>
            </w:r>
            <w:r>
              <w:rPr>
                <w:rFonts w:ascii="Times New Roman" w:hAnsi="Times New Roman" w:cs="Times New Roman"/>
                <w:sz w:val="15"/>
                <w:szCs w:val="15"/>
                <w:vertAlign w:val="subscript"/>
              </w:rPr>
              <w:t>叠加</w:t>
            </w:r>
            <w:r>
              <w:rPr>
                <w:rFonts w:ascii="Times New Roman" w:hAnsi="Times New Roman" w:cs="Times New Roman"/>
                <w:sz w:val="15"/>
                <w:szCs w:val="15"/>
              </w:rPr>
              <w:t>不达标</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区域环境质量的整体变化情况</w:t>
            </w:r>
          </w:p>
        </w:tc>
        <w:tc>
          <w:tcPr>
            <w:tcW w:w="2097" w:type="pct"/>
            <w:gridSpan w:val="1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k≤-20%</w:t>
            </w:r>
            <w:r>
              <w:rPr>
                <w:rFonts w:ascii="宋体" w:hAnsi="宋体" w:cs="Times New Roman"/>
                <w:sz w:val="15"/>
                <w:szCs w:val="15"/>
              </w:rPr>
              <w:t>□</w:t>
            </w:r>
          </w:p>
        </w:tc>
        <w:tc>
          <w:tcPr>
            <w:tcW w:w="1667"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k＞-20%</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环境监测计划</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污染源监测</w:t>
            </w:r>
          </w:p>
        </w:tc>
        <w:tc>
          <w:tcPr>
            <w:tcW w:w="1472"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监测因子：（</w:t>
            </w:r>
            <w:r>
              <w:rPr>
                <w:rFonts w:hint="eastAsia" w:ascii="Times New Roman" w:hAnsi="Times New Roman" w:cs="Times New Roman"/>
                <w:sz w:val="15"/>
                <w:szCs w:val="15"/>
              </w:rPr>
              <w:t>氨气、</w:t>
            </w:r>
            <w:r>
              <w:rPr>
                <w:rFonts w:hint="eastAsia" w:ascii="Times New Roman" w:hAnsi="Times New Roman" w:cs="Times New Roman"/>
                <w:sz w:val="15"/>
                <w:szCs w:val="15"/>
                <w:lang w:val="en-US" w:eastAsia="zh-CN"/>
              </w:rPr>
              <w:t>硫化氢</w:t>
            </w:r>
            <w:r>
              <w:rPr>
                <w:rFonts w:ascii="Times New Roman" w:hAnsi="Times New Roman" w:cs="Times New Roman"/>
                <w:sz w:val="15"/>
                <w:szCs w:val="15"/>
              </w:rPr>
              <w:t>）</w:t>
            </w:r>
          </w:p>
        </w:tc>
        <w:tc>
          <w:tcPr>
            <w:tcW w:w="1021"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有组织废气监测</w:t>
            </w:r>
            <w:r>
              <w:rPr>
                <w:rFonts w:ascii="宋体" w:hAnsi="宋体" w:cs="Times New Roman"/>
                <w:sz w:val="15"/>
                <w:szCs w:val="15"/>
              </w:rPr>
              <w:t>□</w:t>
            </w:r>
          </w:p>
          <w:p>
            <w:pPr>
              <w:jc w:val="center"/>
              <w:rPr>
                <w:rFonts w:ascii="Times New Roman" w:hAnsi="Times New Roman" w:cs="Times New Roman"/>
                <w:sz w:val="15"/>
                <w:szCs w:val="15"/>
              </w:rPr>
            </w:pPr>
            <w:r>
              <w:rPr>
                <w:rFonts w:ascii="Times New Roman" w:hAnsi="Times New Roman" w:cs="Times New Roman"/>
                <w:sz w:val="15"/>
                <w:szCs w:val="15"/>
              </w:rPr>
              <w:t>无组织废气监测</w:t>
            </w:r>
            <w:r>
              <w:rPr>
                <w:rFonts w:hint="eastAsia" w:ascii="宋体" w:hAnsi="宋体" w:cs="Times New Roman"/>
                <w:sz w:val="15"/>
                <w:szCs w:val="15"/>
              </w:rPr>
              <w:t>√</w:t>
            </w:r>
          </w:p>
        </w:tc>
        <w:tc>
          <w:tcPr>
            <w:tcW w:w="1271"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无监测</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环境质量监测</w:t>
            </w:r>
          </w:p>
        </w:tc>
        <w:tc>
          <w:tcPr>
            <w:tcW w:w="1472" w:type="pct"/>
            <w:gridSpan w:val="9"/>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监测因子：（SO</w:t>
            </w:r>
            <w:r>
              <w:rPr>
                <w:rFonts w:ascii="Times New Roman" w:hAnsi="Times New Roman" w:cs="Times New Roman"/>
                <w:sz w:val="15"/>
                <w:szCs w:val="15"/>
                <w:vertAlign w:val="subscript"/>
              </w:rPr>
              <w:t>2</w:t>
            </w:r>
            <w:r>
              <w:rPr>
                <w:rFonts w:ascii="Times New Roman" w:hAnsi="Times New Roman" w:cs="Times New Roman"/>
                <w:sz w:val="15"/>
                <w:szCs w:val="15"/>
              </w:rPr>
              <w:t>、NO</w:t>
            </w:r>
            <w:r>
              <w:rPr>
                <w:rFonts w:ascii="Times New Roman" w:hAnsi="Times New Roman" w:cs="Times New Roman"/>
                <w:sz w:val="15"/>
                <w:szCs w:val="15"/>
                <w:vertAlign w:val="subscript"/>
              </w:rPr>
              <w:t>2</w:t>
            </w:r>
            <w:r>
              <w:rPr>
                <w:rFonts w:ascii="Times New Roman" w:hAnsi="Times New Roman" w:cs="Times New Roman"/>
                <w:sz w:val="15"/>
                <w:szCs w:val="15"/>
              </w:rPr>
              <w:t>、PM</w:t>
            </w:r>
            <w:r>
              <w:rPr>
                <w:rFonts w:ascii="Times New Roman" w:hAnsi="Times New Roman" w:cs="Times New Roman"/>
                <w:sz w:val="15"/>
                <w:szCs w:val="15"/>
                <w:vertAlign w:val="subscript"/>
              </w:rPr>
              <w:t>10</w:t>
            </w:r>
            <w:r>
              <w:rPr>
                <w:rFonts w:ascii="Times New Roman" w:hAnsi="Times New Roman" w:cs="Times New Roman"/>
                <w:sz w:val="15"/>
                <w:szCs w:val="15"/>
              </w:rPr>
              <w:t>、PM</w:t>
            </w:r>
            <w:r>
              <w:rPr>
                <w:rFonts w:ascii="Times New Roman" w:hAnsi="Times New Roman" w:cs="Times New Roman"/>
                <w:sz w:val="15"/>
                <w:szCs w:val="15"/>
                <w:vertAlign w:val="subscript"/>
              </w:rPr>
              <w:t>2.5</w:t>
            </w:r>
            <w:r>
              <w:rPr>
                <w:rFonts w:ascii="Times New Roman" w:hAnsi="Times New Roman" w:cs="Times New Roman"/>
                <w:sz w:val="15"/>
                <w:szCs w:val="15"/>
              </w:rPr>
              <w:t>、O</w:t>
            </w:r>
            <w:r>
              <w:rPr>
                <w:rFonts w:ascii="Times New Roman" w:hAnsi="Times New Roman" w:cs="Times New Roman"/>
                <w:sz w:val="15"/>
                <w:szCs w:val="15"/>
                <w:vertAlign w:val="subscript"/>
              </w:rPr>
              <w:t>3</w:t>
            </w:r>
            <w:r>
              <w:rPr>
                <w:rFonts w:ascii="Times New Roman" w:hAnsi="Times New Roman" w:cs="Times New Roman"/>
                <w:sz w:val="15"/>
                <w:szCs w:val="15"/>
              </w:rPr>
              <w:t>、CO</w:t>
            </w:r>
            <w:r>
              <w:rPr>
                <w:rFonts w:hint="eastAsia" w:ascii="Times New Roman" w:hAnsi="Times New Roman" w:cs="Times New Roman"/>
                <w:sz w:val="15"/>
                <w:szCs w:val="15"/>
              </w:rPr>
              <w:t>、</w:t>
            </w:r>
            <w:r>
              <w:rPr>
                <w:rFonts w:hint="eastAsia" w:ascii="Times New Roman" w:hAnsi="Times New Roman" w:cs="Times New Roman"/>
                <w:sz w:val="15"/>
                <w:szCs w:val="15"/>
                <w:lang w:val="en-US" w:eastAsia="zh-CN"/>
              </w:rPr>
              <w:t>NH</w:t>
            </w:r>
            <w:r>
              <w:rPr>
                <w:rFonts w:hint="eastAsia" w:ascii="Times New Roman" w:hAnsi="Times New Roman" w:cs="Times New Roman"/>
                <w:sz w:val="15"/>
                <w:szCs w:val="15"/>
                <w:vertAlign w:val="subscript"/>
                <w:lang w:val="en-US" w:eastAsia="zh-CN"/>
              </w:rPr>
              <w:t>3</w:t>
            </w:r>
            <w:r>
              <w:rPr>
                <w:rFonts w:hint="eastAsia" w:ascii="Times New Roman" w:hAnsi="Times New Roman" w:cs="Times New Roman"/>
                <w:sz w:val="15"/>
                <w:szCs w:val="15"/>
                <w:lang w:val="en-US" w:eastAsia="zh-CN"/>
              </w:rPr>
              <w:t>、H</w:t>
            </w:r>
            <w:r>
              <w:rPr>
                <w:rFonts w:hint="eastAsia" w:ascii="Times New Roman" w:hAnsi="Times New Roman" w:cs="Times New Roman"/>
                <w:sz w:val="15"/>
                <w:szCs w:val="15"/>
                <w:vertAlign w:val="subscript"/>
                <w:lang w:val="en-US" w:eastAsia="zh-CN"/>
              </w:rPr>
              <w:t>2</w:t>
            </w:r>
            <w:r>
              <w:rPr>
                <w:rFonts w:hint="eastAsia" w:ascii="Times New Roman" w:hAnsi="Times New Roman" w:cs="Times New Roman"/>
                <w:sz w:val="15"/>
                <w:szCs w:val="15"/>
                <w:lang w:val="en-US" w:eastAsia="zh-CN"/>
              </w:rPr>
              <w:t>S</w:t>
            </w:r>
            <w:r>
              <w:rPr>
                <w:rFonts w:ascii="Times New Roman" w:hAnsi="Times New Roman" w:cs="Times New Roman"/>
                <w:sz w:val="15"/>
                <w:szCs w:val="15"/>
              </w:rPr>
              <w:t>）</w:t>
            </w:r>
          </w:p>
        </w:tc>
        <w:tc>
          <w:tcPr>
            <w:tcW w:w="1021"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监测点位数（</w:t>
            </w:r>
            <w:r>
              <w:rPr>
                <w:rFonts w:hint="eastAsia" w:ascii="Times New Roman" w:hAnsi="Times New Roman" w:cs="Times New Roman"/>
                <w:sz w:val="15"/>
                <w:szCs w:val="15"/>
                <w:lang w:val="en-US" w:eastAsia="zh-CN"/>
              </w:rPr>
              <w:t>3</w:t>
            </w:r>
            <w:r>
              <w:rPr>
                <w:rFonts w:ascii="Times New Roman" w:hAnsi="Times New Roman" w:cs="Times New Roman"/>
                <w:sz w:val="15"/>
                <w:szCs w:val="15"/>
              </w:rPr>
              <w:t>）</w:t>
            </w:r>
          </w:p>
        </w:tc>
        <w:tc>
          <w:tcPr>
            <w:tcW w:w="1271" w:type="pct"/>
            <w:gridSpan w:val="5"/>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无监测</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restar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评价结论</w:t>
            </w: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环境影响</w:t>
            </w:r>
          </w:p>
        </w:tc>
        <w:tc>
          <w:tcPr>
            <w:tcW w:w="3764" w:type="pct"/>
            <w:gridSpan w:val="2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可以接受</w:t>
            </w:r>
            <w:r>
              <w:rPr>
                <w:rFonts w:hint="eastAsia" w:ascii="宋体" w:hAnsi="宋体" w:cs="Times New Roman"/>
                <w:sz w:val="15"/>
                <w:szCs w:val="15"/>
              </w:rPr>
              <w:t xml:space="preserve">√     </w:t>
            </w:r>
            <w:r>
              <w:rPr>
                <w:rFonts w:ascii="Times New Roman" w:hAnsi="Times New Roman" w:cs="Times New Roman"/>
                <w:sz w:val="15"/>
                <w:szCs w:val="15"/>
              </w:rPr>
              <w:t>不可以接受</w:t>
            </w:r>
            <w:r>
              <w:rPr>
                <w:rFonts w:ascii="宋体" w:hAnsi="宋体" w:cs="Times New Roman"/>
                <w:sz w:val="15"/>
                <w:szCs w:val="15"/>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大气环境防护距离</w:t>
            </w:r>
          </w:p>
        </w:tc>
        <w:tc>
          <w:tcPr>
            <w:tcW w:w="3764" w:type="pct"/>
            <w:gridSpan w:val="22"/>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距（</w:t>
            </w:r>
            <w:r>
              <w:rPr>
                <w:rFonts w:hint="eastAsia" w:ascii="Times New Roman" w:hAnsi="Times New Roman" w:cs="Times New Roman"/>
                <w:sz w:val="15"/>
                <w:szCs w:val="15"/>
              </w:rPr>
              <w:t>北</w:t>
            </w:r>
            <w:r>
              <w:rPr>
                <w:rFonts w:ascii="Times New Roman" w:hAnsi="Times New Roman" w:cs="Times New Roman"/>
                <w:sz w:val="15"/>
                <w:szCs w:val="15"/>
              </w:rPr>
              <w:t>）厂界最远（）m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vMerge w:val="continue"/>
            <w:noWrap w:val="0"/>
            <w:vAlign w:val="center"/>
          </w:tcPr>
          <w:p>
            <w:pPr>
              <w:jc w:val="center"/>
              <w:rPr>
                <w:rFonts w:ascii="Times New Roman" w:hAnsi="Times New Roman" w:cs="Times New Roman"/>
                <w:sz w:val="15"/>
                <w:szCs w:val="15"/>
              </w:rPr>
            </w:pPr>
          </w:p>
        </w:tc>
        <w:tc>
          <w:tcPr>
            <w:tcW w:w="739" w:type="pct"/>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污染源年排放量</w:t>
            </w:r>
          </w:p>
        </w:tc>
        <w:tc>
          <w:tcPr>
            <w:tcW w:w="859" w:type="pct"/>
            <w:gridSpan w:val="4"/>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SO</w:t>
            </w:r>
            <w:r>
              <w:rPr>
                <w:rFonts w:ascii="Times New Roman" w:hAnsi="Times New Roman" w:cs="Times New Roman"/>
                <w:sz w:val="15"/>
                <w:szCs w:val="15"/>
                <w:vertAlign w:val="subscript"/>
              </w:rPr>
              <w:t>2</w:t>
            </w:r>
            <w:r>
              <w:rPr>
                <w:rFonts w:ascii="Times New Roman" w:hAnsi="Times New Roman" w:cs="Times New Roman"/>
                <w:sz w:val="15"/>
                <w:szCs w:val="15"/>
              </w:rPr>
              <w:t>：（</w:t>
            </w:r>
            <w:r>
              <w:rPr>
                <w:rFonts w:hint="eastAsia" w:ascii="Times New Roman" w:hAnsi="Times New Roman" w:cs="Times New Roman"/>
                <w:sz w:val="15"/>
                <w:szCs w:val="15"/>
                <w:lang w:val="en-US" w:eastAsia="zh-CN"/>
              </w:rPr>
              <w:t>0.0007</w:t>
            </w:r>
            <w:r>
              <w:rPr>
                <w:rFonts w:ascii="Times New Roman" w:hAnsi="Times New Roman" w:cs="Times New Roman"/>
                <w:sz w:val="15"/>
                <w:szCs w:val="15"/>
              </w:rPr>
              <w:t>）t/a</w:t>
            </w:r>
          </w:p>
        </w:tc>
        <w:tc>
          <w:tcPr>
            <w:tcW w:w="1021" w:type="pct"/>
            <w:gridSpan w:val="8"/>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NO</w:t>
            </w:r>
            <w:r>
              <w:rPr>
                <w:rFonts w:ascii="Times New Roman" w:hAnsi="Times New Roman" w:cs="Times New Roman"/>
                <w:sz w:val="15"/>
                <w:szCs w:val="15"/>
                <w:vertAlign w:val="subscript"/>
              </w:rPr>
              <w:t>x</w:t>
            </w:r>
            <w:r>
              <w:rPr>
                <w:rFonts w:ascii="Times New Roman" w:hAnsi="Times New Roman" w:cs="Times New Roman"/>
                <w:sz w:val="15"/>
                <w:szCs w:val="15"/>
              </w:rPr>
              <w:t>：（</w:t>
            </w:r>
            <w:r>
              <w:rPr>
                <w:rFonts w:hint="eastAsia" w:ascii="Times New Roman" w:hAnsi="Times New Roman" w:cs="Times New Roman"/>
                <w:sz w:val="15"/>
                <w:szCs w:val="15"/>
              </w:rPr>
              <w:t xml:space="preserve"> </w:t>
            </w:r>
            <w:r>
              <w:rPr>
                <w:rFonts w:hint="eastAsia" w:ascii="Times New Roman" w:hAnsi="Times New Roman" w:cs="Times New Roman"/>
                <w:sz w:val="15"/>
                <w:szCs w:val="15"/>
                <w:lang w:val="en-US" w:eastAsia="zh-CN"/>
              </w:rPr>
              <w:t>0.026</w:t>
            </w:r>
            <w:r>
              <w:rPr>
                <w:rFonts w:hint="eastAsia" w:ascii="Times New Roman" w:hAnsi="Times New Roman" w:cs="Times New Roman"/>
                <w:sz w:val="15"/>
                <w:szCs w:val="15"/>
              </w:rPr>
              <w:t xml:space="preserve">  </w:t>
            </w:r>
            <w:r>
              <w:rPr>
                <w:rFonts w:ascii="Times New Roman" w:hAnsi="Times New Roman" w:cs="Times New Roman"/>
                <w:sz w:val="15"/>
                <w:szCs w:val="15"/>
              </w:rPr>
              <w:t>）t/a</w:t>
            </w:r>
          </w:p>
        </w:tc>
        <w:tc>
          <w:tcPr>
            <w:tcW w:w="900" w:type="pct"/>
            <w:gridSpan w:val="7"/>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颗粒物：（</w:t>
            </w:r>
            <w:r>
              <w:rPr>
                <w:rFonts w:hint="eastAsia" w:ascii="Times New Roman" w:hAnsi="Times New Roman" w:cs="Times New Roman"/>
                <w:sz w:val="15"/>
                <w:szCs w:val="15"/>
              </w:rPr>
              <w:t xml:space="preserve">    </w:t>
            </w:r>
            <w:r>
              <w:rPr>
                <w:rFonts w:ascii="Times New Roman" w:hAnsi="Times New Roman" w:cs="Times New Roman"/>
                <w:sz w:val="15"/>
                <w:szCs w:val="15"/>
              </w:rPr>
              <w:t>）t/a</w:t>
            </w:r>
          </w:p>
        </w:tc>
        <w:tc>
          <w:tcPr>
            <w:tcW w:w="983" w:type="pct"/>
            <w:gridSpan w:val="3"/>
            <w:noWrap w:val="0"/>
            <w:vAlign w:val="center"/>
          </w:tcPr>
          <w:p>
            <w:pPr>
              <w:jc w:val="center"/>
              <w:rPr>
                <w:rFonts w:ascii="Times New Roman" w:hAnsi="Times New Roman" w:cs="Times New Roman"/>
                <w:sz w:val="15"/>
                <w:szCs w:val="15"/>
              </w:rPr>
            </w:pPr>
            <w:r>
              <w:rPr>
                <w:rFonts w:ascii="Times New Roman" w:hAnsi="Times New Roman" w:cs="Times New Roman"/>
                <w:sz w:val="15"/>
                <w:szCs w:val="15"/>
              </w:rPr>
              <w:t>VOCs：（）t/a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24"/>
            <w:noWrap w:val="0"/>
            <w:vAlign w:val="center"/>
          </w:tcPr>
          <w:p>
            <w:pPr>
              <w:jc w:val="left"/>
              <w:rPr>
                <w:rFonts w:ascii="Times New Roman" w:hAnsi="Times New Roman" w:cs="Times New Roman"/>
                <w:sz w:val="15"/>
                <w:szCs w:val="15"/>
              </w:rPr>
            </w:pPr>
            <w:r>
              <w:rPr>
                <w:rFonts w:ascii="Times New Roman" w:hAnsi="Times New Roman" w:cs="Times New Roman"/>
                <w:sz w:val="15"/>
                <w:szCs w:val="15"/>
              </w:rPr>
              <w:t>注：“</w:t>
            </w:r>
            <w:r>
              <w:rPr>
                <w:rFonts w:ascii="宋体" w:hAnsi="宋体" w:cs="Times New Roman"/>
                <w:sz w:val="15"/>
                <w:szCs w:val="15"/>
              </w:rPr>
              <w:t>□</w:t>
            </w:r>
            <w:r>
              <w:rPr>
                <w:rFonts w:ascii="Times New Roman" w:hAnsi="Times New Roman" w:cs="Times New Roman"/>
                <w:sz w:val="15"/>
                <w:szCs w:val="15"/>
              </w:rPr>
              <w:t>”为勾选项，填“</w:t>
            </w:r>
            <w:r>
              <w:rPr>
                <w:rFonts w:ascii="宋体" w:hAnsi="宋体" w:cs="Times New Roman"/>
                <w:sz w:val="15"/>
                <w:szCs w:val="15"/>
              </w:rPr>
              <w:t>√</w:t>
            </w:r>
            <w:r>
              <w:rPr>
                <w:rFonts w:ascii="Times New Roman" w:hAnsi="Times New Roman" w:cs="Times New Roman"/>
                <w:sz w:val="15"/>
                <w:szCs w:val="15"/>
              </w:rPr>
              <w:t>”；“（）”为内容填写项</w:t>
            </w:r>
          </w:p>
        </w:tc>
      </w:tr>
    </w:tbl>
    <w:p>
      <w:pPr>
        <w:pStyle w:val="3"/>
        <w:ind w:left="0" w:leftChars="0" w:firstLine="0" w:firstLineChars="0"/>
        <w:rPr>
          <w:rFonts w:hint="default"/>
          <w:lang w:val="en-US" w:eastAsia="zh-CN"/>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331835" cy="4904740"/>
            <wp:effectExtent l="0" t="0" r="12065" b="1016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7"/>
                    <a:stretch>
                      <a:fillRect/>
                    </a:stretch>
                  </pic:blipFill>
                  <pic:spPr>
                    <a:xfrm>
                      <a:off x="0" y="0"/>
                      <a:ext cx="8331835" cy="49047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456295" cy="5050790"/>
            <wp:effectExtent l="0" t="0" r="1905" b="1651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38"/>
                    <a:stretch>
                      <a:fillRect/>
                    </a:stretch>
                  </pic:blipFill>
                  <pic:spPr>
                    <a:xfrm>
                      <a:off x="0" y="0"/>
                      <a:ext cx="8456295" cy="505079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130540" cy="5389880"/>
            <wp:effectExtent l="0" t="0" r="3810" b="1270"/>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39"/>
                    <a:stretch>
                      <a:fillRect/>
                    </a:stretch>
                  </pic:blipFill>
                  <pic:spPr>
                    <a:xfrm>
                      <a:off x="0" y="0"/>
                      <a:ext cx="8130540" cy="5389880"/>
                    </a:xfrm>
                    <a:prstGeom prst="rect">
                      <a:avLst/>
                    </a:prstGeom>
                    <a:noFill/>
                    <a:ln w="9525">
                      <a:noFill/>
                    </a:ln>
                  </pic:spPr>
                </pic:pic>
              </a:graphicData>
            </a:graphic>
          </wp:inline>
        </w:drawing>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7679055" cy="5525770"/>
            <wp:effectExtent l="0" t="0" r="17145" b="1778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40"/>
                    <a:stretch>
                      <a:fillRect/>
                    </a:stretch>
                  </pic:blipFill>
                  <pic:spPr>
                    <a:xfrm>
                      <a:off x="0" y="0"/>
                      <a:ext cx="7679055" cy="55257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301990" cy="5172075"/>
            <wp:effectExtent l="0" t="0" r="3810" b="9525"/>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41"/>
                    <a:stretch>
                      <a:fillRect/>
                    </a:stretch>
                  </pic:blipFill>
                  <pic:spPr>
                    <a:xfrm>
                      <a:off x="0" y="0"/>
                      <a:ext cx="8301990" cy="51720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392160" cy="5302885"/>
            <wp:effectExtent l="0" t="0" r="8890" b="12065"/>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42"/>
                    <a:stretch>
                      <a:fillRect/>
                    </a:stretch>
                  </pic:blipFill>
                  <pic:spPr>
                    <a:xfrm>
                      <a:off x="0" y="0"/>
                      <a:ext cx="8392160" cy="530288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349615" cy="5086985"/>
            <wp:effectExtent l="0" t="0" r="13335" b="18415"/>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43"/>
                    <a:stretch>
                      <a:fillRect/>
                    </a:stretch>
                  </pic:blipFill>
                  <pic:spPr>
                    <a:xfrm>
                      <a:off x="0" y="0"/>
                      <a:ext cx="8349615" cy="5086985"/>
                    </a:xfrm>
                    <a:prstGeom prst="rect">
                      <a:avLst/>
                    </a:prstGeom>
                    <a:noFill/>
                    <a:ln w="9525">
                      <a:noFill/>
                    </a:ln>
                  </pic:spPr>
                </pic:pic>
              </a:graphicData>
            </a:graphic>
          </wp:inline>
        </w:drawing>
      </w:r>
    </w:p>
    <w:p>
      <w:pPr>
        <w:pStyle w:val="3"/>
        <w:ind w:left="0" w:leftChars="0" w:firstLine="0" w:firstLineChars="0"/>
        <w:rPr>
          <w:rFonts w:hint="default"/>
          <w:lang w:val="en-US" w:eastAsia="zh-CN"/>
        </w:rPr>
        <w:sectPr>
          <w:pgSz w:w="16838" w:h="11906" w:orient="landscape"/>
          <w:pgMar w:top="1588" w:right="1701" w:bottom="1588" w:left="1985"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附件</w:t>
      </w:r>
      <w:r>
        <w:rPr>
          <w:rFonts w:ascii="Times New Roman" w:hAnsi="Times New Roman" w:eastAsia="宋体" w:cs="Times New Roman"/>
          <w:b/>
          <w:szCs w:val="21"/>
        </w:rPr>
        <w:t xml:space="preserve">1   </w:t>
      </w:r>
      <w:r>
        <w:rPr>
          <w:rFonts w:hint="eastAsia" w:ascii="Times New Roman" w:hAnsi="Times New Roman" w:eastAsia="宋体" w:cs="Times New Roman"/>
          <w:b/>
          <w:szCs w:val="21"/>
        </w:rPr>
        <w:t>委托书</w:t>
      </w:r>
    </w:p>
    <w:p>
      <w:pPr>
        <w:jc w:val="center"/>
        <w:rPr>
          <w:rFonts w:hint="default" w:ascii="Times New Roman" w:hAnsi="Times New Roman" w:eastAsia="宋体" w:cs="Times New Roman"/>
          <w:lang w:eastAsia="zh-CN"/>
        </w:rPr>
      </w:pPr>
    </w:p>
    <w:p>
      <w:pPr>
        <w:jc w:val="center"/>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委托书</w:t>
      </w:r>
    </w:p>
    <w:p>
      <w:pPr>
        <w:spacing w:line="360" w:lineRule="auto"/>
        <w:ind w:firstLine="560" w:firstLineChars="200"/>
        <w:rPr>
          <w:rFonts w:hint="eastAsia"/>
          <w:color w:val="000000"/>
          <w:sz w:val="28"/>
          <w:szCs w:val="28"/>
        </w:rPr>
      </w:pPr>
    </w:p>
    <w:p>
      <w:pPr>
        <w:spacing w:line="360" w:lineRule="auto"/>
        <w:ind w:firstLine="560" w:firstLineChars="200"/>
        <w:rPr>
          <w:rFonts w:hint="eastAsia"/>
          <w:color w:val="000000"/>
          <w:sz w:val="28"/>
          <w:szCs w:val="28"/>
        </w:rPr>
      </w:pPr>
      <w:r>
        <w:rPr>
          <w:rFonts w:hint="eastAsia"/>
          <w:color w:val="000000"/>
          <w:sz w:val="28"/>
          <w:szCs w:val="28"/>
        </w:rPr>
        <w:t>按照《中华人民共和国环境影响评价法》和国家、河南省建设项目环境管理的有关规定，</w:t>
      </w:r>
      <w:r>
        <w:rPr>
          <w:rFonts w:hint="eastAsia"/>
          <w:color w:val="000000"/>
          <w:sz w:val="28"/>
          <w:szCs w:val="28"/>
          <w:lang w:val="en-US" w:eastAsia="zh-CN"/>
        </w:rPr>
        <w:t>正阳县辉鸿农牧</w:t>
      </w:r>
      <w:r>
        <w:rPr>
          <w:rFonts w:hint="eastAsia"/>
          <w:color w:val="000000"/>
          <w:sz w:val="28"/>
          <w:szCs w:val="28"/>
          <w:lang w:eastAsia="zh-CN"/>
        </w:rPr>
        <w:t>有限公司</w:t>
      </w:r>
      <w:r>
        <w:rPr>
          <w:rFonts w:hint="eastAsia"/>
          <w:color w:val="000000"/>
          <w:sz w:val="28"/>
          <w:szCs w:val="28"/>
          <w:lang w:val="en-US" w:eastAsia="zh-CN"/>
        </w:rPr>
        <w:t>新建年出栏生猪一万头生产项目</w:t>
      </w:r>
      <w:r>
        <w:rPr>
          <w:rFonts w:hint="eastAsia"/>
          <w:color w:val="000000"/>
          <w:sz w:val="28"/>
          <w:szCs w:val="28"/>
        </w:rPr>
        <w:t>需进行环境影响评价，</w:t>
      </w:r>
      <w:r>
        <w:rPr>
          <w:rFonts w:hint="eastAsia"/>
          <w:color w:val="000000"/>
          <w:sz w:val="28"/>
          <w:szCs w:val="28"/>
          <w:lang w:val="en-US" w:eastAsia="zh-CN"/>
        </w:rPr>
        <w:t>正阳县辉鸿农牧</w:t>
      </w:r>
      <w:r>
        <w:rPr>
          <w:rFonts w:hint="eastAsia"/>
          <w:color w:val="000000"/>
          <w:sz w:val="28"/>
          <w:szCs w:val="28"/>
          <w:lang w:eastAsia="zh-CN"/>
        </w:rPr>
        <w:t>有限公司</w:t>
      </w:r>
      <w:r>
        <w:rPr>
          <w:rFonts w:hint="eastAsia"/>
          <w:color w:val="000000"/>
          <w:sz w:val="28"/>
          <w:szCs w:val="28"/>
        </w:rPr>
        <w:t>将该项目的环境影响评价工作委托给</w:t>
      </w:r>
      <w:r>
        <w:rPr>
          <w:rFonts w:hint="eastAsia"/>
          <w:color w:val="000000"/>
          <w:sz w:val="28"/>
          <w:szCs w:val="28"/>
          <w:lang w:val="en-US" w:eastAsia="zh-CN"/>
        </w:rPr>
        <w:t>南京晔美环保服务</w:t>
      </w:r>
      <w:r>
        <w:rPr>
          <w:rFonts w:hint="eastAsia"/>
          <w:color w:val="000000"/>
          <w:sz w:val="28"/>
          <w:szCs w:val="28"/>
        </w:rPr>
        <w:t>有限公司承担，望贵公司接受委托后，尽快按有关技术规范的要求开展环境影响评价工作。</w:t>
      </w: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wordWrap w:val="0"/>
        <w:jc w:val="right"/>
        <w:rPr>
          <w:rFonts w:hint="eastAsia" w:cs="Arial"/>
          <w:color w:val="000000"/>
          <w:sz w:val="28"/>
          <w:szCs w:val="28"/>
        </w:rPr>
      </w:pPr>
      <w:r>
        <w:rPr>
          <w:rFonts w:hint="eastAsia"/>
          <w:sz w:val="28"/>
          <w:szCs w:val="28"/>
        </w:rPr>
        <w:t>委托单位：</w:t>
      </w:r>
      <w:r>
        <w:rPr>
          <w:rFonts w:hint="eastAsia"/>
          <w:b w:val="0"/>
          <w:bCs/>
          <w:sz w:val="28"/>
          <w:szCs w:val="28"/>
          <w:u w:val="none"/>
          <w:lang w:val="en-US" w:eastAsia="zh-CN"/>
        </w:rPr>
        <w:t>正阳县辉鸿农牧</w:t>
      </w:r>
      <w:r>
        <w:rPr>
          <w:rFonts w:hint="eastAsia"/>
          <w:b w:val="0"/>
          <w:bCs/>
          <w:sz w:val="28"/>
          <w:szCs w:val="28"/>
          <w:u w:val="none"/>
          <w:lang w:eastAsia="zh-CN"/>
        </w:rPr>
        <w:t>有限公司</w:t>
      </w:r>
    </w:p>
    <w:p>
      <w:pPr>
        <w:spacing w:line="360" w:lineRule="auto"/>
        <w:rPr>
          <w:rFonts w:ascii="Times New Roman" w:hAnsi="Times New Roman" w:eastAsia="宋体" w:cs="Times New Roman"/>
          <w:b/>
          <w:szCs w:val="21"/>
        </w:rPr>
      </w:pPr>
      <w:r>
        <w:rPr>
          <w:rFonts w:hint="eastAsia"/>
          <w:sz w:val="28"/>
          <w:szCs w:val="28"/>
          <w:lang w:val="en-US" w:eastAsia="zh-CN"/>
        </w:rPr>
        <w:t xml:space="preserve">                                       </w:t>
      </w:r>
      <w:r>
        <w:rPr>
          <w:rFonts w:hint="eastAsia"/>
          <w:sz w:val="28"/>
          <w:szCs w:val="28"/>
        </w:rPr>
        <w:t>二</w:t>
      </w:r>
      <w:r>
        <w:rPr>
          <w:sz w:val="28"/>
          <w:szCs w:val="28"/>
        </w:rPr>
        <w:t>○</w:t>
      </w:r>
      <w:r>
        <w:rPr>
          <w:rFonts w:hint="eastAsia"/>
          <w:sz w:val="28"/>
          <w:szCs w:val="28"/>
        </w:rPr>
        <w:t>二</w:t>
      </w:r>
      <w:r>
        <w:rPr>
          <w:sz w:val="28"/>
          <w:szCs w:val="28"/>
        </w:rPr>
        <w:t>○</w:t>
      </w:r>
      <w:r>
        <w:rPr>
          <w:rFonts w:hint="eastAsia"/>
          <w:sz w:val="28"/>
          <w:szCs w:val="28"/>
        </w:rPr>
        <w:t>年</w:t>
      </w:r>
      <w:r>
        <w:rPr>
          <w:rFonts w:hint="eastAsia"/>
          <w:sz w:val="28"/>
          <w:szCs w:val="28"/>
          <w:lang w:val="en-US" w:eastAsia="zh-CN"/>
        </w:rPr>
        <w:t>四月</w:t>
      </w:r>
      <w:r>
        <w:rPr>
          <w:rFonts w:hint="eastAsia" w:ascii="Times New Roman" w:hAnsi="Times New Roman" w:cs="Times New Roman"/>
          <w:sz w:val="28"/>
          <w:szCs w:val="28"/>
          <w:lang w:val="en-US" w:eastAsia="zh-CN"/>
        </w:rPr>
        <w:br w:type="page"/>
      </w:r>
    </w:p>
    <w:p>
      <w:pPr>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附件</w:t>
      </w:r>
      <w:r>
        <w:rPr>
          <w:rFonts w:ascii="Times New Roman" w:hAnsi="Times New Roman" w:eastAsia="宋体" w:cs="Times New Roman"/>
          <w:b/>
          <w:szCs w:val="21"/>
        </w:rPr>
        <w:t xml:space="preserve">2    </w:t>
      </w:r>
      <w:r>
        <w:rPr>
          <w:rFonts w:hint="eastAsia" w:ascii="Times New Roman" w:hAnsi="Times New Roman" w:eastAsia="宋体" w:cs="Times New Roman"/>
          <w:b/>
          <w:szCs w:val="21"/>
        </w:rPr>
        <w:t>企业投资项目备案证明</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092700" cy="7202170"/>
            <wp:effectExtent l="0" t="0" r="12700" b="17780"/>
            <wp:docPr id="91" name="图片 91" descr="IMG_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4720"/>
                    <pic:cNvPicPr>
                      <a:picLocks noChangeAspect="1"/>
                    </pic:cNvPicPr>
                  </pic:nvPicPr>
                  <pic:blipFill>
                    <a:blip r:embed="rId44"/>
                    <a:stretch>
                      <a:fillRect/>
                    </a:stretch>
                  </pic:blipFill>
                  <pic:spPr>
                    <a:xfrm>
                      <a:off x="0" y="0"/>
                      <a:ext cx="5092700" cy="7202170"/>
                    </a:xfrm>
                    <a:prstGeom prst="rect">
                      <a:avLst/>
                    </a:prstGeom>
                  </pic:spPr>
                </pic:pic>
              </a:graphicData>
            </a:graphic>
          </wp:inline>
        </w:drawing>
      </w:r>
    </w:p>
    <w:p>
      <w:pPr>
        <w:keepNext w:val="0"/>
        <w:keepLines w:val="0"/>
        <w:widowControl/>
        <w:suppressLineNumbers w:val="0"/>
        <w:jc w:val="left"/>
      </w:pPr>
    </w:p>
    <w:p>
      <w:pPr>
        <w:pStyle w:val="3"/>
        <w:ind w:left="0" w:leftChars="0" w:firstLine="0" w:firstLineChars="0"/>
        <w:rPr>
          <w:rFonts w:hint="default"/>
          <w:lang w:val="en-US" w:eastAsia="zh-CN"/>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rPr>
          <w:rFonts w:hint="default" w:ascii="Times New Roman" w:hAnsi="Times New Roman" w:eastAsia="宋体" w:cs="Times New Roman"/>
          <w:b/>
          <w:szCs w:val="21"/>
          <w:lang w:val="en-US" w:eastAsia="zh-CN"/>
        </w:rPr>
      </w:pPr>
      <w:r>
        <w:rPr>
          <w:rFonts w:hint="eastAsia" w:ascii="Times New Roman" w:hAnsi="Times New Roman" w:eastAsia="宋体" w:cs="Times New Roman"/>
          <w:b/>
          <w:szCs w:val="21"/>
        </w:rPr>
        <w:t>附件</w:t>
      </w:r>
      <w:r>
        <w:rPr>
          <w:rFonts w:ascii="Times New Roman" w:hAnsi="Times New Roman" w:eastAsia="宋体" w:cs="Times New Roman"/>
          <w:b/>
          <w:szCs w:val="21"/>
        </w:rPr>
        <w:t xml:space="preserve">3   </w:t>
      </w:r>
      <w:r>
        <w:rPr>
          <w:rFonts w:hint="eastAsia" w:ascii="Times New Roman" w:hAnsi="Times New Roman" w:eastAsia="宋体" w:cs="Times New Roman"/>
          <w:b/>
          <w:szCs w:val="21"/>
          <w:lang w:val="en-US" w:eastAsia="zh-CN"/>
        </w:rPr>
        <w:t>用地手续</w:t>
      </w:r>
    </w:p>
    <w:p>
      <w:pPr>
        <w:spacing w:line="360" w:lineRule="auto"/>
        <w:rPr>
          <w:rFonts w:hint="eastAsia"/>
          <w:lang w:eastAsia="zh-CN"/>
        </w:rPr>
      </w:pPr>
      <w:r>
        <w:rPr>
          <w:rFonts w:hint="eastAsia"/>
          <w:lang w:eastAsia="zh-CN"/>
        </w:rPr>
        <w:drawing>
          <wp:inline distT="0" distB="0" distL="114300" distR="114300">
            <wp:extent cx="5293995" cy="7485380"/>
            <wp:effectExtent l="0" t="0" r="1905" b="1270"/>
            <wp:docPr id="92" name="图片 92" descr="IMG_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4721"/>
                    <pic:cNvPicPr>
                      <a:picLocks noChangeAspect="1"/>
                    </pic:cNvPicPr>
                  </pic:nvPicPr>
                  <pic:blipFill>
                    <a:blip r:embed="rId45"/>
                    <a:stretch>
                      <a:fillRect/>
                    </a:stretch>
                  </pic:blipFill>
                  <pic:spPr>
                    <a:xfrm>
                      <a:off x="0" y="0"/>
                      <a:ext cx="5293995" cy="7485380"/>
                    </a:xfrm>
                    <a:prstGeom prst="rect">
                      <a:avLst/>
                    </a:prstGeom>
                  </pic:spPr>
                </pic:pic>
              </a:graphicData>
            </a:graphic>
          </wp:inline>
        </w:drawing>
      </w:r>
    </w:p>
    <w:p>
      <w:pPr>
        <w:pStyle w:val="2"/>
        <w:ind w:left="0" w:leftChars="0" w:firstLine="0" w:firstLineChars="0"/>
        <w:rPr>
          <w:rFonts w:hint="eastAsia"/>
          <w:lang w:eastAsia="zh-CN"/>
        </w:rPr>
      </w:pPr>
      <w:r>
        <w:rPr>
          <w:rFonts w:hint="eastAsia"/>
          <w:lang w:eastAsia="zh-CN"/>
        </w:rPr>
        <w:drawing>
          <wp:inline distT="0" distB="0" distL="114300" distR="114300">
            <wp:extent cx="5406390" cy="7646035"/>
            <wp:effectExtent l="0" t="0" r="3810" b="12065"/>
            <wp:docPr id="93" name="图片 93" descr="IMG_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4722"/>
                    <pic:cNvPicPr>
                      <a:picLocks noChangeAspect="1"/>
                    </pic:cNvPicPr>
                  </pic:nvPicPr>
                  <pic:blipFill>
                    <a:blip r:embed="rId46"/>
                    <a:stretch>
                      <a:fillRect/>
                    </a:stretch>
                  </pic:blipFill>
                  <pic:spPr>
                    <a:xfrm>
                      <a:off x="0" y="0"/>
                      <a:ext cx="5406390" cy="764603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pPr>
    </w:p>
    <w:p>
      <w:pPr>
        <w:pStyle w:val="2"/>
        <w:sectPr>
          <w:pgSz w:w="11906" w:h="16838"/>
          <w:pgMar w:top="1701" w:right="1588" w:bottom="1985" w:left="1588" w:header="851" w:footer="992" w:gutter="0"/>
          <w:pgBorders>
            <w:top w:val="none" w:sz="0" w:space="0"/>
            <w:left w:val="none" w:sz="0" w:space="0"/>
            <w:bottom w:val="none" w:sz="0" w:space="0"/>
            <w:right w:val="none" w:sz="0" w:space="0"/>
          </w:pgBorders>
          <w:cols w:space="720" w:num="1"/>
          <w:docGrid w:linePitch="312" w:charSpace="0"/>
        </w:sectPr>
      </w:pPr>
    </w:p>
    <w:p>
      <w:pPr>
        <w:pStyle w:val="3"/>
        <w:rPr>
          <w:rFonts w:hint="eastAsia"/>
          <w:lang w:val="en-US" w:eastAsia="zh-CN"/>
        </w:rPr>
      </w:pPr>
      <w:r>
        <w:rPr>
          <w:rFonts w:hint="eastAsia"/>
          <w:lang w:val="en-US" w:eastAsia="zh-CN"/>
        </w:rPr>
        <w:t>附件4 租赁协议</w:t>
      </w:r>
    </w:p>
    <w:p>
      <w:pPr>
        <w:pStyle w:val="3"/>
        <w:rPr>
          <w:rFonts w:hint="eastAsia"/>
          <w:lang w:val="en-US" w:eastAsia="zh-CN"/>
        </w:rPr>
      </w:pPr>
      <w:r>
        <w:rPr>
          <w:rFonts w:hint="default"/>
          <w:lang w:val="en-US" w:eastAsia="zh-CN"/>
        </w:rPr>
        <w:drawing>
          <wp:inline distT="0" distB="0" distL="114300" distR="114300">
            <wp:extent cx="5079365" cy="7181850"/>
            <wp:effectExtent l="0" t="0" r="6985" b="0"/>
            <wp:docPr id="94" name="图片 94" descr="IMG_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4723"/>
                    <pic:cNvPicPr>
                      <a:picLocks noChangeAspect="1"/>
                    </pic:cNvPicPr>
                  </pic:nvPicPr>
                  <pic:blipFill>
                    <a:blip r:embed="rId47"/>
                    <a:stretch>
                      <a:fillRect/>
                    </a:stretch>
                  </pic:blipFill>
                  <pic:spPr>
                    <a:xfrm>
                      <a:off x="0" y="0"/>
                      <a:ext cx="5079365" cy="7181850"/>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5462905" cy="7725410"/>
            <wp:effectExtent l="0" t="0" r="4445" b="8890"/>
            <wp:docPr id="95" name="图片 95" descr="IMG_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4724"/>
                    <pic:cNvPicPr>
                      <a:picLocks noChangeAspect="1"/>
                    </pic:cNvPicPr>
                  </pic:nvPicPr>
                  <pic:blipFill>
                    <a:blip r:embed="rId48"/>
                    <a:stretch>
                      <a:fillRect/>
                    </a:stretch>
                  </pic:blipFill>
                  <pic:spPr>
                    <a:xfrm>
                      <a:off x="0" y="0"/>
                      <a:ext cx="5462905" cy="77254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450840" cy="7708900"/>
            <wp:effectExtent l="0" t="0" r="16510" b="6350"/>
            <wp:docPr id="96" name="图片 96" descr="IMG_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4725"/>
                    <pic:cNvPicPr>
                      <a:picLocks noChangeAspect="1"/>
                    </pic:cNvPicPr>
                  </pic:nvPicPr>
                  <pic:blipFill>
                    <a:blip r:embed="rId49"/>
                    <a:stretch>
                      <a:fillRect/>
                    </a:stretch>
                  </pic:blipFill>
                  <pic:spPr>
                    <a:xfrm>
                      <a:off x="0" y="0"/>
                      <a:ext cx="5450840" cy="770890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
        <w:rPr>
          <w:rFonts w:hint="eastAsia"/>
          <w:lang w:val="en-US" w:eastAsia="zh-CN"/>
        </w:rPr>
      </w:pPr>
      <w:r>
        <w:rPr>
          <w:rFonts w:hint="eastAsia"/>
          <w:lang w:val="en-US" w:eastAsia="zh-CN"/>
        </w:rPr>
        <w:t>附件5 营业执照</w:t>
      </w: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r>
        <w:rPr>
          <w:rFonts w:hint="default"/>
          <w:lang w:val="en-US" w:eastAsia="zh-CN"/>
        </w:rPr>
        <w:drawing>
          <wp:inline distT="0" distB="0" distL="114300" distR="114300">
            <wp:extent cx="5184775" cy="3260725"/>
            <wp:effectExtent l="0" t="0" r="15875" b="15875"/>
            <wp:docPr id="97" name="图片 97" descr="IMG_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4726"/>
                    <pic:cNvPicPr>
                      <a:picLocks noChangeAspect="1"/>
                    </pic:cNvPicPr>
                  </pic:nvPicPr>
                  <pic:blipFill>
                    <a:blip r:embed="rId50"/>
                    <a:stretch>
                      <a:fillRect/>
                    </a:stretch>
                  </pic:blipFill>
                  <pic:spPr>
                    <a:xfrm rot="5400000">
                      <a:off x="0" y="0"/>
                      <a:ext cx="5184775" cy="3260725"/>
                    </a:xfrm>
                    <a:prstGeom prst="rect">
                      <a:avLst/>
                    </a:prstGeom>
                  </pic:spPr>
                </pic:pic>
              </a:graphicData>
            </a:graphic>
          </wp:inline>
        </w:drawing>
      </w: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sectPr>
          <w:pgSz w:w="11906" w:h="16838"/>
          <w:pgMar w:top="1701" w:right="1588" w:bottom="1985" w:left="1588" w:header="851" w:footer="992" w:gutter="0"/>
          <w:pgBorders>
            <w:top w:val="none" w:sz="0" w:space="0"/>
            <w:left w:val="none" w:sz="0" w:space="0"/>
            <w:bottom w:val="none" w:sz="0" w:space="0"/>
            <w:right w:val="none" w:sz="0" w:space="0"/>
          </w:pgBorders>
          <w:cols w:space="720" w:num="1"/>
          <w:docGrid w:linePitch="312" w:charSpace="0"/>
        </w:sectPr>
      </w:pPr>
    </w:p>
    <w:p>
      <w:pPr>
        <w:keepNext w:val="0"/>
        <w:keepLines w:val="0"/>
        <w:widowControl/>
        <w:suppressLineNumbers w:val="0"/>
        <w:jc w:val="left"/>
        <w:rPr>
          <w:rFonts w:hint="default"/>
          <w:lang w:val="en-US" w:eastAsia="zh-CN"/>
        </w:rPr>
      </w:pPr>
      <w:r>
        <w:rPr>
          <w:rFonts w:ascii="宋体" w:hAnsi="宋体" w:eastAsia="宋体" w:cs="宋体"/>
          <w:kern w:val="0"/>
          <w:sz w:val="24"/>
          <w:szCs w:val="24"/>
          <w:lang w:val="en-US" w:eastAsia="zh-CN" w:bidi="ar"/>
        </w:rPr>
        <w:drawing>
          <wp:inline distT="0" distB="0" distL="114300" distR="114300">
            <wp:extent cx="8322945" cy="5441950"/>
            <wp:effectExtent l="0" t="0" r="1905" b="6350"/>
            <wp:docPr id="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56"/>
                    <pic:cNvPicPr>
                      <a:picLocks noChangeAspect="1"/>
                    </pic:cNvPicPr>
                  </pic:nvPicPr>
                  <pic:blipFill>
                    <a:blip r:embed="rId51"/>
                    <a:stretch>
                      <a:fillRect/>
                    </a:stretch>
                  </pic:blipFill>
                  <pic:spPr>
                    <a:xfrm>
                      <a:off x="0" y="0"/>
                      <a:ext cx="8322945" cy="5441950"/>
                    </a:xfrm>
                    <a:prstGeom prst="rect">
                      <a:avLst/>
                    </a:prstGeom>
                    <a:noFill/>
                    <a:ln w="9525">
                      <a:noFill/>
                    </a:ln>
                  </pic:spPr>
                </pic:pic>
              </a:graphicData>
            </a:graphic>
          </wp:inline>
        </w:drawing>
      </w:r>
    </w:p>
    <w:sectPr>
      <w:pgSz w:w="16838" w:h="11906" w:orient="landscape"/>
      <w:pgMar w:top="1588" w:right="1701" w:bottom="1588" w:left="1985" w:header="851" w:footer="992" w:gutter="0"/>
      <w:pgBorders w:offsetFrom="page">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72085"/>
    </w:sdtPr>
    <w:sdtContent>
      <w:p>
        <w:pPr>
          <w:pStyle w:val="29"/>
          <w:pBdr>
            <w:top w:val="none" w:color="auto" w:sz="0" w:space="0"/>
            <w:left w:val="none" w:color="auto" w:sz="0" w:space="0"/>
            <w:bottom w:val="none" w:color="auto" w:sz="0" w:space="0"/>
            <w:right w:val="none" w:color="auto" w:sz="0" w:space="0"/>
          </w:pBdr>
          <w:spacing w:before="240" w:after="120"/>
          <w:ind w:firstLine="420"/>
          <w:jc w:val="center"/>
        </w:pPr>
        <w:r>
          <w:fldChar w:fldCharType="begin"/>
        </w:r>
        <w:r>
          <w:instrText xml:space="preserve"> PAGE   \* MERGEFORMAT </w:instrText>
        </w:r>
        <w:r>
          <w:fldChar w:fldCharType="separate"/>
        </w:r>
        <w:r>
          <w:rPr>
            <w:lang w:val="zh-CN"/>
          </w:rPr>
          <w:t>72</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eastAsia="黑体"/>
        <w:szCs w:val="21"/>
      </w:rPr>
    </w:pPr>
    <w:r>
      <w:pict>
        <v:shape id="文本框 2066" o:spid="_x0000_s5121" o:spt="202" type="#_x0000_t202" style="position:absolute;left:0pt;margin-top:0pt;height:20.7pt;width:2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177</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9E970D"/>
    <w:multiLevelType w:val="singleLevel"/>
    <w:tmpl w:val="D79E970D"/>
    <w:lvl w:ilvl="0" w:tentative="0">
      <w:start w:val="1"/>
      <w:numFmt w:val="chineseCounting"/>
      <w:suff w:val="space"/>
      <w:lvlText w:val="第%1章"/>
      <w:lvlJc w:val="left"/>
      <w:rPr>
        <w:rFonts w:hint="eastAsia"/>
      </w:rPr>
    </w:lvl>
  </w:abstractNum>
  <w:abstractNum w:abstractNumId="1">
    <w:nsid w:val="63335C8E"/>
    <w:multiLevelType w:val="multilevel"/>
    <w:tmpl w:val="63335C8E"/>
    <w:lvl w:ilvl="0" w:tentative="0">
      <w:start w:val="1"/>
      <w:numFmt w:val="decimalEnclosedCircle"/>
      <w:lvlText w:val="%1"/>
      <w:lvlJc w:val="left"/>
      <w:pPr>
        <w:ind w:left="816" w:hanging="360"/>
      </w:pPr>
      <w:rPr>
        <w:rFonts w:hint="default" w:ascii="宋体" w:hAnsi="宋体" w:cs="宋体"/>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2">
    <w:nsid w:val="76B439A5"/>
    <w:multiLevelType w:val="multilevel"/>
    <w:tmpl w:val="76B439A5"/>
    <w:lvl w:ilvl="0" w:tentative="0">
      <w:start w:val="1"/>
      <w:numFmt w:val="decimalEnclosedCircle"/>
      <w:lvlText w:val="%1"/>
      <w:lvlJc w:val="left"/>
      <w:pPr>
        <w:ind w:left="1069" w:hanging="360"/>
      </w:pPr>
      <w:rPr>
        <w:rFonts w:hint="default" w:ascii="宋体" w:hAnsi="宋体" w:cs="宋体"/>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5"/>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B87"/>
    <w:rsid w:val="000033B1"/>
    <w:rsid w:val="00004BA0"/>
    <w:rsid w:val="00004D2C"/>
    <w:rsid w:val="00007AB9"/>
    <w:rsid w:val="000110F9"/>
    <w:rsid w:val="000119FF"/>
    <w:rsid w:val="00012CA0"/>
    <w:rsid w:val="000141AA"/>
    <w:rsid w:val="0001616F"/>
    <w:rsid w:val="0001649B"/>
    <w:rsid w:val="000240C4"/>
    <w:rsid w:val="00024C90"/>
    <w:rsid w:val="000264FD"/>
    <w:rsid w:val="000267CD"/>
    <w:rsid w:val="000277CE"/>
    <w:rsid w:val="0003099D"/>
    <w:rsid w:val="0003175B"/>
    <w:rsid w:val="00031E6F"/>
    <w:rsid w:val="00033470"/>
    <w:rsid w:val="00034450"/>
    <w:rsid w:val="000351C8"/>
    <w:rsid w:val="000370B8"/>
    <w:rsid w:val="00037AB5"/>
    <w:rsid w:val="00037DEB"/>
    <w:rsid w:val="0004145F"/>
    <w:rsid w:val="00042337"/>
    <w:rsid w:val="00044EF9"/>
    <w:rsid w:val="000450B5"/>
    <w:rsid w:val="00045775"/>
    <w:rsid w:val="00045A61"/>
    <w:rsid w:val="00050A4D"/>
    <w:rsid w:val="00050DD0"/>
    <w:rsid w:val="00050F85"/>
    <w:rsid w:val="0005134B"/>
    <w:rsid w:val="0005265F"/>
    <w:rsid w:val="00055940"/>
    <w:rsid w:val="00056040"/>
    <w:rsid w:val="00056DA9"/>
    <w:rsid w:val="00057B83"/>
    <w:rsid w:val="00060374"/>
    <w:rsid w:val="00060C47"/>
    <w:rsid w:val="00061079"/>
    <w:rsid w:val="00063669"/>
    <w:rsid w:val="000710D8"/>
    <w:rsid w:val="0007149A"/>
    <w:rsid w:val="0007187F"/>
    <w:rsid w:val="00072960"/>
    <w:rsid w:val="00073FED"/>
    <w:rsid w:val="0007428C"/>
    <w:rsid w:val="00074EA7"/>
    <w:rsid w:val="00076B68"/>
    <w:rsid w:val="00076CC4"/>
    <w:rsid w:val="00077CC3"/>
    <w:rsid w:val="00080302"/>
    <w:rsid w:val="00084715"/>
    <w:rsid w:val="00085492"/>
    <w:rsid w:val="00090909"/>
    <w:rsid w:val="0009234C"/>
    <w:rsid w:val="00096B59"/>
    <w:rsid w:val="000A0413"/>
    <w:rsid w:val="000A1E84"/>
    <w:rsid w:val="000A228D"/>
    <w:rsid w:val="000A28EB"/>
    <w:rsid w:val="000A39FF"/>
    <w:rsid w:val="000A5436"/>
    <w:rsid w:val="000A564B"/>
    <w:rsid w:val="000A711A"/>
    <w:rsid w:val="000A7ACB"/>
    <w:rsid w:val="000B249A"/>
    <w:rsid w:val="000B3521"/>
    <w:rsid w:val="000B7269"/>
    <w:rsid w:val="000C05CF"/>
    <w:rsid w:val="000C06C8"/>
    <w:rsid w:val="000C18C9"/>
    <w:rsid w:val="000C1F9E"/>
    <w:rsid w:val="000C2EBD"/>
    <w:rsid w:val="000C317F"/>
    <w:rsid w:val="000C686F"/>
    <w:rsid w:val="000D3C37"/>
    <w:rsid w:val="000D3EA0"/>
    <w:rsid w:val="000D4FBD"/>
    <w:rsid w:val="000D6294"/>
    <w:rsid w:val="000E2FA0"/>
    <w:rsid w:val="000E3CAE"/>
    <w:rsid w:val="000E3F62"/>
    <w:rsid w:val="000E458A"/>
    <w:rsid w:val="000E54CA"/>
    <w:rsid w:val="000E5659"/>
    <w:rsid w:val="000E698E"/>
    <w:rsid w:val="000E772D"/>
    <w:rsid w:val="000E7921"/>
    <w:rsid w:val="000F1E5E"/>
    <w:rsid w:val="000F1E71"/>
    <w:rsid w:val="000F1FA9"/>
    <w:rsid w:val="000F2DC3"/>
    <w:rsid w:val="000F63DE"/>
    <w:rsid w:val="000F72CD"/>
    <w:rsid w:val="000F7813"/>
    <w:rsid w:val="001007AD"/>
    <w:rsid w:val="00104478"/>
    <w:rsid w:val="0010519A"/>
    <w:rsid w:val="00105CE6"/>
    <w:rsid w:val="00106ED5"/>
    <w:rsid w:val="00107EA0"/>
    <w:rsid w:val="001108B5"/>
    <w:rsid w:val="00110A84"/>
    <w:rsid w:val="00111B21"/>
    <w:rsid w:val="0011208B"/>
    <w:rsid w:val="00112A16"/>
    <w:rsid w:val="0011321F"/>
    <w:rsid w:val="001137C1"/>
    <w:rsid w:val="00114556"/>
    <w:rsid w:val="00114915"/>
    <w:rsid w:val="00114983"/>
    <w:rsid w:val="00116016"/>
    <w:rsid w:val="00117328"/>
    <w:rsid w:val="0012079B"/>
    <w:rsid w:val="00122AB3"/>
    <w:rsid w:val="00122EA2"/>
    <w:rsid w:val="0012331A"/>
    <w:rsid w:val="00123C7B"/>
    <w:rsid w:val="00124EFE"/>
    <w:rsid w:val="001264FA"/>
    <w:rsid w:val="00126528"/>
    <w:rsid w:val="00130CF1"/>
    <w:rsid w:val="00131BA5"/>
    <w:rsid w:val="00133A50"/>
    <w:rsid w:val="00133AF4"/>
    <w:rsid w:val="00133D80"/>
    <w:rsid w:val="001374C1"/>
    <w:rsid w:val="00143A98"/>
    <w:rsid w:val="00143C76"/>
    <w:rsid w:val="00147C40"/>
    <w:rsid w:val="00151675"/>
    <w:rsid w:val="00153853"/>
    <w:rsid w:val="00153B43"/>
    <w:rsid w:val="00156D42"/>
    <w:rsid w:val="00160742"/>
    <w:rsid w:val="00160AFF"/>
    <w:rsid w:val="00161A07"/>
    <w:rsid w:val="001628BB"/>
    <w:rsid w:val="00162C74"/>
    <w:rsid w:val="001640C0"/>
    <w:rsid w:val="00164D54"/>
    <w:rsid w:val="001671AF"/>
    <w:rsid w:val="00167D68"/>
    <w:rsid w:val="00172A27"/>
    <w:rsid w:val="001814C5"/>
    <w:rsid w:val="00181983"/>
    <w:rsid w:val="00181C48"/>
    <w:rsid w:val="00181EB2"/>
    <w:rsid w:val="00183695"/>
    <w:rsid w:val="00184471"/>
    <w:rsid w:val="00185AA6"/>
    <w:rsid w:val="00185F0B"/>
    <w:rsid w:val="00187088"/>
    <w:rsid w:val="001909ED"/>
    <w:rsid w:val="001912F4"/>
    <w:rsid w:val="001917F2"/>
    <w:rsid w:val="00192E57"/>
    <w:rsid w:val="00193257"/>
    <w:rsid w:val="00194626"/>
    <w:rsid w:val="00194798"/>
    <w:rsid w:val="001A1BA5"/>
    <w:rsid w:val="001A3AD7"/>
    <w:rsid w:val="001A4E90"/>
    <w:rsid w:val="001A7E6F"/>
    <w:rsid w:val="001B08B4"/>
    <w:rsid w:val="001B1F82"/>
    <w:rsid w:val="001B206A"/>
    <w:rsid w:val="001B2FD9"/>
    <w:rsid w:val="001B3A64"/>
    <w:rsid w:val="001B4551"/>
    <w:rsid w:val="001B5F15"/>
    <w:rsid w:val="001B69DF"/>
    <w:rsid w:val="001B7808"/>
    <w:rsid w:val="001B7D8B"/>
    <w:rsid w:val="001C0773"/>
    <w:rsid w:val="001C1FF9"/>
    <w:rsid w:val="001C37E6"/>
    <w:rsid w:val="001C60E5"/>
    <w:rsid w:val="001C7F18"/>
    <w:rsid w:val="001D2699"/>
    <w:rsid w:val="001D338A"/>
    <w:rsid w:val="001D3D1B"/>
    <w:rsid w:val="001D41FE"/>
    <w:rsid w:val="001D583A"/>
    <w:rsid w:val="001D660B"/>
    <w:rsid w:val="001D6DFE"/>
    <w:rsid w:val="001E1433"/>
    <w:rsid w:val="001E1883"/>
    <w:rsid w:val="001E18A4"/>
    <w:rsid w:val="001E5E07"/>
    <w:rsid w:val="001E7D51"/>
    <w:rsid w:val="001F1AD2"/>
    <w:rsid w:val="001F2376"/>
    <w:rsid w:val="001F41CC"/>
    <w:rsid w:val="001F49B4"/>
    <w:rsid w:val="001F58C7"/>
    <w:rsid w:val="001F7319"/>
    <w:rsid w:val="001F7541"/>
    <w:rsid w:val="001F7AAE"/>
    <w:rsid w:val="002011AE"/>
    <w:rsid w:val="002029D6"/>
    <w:rsid w:val="00203379"/>
    <w:rsid w:val="002043FD"/>
    <w:rsid w:val="00204EE3"/>
    <w:rsid w:val="00206832"/>
    <w:rsid w:val="002073E2"/>
    <w:rsid w:val="00212F31"/>
    <w:rsid w:val="00213B7C"/>
    <w:rsid w:val="00214C3C"/>
    <w:rsid w:val="00220800"/>
    <w:rsid w:val="0022224E"/>
    <w:rsid w:val="00222601"/>
    <w:rsid w:val="00223817"/>
    <w:rsid w:val="00223E78"/>
    <w:rsid w:val="00224D46"/>
    <w:rsid w:val="00224EEE"/>
    <w:rsid w:val="00225248"/>
    <w:rsid w:val="0022590C"/>
    <w:rsid w:val="0022612C"/>
    <w:rsid w:val="00227ADE"/>
    <w:rsid w:val="00230635"/>
    <w:rsid w:val="00231791"/>
    <w:rsid w:val="00232343"/>
    <w:rsid w:val="00233238"/>
    <w:rsid w:val="002343E5"/>
    <w:rsid w:val="002353E6"/>
    <w:rsid w:val="0023563E"/>
    <w:rsid w:val="00235D04"/>
    <w:rsid w:val="002361DA"/>
    <w:rsid w:val="00237CA0"/>
    <w:rsid w:val="00240C0E"/>
    <w:rsid w:val="00243D77"/>
    <w:rsid w:val="00244F0B"/>
    <w:rsid w:val="00245DEB"/>
    <w:rsid w:val="0024719D"/>
    <w:rsid w:val="00252081"/>
    <w:rsid w:val="00252970"/>
    <w:rsid w:val="00252C2D"/>
    <w:rsid w:val="002544BF"/>
    <w:rsid w:val="00257805"/>
    <w:rsid w:val="00260601"/>
    <w:rsid w:val="00260651"/>
    <w:rsid w:val="00261A18"/>
    <w:rsid w:val="002625E0"/>
    <w:rsid w:val="00262D43"/>
    <w:rsid w:val="00264793"/>
    <w:rsid w:val="0026679E"/>
    <w:rsid w:val="00266E24"/>
    <w:rsid w:val="00270672"/>
    <w:rsid w:val="00271028"/>
    <w:rsid w:val="00275A7F"/>
    <w:rsid w:val="0028064D"/>
    <w:rsid w:val="00281F6D"/>
    <w:rsid w:val="00282E8A"/>
    <w:rsid w:val="00285957"/>
    <w:rsid w:val="00287D8F"/>
    <w:rsid w:val="00290851"/>
    <w:rsid w:val="002913C7"/>
    <w:rsid w:val="0029197D"/>
    <w:rsid w:val="00293A66"/>
    <w:rsid w:val="00294535"/>
    <w:rsid w:val="002948F4"/>
    <w:rsid w:val="002959DB"/>
    <w:rsid w:val="00296224"/>
    <w:rsid w:val="00297ECD"/>
    <w:rsid w:val="002A03F5"/>
    <w:rsid w:val="002A0E8B"/>
    <w:rsid w:val="002A1CA1"/>
    <w:rsid w:val="002A23CB"/>
    <w:rsid w:val="002A4680"/>
    <w:rsid w:val="002A4C17"/>
    <w:rsid w:val="002A4C83"/>
    <w:rsid w:val="002A58FD"/>
    <w:rsid w:val="002A6DAF"/>
    <w:rsid w:val="002B0423"/>
    <w:rsid w:val="002B04D0"/>
    <w:rsid w:val="002B0685"/>
    <w:rsid w:val="002B0CA2"/>
    <w:rsid w:val="002B0E1D"/>
    <w:rsid w:val="002B0E69"/>
    <w:rsid w:val="002B2E45"/>
    <w:rsid w:val="002B3F85"/>
    <w:rsid w:val="002B6A6F"/>
    <w:rsid w:val="002B6EE2"/>
    <w:rsid w:val="002B79B7"/>
    <w:rsid w:val="002C400B"/>
    <w:rsid w:val="002C4E18"/>
    <w:rsid w:val="002C5E32"/>
    <w:rsid w:val="002D1B68"/>
    <w:rsid w:val="002E0B63"/>
    <w:rsid w:val="002E2B49"/>
    <w:rsid w:val="002E2FBC"/>
    <w:rsid w:val="002E44A7"/>
    <w:rsid w:val="002E5DD5"/>
    <w:rsid w:val="002E5F28"/>
    <w:rsid w:val="002F03C0"/>
    <w:rsid w:val="002F1AD4"/>
    <w:rsid w:val="002F1CB9"/>
    <w:rsid w:val="002F2891"/>
    <w:rsid w:val="002F30FF"/>
    <w:rsid w:val="002F372A"/>
    <w:rsid w:val="002F38C3"/>
    <w:rsid w:val="002F5315"/>
    <w:rsid w:val="002F53EE"/>
    <w:rsid w:val="003024D4"/>
    <w:rsid w:val="0030304C"/>
    <w:rsid w:val="0030556C"/>
    <w:rsid w:val="00305CCD"/>
    <w:rsid w:val="00306037"/>
    <w:rsid w:val="00306112"/>
    <w:rsid w:val="00306CE2"/>
    <w:rsid w:val="00307669"/>
    <w:rsid w:val="00310846"/>
    <w:rsid w:val="003109E6"/>
    <w:rsid w:val="0031267A"/>
    <w:rsid w:val="0031332A"/>
    <w:rsid w:val="00316837"/>
    <w:rsid w:val="00316F6A"/>
    <w:rsid w:val="00320E3B"/>
    <w:rsid w:val="003210E1"/>
    <w:rsid w:val="00322578"/>
    <w:rsid w:val="003230D9"/>
    <w:rsid w:val="003234AA"/>
    <w:rsid w:val="00323D9A"/>
    <w:rsid w:val="00323DC9"/>
    <w:rsid w:val="003243E1"/>
    <w:rsid w:val="00326064"/>
    <w:rsid w:val="0032737C"/>
    <w:rsid w:val="00331972"/>
    <w:rsid w:val="00333446"/>
    <w:rsid w:val="0033379B"/>
    <w:rsid w:val="00334125"/>
    <w:rsid w:val="00334B8A"/>
    <w:rsid w:val="003405D3"/>
    <w:rsid w:val="003406AB"/>
    <w:rsid w:val="00340F28"/>
    <w:rsid w:val="003431A7"/>
    <w:rsid w:val="003469AE"/>
    <w:rsid w:val="00346E9E"/>
    <w:rsid w:val="00350DA1"/>
    <w:rsid w:val="00351312"/>
    <w:rsid w:val="003515D2"/>
    <w:rsid w:val="00351CBB"/>
    <w:rsid w:val="00351EFA"/>
    <w:rsid w:val="00353EED"/>
    <w:rsid w:val="00355A88"/>
    <w:rsid w:val="003610D9"/>
    <w:rsid w:val="0036161F"/>
    <w:rsid w:val="003627DE"/>
    <w:rsid w:val="003645B0"/>
    <w:rsid w:val="00367913"/>
    <w:rsid w:val="00371A29"/>
    <w:rsid w:val="003720AB"/>
    <w:rsid w:val="00372BFF"/>
    <w:rsid w:val="00372F66"/>
    <w:rsid w:val="003742B1"/>
    <w:rsid w:val="003753C4"/>
    <w:rsid w:val="00376671"/>
    <w:rsid w:val="00376CA6"/>
    <w:rsid w:val="0037770E"/>
    <w:rsid w:val="00377A48"/>
    <w:rsid w:val="00383AA8"/>
    <w:rsid w:val="00384ADE"/>
    <w:rsid w:val="003877FB"/>
    <w:rsid w:val="0039065A"/>
    <w:rsid w:val="00390F3F"/>
    <w:rsid w:val="00393423"/>
    <w:rsid w:val="003939EB"/>
    <w:rsid w:val="00394C3A"/>
    <w:rsid w:val="0039520D"/>
    <w:rsid w:val="0039651C"/>
    <w:rsid w:val="003978A7"/>
    <w:rsid w:val="003A0A1E"/>
    <w:rsid w:val="003A2492"/>
    <w:rsid w:val="003A3288"/>
    <w:rsid w:val="003A3D35"/>
    <w:rsid w:val="003A6901"/>
    <w:rsid w:val="003A7ADD"/>
    <w:rsid w:val="003A7AE7"/>
    <w:rsid w:val="003B009D"/>
    <w:rsid w:val="003B1FDF"/>
    <w:rsid w:val="003B2A4A"/>
    <w:rsid w:val="003B3A0D"/>
    <w:rsid w:val="003B6193"/>
    <w:rsid w:val="003B7093"/>
    <w:rsid w:val="003C132D"/>
    <w:rsid w:val="003C2F29"/>
    <w:rsid w:val="003C3B51"/>
    <w:rsid w:val="003C3E33"/>
    <w:rsid w:val="003C3F79"/>
    <w:rsid w:val="003C3F97"/>
    <w:rsid w:val="003C4A38"/>
    <w:rsid w:val="003C58DB"/>
    <w:rsid w:val="003C5D88"/>
    <w:rsid w:val="003C7D62"/>
    <w:rsid w:val="003D377D"/>
    <w:rsid w:val="003D37FA"/>
    <w:rsid w:val="003D5841"/>
    <w:rsid w:val="003D5B10"/>
    <w:rsid w:val="003D660F"/>
    <w:rsid w:val="003D73B6"/>
    <w:rsid w:val="003E33B5"/>
    <w:rsid w:val="003E3607"/>
    <w:rsid w:val="003E4A4B"/>
    <w:rsid w:val="003E6F29"/>
    <w:rsid w:val="003E772F"/>
    <w:rsid w:val="003F10BD"/>
    <w:rsid w:val="003F3893"/>
    <w:rsid w:val="003F644A"/>
    <w:rsid w:val="003F6C6D"/>
    <w:rsid w:val="003F7235"/>
    <w:rsid w:val="003F741E"/>
    <w:rsid w:val="003F7BE3"/>
    <w:rsid w:val="00400FE7"/>
    <w:rsid w:val="00401829"/>
    <w:rsid w:val="00401A65"/>
    <w:rsid w:val="00402640"/>
    <w:rsid w:val="00405C0F"/>
    <w:rsid w:val="004069A6"/>
    <w:rsid w:val="0041110D"/>
    <w:rsid w:val="0041111E"/>
    <w:rsid w:val="0041140B"/>
    <w:rsid w:val="00412FA8"/>
    <w:rsid w:val="004142CF"/>
    <w:rsid w:val="004144B0"/>
    <w:rsid w:val="00415F63"/>
    <w:rsid w:val="0042149F"/>
    <w:rsid w:val="00421A3B"/>
    <w:rsid w:val="00421D83"/>
    <w:rsid w:val="00422438"/>
    <w:rsid w:val="00424B4F"/>
    <w:rsid w:val="004260BD"/>
    <w:rsid w:val="00426AC4"/>
    <w:rsid w:val="0043001E"/>
    <w:rsid w:val="00430DDD"/>
    <w:rsid w:val="00432209"/>
    <w:rsid w:val="004329D4"/>
    <w:rsid w:val="00433092"/>
    <w:rsid w:val="004358F6"/>
    <w:rsid w:val="004365DE"/>
    <w:rsid w:val="00440266"/>
    <w:rsid w:val="00441D2F"/>
    <w:rsid w:val="00441F25"/>
    <w:rsid w:val="004424AA"/>
    <w:rsid w:val="004428E7"/>
    <w:rsid w:val="00446DBB"/>
    <w:rsid w:val="00450CA8"/>
    <w:rsid w:val="0045104E"/>
    <w:rsid w:val="00451FDF"/>
    <w:rsid w:val="004546AA"/>
    <w:rsid w:val="00456D29"/>
    <w:rsid w:val="0046044A"/>
    <w:rsid w:val="00462EBC"/>
    <w:rsid w:val="004632E0"/>
    <w:rsid w:val="0046393D"/>
    <w:rsid w:val="00463B92"/>
    <w:rsid w:val="0046478D"/>
    <w:rsid w:val="004649F0"/>
    <w:rsid w:val="004660B7"/>
    <w:rsid w:val="004664DA"/>
    <w:rsid w:val="004667F5"/>
    <w:rsid w:val="00467216"/>
    <w:rsid w:val="00467994"/>
    <w:rsid w:val="00470D2A"/>
    <w:rsid w:val="004750CD"/>
    <w:rsid w:val="0047667F"/>
    <w:rsid w:val="004768DE"/>
    <w:rsid w:val="00477A5B"/>
    <w:rsid w:val="00480193"/>
    <w:rsid w:val="004804A5"/>
    <w:rsid w:val="00482B94"/>
    <w:rsid w:val="00484A54"/>
    <w:rsid w:val="0048583B"/>
    <w:rsid w:val="00485ABF"/>
    <w:rsid w:val="00485DA6"/>
    <w:rsid w:val="00486B57"/>
    <w:rsid w:val="00487B4B"/>
    <w:rsid w:val="004914FF"/>
    <w:rsid w:val="00492BD2"/>
    <w:rsid w:val="0049304D"/>
    <w:rsid w:val="0049404B"/>
    <w:rsid w:val="00494215"/>
    <w:rsid w:val="00494BD6"/>
    <w:rsid w:val="004964D5"/>
    <w:rsid w:val="004976F5"/>
    <w:rsid w:val="004A2869"/>
    <w:rsid w:val="004A3CC7"/>
    <w:rsid w:val="004A4F2D"/>
    <w:rsid w:val="004A5827"/>
    <w:rsid w:val="004A5CB6"/>
    <w:rsid w:val="004A764A"/>
    <w:rsid w:val="004B12B3"/>
    <w:rsid w:val="004B1C60"/>
    <w:rsid w:val="004B34F6"/>
    <w:rsid w:val="004B50E2"/>
    <w:rsid w:val="004B58B9"/>
    <w:rsid w:val="004B6140"/>
    <w:rsid w:val="004B6448"/>
    <w:rsid w:val="004B6474"/>
    <w:rsid w:val="004B69D7"/>
    <w:rsid w:val="004C011D"/>
    <w:rsid w:val="004C2AA0"/>
    <w:rsid w:val="004C3035"/>
    <w:rsid w:val="004C3A93"/>
    <w:rsid w:val="004C3AC1"/>
    <w:rsid w:val="004C5C95"/>
    <w:rsid w:val="004C5EA5"/>
    <w:rsid w:val="004C6BF7"/>
    <w:rsid w:val="004D1E4A"/>
    <w:rsid w:val="004D3236"/>
    <w:rsid w:val="004D6122"/>
    <w:rsid w:val="004D6BA1"/>
    <w:rsid w:val="004D7B02"/>
    <w:rsid w:val="004E0688"/>
    <w:rsid w:val="004E26CB"/>
    <w:rsid w:val="004E3901"/>
    <w:rsid w:val="004E674C"/>
    <w:rsid w:val="004E6853"/>
    <w:rsid w:val="004E7D6B"/>
    <w:rsid w:val="004F0716"/>
    <w:rsid w:val="004F1703"/>
    <w:rsid w:val="004F363C"/>
    <w:rsid w:val="004F5C3F"/>
    <w:rsid w:val="004F6274"/>
    <w:rsid w:val="005006D3"/>
    <w:rsid w:val="0050555E"/>
    <w:rsid w:val="00506A46"/>
    <w:rsid w:val="00513F03"/>
    <w:rsid w:val="00514275"/>
    <w:rsid w:val="00514628"/>
    <w:rsid w:val="005147A3"/>
    <w:rsid w:val="005156F2"/>
    <w:rsid w:val="00515E39"/>
    <w:rsid w:val="005168B2"/>
    <w:rsid w:val="0051694B"/>
    <w:rsid w:val="00516AC3"/>
    <w:rsid w:val="00516C5E"/>
    <w:rsid w:val="005207BE"/>
    <w:rsid w:val="00522AF1"/>
    <w:rsid w:val="00523D1C"/>
    <w:rsid w:val="005245EE"/>
    <w:rsid w:val="00524A94"/>
    <w:rsid w:val="0052588F"/>
    <w:rsid w:val="00526474"/>
    <w:rsid w:val="005315B2"/>
    <w:rsid w:val="00531F36"/>
    <w:rsid w:val="005326E4"/>
    <w:rsid w:val="005326F3"/>
    <w:rsid w:val="00533AFA"/>
    <w:rsid w:val="005348C0"/>
    <w:rsid w:val="00535757"/>
    <w:rsid w:val="005377B1"/>
    <w:rsid w:val="0054007A"/>
    <w:rsid w:val="00540F8B"/>
    <w:rsid w:val="005412AA"/>
    <w:rsid w:val="005421A3"/>
    <w:rsid w:val="0054381C"/>
    <w:rsid w:val="00544046"/>
    <w:rsid w:val="005468A5"/>
    <w:rsid w:val="005475D2"/>
    <w:rsid w:val="00550CB3"/>
    <w:rsid w:val="00552E3C"/>
    <w:rsid w:val="005532A3"/>
    <w:rsid w:val="00554C29"/>
    <w:rsid w:val="005553DC"/>
    <w:rsid w:val="0055612F"/>
    <w:rsid w:val="00556220"/>
    <w:rsid w:val="00556EB8"/>
    <w:rsid w:val="00557A54"/>
    <w:rsid w:val="00561E1F"/>
    <w:rsid w:val="005644E9"/>
    <w:rsid w:val="005646AB"/>
    <w:rsid w:val="00566EB5"/>
    <w:rsid w:val="0057011D"/>
    <w:rsid w:val="005702B0"/>
    <w:rsid w:val="0057091A"/>
    <w:rsid w:val="0057357E"/>
    <w:rsid w:val="00573EA9"/>
    <w:rsid w:val="0057465D"/>
    <w:rsid w:val="00574FA4"/>
    <w:rsid w:val="0057585E"/>
    <w:rsid w:val="005812BE"/>
    <w:rsid w:val="005826C9"/>
    <w:rsid w:val="00584B71"/>
    <w:rsid w:val="00584F07"/>
    <w:rsid w:val="00586822"/>
    <w:rsid w:val="00587779"/>
    <w:rsid w:val="00587884"/>
    <w:rsid w:val="0059029C"/>
    <w:rsid w:val="00591193"/>
    <w:rsid w:val="005913BD"/>
    <w:rsid w:val="00592021"/>
    <w:rsid w:val="0059236A"/>
    <w:rsid w:val="005925A0"/>
    <w:rsid w:val="00594358"/>
    <w:rsid w:val="005947CF"/>
    <w:rsid w:val="005970F5"/>
    <w:rsid w:val="00597E60"/>
    <w:rsid w:val="005A023D"/>
    <w:rsid w:val="005A0C97"/>
    <w:rsid w:val="005A2347"/>
    <w:rsid w:val="005A42DA"/>
    <w:rsid w:val="005A6DB0"/>
    <w:rsid w:val="005A727E"/>
    <w:rsid w:val="005B0D80"/>
    <w:rsid w:val="005B0F20"/>
    <w:rsid w:val="005B2062"/>
    <w:rsid w:val="005B2168"/>
    <w:rsid w:val="005B3D16"/>
    <w:rsid w:val="005B4484"/>
    <w:rsid w:val="005B476A"/>
    <w:rsid w:val="005B500D"/>
    <w:rsid w:val="005B7CC5"/>
    <w:rsid w:val="005C22CF"/>
    <w:rsid w:val="005C2E42"/>
    <w:rsid w:val="005C3ACF"/>
    <w:rsid w:val="005C40EA"/>
    <w:rsid w:val="005C49CD"/>
    <w:rsid w:val="005C4CCA"/>
    <w:rsid w:val="005C4D41"/>
    <w:rsid w:val="005D10D0"/>
    <w:rsid w:val="005D1834"/>
    <w:rsid w:val="005D78C9"/>
    <w:rsid w:val="005E0CA5"/>
    <w:rsid w:val="005E1467"/>
    <w:rsid w:val="005E1683"/>
    <w:rsid w:val="005E183D"/>
    <w:rsid w:val="005E1E09"/>
    <w:rsid w:val="005E2699"/>
    <w:rsid w:val="005E39EC"/>
    <w:rsid w:val="005E76B0"/>
    <w:rsid w:val="005E770D"/>
    <w:rsid w:val="005F0040"/>
    <w:rsid w:val="005F09B1"/>
    <w:rsid w:val="005F143D"/>
    <w:rsid w:val="005F1B89"/>
    <w:rsid w:val="005F290B"/>
    <w:rsid w:val="005F319D"/>
    <w:rsid w:val="005F447A"/>
    <w:rsid w:val="005F47E9"/>
    <w:rsid w:val="005F5A7A"/>
    <w:rsid w:val="005F6FC9"/>
    <w:rsid w:val="005F7F48"/>
    <w:rsid w:val="00602303"/>
    <w:rsid w:val="0060365C"/>
    <w:rsid w:val="00610CF8"/>
    <w:rsid w:val="006119FC"/>
    <w:rsid w:val="00612EF6"/>
    <w:rsid w:val="00613B32"/>
    <w:rsid w:val="00613E91"/>
    <w:rsid w:val="0061411D"/>
    <w:rsid w:val="006218B0"/>
    <w:rsid w:val="006226E4"/>
    <w:rsid w:val="00624ED3"/>
    <w:rsid w:val="00625328"/>
    <w:rsid w:val="00626056"/>
    <w:rsid w:val="006312A4"/>
    <w:rsid w:val="006337DC"/>
    <w:rsid w:val="00634EA3"/>
    <w:rsid w:val="00637CAA"/>
    <w:rsid w:val="00640690"/>
    <w:rsid w:val="00642594"/>
    <w:rsid w:val="0064398C"/>
    <w:rsid w:val="00643EFE"/>
    <w:rsid w:val="00644995"/>
    <w:rsid w:val="00646368"/>
    <w:rsid w:val="006517E1"/>
    <w:rsid w:val="0065418C"/>
    <w:rsid w:val="00654C5B"/>
    <w:rsid w:val="0065784D"/>
    <w:rsid w:val="00657F1A"/>
    <w:rsid w:val="0066076B"/>
    <w:rsid w:val="00661D49"/>
    <w:rsid w:val="00661EE4"/>
    <w:rsid w:val="0066356B"/>
    <w:rsid w:val="0067362F"/>
    <w:rsid w:val="00673BC3"/>
    <w:rsid w:val="006745C6"/>
    <w:rsid w:val="00675BF5"/>
    <w:rsid w:val="00676036"/>
    <w:rsid w:val="006772B5"/>
    <w:rsid w:val="006806FD"/>
    <w:rsid w:val="00680A8C"/>
    <w:rsid w:val="006837AD"/>
    <w:rsid w:val="00683C75"/>
    <w:rsid w:val="00685CCD"/>
    <w:rsid w:val="00685E2D"/>
    <w:rsid w:val="00687980"/>
    <w:rsid w:val="0069025C"/>
    <w:rsid w:val="0069082D"/>
    <w:rsid w:val="00691BA7"/>
    <w:rsid w:val="00694158"/>
    <w:rsid w:val="00695EE7"/>
    <w:rsid w:val="0069601F"/>
    <w:rsid w:val="00696CF8"/>
    <w:rsid w:val="006A2336"/>
    <w:rsid w:val="006A56C0"/>
    <w:rsid w:val="006A5FFF"/>
    <w:rsid w:val="006A6A5E"/>
    <w:rsid w:val="006A6A6F"/>
    <w:rsid w:val="006A6D57"/>
    <w:rsid w:val="006A727D"/>
    <w:rsid w:val="006B0701"/>
    <w:rsid w:val="006B15D5"/>
    <w:rsid w:val="006B1A63"/>
    <w:rsid w:val="006B1B30"/>
    <w:rsid w:val="006B2B48"/>
    <w:rsid w:val="006B3A87"/>
    <w:rsid w:val="006B52EE"/>
    <w:rsid w:val="006B68C8"/>
    <w:rsid w:val="006C02D7"/>
    <w:rsid w:val="006C16EE"/>
    <w:rsid w:val="006C1D92"/>
    <w:rsid w:val="006C2145"/>
    <w:rsid w:val="006C56E8"/>
    <w:rsid w:val="006C5F35"/>
    <w:rsid w:val="006C662C"/>
    <w:rsid w:val="006C6855"/>
    <w:rsid w:val="006C6BC6"/>
    <w:rsid w:val="006C6CE3"/>
    <w:rsid w:val="006C7595"/>
    <w:rsid w:val="006D1AFA"/>
    <w:rsid w:val="006D420A"/>
    <w:rsid w:val="006D49BC"/>
    <w:rsid w:val="006D4A43"/>
    <w:rsid w:val="006D62BD"/>
    <w:rsid w:val="006D6427"/>
    <w:rsid w:val="006D65C3"/>
    <w:rsid w:val="006D7391"/>
    <w:rsid w:val="006E0038"/>
    <w:rsid w:val="006E25FF"/>
    <w:rsid w:val="006E27BC"/>
    <w:rsid w:val="006E3039"/>
    <w:rsid w:val="006E6E31"/>
    <w:rsid w:val="006E7C52"/>
    <w:rsid w:val="006F02F9"/>
    <w:rsid w:val="006F1FE6"/>
    <w:rsid w:val="0070175B"/>
    <w:rsid w:val="00702A98"/>
    <w:rsid w:val="007038A7"/>
    <w:rsid w:val="00704588"/>
    <w:rsid w:val="00705182"/>
    <w:rsid w:val="00705AE0"/>
    <w:rsid w:val="00711250"/>
    <w:rsid w:val="00711252"/>
    <w:rsid w:val="00711292"/>
    <w:rsid w:val="007123DC"/>
    <w:rsid w:val="00713542"/>
    <w:rsid w:val="00716299"/>
    <w:rsid w:val="00716554"/>
    <w:rsid w:val="00717092"/>
    <w:rsid w:val="00717786"/>
    <w:rsid w:val="007177CF"/>
    <w:rsid w:val="0072112B"/>
    <w:rsid w:val="00721463"/>
    <w:rsid w:val="007215EC"/>
    <w:rsid w:val="0072182A"/>
    <w:rsid w:val="00722C84"/>
    <w:rsid w:val="0072361F"/>
    <w:rsid w:val="00727C4F"/>
    <w:rsid w:val="0073143C"/>
    <w:rsid w:val="007314FC"/>
    <w:rsid w:val="00733615"/>
    <w:rsid w:val="00733617"/>
    <w:rsid w:val="0074091A"/>
    <w:rsid w:val="0074136C"/>
    <w:rsid w:val="00741797"/>
    <w:rsid w:val="007442F5"/>
    <w:rsid w:val="00744958"/>
    <w:rsid w:val="00747E4A"/>
    <w:rsid w:val="00751303"/>
    <w:rsid w:val="00752BE9"/>
    <w:rsid w:val="00754F6C"/>
    <w:rsid w:val="00754F94"/>
    <w:rsid w:val="00756202"/>
    <w:rsid w:val="00756E53"/>
    <w:rsid w:val="007607CB"/>
    <w:rsid w:val="00761308"/>
    <w:rsid w:val="00761782"/>
    <w:rsid w:val="00766EF7"/>
    <w:rsid w:val="007677D1"/>
    <w:rsid w:val="00772E91"/>
    <w:rsid w:val="007732B5"/>
    <w:rsid w:val="0077362F"/>
    <w:rsid w:val="00774A1C"/>
    <w:rsid w:val="00774EFA"/>
    <w:rsid w:val="00775BBE"/>
    <w:rsid w:val="00776040"/>
    <w:rsid w:val="00776312"/>
    <w:rsid w:val="00776559"/>
    <w:rsid w:val="0078019F"/>
    <w:rsid w:val="00781135"/>
    <w:rsid w:val="00783C16"/>
    <w:rsid w:val="007847FB"/>
    <w:rsid w:val="00784915"/>
    <w:rsid w:val="00784B3E"/>
    <w:rsid w:val="00784E6A"/>
    <w:rsid w:val="007851FF"/>
    <w:rsid w:val="007859A0"/>
    <w:rsid w:val="0078653E"/>
    <w:rsid w:val="0078770E"/>
    <w:rsid w:val="00792F6F"/>
    <w:rsid w:val="007949A3"/>
    <w:rsid w:val="00794B1C"/>
    <w:rsid w:val="00794E10"/>
    <w:rsid w:val="007955EC"/>
    <w:rsid w:val="00796775"/>
    <w:rsid w:val="007A017A"/>
    <w:rsid w:val="007A089B"/>
    <w:rsid w:val="007A4359"/>
    <w:rsid w:val="007A4DF9"/>
    <w:rsid w:val="007A61CF"/>
    <w:rsid w:val="007B2348"/>
    <w:rsid w:val="007B7225"/>
    <w:rsid w:val="007B7226"/>
    <w:rsid w:val="007C1191"/>
    <w:rsid w:val="007C18CA"/>
    <w:rsid w:val="007C1937"/>
    <w:rsid w:val="007C5653"/>
    <w:rsid w:val="007C5B34"/>
    <w:rsid w:val="007C7F39"/>
    <w:rsid w:val="007D1F49"/>
    <w:rsid w:val="007D2265"/>
    <w:rsid w:val="007D3C3F"/>
    <w:rsid w:val="007D431B"/>
    <w:rsid w:val="007D5AFA"/>
    <w:rsid w:val="007D7F27"/>
    <w:rsid w:val="007E0168"/>
    <w:rsid w:val="007E0CAB"/>
    <w:rsid w:val="007E2250"/>
    <w:rsid w:val="007E314C"/>
    <w:rsid w:val="007E5676"/>
    <w:rsid w:val="007E63C9"/>
    <w:rsid w:val="007E736A"/>
    <w:rsid w:val="007F0D65"/>
    <w:rsid w:val="007F1353"/>
    <w:rsid w:val="007F216C"/>
    <w:rsid w:val="007F2AE5"/>
    <w:rsid w:val="007F3983"/>
    <w:rsid w:val="007F3E13"/>
    <w:rsid w:val="007F4025"/>
    <w:rsid w:val="007F532B"/>
    <w:rsid w:val="007F6AE2"/>
    <w:rsid w:val="007F6E2F"/>
    <w:rsid w:val="007F7475"/>
    <w:rsid w:val="00800675"/>
    <w:rsid w:val="00802FFE"/>
    <w:rsid w:val="00805483"/>
    <w:rsid w:val="008059F1"/>
    <w:rsid w:val="00805E19"/>
    <w:rsid w:val="0080731A"/>
    <w:rsid w:val="00810EF2"/>
    <w:rsid w:val="00811283"/>
    <w:rsid w:val="008129EA"/>
    <w:rsid w:val="00812A08"/>
    <w:rsid w:val="00812BE3"/>
    <w:rsid w:val="008136E1"/>
    <w:rsid w:val="00813B34"/>
    <w:rsid w:val="008146F5"/>
    <w:rsid w:val="00814FC8"/>
    <w:rsid w:val="008162AB"/>
    <w:rsid w:val="008201B7"/>
    <w:rsid w:val="008202EA"/>
    <w:rsid w:val="00820D39"/>
    <w:rsid w:val="00822B58"/>
    <w:rsid w:val="00822BBA"/>
    <w:rsid w:val="00822C9E"/>
    <w:rsid w:val="008268F8"/>
    <w:rsid w:val="00827051"/>
    <w:rsid w:val="00832252"/>
    <w:rsid w:val="00834EBB"/>
    <w:rsid w:val="00835D62"/>
    <w:rsid w:val="0083698C"/>
    <w:rsid w:val="008374B6"/>
    <w:rsid w:val="00840C41"/>
    <w:rsid w:val="008417D0"/>
    <w:rsid w:val="008424D1"/>
    <w:rsid w:val="00842F0D"/>
    <w:rsid w:val="00844FC8"/>
    <w:rsid w:val="00846174"/>
    <w:rsid w:val="008472AC"/>
    <w:rsid w:val="008473F1"/>
    <w:rsid w:val="008503A7"/>
    <w:rsid w:val="00850CB3"/>
    <w:rsid w:val="00852E9B"/>
    <w:rsid w:val="008532FF"/>
    <w:rsid w:val="008535FC"/>
    <w:rsid w:val="00854D4C"/>
    <w:rsid w:val="00856754"/>
    <w:rsid w:val="00857634"/>
    <w:rsid w:val="00860849"/>
    <w:rsid w:val="00867064"/>
    <w:rsid w:val="00867716"/>
    <w:rsid w:val="00867F52"/>
    <w:rsid w:val="0087093A"/>
    <w:rsid w:val="00870BD4"/>
    <w:rsid w:val="00873EA6"/>
    <w:rsid w:val="008761DB"/>
    <w:rsid w:val="00877075"/>
    <w:rsid w:val="00880878"/>
    <w:rsid w:val="00880C2E"/>
    <w:rsid w:val="00881EFB"/>
    <w:rsid w:val="00882738"/>
    <w:rsid w:val="008831EB"/>
    <w:rsid w:val="00884F88"/>
    <w:rsid w:val="00892127"/>
    <w:rsid w:val="0089230D"/>
    <w:rsid w:val="00892A8A"/>
    <w:rsid w:val="00892C23"/>
    <w:rsid w:val="008932AF"/>
    <w:rsid w:val="008947EA"/>
    <w:rsid w:val="008950C8"/>
    <w:rsid w:val="00897D7A"/>
    <w:rsid w:val="008A23D7"/>
    <w:rsid w:val="008A35DD"/>
    <w:rsid w:val="008A4A56"/>
    <w:rsid w:val="008A4A74"/>
    <w:rsid w:val="008A5577"/>
    <w:rsid w:val="008A6C0D"/>
    <w:rsid w:val="008B305E"/>
    <w:rsid w:val="008B3C84"/>
    <w:rsid w:val="008B5554"/>
    <w:rsid w:val="008B61A1"/>
    <w:rsid w:val="008B6D31"/>
    <w:rsid w:val="008B783A"/>
    <w:rsid w:val="008C10C1"/>
    <w:rsid w:val="008C2610"/>
    <w:rsid w:val="008C42A0"/>
    <w:rsid w:val="008D1DDD"/>
    <w:rsid w:val="008D23CE"/>
    <w:rsid w:val="008D34FA"/>
    <w:rsid w:val="008D4CC4"/>
    <w:rsid w:val="008D523A"/>
    <w:rsid w:val="008E0042"/>
    <w:rsid w:val="008E05E5"/>
    <w:rsid w:val="008E2840"/>
    <w:rsid w:val="008E28D7"/>
    <w:rsid w:val="008E3B3E"/>
    <w:rsid w:val="008E4672"/>
    <w:rsid w:val="008E4A8D"/>
    <w:rsid w:val="008E76B1"/>
    <w:rsid w:val="008F1758"/>
    <w:rsid w:val="008F17C6"/>
    <w:rsid w:val="008F25BF"/>
    <w:rsid w:val="008F5C33"/>
    <w:rsid w:val="008F6272"/>
    <w:rsid w:val="008F69DD"/>
    <w:rsid w:val="008F74F4"/>
    <w:rsid w:val="008F7A24"/>
    <w:rsid w:val="009021A7"/>
    <w:rsid w:val="0090399C"/>
    <w:rsid w:val="00905799"/>
    <w:rsid w:val="00906093"/>
    <w:rsid w:val="009075E3"/>
    <w:rsid w:val="00907EF8"/>
    <w:rsid w:val="00910B3D"/>
    <w:rsid w:val="00910D68"/>
    <w:rsid w:val="0091164E"/>
    <w:rsid w:val="00912038"/>
    <w:rsid w:val="00912E53"/>
    <w:rsid w:val="00915575"/>
    <w:rsid w:val="00917701"/>
    <w:rsid w:val="009178EB"/>
    <w:rsid w:val="00920D57"/>
    <w:rsid w:val="00921B88"/>
    <w:rsid w:val="00921C93"/>
    <w:rsid w:val="00923F1C"/>
    <w:rsid w:val="00924DC1"/>
    <w:rsid w:val="00924E67"/>
    <w:rsid w:val="0092543E"/>
    <w:rsid w:val="00926217"/>
    <w:rsid w:val="00926B0F"/>
    <w:rsid w:val="00930932"/>
    <w:rsid w:val="00930CCF"/>
    <w:rsid w:val="00930DBF"/>
    <w:rsid w:val="00931412"/>
    <w:rsid w:val="00931ADA"/>
    <w:rsid w:val="009320BF"/>
    <w:rsid w:val="00933D7B"/>
    <w:rsid w:val="00934513"/>
    <w:rsid w:val="00935EAD"/>
    <w:rsid w:val="0093709F"/>
    <w:rsid w:val="009374AB"/>
    <w:rsid w:val="009410E3"/>
    <w:rsid w:val="00941E39"/>
    <w:rsid w:val="009429D6"/>
    <w:rsid w:val="00945664"/>
    <w:rsid w:val="00946E8B"/>
    <w:rsid w:val="00950B99"/>
    <w:rsid w:val="009515C7"/>
    <w:rsid w:val="00952FEF"/>
    <w:rsid w:val="00953631"/>
    <w:rsid w:val="00954E46"/>
    <w:rsid w:val="00955C5F"/>
    <w:rsid w:val="0095609D"/>
    <w:rsid w:val="00960152"/>
    <w:rsid w:val="00960B20"/>
    <w:rsid w:val="009613EA"/>
    <w:rsid w:val="00964B3C"/>
    <w:rsid w:val="00964E45"/>
    <w:rsid w:val="00967F9B"/>
    <w:rsid w:val="00970C99"/>
    <w:rsid w:val="009749E9"/>
    <w:rsid w:val="00974BA7"/>
    <w:rsid w:val="00974CDA"/>
    <w:rsid w:val="0097678C"/>
    <w:rsid w:val="00976967"/>
    <w:rsid w:val="00976C21"/>
    <w:rsid w:val="009773E8"/>
    <w:rsid w:val="009777DE"/>
    <w:rsid w:val="0098285E"/>
    <w:rsid w:val="009838D4"/>
    <w:rsid w:val="00983A71"/>
    <w:rsid w:val="00983FE7"/>
    <w:rsid w:val="00984CBE"/>
    <w:rsid w:val="00990629"/>
    <w:rsid w:val="00991929"/>
    <w:rsid w:val="009919A2"/>
    <w:rsid w:val="009919D8"/>
    <w:rsid w:val="00992587"/>
    <w:rsid w:val="00992F85"/>
    <w:rsid w:val="0099484E"/>
    <w:rsid w:val="00997517"/>
    <w:rsid w:val="009A048B"/>
    <w:rsid w:val="009A11C7"/>
    <w:rsid w:val="009A31C0"/>
    <w:rsid w:val="009A33AD"/>
    <w:rsid w:val="009A6D0B"/>
    <w:rsid w:val="009A7ED5"/>
    <w:rsid w:val="009B1FA4"/>
    <w:rsid w:val="009B5727"/>
    <w:rsid w:val="009B66C9"/>
    <w:rsid w:val="009B736E"/>
    <w:rsid w:val="009C3434"/>
    <w:rsid w:val="009C3F46"/>
    <w:rsid w:val="009C417A"/>
    <w:rsid w:val="009C4714"/>
    <w:rsid w:val="009C4EE9"/>
    <w:rsid w:val="009C5641"/>
    <w:rsid w:val="009D0C11"/>
    <w:rsid w:val="009D0D95"/>
    <w:rsid w:val="009D1CBC"/>
    <w:rsid w:val="009D227B"/>
    <w:rsid w:val="009D2656"/>
    <w:rsid w:val="009D5A55"/>
    <w:rsid w:val="009D6E97"/>
    <w:rsid w:val="009E00C2"/>
    <w:rsid w:val="009E0CAB"/>
    <w:rsid w:val="009E38F9"/>
    <w:rsid w:val="009E490F"/>
    <w:rsid w:val="009E5B58"/>
    <w:rsid w:val="009E5E98"/>
    <w:rsid w:val="009E5EBE"/>
    <w:rsid w:val="009E5F4E"/>
    <w:rsid w:val="009F1C4B"/>
    <w:rsid w:val="009F1F93"/>
    <w:rsid w:val="00A01862"/>
    <w:rsid w:val="00A026E7"/>
    <w:rsid w:val="00A058CB"/>
    <w:rsid w:val="00A05B8B"/>
    <w:rsid w:val="00A05E77"/>
    <w:rsid w:val="00A06334"/>
    <w:rsid w:val="00A06916"/>
    <w:rsid w:val="00A06D5D"/>
    <w:rsid w:val="00A06DBC"/>
    <w:rsid w:val="00A071C2"/>
    <w:rsid w:val="00A1085B"/>
    <w:rsid w:val="00A1093B"/>
    <w:rsid w:val="00A14294"/>
    <w:rsid w:val="00A14654"/>
    <w:rsid w:val="00A14E18"/>
    <w:rsid w:val="00A15357"/>
    <w:rsid w:val="00A15991"/>
    <w:rsid w:val="00A1684D"/>
    <w:rsid w:val="00A20C4E"/>
    <w:rsid w:val="00A23987"/>
    <w:rsid w:val="00A2415A"/>
    <w:rsid w:val="00A269C3"/>
    <w:rsid w:val="00A271E4"/>
    <w:rsid w:val="00A27BE8"/>
    <w:rsid w:val="00A32B9D"/>
    <w:rsid w:val="00A3330F"/>
    <w:rsid w:val="00A335EF"/>
    <w:rsid w:val="00A338AC"/>
    <w:rsid w:val="00A3436F"/>
    <w:rsid w:val="00A34587"/>
    <w:rsid w:val="00A35721"/>
    <w:rsid w:val="00A35A86"/>
    <w:rsid w:val="00A36D58"/>
    <w:rsid w:val="00A37714"/>
    <w:rsid w:val="00A401BF"/>
    <w:rsid w:val="00A40FE4"/>
    <w:rsid w:val="00A421F9"/>
    <w:rsid w:val="00A42D23"/>
    <w:rsid w:val="00A46835"/>
    <w:rsid w:val="00A46DA9"/>
    <w:rsid w:val="00A47CDB"/>
    <w:rsid w:val="00A5157F"/>
    <w:rsid w:val="00A526FF"/>
    <w:rsid w:val="00A53136"/>
    <w:rsid w:val="00A54C5D"/>
    <w:rsid w:val="00A55C34"/>
    <w:rsid w:val="00A56F15"/>
    <w:rsid w:val="00A61DF3"/>
    <w:rsid w:val="00A62A57"/>
    <w:rsid w:val="00A64DE4"/>
    <w:rsid w:val="00A64F61"/>
    <w:rsid w:val="00A66097"/>
    <w:rsid w:val="00A66973"/>
    <w:rsid w:val="00A66FEB"/>
    <w:rsid w:val="00A67CB7"/>
    <w:rsid w:val="00A702A6"/>
    <w:rsid w:val="00A70C31"/>
    <w:rsid w:val="00A71B3C"/>
    <w:rsid w:val="00A73B48"/>
    <w:rsid w:val="00A749EC"/>
    <w:rsid w:val="00A752D3"/>
    <w:rsid w:val="00A76C40"/>
    <w:rsid w:val="00A776B1"/>
    <w:rsid w:val="00A80D74"/>
    <w:rsid w:val="00A81C94"/>
    <w:rsid w:val="00A8210B"/>
    <w:rsid w:val="00A8573D"/>
    <w:rsid w:val="00A8649B"/>
    <w:rsid w:val="00A86CC4"/>
    <w:rsid w:val="00A87FB4"/>
    <w:rsid w:val="00A91AAC"/>
    <w:rsid w:val="00A944D7"/>
    <w:rsid w:val="00AA0AA7"/>
    <w:rsid w:val="00AA505A"/>
    <w:rsid w:val="00AA63CD"/>
    <w:rsid w:val="00AA65B8"/>
    <w:rsid w:val="00AB0467"/>
    <w:rsid w:val="00AB1B4C"/>
    <w:rsid w:val="00AB1C5B"/>
    <w:rsid w:val="00AB1D0B"/>
    <w:rsid w:val="00AB2D35"/>
    <w:rsid w:val="00AB2E61"/>
    <w:rsid w:val="00AB362A"/>
    <w:rsid w:val="00AB4941"/>
    <w:rsid w:val="00AB562A"/>
    <w:rsid w:val="00AB7D97"/>
    <w:rsid w:val="00AC025F"/>
    <w:rsid w:val="00AC04B0"/>
    <w:rsid w:val="00AC55B6"/>
    <w:rsid w:val="00AC617C"/>
    <w:rsid w:val="00AC6A56"/>
    <w:rsid w:val="00AD0563"/>
    <w:rsid w:val="00AD0A16"/>
    <w:rsid w:val="00AD0D94"/>
    <w:rsid w:val="00AD147B"/>
    <w:rsid w:val="00AD17B4"/>
    <w:rsid w:val="00AD47FA"/>
    <w:rsid w:val="00AD4B10"/>
    <w:rsid w:val="00AE0B7F"/>
    <w:rsid w:val="00AE1D89"/>
    <w:rsid w:val="00AE45AA"/>
    <w:rsid w:val="00AE524B"/>
    <w:rsid w:val="00AE570B"/>
    <w:rsid w:val="00AE645C"/>
    <w:rsid w:val="00AE6520"/>
    <w:rsid w:val="00AE6A88"/>
    <w:rsid w:val="00AE74B0"/>
    <w:rsid w:val="00AE7C3C"/>
    <w:rsid w:val="00AF029E"/>
    <w:rsid w:val="00AF2611"/>
    <w:rsid w:val="00AF26A4"/>
    <w:rsid w:val="00AF451A"/>
    <w:rsid w:val="00AF4664"/>
    <w:rsid w:val="00AF5056"/>
    <w:rsid w:val="00AF5615"/>
    <w:rsid w:val="00AF696F"/>
    <w:rsid w:val="00AF6C82"/>
    <w:rsid w:val="00AF6FA1"/>
    <w:rsid w:val="00AF7280"/>
    <w:rsid w:val="00AF7824"/>
    <w:rsid w:val="00B0233B"/>
    <w:rsid w:val="00B02C43"/>
    <w:rsid w:val="00B030C8"/>
    <w:rsid w:val="00B05E2A"/>
    <w:rsid w:val="00B06530"/>
    <w:rsid w:val="00B1019F"/>
    <w:rsid w:val="00B1123D"/>
    <w:rsid w:val="00B11DE0"/>
    <w:rsid w:val="00B14885"/>
    <w:rsid w:val="00B20B36"/>
    <w:rsid w:val="00B21A3B"/>
    <w:rsid w:val="00B22F09"/>
    <w:rsid w:val="00B23012"/>
    <w:rsid w:val="00B23FAC"/>
    <w:rsid w:val="00B275D1"/>
    <w:rsid w:val="00B32172"/>
    <w:rsid w:val="00B339E5"/>
    <w:rsid w:val="00B33BA8"/>
    <w:rsid w:val="00B36A5C"/>
    <w:rsid w:val="00B3774B"/>
    <w:rsid w:val="00B410F3"/>
    <w:rsid w:val="00B41BAE"/>
    <w:rsid w:val="00B43C8B"/>
    <w:rsid w:val="00B47913"/>
    <w:rsid w:val="00B50E60"/>
    <w:rsid w:val="00B53D05"/>
    <w:rsid w:val="00B53FE5"/>
    <w:rsid w:val="00B54FC5"/>
    <w:rsid w:val="00B557E8"/>
    <w:rsid w:val="00B55E4C"/>
    <w:rsid w:val="00B56ABA"/>
    <w:rsid w:val="00B56CCE"/>
    <w:rsid w:val="00B574D5"/>
    <w:rsid w:val="00B61CE6"/>
    <w:rsid w:val="00B625B4"/>
    <w:rsid w:val="00B64FC8"/>
    <w:rsid w:val="00B66DD2"/>
    <w:rsid w:val="00B674A5"/>
    <w:rsid w:val="00B67894"/>
    <w:rsid w:val="00B70418"/>
    <w:rsid w:val="00B72321"/>
    <w:rsid w:val="00B75DF0"/>
    <w:rsid w:val="00B7731D"/>
    <w:rsid w:val="00B80532"/>
    <w:rsid w:val="00B8137E"/>
    <w:rsid w:val="00B82121"/>
    <w:rsid w:val="00B82871"/>
    <w:rsid w:val="00B84D29"/>
    <w:rsid w:val="00B85CDA"/>
    <w:rsid w:val="00B90B1E"/>
    <w:rsid w:val="00B9251B"/>
    <w:rsid w:val="00B92FDA"/>
    <w:rsid w:val="00B93776"/>
    <w:rsid w:val="00B94F28"/>
    <w:rsid w:val="00B97887"/>
    <w:rsid w:val="00BA01FF"/>
    <w:rsid w:val="00BA281E"/>
    <w:rsid w:val="00BA374F"/>
    <w:rsid w:val="00BA395A"/>
    <w:rsid w:val="00BA3FF3"/>
    <w:rsid w:val="00BA56F4"/>
    <w:rsid w:val="00BA689C"/>
    <w:rsid w:val="00BB0BBF"/>
    <w:rsid w:val="00BB2D2B"/>
    <w:rsid w:val="00BB35A3"/>
    <w:rsid w:val="00BB432B"/>
    <w:rsid w:val="00BB6C79"/>
    <w:rsid w:val="00BC04E6"/>
    <w:rsid w:val="00BC0722"/>
    <w:rsid w:val="00BC0B1E"/>
    <w:rsid w:val="00BC12FD"/>
    <w:rsid w:val="00BC271C"/>
    <w:rsid w:val="00BC38D6"/>
    <w:rsid w:val="00BC5916"/>
    <w:rsid w:val="00BC5F46"/>
    <w:rsid w:val="00BD1990"/>
    <w:rsid w:val="00BD1E9C"/>
    <w:rsid w:val="00BD20FC"/>
    <w:rsid w:val="00BD2880"/>
    <w:rsid w:val="00BD4D1F"/>
    <w:rsid w:val="00BD5339"/>
    <w:rsid w:val="00BD5619"/>
    <w:rsid w:val="00BD5AEF"/>
    <w:rsid w:val="00BD5ECC"/>
    <w:rsid w:val="00BD6FCE"/>
    <w:rsid w:val="00BE1A69"/>
    <w:rsid w:val="00BE5455"/>
    <w:rsid w:val="00BE5772"/>
    <w:rsid w:val="00BE5C00"/>
    <w:rsid w:val="00BF4C00"/>
    <w:rsid w:val="00BF6090"/>
    <w:rsid w:val="00C0078F"/>
    <w:rsid w:val="00C007CF"/>
    <w:rsid w:val="00C01589"/>
    <w:rsid w:val="00C01868"/>
    <w:rsid w:val="00C029A0"/>
    <w:rsid w:val="00C05ECC"/>
    <w:rsid w:val="00C065E2"/>
    <w:rsid w:val="00C066A6"/>
    <w:rsid w:val="00C0751F"/>
    <w:rsid w:val="00C119DC"/>
    <w:rsid w:val="00C11BE8"/>
    <w:rsid w:val="00C12C17"/>
    <w:rsid w:val="00C13EFC"/>
    <w:rsid w:val="00C14C73"/>
    <w:rsid w:val="00C215A7"/>
    <w:rsid w:val="00C21A7F"/>
    <w:rsid w:val="00C237B5"/>
    <w:rsid w:val="00C23A7E"/>
    <w:rsid w:val="00C24105"/>
    <w:rsid w:val="00C2574F"/>
    <w:rsid w:val="00C3018D"/>
    <w:rsid w:val="00C34C9B"/>
    <w:rsid w:val="00C36052"/>
    <w:rsid w:val="00C44B3A"/>
    <w:rsid w:val="00C50276"/>
    <w:rsid w:val="00C517CD"/>
    <w:rsid w:val="00C51DBB"/>
    <w:rsid w:val="00C526A0"/>
    <w:rsid w:val="00C546A5"/>
    <w:rsid w:val="00C57D8A"/>
    <w:rsid w:val="00C62042"/>
    <w:rsid w:val="00C6349B"/>
    <w:rsid w:val="00C66217"/>
    <w:rsid w:val="00C67BD6"/>
    <w:rsid w:val="00C70D4E"/>
    <w:rsid w:val="00C72AF6"/>
    <w:rsid w:val="00C73E96"/>
    <w:rsid w:val="00C7418C"/>
    <w:rsid w:val="00C74467"/>
    <w:rsid w:val="00C76EB7"/>
    <w:rsid w:val="00C814C9"/>
    <w:rsid w:val="00C818F7"/>
    <w:rsid w:val="00C85993"/>
    <w:rsid w:val="00C859EE"/>
    <w:rsid w:val="00C872A6"/>
    <w:rsid w:val="00C872D3"/>
    <w:rsid w:val="00C874F2"/>
    <w:rsid w:val="00C87A1B"/>
    <w:rsid w:val="00C90D3D"/>
    <w:rsid w:val="00C91C0B"/>
    <w:rsid w:val="00C92353"/>
    <w:rsid w:val="00C93C5A"/>
    <w:rsid w:val="00C955B9"/>
    <w:rsid w:val="00C9683E"/>
    <w:rsid w:val="00CA31A9"/>
    <w:rsid w:val="00CA5BEC"/>
    <w:rsid w:val="00CA6F42"/>
    <w:rsid w:val="00CA7E00"/>
    <w:rsid w:val="00CB01FF"/>
    <w:rsid w:val="00CB0434"/>
    <w:rsid w:val="00CB0A5E"/>
    <w:rsid w:val="00CB0CD9"/>
    <w:rsid w:val="00CB2668"/>
    <w:rsid w:val="00CB2859"/>
    <w:rsid w:val="00CB2958"/>
    <w:rsid w:val="00CB2DAC"/>
    <w:rsid w:val="00CB4A54"/>
    <w:rsid w:val="00CB6694"/>
    <w:rsid w:val="00CB6ACE"/>
    <w:rsid w:val="00CB7080"/>
    <w:rsid w:val="00CB7487"/>
    <w:rsid w:val="00CB7FA3"/>
    <w:rsid w:val="00CC0234"/>
    <w:rsid w:val="00CC2AE0"/>
    <w:rsid w:val="00CC2CAB"/>
    <w:rsid w:val="00CC4A11"/>
    <w:rsid w:val="00CD007E"/>
    <w:rsid w:val="00CD04AF"/>
    <w:rsid w:val="00CD07CC"/>
    <w:rsid w:val="00CD082E"/>
    <w:rsid w:val="00CD0C2C"/>
    <w:rsid w:val="00CD0F86"/>
    <w:rsid w:val="00CD1623"/>
    <w:rsid w:val="00CD2420"/>
    <w:rsid w:val="00CD448B"/>
    <w:rsid w:val="00CD4A5E"/>
    <w:rsid w:val="00CD4AC4"/>
    <w:rsid w:val="00CD4FC3"/>
    <w:rsid w:val="00CD53D8"/>
    <w:rsid w:val="00CD5CD6"/>
    <w:rsid w:val="00CD680D"/>
    <w:rsid w:val="00CD76F4"/>
    <w:rsid w:val="00CE1DD7"/>
    <w:rsid w:val="00CE403E"/>
    <w:rsid w:val="00CE54AF"/>
    <w:rsid w:val="00CE5A3E"/>
    <w:rsid w:val="00CE5B85"/>
    <w:rsid w:val="00CE5BEA"/>
    <w:rsid w:val="00CE5CBD"/>
    <w:rsid w:val="00CE61C1"/>
    <w:rsid w:val="00CE6954"/>
    <w:rsid w:val="00CE6BB7"/>
    <w:rsid w:val="00CF1880"/>
    <w:rsid w:val="00CF21B6"/>
    <w:rsid w:val="00CF4655"/>
    <w:rsid w:val="00CF4F14"/>
    <w:rsid w:val="00CF5B9A"/>
    <w:rsid w:val="00CF746D"/>
    <w:rsid w:val="00D00086"/>
    <w:rsid w:val="00D0074C"/>
    <w:rsid w:val="00D014CE"/>
    <w:rsid w:val="00D025F0"/>
    <w:rsid w:val="00D02641"/>
    <w:rsid w:val="00D03087"/>
    <w:rsid w:val="00D0357D"/>
    <w:rsid w:val="00D03597"/>
    <w:rsid w:val="00D03B57"/>
    <w:rsid w:val="00D04E81"/>
    <w:rsid w:val="00D05AC8"/>
    <w:rsid w:val="00D066FD"/>
    <w:rsid w:val="00D06BA4"/>
    <w:rsid w:val="00D06C63"/>
    <w:rsid w:val="00D10EC4"/>
    <w:rsid w:val="00D11238"/>
    <w:rsid w:val="00D11644"/>
    <w:rsid w:val="00D119D9"/>
    <w:rsid w:val="00D11C43"/>
    <w:rsid w:val="00D1203A"/>
    <w:rsid w:val="00D13CBA"/>
    <w:rsid w:val="00D154C0"/>
    <w:rsid w:val="00D21850"/>
    <w:rsid w:val="00D223F0"/>
    <w:rsid w:val="00D22694"/>
    <w:rsid w:val="00D24572"/>
    <w:rsid w:val="00D263F4"/>
    <w:rsid w:val="00D31DF1"/>
    <w:rsid w:val="00D327DF"/>
    <w:rsid w:val="00D336CD"/>
    <w:rsid w:val="00D34E31"/>
    <w:rsid w:val="00D34E7E"/>
    <w:rsid w:val="00D37502"/>
    <w:rsid w:val="00D416A8"/>
    <w:rsid w:val="00D44F19"/>
    <w:rsid w:val="00D46FF9"/>
    <w:rsid w:val="00D472A6"/>
    <w:rsid w:val="00D51423"/>
    <w:rsid w:val="00D51B2B"/>
    <w:rsid w:val="00D51FA2"/>
    <w:rsid w:val="00D5373C"/>
    <w:rsid w:val="00D57202"/>
    <w:rsid w:val="00D57AB6"/>
    <w:rsid w:val="00D63651"/>
    <w:rsid w:val="00D64615"/>
    <w:rsid w:val="00D64A7E"/>
    <w:rsid w:val="00D651E1"/>
    <w:rsid w:val="00D667B0"/>
    <w:rsid w:val="00D679D2"/>
    <w:rsid w:val="00D715F4"/>
    <w:rsid w:val="00D75C92"/>
    <w:rsid w:val="00D7752C"/>
    <w:rsid w:val="00D77D22"/>
    <w:rsid w:val="00D800F4"/>
    <w:rsid w:val="00D80677"/>
    <w:rsid w:val="00D8074E"/>
    <w:rsid w:val="00D80C55"/>
    <w:rsid w:val="00D8139B"/>
    <w:rsid w:val="00D8165F"/>
    <w:rsid w:val="00D81DDF"/>
    <w:rsid w:val="00D8236A"/>
    <w:rsid w:val="00D82AF8"/>
    <w:rsid w:val="00D85F51"/>
    <w:rsid w:val="00D8759B"/>
    <w:rsid w:val="00D87654"/>
    <w:rsid w:val="00D8782E"/>
    <w:rsid w:val="00D90117"/>
    <w:rsid w:val="00D901FF"/>
    <w:rsid w:val="00D917F0"/>
    <w:rsid w:val="00D92C10"/>
    <w:rsid w:val="00D934FB"/>
    <w:rsid w:val="00D94CCB"/>
    <w:rsid w:val="00D96571"/>
    <w:rsid w:val="00D96A3D"/>
    <w:rsid w:val="00D970D6"/>
    <w:rsid w:val="00D978BE"/>
    <w:rsid w:val="00DA075E"/>
    <w:rsid w:val="00DA07C1"/>
    <w:rsid w:val="00DA6C7A"/>
    <w:rsid w:val="00DA6DE9"/>
    <w:rsid w:val="00DA72EB"/>
    <w:rsid w:val="00DA7DF8"/>
    <w:rsid w:val="00DA7EF9"/>
    <w:rsid w:val="00DB1D35"/>
    <w:rsid w:val="00DB37FB"/>
    <w:rsid w:val="00DB4363"/>
    <w:rsid w:val="00DB450B"/>
    <w:rsid w:val="00DB568D"/>
    <w:rsid w:val="00DB60CF"/>
    <w:rsid w:val="00DB6D9D"/>
    <w:rsid w:val="00DB7D34"/>
    <w:rsid w:val="00DC0BD8"/>
    <w:rsid w:val="00DC5353"/>
    <w:rsid w:val="00DC55E2"/>
    <w:rsid w:val="00DC5633"/>
    <w:rsid w:val="00DC59A8"/>
    <w:rsid w:val="00DC6E0B"/>
    <w:rsid w:val="00DD495C"/>
    <w:rsid w:val="00DD4BBD"/>
    <w:rsid w:val="00DD4BC4"/>
    <w:rsid w:val="00DD6148"/>
    <w:rsid w:val="00DD66E8"/>
    <w:rsid w:val="00DE0DC2"/>
    <w:rsid w:val="00DE141D"/>
    <w:rsid w:val="00DE339C"/>
    <w:rsid w:val="00DE4735"/>
    <w:rsid w:val="00DE526F"/>
    <w:rsid w:val="00DE6423"/>
    <w:rsid w:val="00DE6E8F"/>
    <w:rsid w:val="00DE7B6B"/>
    <w:rsid w:val="00DF059A"/>
    <w:rsid w:val="00DF064B"/>
    <w:rsid w:val="00DF0A37"/>
    <w:rsid w:val="00DF2BF3"/>
    <w:rsid w:val="00DF5955"/>
    <w:rsid w:val="00DF7EB1"/>
    <w:rsid w:val="00E00058"/>
    <w:rsid w:val="00E00062"/>
    <w:rsid w:val="00E01AFF"/>
    <w:rsid w:val="00E01F11"/>
    <w:rsid w:val="00E0226D"/>
    <w:rsid w:val="00E04EA3"/>
    <w:rsid w:val="00E12986"/>
    <w:rsid w:val="00E12AB6"/>
    <w:rsid w:val="00E1374A"/>
    <w:rsid w:val="00E1426C"/>
    <w:rsid w:val="00E20044"/>
    <w:rsid w:val="00E20721"/>
    <w:rsid w:val="00E21956"/>
    <w:rsid w:val="00E23AB7"/>
    <w:rsid w:val="00E24640"/>
    <w:rsid w:val="00E25456"/>
    <w:rsid w:val="00E254D1"/>
    <w:rsid w:val="00E352ED"/>
    <w:rsid w:val="00E36467"/>
    <w:rsid w:val="00E366A0"/>
    <w:rsid w:val="00E366B8"/>
    <w:rsid w:val="00E405CA"/>
    <w:rsid w:val="00E4138D"/>
    <w:rsid w:val="00E41CFE"/>
    <w:rsid w:val="00E420A7"/>
    <w:rsid w:val="00E42114"/>
    <w:rsid w:val="00E42CF3"/>
    <w:rsid w:val="00E42D82"/>
    <w:rsid w:val="00E435F7"/>
    <w:rsid w:val="00E46568"/>
    <w:rsid w:val="00E478C1"/>
    <w:rsid w:val="00E51358"/>
    <w:rsid w:val="00E5239D"/>
    <w:rsid w:val="00E536E2"/>
    <w:rsid w:val="00E539CC"/>
    <w:rsid w:val="00E54480"/>
    <w:rsid w:val="00E551C2"/>
    <w:rsid w:val="00E575EA"/>
    <w:rsid w:val="00E60977"/>
    <w:rsid w:val="00E627A9"/>
    <w:rsid w:val="00E64892"/>
    <w:rsid w:val="00E6546B"/>
    <w:rsid w:val="00E65B6C"/>
    <w:rsid w:val="00E65FD6"/>
    <w:rsid w:val="00E66238"/>
    <w:rsid w:val="00E66E60"/>
    <w:rsid w:val="00E711DE"/>
    <w:rsid w:val="00E727D5"/>
    <w:rsid w:val="00E73F28"/>
    <w:rsid w:val="00E7602F"/>
    <w:rsid w:val="00E7785E"/>
    <w:rsid w:val="00E803CC"/>
    <w:rsid w:val="00E80AB5"/>
    <w:rsid w:val="00E80D3F"/>
    <w:rsid w:val="00E8129B"/>
    <w:rsid w:val="00E85813"/>
    <w:rsid w:val="00E867F0"/>
    <w:rsid w:val="00E86E7F"/>
    <w:rsid w:val="00E86F1B"/>
    <w:rsid w:val="00E8769E"/>
    <w:rsid w:val="00E90C78"/>
    <w:rsid w:val="00E92234"/>
    <w:rsid w:val="00E92347"/>
    <w:rsid w:val="00E92959"/>
    <w:rsid w:val="00E93127"/>
    <w:rsid w:val="00E952F3"/>
    <w:rsid w:val="00E96E61"/>
    <w:rsid w:val="00EA04E7"/>
    <w:rsid w:val="00EA239B"/>
    <w:rsid w:val="00EA2CAB"/>
    <w:rsid w:val="00EA2F84"/>
    <w:rsid w:val="00EA465D"/>
    <w:rsid w:val="00EA49A5"/>
    <w:rsid w:val="00EA4D05"/>
    <w:rsid w:val="00EA58EE"/>
    <w:rsid w:val="00EA58F5"/>
    <w:rsid w:val="00EA5E5F"/>
    <w:rsid w:val="00EA7691"/>
    <w:rsid w:val="00EB0F3C"/>
    <w:rsid w:val="00EB2A69"/>
    <w:rsid w:val="00EB59A5"/>
    <w:rsid w:val="00EB6280"/>
    <w:rsid w:val="00EC258A"/>
    <w:rsid w:val="00EC2A41"/>
    <w:rsid w:val="00EC2DB1"/>
    <w:rsid w:val="00EC4B6B"/>
    <w:rsid w:val="00EC7657"/>
    <w:rsid w:val="00ED00C4"/>
    <w:rsid w:val="00ED1095"/>
    <w:rsid w:val="00ED46E5"/>
    <w:rsid w:val="00ED63B9"/>
    <w:rsid w:val="00ED7A4B"/>
    <w:rsid w:val="00EE0416"/>
    <w:rsid w:val="00EE4165"/>
    <w:rsid w:val="00EE47F8"/>
    <w:rsid w:val="00EE58C2"/>
    <w:rsid w:val="00EE7760"/>
    <w:rsid w:val="00EE7DF1"/>
    <w:rsid w:val="00EF0932"/>
    <w:rsid w:val="00EF1A97"/>
    <w:rsid w:val="00EF1AB7"/>
    <w:rsid w:val="00EF56D0"/>
    <w:rsid w:val="00EF57D2"/>
    <w:rsid w:val="00EF61ED"/>
    <w:rsid w:val="00EF69D3"/>
    <w:rsid w:val="00EF7702"/>
    <w:rsid w:val="00F00A94"/>
    <w:rsid w:val="00F01E48"/>
    <w:rsid w:val="00F01FE1"/>
    <w:rsid w:val="00F024C7"/>
    <w:rsid w:val="00F02B5F"/>
    <w:rsid w:val="00F03E1E"/>
    <w:rsid w:val="00F04FCE"/>
    <w:rsid w:val="00F06DFC"/>
    <w:rsid w:val="00F06F30"/>
    <w:rsid w:val="00F07FBE"/>
    <w:rsid w:val="00F10FAB"/>
    <w:rsid w:val="00F14835"/>
    <w:rsid w:val="00F14AB3"/>
    <w:rsid w:val="00F15BC3"/>
    <w:rsid w:val="00F168AE"/>
    <w:rsid w:val="00F2107C"/>
    <w:rsid w:val="00F23EDB"/>
    <w:rsid w:val="00F24F42"/>
    <w:rsid w:val="00F27B09"/>
    <w:rsid w:val="00F30AA7"/>
    <w:rsid w:val="00F30AAF"/>
    <w:rsid w:val="00F33A39"/>
    <w:rsid w:val="00F3690F"/>
    <w:rsid w:val="00F37ADD"/>
    <w:rsid w:val="00F40256"/>
    <w:rsid w:val="00F40B8E"/>
    <w:rsid w:val="00F40EFA"/>
    <w:rsid w:val="00F41A39"/>
    <w:rsid w:val="00F43186"/>
    <w:rsid w:val="00F47500"/>
    <w:rsid w:val="00F50D2E"/>
    <w:rsid w:val="00F51D3A"/>
    <w:rsid w:val="00F52222"/>
    <w:rsid w:val="00F52670"/>
    <w:rsid w:val="00F534CB"/>
    <w:rsid w:val="00F53F93"/>
    <w:rsid w:val="00F54BD2"/>
    <w:rsid w:val="00F5522D"/>
    <w:rsid w:val="00F556A8"/>
    <w:rsid w:val="00F56488"/>
    <w:rsid w:val="00F574A1"/>
    <w:rsid w:val="00F60489"/>
    <w:rsid w:val="00F616F4"/>
    <w:rsid w:val="00F61858"/>
    <w:rsid w:val="00F61A12"/>
    <w:rsid w:val="00F624EC"/>
    <w:rsid w:val="00F638CD"/>
    <w:rsid w:val="00F65426"/>
    <w:rsid w:val="00F6555A"/>
    <w:rsid w:val="00F7028F"/>
    <w:rsid w:val="00F70356"/>
    <w:rsid w:val="00F70D9A"/>
    <w:rsid w:val="00F7621E"/>
    <w:rsid w:val="00F775DA"/>
    <w:rsid w:val="00F803EB"/>
    <w:rsid w:val="00F827A9"/>
    <w:rsid w:val="00F83106"/>
    <w:rsid w:val="00F86E77"/>
    <w:rsid w:val="00F91C6B"/>
    <w:rsid w:val="00F94006"/>
    <w:rsid w:val="00F9420D"/>
    <w:rsid w:val="00F9469F"/>
    <w:rsid w:val="00F95FB5"/>
    <w:rsid w:val="00F96147"/>
    <w:rsid w:val="00F969FA"/>
    <w:rsid w:val="00FA023F"/>
    <w:rsid w:val="00FA03A0"/>
    <w:rsid w:val="00FA1CF9"/>
    <w:rsid w:val="00FA2D44"/>
    <w:rsid w:val="00FA4D1C"/>
    <w:rsid w:val="00FA5802"/>
    <w:rsid w:val="00FA59EE"/>
    <w:rsid w:val="00FA7D82"/>
    <w:rsid w:val="00FB1261"/>
    <w:rsid w:val="00FB1E50"/>
    <w:rsid w:val="00FB300F"/>
    <w:rsid w:val="00FB33AE"/>
    <w:rsid w:val="00FB5E95"/>
    <w:rsid w:val="00FB613B"/>
    <w:rsid w:val="00FB7478"/>
    <w:rsid w:val="00FC196F"/>
    <w:rsid w:val="00FC1D0F"/>
    <w:rsid w:val="00FC34AA"/>
    <w:rsid w:val="00FC36CD"/>
    <w:rsid w:val="00FC3B77"/>
    <w:rsid w:val="00FC3E30"/>
    <w:rsid w:val="00FC3E6D"/>
    <w:rsid w:val="00FC54D1"/>
    <w:rsid w:val="00FC5A9C"/>
    <w:rsid w:val="00FC5AF5"/>
    <w:rsid w:val="00FC6C81"/>
    <w:rsid w:val="00FC7346"/>
    <w:rsid w:val="00FD0112"/>
    <w:rsid w:val="00FD05D2"/>
    <w:rsid w:val="00FD2061"/>
    <w:rsid w:val="00FD22C9"/>
    <w:rsid w:val="00FD295E"/>
    <w:rsid w:val="00FD4494"/>
    <w:rsid w:val="00FD4AD2"/>
    <w:rsid w:val="00FD6591"/>
    <w:rsid w:val="00FD7281"/>
    <w:rsid w:val="00FD7414"/>
    <w:rsid w:val="00FE0A38"/>
    <w:rsid w:val="00FE23BD"/>
    <w:rsid w:val="00FE64C9"/>
    <w:rsid w:val="00FF343C"/>
    <w:rsid w:val="00FF4DA4"/>
    <w:rsid w:val="00FF5A39"/>
    <w:rsid w:val="01210236"/>
    <w:rsid w:val="01371DCA"/>
    <w:rsid w:val="014C17BC"/>
    <w:rsid w:val="014E7E84"/>
    <w:rsid w:val="0181313A"/>
    <w:rsid w:val="018D4877"/>
    <w:rsid w:val="01B47BA8"/>
    <w:rsid w:val="01C57BC0"/>
    <w:rsid w:val="01DB2FB3"/>
    <w:rsid w:val="02100896"/>
    <w:rsid w:val="025175A4"/>
    <w:rsid w:val="025C4C48"/>
    <w:rsid w:val="02A50D00"/>
    <w:rsid w:val="02A54A31"/>
    <w:rsid w:val="02A8531C"/>
    <w:rsid w:val="03184C10"/>
    <w:rsid w:val="03233EAE"/>
    <w:rsid w:val="032B1AA6"/>
    <w:rsid w:val="03332071"/>
    <w:rsid w:val="036D6C9C"/>
    <w:rsid w:val="03AE57E2"/>
    <w:rsid w:val="03B46F2E"/>
    <w:rsid w:val="03C218C0"/>
    <w:rsid w:val="03C339F7"/>
    <w:rsid w:val="03CB00CB"/>
    <w:rsid w:val="03E61F56"/>
    <w:rsid w:val="0400278A"/>
    <w:rsid w:val="040C39C0"/>
    <w:rsid w:val="04496C52"/>
    <w:rsid w:val="04565DCB"/>
    <w:rsid w:val="045E3A0B"/>
    <w:rsid w:val="046C24E6"/>
    <w:rsid w:val="04851B9C"/>
    <w:rsid w:val="049C5976"/>
    <w:rsid w:val="04B37681"/>
    <w:rsid w:val="04D144D9"/>
    <w:rsid w:val="04EC547F"/>
    <w:rsid w:val="04F60FD2"/>
    <w:rsid w:val="04FF101E"/>
    <w:rsid w:val="05077749"/>
    <w:rsid w:val="050B78C6"/>
    <w:rsid w:val="051325AF"/>
    <w:rsid w:val="051E0C84"/>
    <w:rsid w:val="0541559B"/>
    <w:rsid w:val="054D20D0"/>
    <w:rsid w:val="055743D0"/>
    <w:rsid w:val="056A7D04"/>
    <w:rsid w:val="05BC3C9F"/>
    <w:rsid w:val="05D06877"/>
    <w:rsid w:val="05DC5A0C"/>
    <w:rsid w:val="06465954"/>
    <w:rsid w:val="065D5AF2"/>
    <w:rsid w:val="067B08E2"/>
    <w:rsid w:val="06933924"/>
    <w:rsid w:val="069D0F8E"/>
    <w:rsid w:val="06B65558"/>
    <w:rsid w:val="06C46EA1"/>
    <w:rsid w:val="06D817D7"/>
    <w:rsid w:val="06E8442C"/>
    <w:rsid w:val="06F352F7"/>
    <w:rsid w:val="070B4B5D"/>
    <w:rsid w:val="071A6488"/>
    <w:rsid w:val="072920F1"/>
    <w:rsid w:val="075C2162"/>
    <w:rsid w:val="07815636"/>
    <w:rsid w:val="078445FD"/>
    <w:rsid w:val="0787265A"/>
    <w:rsid w:val="07A27423"/>
    <w:rsid w:val="07B85FC4"/>
    <w:rsid w:val="07C33186"/>
    <w:rsid w:val="07CE7D0F"/>
    <w:rsid w:val="081F1991"/>
    <w:rsid w:val="083A192E"/>
    <w:rsid w:val="083E37C1"/>
    <w:rsid w:val="0841243E"/>
    <w:rsid w:val="089635AC"/>
    <w:rsid w:val="089A0C61"/>
    <w:rsid w:val="08C3631C"/>
    <w:rsid w:val="08C54B6B"/>
    <w:rsid w:val="08E753B8"/>
    <w:rsid w:val="09527CE2"/>
    <w:rsid w:val="096A52BB"/>
    <w:rsid w:val="09723E34"/>
    <w:rsid w:val="09CF6318"/>
    <w:rsid w:val="09D77CC9"/>
    <w:rsid w:val="0A2D4167"/>
    <w:rsid w:val="0A361876"/>
    <w:rsid w:val="0A4E45CA"/>
    <w:rsid w:val="0A776DAA"/>
    <w:rsid w:val="0A8D36AB"/>
    <w:rsid w:val="0AC27581"/>
    <w:rsid w:val="0AD3283A"/>
    <w:rsid w:val="0B1617C6"/>
    <w:rsid w:val="0B1C7A47"/>
    <w:rsid w:val="0B244E40"/>
    <w:rsid w:val="0B797A59"/>
    <w:rsid w:val="0B94100C"/>
    <w:rsid w:val="0BA16D8A"/>
    <w:rsid w:val="0BB04F9D"/>
    <w:rsid w:val="0BBC74B2"/>
    <w:rsid w:val="0BBF2797"/>
    <w:rsid w:val="0BCD06D5"/>
    <w:rsid w:val="0BD14831"/>
    <w:rsid w:val="0BE34397"/>
    <w:rsid w:val="0C226AA3"/>
    <w:rsid w:val="0C3A09E1"/>
    <w:rsid w:val="0C7E698F"/>
    <w:rsid w:val="0C9D61EA"/>
    <w:rsid w:val="0CBF01C8"/>
    <w:rsid w:val="0CBF4AAD"/>
    <w:rsid w:val="0CDD1A01"/>
    <w:rsid w:val="0D186B83"/>
    <w:rsid w:val="0D25072F"/>
    <w:rsid w:val="0D5B08BB"/>
    <w:rsid w:val="0D611322"/>
    <w:rsid w:val="0D6736A9"/>
    <w:rsid w:val="0D900688"/>
    <w:rsid w:val="0DCA0D93"/>
    <w:rsid w:val="0DDC6A2A"/>
    <w:rsid w:val="0DE24D95"/>
    <w:rsid w:val="0DE25895"/>
    <w:rsid w:val="0DE37BB6"/>
    <w:rsid w:val="0DE779CA"/>
    <w:rsid w:val="0E0055F0"/>
    <w:rsid w:val="0E1A78FE"/>
    <w:rsid w:val="0E1D17F6"/>
    <w:rsid w:val="0E8117B2"/>
    <w:rsid w:val="0EAC03A0"/>
    <w:rsid w:val="0EF615AF"/>
    <w:rsid w:val="0EFB7585"/>
    <w:rsid w:val="0F2D7011"/>
    <w:rsid w:val="0F350FF4"/>
    <w:rsid w:val="0F534F13"/>
    <w:rsid w:val="0F690476"/>
    <w:rsid w:val="0F78513C"/>
    <w:rsid w:val="0F8749C8"/>
    <w:rsid w:val="0F960A13"/>
    <w:rsid w:val="0F973B14"/>
    <w:rsid w:val="0F9C19E5"/>
    <w:rsid w:val="0FE72D42"/>
    <w:rsid w:val="0FFC647E"/>
    <w:rsid w:val="10257FE8"/>
    <w:rsid w:val="102705F2"/>
    <w:rsid w:val="103E0520"/>
    <w:rsid w:val="10546291"/>
    <w:rsid w:val="10587432"/>
    <w:rsid w:val="105911DD"/>
    <w:rsid w:val="105D79F9"/>
    <w:rsid w:val="1073427E"/>
    <w:rsid w:val="107446CB"/>
    <w:rsid w:val="107803C2"/>
    <w:rsid w:val="108466B4"/>
    <w:rsid w:val="10A514F1"/>
    <w:rsid w:val="10AD3EE1"/>
    <w:rsid w:val="10D514D7"/>
    <w:rsid w:val="10D549BC"/>
    <w:rsid w:val="10E41BCA"/>
    <w:rsid w:val="10E447EF"/>
    <w:rsid w:val="11052971"/>
    <w:rsid w:val="1123705A"/>
    <w:rsid w:val="112849F0"/>
    <w:rsid w:val="112F02EF"/>
    <w:rsid w:val="114617F9"/>
    <w:rsid w:val="114B665B"/>
    <w:rsid w:val="11570837"/>
    <w:rsid w:val="119A3BD8"/>
    <w:rsid w:val="11BE49C7"/>
    <w:rsid w:val="11D15DCA"/>
    <w:rsid w:val="11D60E6A"/>
    <w:rsid w:val="11EF49E3"/>
    <w:rsid w:val="120045BD"/>
    <w:rsid w:val="12457649"/>
    <w:rsid w:val="12594F6F"/>
    <w:rsid w:val="127A1B45"/>
    <w:rsid w:val="12AC1433"/>
    <w:rsid w:val="13014841"/>
    <w:rsid w:val="13333A54"/>
    <w:rsid w:val="13365237"/>
    <w:rsid w:val="133C1F08"/>
    <w:rsid w:val="134F5BFE"/>
    <w:rsid w:val="135E16A1"/>
    <w:rsid w:val="136650BD"/>
    <w:rsid w:val="13C25AC0"/>
    <w:rsid w:val="13E524E9"/>
    <w:rsid w:val="13ED2BA7"/>
    <w:rsid w:val="1429639A"/>
    <w:rsid w:val="143754F9"/>
    <w:rsid w:val="1438793E"/>
    <w:rsid w:val="14500BF2"/>
    <w:rsid w:val="14666A98"/>
    <w:rsid w:val="1470647C"/>
    <w:rsid w:val="148A1D53"/>
    <w:rsid w:val="14B83AB2"/>
    <w:rsid w:val="14C402C0"/>
    <w:rsid w:val="14D37A2C"/>
    <w:rsid w:val="14DA732D"/>
    <w:rsid w:val="14E0698E"/>
    <w:rsid w:val="150016B6"/>
    <w:rsid w:val="151152F6"/>
    <w:rsid w:val="153129D8"/>
    <w:rsid w:val="153E51D1"/>
    <w:rsid w:val="15544E1C"/>
    <w:rsid w:val="156E7053"/>
    <w:rsid w:val="15854809"/>
    <w:rsid w:val="1589178B"/>
    <w:rsid w:val="15A56D19"/>
    <w:rsid w:val="15D45229"/>
    <w:rsid w:val="15FF357F"/>
    <w:rsid w:val="16412AE4"/>
    <w:rsid w:val="16474817"/>
    <w:rsid w:val="166D3C52"/>
    <w:rsid w:val="167E0120"/>
    <w:rsid w:val="1685433A"/>
    <w:rsid w:val="168A1074"/>
    <w:rsid w:val="168E435A"/>
    <w:rsid w:val="169A1E23"/>
    <w:rsid w:val="169B46CA"/>
    <w:rsid w:val="16B27FF2"/>
    <w:rsid w:val="16B67124"/>
    <w:rsid w:val="16CA5858"/>
    <w:rsid w:val="16CD4916"/>
    <w:rsid w:val="16E9059B"/>
    <w:rsid w:val="1707318C"/>
    <w:rsid w:val="1710220B"/>
    <w:rsid w:val="171356A8"/>
    <w:rsid w:val="17162ACC"/>
    <w:rsid w:val="1717206D"/>
    <w:rsid w:val="171C5C9C"/>
    <w:rsid w:val="17250B04"/>
    <w:rsid w:val="17483373"/>
    <w:rsid w:val="179F52FF"/>
    <w:rsid w:val="17BC6647"/>
    <w:rsid w:val="17C07BD4"/>
    <w:rsid w:val="17C81FFD"/>
    <w:rsid w:val="17CC0E59"/>
    <w:rsid w:val="17D06D21"/>
    <w:rsid w:val="17E06B2E"/>
    <w:rsid w:val="17EA0B86"/>
    <w:rsid w:val="181C73BE"/>
    <w:rsid w:val="182040DC"/>
    <w:rsid w:val="18547C1F"/>
    <w:rsid w:val="18677F39"/>
    <w:rsid w:val="18BD62C6"/>
    <w:rsid w:val="18C213D9"/>
    <w:rsid w:val="18DD4BC1"/>
    <w:rsid w:val="18E2760C"/>
    <w:rsid w:val="195A205F"/>
    <w:rsid w:val="197E3970"/>
    <w:rsid w:val="19A4603E"/>
    <w:rsid w:val="19C83E8E"/>
    <w:rsid w:val="19F73BE2"/>
    <w:rsid w:val="19FE7D12"/>
    <w:rsid w:val="1A011E7A"/>
    <w:rsid w:val="1A0E4452"/>
    <w:rsid w:val="1A6011FC"/>
    <w:rsid w:val="1A740668"/>
    <w:rsid w:val="1A795D46"/>
    <w:rsid w:val="1A9E6B98"/>
    <w:rsid w:val="1ACA748F"/>
    <w:rsid w:val="1AE06777"/>
    <w:rsid w:val="1AEF002A"/>
    <w:rsid w:val="1AFB2EDA"/>
    <w:rsid w:val="1B1633F1"/>
    <w:rsid w:val="1B382BA9"/>
    <w:rsid w:val="1B434A90"/>
    <w:rsid w:val="1B4D448D"/>
    <w:rsid w:val="1B641C77"/>
    <w:rsid w:val="1B946965"/>
    <w:rsid w:val="1BBC4061"/>
    <w:rsid w:val="1BD54E47"/>
    <w:rsid w:val="1BD55366"/>
    <w:rsid w:val="1BDF1B10"/>
    <w:rsid w:val="1BEE713C"/>
    <w:rsid w:val="1C17636C"/>
    <w:rsid w:val="1C280F82"/>
    <w:rsid w:val="1C4056A3"/>
    <w:rsid w:val="1C410AA8"/>
    <w:rsid w:val="1C633326"/>
    <w:rsid w:val="1C646B83"/>
    <w:rsid w:val="1C7A5934"/>
    <w:rsid w:val="1C7C1D33"/>
    <w:rsid w:val="1C7D025F"/>
    <w:rsid w:val="1CA6171A"/>
    <w:rsid w:val="1CC5327C"/>
    <w:rsid w:val="1CEE6FBE"/>
    <w:rsid w:val="1D06232B"/>
    <w:rsid w:val="1D113F5C"/>
    <w:rsid w:val="1D2859CF"/>
    <w:rsid w:val="1D303830"/>
    <w:rsid w:val="1D321D3B"/>
    <w:rsid w:val="1D52113B"/>
    <w:rsid w:val="1D5510FE"/>
    <w:rsid w:val="1D552B46"/>
    <w:rsid w:val="1DAD62DC"/>
    <w:rsid w:val="1DC77483"/>
    <w:rsid w:val="1DDF4B2E"/>
    <w:rsid w:val="1DF46368"/>
    <w:rsid w:val="1E255B77"/>
    <w:rsid w:val="1E322634"/>
    <w:rsid w:val="1E992A2C"/>
    <w:rsid w:val="1EEE4E73"/>
    <w:rsid w:val="1EF063AC"/>
    <w:rsid w:val="1EF35DA6"/>
    <w:rsid w:val="1F250A2A"/>
    <w:rsid w:val="1F2967B4"/>
    <w:rsid w:val="1F37605B"/>
    <w:rsid w:val="1F5D25C9"/>
    <w:rsid w:val="1F7A7AFE"/>
    <w:rsid w:val="1F7B6C0B"/>
    <w:rsid w:val="1F984CD4"/>
    <w:rsid w:val="1F98506B"/>
    <w:rsid w:val="1FBC631C"/>
    <w:rsid w:val="1FBE0B2C"/>
    <w:rsid w:val="1FD13770"/>
    <w:rsid w:val="1FE05E91"/>
    <w:rsid w:val="200124C6"/>
    <w:rsid w:val="20072BA5"/>
    <w:rsid w:val="200D714F"/>
    <w:rsid w:val="200E4B5C"/>
    <w:rsid w:val="205320C9"/>
    <w:rsid w:val="207116D5"/>
    <w:rsid w:val="20820453"/>
    <w:rsid w:val="20B01E08"/>
    <w:rsid w:val="20B25D4E"/>
    <w:rsid w:val="20E954CD"/>
    <w:rsid w:val="20EA2716"/>
    <w:rsid w:val="211C7FE6"/>
    <w:rsid w:val="211E507C"/>
    <w:rsid w:val="2123665C"/>
    <w:rsid w:val="21281101"/>
    <w:rsid w:val="212F10FB"/>
    <w:rsid w:val="215134CB"/>
    <w:rsid w:val="2163204E"/>
    <w:rsid w:val="21641D8D"/>
    <w:rsid w:val="219A5877"/>
    <w:rsid w:val="21A60F06"/>
    <w:rsid w:val="21B95DBA"/>
    <w:rsid w:val="21D87B6F"/>
    <w:rsid w:val="21F05438"/>
    <w:rsid w:val="21F93ADE"/>
    <w:rsid w:val="220570CE"/>
    <w:rsid w:val="221C44D6"/>
    <w:rsid w:val="22322692"/>
    <w:rsid w:val="22632F08"/>
    <w:rsid w:val="229F303F"/>
    <w:rsid w:val="22A84076"/>
    <w:rsid w:val="22B936A6"/>
    <w:rsid w:val="22D247BB"/>
    <w:rsid w:val="230060D3"/>
    <w:rsid w:val="230B7C63"/>
    <w:rsid w:val="232003BE"/>
    <w:rsid w:val="23246E47"/>
    <w:rsid w:val="232A5790"/>
    <w:rsid w:val="233D2C92"/>
    <w:rsid w:val="234C1654"/>
    <w:rsid w:val="23523426"/>
    <w:rsid w:val="23661BF7"/>
    <w:rsid w:val="239640A4"/>
    <w:rsid w:val="24133D90"/>
    <w:rsid w:val="24176577"/>
    <w:rsid w:val="242E0B63"/>
    <w:rsid w:val="242E3B48"/>
    <w:rsid w:val="24364065"/>
    <w:rsid w:val="244575BA"/>
    <w:rsid w:val="246B7FA3"/>
    <w:rsid w:val="249E7C14"/>
    <w:rsid w:val="24F23D49"/>
    <w:rsid w:val="24FA0197"/>
    <w:rsid w:val="2553349A"/>
    <w:rsid w:val="257301FD"/>
    <w:rsid w:val="25821F24"/>
    <w:rsid w:val="258E02E9"/>
    <w:rsid w:val="25B0239E"/>
    <w:rsid w:val="2606429A"/>
    <w:rsid w:val="26167A34"/>
    <w:rsid w:val="261F505A"/>
    <w:rsid w:val="2631170A"/>
    <w:rsid w:val="265719E6"/>
    <w:rsid w:val="26671A05"/>
    <w:rsid w:val="26685DE4"/>
    <w:rsid w:val="266E5D54"/>
    <w:rsid w:val="26873B1F"/>
    <w:rsid w:val="268B180D"/>
    <w:rsid w:val="26CA1801"/>
    <w:rsid w:val="26E41D5C"/>
    <w:rsid w:val="26FD0D7E"/>
    <w:rsid w:val="270E1666"/>
    <w:rsid w:val="27472E35"/>
    <w:rsid w:val="2766261D"/>
    <w:rsid w:val="278A5863"/>
    <w:rsid w:val="279B4538"/>
    <w:rsid w:val="27DB3619"/>
    <w:rsid w:val="27E94CB4"/>
    <w:rsid w:val="27F85538"/>
    <w:rsid w:val="28354BCC"/>
    <w:rsid w:val="285B5EFE"/>
    <w:rsid w:val="28760F29"/>
    <w:rsid w:val="28876928"/>
    <w:rsid w:val="289916CA"/>
    <w:rsid w:val="28A81A65"/>
    <w:rsid w:val="28AF385B"/>
    <w:rsid w:val="28B900BE"/>
    <w:rsid w:val="28C253A2"/>
    <w:rsid w:val="28C9460F"/>
    <w:rsid w:val="28CC4323"/>
    <w:rsid w:val="28D47DD7"/>
    <w:rsid w:val="290A2910"/>
    <w:rsid w:val="29427472"/>
    <w:rsid w:val="2977423B"/>
    <w:rsid w:val="29AA5AC2"/>
    <w:rsid w:val="29CC1821"/>
    <w:rsid w:val="29EF21B1"/>
    <w:rsid w:val="2A1E33B5"/>
    <w:rsid w:val="2A206E31"/>
    <w:rsid w:val="2A27331C"/>
    <w:rsid w:val="2A6B6DF6"/>
    <w:rsid w:val="2A80120D"/>
    <w:rsid w:val="2A80148B"/>
    <w:rsid w:val="2AA1699A"/>
    <w:rsid w:val="2AD00CA4"/>
    <w:rsid w:val="2B057E3E"/>
    <w:rsid w:val="2B110F00"/>
    <w:rsid w:val="2B205CAB"/>
    <w:rsid w:val="2B23387D"/>
    <w:rsid w:val="2B68786C"/>
    <w:rsid w:val="2B7175FB"/>
    <w:rsid w:val="2B7D3F49"/>
    <w:rsid w:val="2BA17A0B"/>
    <w:rsid w:val="2BA95117"/>
    <w:rsid w:val="2BDA695C"/>
    <w:rsid w:val="2C0278CF"/>
    <w:rsid w:val="2C060293"/>
    <w:rsid w:val="2C502E97"/>
    <w:rsid w:val="2C69797F"/>
    <w:rsid w:val="2C7E147C"/>
    <w:rsid w:val="2C924F91"/>
    <w:rsid w:val="2C9546D7"/>
    <w:rsid w:val="2CA5430D"/>
    <w:rsid w:val="2CC63EEE"/>
    <w:rsid w:val="2CF361B7"/>
    <w:rsid w:val="2D0228C6"/>
    <w:rsid w:val="2D0F0D34"/>
    <w:rsid w:val="2D404E22"/>
    <w:rsid w:val="2D480CAE"/>
    <w:rsid w:val="2D554F76"/>
    <w:rsid w:val="2D8175D0"/>
    <w:rsid w:val="2D8D7E80"/>
    <w:rsid w:val="2DB9028A"/>
    <w:rsid w:val="2DC063FF"/>
    <w:rsid w:val="2DC47347"/>
    <w:rsid w:val="2DEC0C62"/>
    <w:rsid w:val="2DF55FBD"/>
    <w:rsid w:val="2E1667EC"/>
    <w:rsid w:val="2E1F1136"/>
    <w:rsid w:val="2E261F1C"/>
    <w:rsid w:val="2E2A2FAA"/>
    <w:rsid w:val="2E3221B8"/>
    <w:rsid w:val="2E3966F3"/>
    <w:rsid w:val="2E603333"/>
    <w:rsid w:val="2ECB46BE"/>
    <w:rsid w:val="2F080F58"/>
    <w:rsid w:val="2F12377F"/>
    <w:rsid w:val="2F321CCF"/>
    <w:rsid w:val="2F7165FF"/>
    <w:rsid w:val="2F886B42"/>
    <w:rsid w:val="2F9E05FA"/>
    <w:rsid w:val="2FFC5EF9"/>
    <w:rsid w:val="30063D21"/>
    <w:rsid w:val="30206F7D"/>
    <w:rsid w:val="3027138E"/>
    <w:rsid w:val="3063704D"/>
    <w:rsid w:val="30894E03"/>
    <w:rsid w:val="308D2CF7"/>
    <w:rsid w:val="30B176B6"/>
    <w:rsid w:val="30E21BF0"/>
    <w:rsid w:val="30F72E8C"/>
    <w:rsid w:val="312921B5"/>
    <w:rsid w:val="312F6529"/>
    <w:rsid w:val="31461F40"/>
    <w:rsid w:val="31592348"/>
    <w:rsid w:val="31751623"/>
    <w:rsid w:val="3178206A"/>
    <w:rsid w:val="31842558"/>
    <w:rsid w:val="318A0386"/>
    <w:rsid w:val="31930CFB"/>
    <w:rsid w:val="31987569"/>
    <w:rsid w:val="31BC2F1B"/>
    <w:rsid w:val="31E14F2F"/>
    <w:rsid w:val="32142E61"/>
    <w:rsid w:val="32395E62"/>
    <w:rsid w:val="324F7604"/>
    <w:rsid w:val="327A6069"/>
    <w:rsid w:val="328D6EB8"/>
    <w:rsid w:val="32AD0BEC"/>
    <w:rsid w:val="32B41178"/>
    <w:rsid w:val="32BF5AD2"/>
    <w:rsid w:val="32C057F1"/>
    <w:rsid w:val="32D03FEE"/>
    <w:rsid w:val="32E50221"/>
    <w:rsid w:val="32E60AE0"/>
    <w:rsid w:val="32F87A75"/>
    <w:rsid w:val="334D6B04"/>
    <w:rsid w:val="336D24D8"/>
    <w:rsid w:val="339F7EA0"/>
    <w:rsid w:val="33AC3F38"/>
    <w:rsid w:val="33C55CE0"/>
    <w:rsid w:val="33DE1181"/>
    <w:rsid w:val="33E10958"/>
    <w:rsid w:val="33F30009"/>
    <w:rsid w:val="342C54C4"/>
    <w:rsid w:val="343434BF"/>
    <w:rsid w:val="343A3870"/>
    <w:rsid w:val="344258A6"/>
    <w:rsid w:val="344337FC"/>
    <w:rsid w:val="34470E43"/>
    <w:rsid w:val="34600A8F"/>
    <w:rsid w:val="349414A9"/>
    <w:rsid w:val="34A627D1"/>
    <w:rsid w:val="351A1DA8"/>
    <w:rsid w:val="35557486"/>
    <w:rsid w:val="356236EB"/>
    <w:rsid w:val="356E3F63"/>
    <w:rsid w:val="3583527B"/>
    <w:rsid w:val="35A96A9A"/>
    <w:rsid w:val="35DD2E13"/>
    <w:rsid w:val="36236249"/>
    <w:rsid w:val="36532BB8"/>
    <w:rsid w:val="366448C0"/>
    <w:rsid w:val="36782B49"/>
    <w:rsid w:val="36783D44"/>
    <w:rsid w:val="36850CB0"/>
    <w:rsid w:val="36BB1F94"/>
    <w:rsid w:val="36C2206C"/>
    <w:rsid w:val="370875F7"/>
    <w:rsid w:val="371630BD"/>
    <w:rsid w:val="374B7DA2"/>
    <w:rsid w:val="37826D44"/>
    <w:rsid w:val="378343D4"/>
    <w:rsid w:val="379D2853"/>
    <w:rsid w:val="379D5C0D"/>
    <w:rsid w:val="37BC7157"/>
    <w:rsid w:val="37CB05B8"/>
    <w:rsid w:val="37E6108F"/>
    <w:rsid w:val="37FB41F9"/>
    <w:rsid w:val="38006237"/>
    <w:rsid w:val="38156CC0"/>
    <w:rsid w:val="381861D7"/>
    <w:rsid w:val="381D4AE4"/>
    <w:rsid w:val="38364E7E"/>
    <w:rsid w:val="38765D37"/>
    <w:rsid w:val="38873E52"/>
    <w:rsid w:val="38894F04"/>
    <w:rsid w:val="3891317E"/>
    <w:rsid w:val="38917EDD"/>
    <w:rsid w:val="38CD7EC0"/>
    <w:rsid w:val="38D03C86"/>
    <w:rsid w:val="38D94119"/>
    <w:rsid w:val="38DF2366"/>
    <w:rsid w:val="38E629E4"/>
    <w:rsid w:val="38FC76D1"/>
    <w:rsid w:val="390E6CB0"/>
    <w:rsid w:val="391D0CC2"/>
    <w:rsid w:val="39550BC5"/>
    <w:rsid w:val="39660897"/>
    <w:rsid w:val="39D336D3"/>
    <w:rsid w:val="39E9232D"/>
    <w:rsid w:val="39FF7116"/>
    <w:rsid w:val="3A1924FF"/>
    <w:rsid w:val="3A1D706E"/>
    <w:rsid w:val="3A1E285E"/>
    <w:rsid w:val="3A23232B"/>
    <w:rsid w:val="3A370C2A"/>
    <w:rsid w:val="3A4659A1"/>
    <w:rsid w:val="3A8E4AAB"/>
    <w:rsid w:val="3AAE36F5"/>
    <w:rsid w:val="3AF13C52"/>
    <w:rsid w:val="3AF939EA"/>
    <w:rsid w:val="3B143256"/>
    <w:rsid w:val="3B231854"/>
    <w:rsid w:val="3B2E4D3E"/>
    <w:rsid w:val="3B3D0803"/>
    <w:rsid w:val="3B806F95"/>
    <w:rsid w:val="3B91462E"/>
    <w:rsid w:val="3B952636"/>
    <w:rsid w:val="3BB02426"/>
    <w:rsid w:val="3BB748F4"/>
    <w:rsid w:val="3BCE28E3"/>
    <w:rsid w:val="3C0A6BE9"/>
    <w:rsid w:val="3C0D6156"/>
    <w:rsid w:val="3C373857"/>
    <w:rsid w:val="3C705128"/>
    <w:rsid w:val="3C99655C"/>
    <w:rsid w:val="3C9F17E9"/>
    <w:rsid w:val="3CC0368A"/>
    <w:rsid w:val="3CC63189"/>
    <w:rsid w:val="3CC72906"/>
    <w:rsid w:val="3CCC4A60"/>
    <w:rsid w:val="3CD62288"/>
    <w:rsid w:val="3CF06ACA"/>
    <w:rsid w:val="3CF91AC1"/>
    <w:rsid w:val="3D077327"/>
    <w:rsid w:val="3D126885"/>
    <w:rsid w:val="3D197B5E"/>
    <w:rsid w:val="3D380051"/>
    <w:rsid w:val="3D3C0DF5"/>
    <w:rsid w:val="3D436195"/>
    <w:rsid w:val="3D6E03C2"/>
    <w:rsid w:val="3D705C7E"/>
    <w:rsid w:val="3D794DCE"/>
    <w:rsid w:val="3DC458AA"/>
    <w:rsid w:val="3DE6265F"/>
    <w:rsid w:val="3E1B66C5"/>
    <w:rsid w:val="3E1C553D"/>
    <w:rsid w:val="3E4A0EE0"/>
    <w:rsid w:val="3E5172EF"/>
    <w:rsid w:val="3E642AD6"/>
    <w:rsid w:val="3E767F90"/>
    <w:rsid w:val="3ED0293E"/>
    <w:rsid w:val="3EDB3BA7"/>
    <w:rsid w:val="3EE52056"/>
    <w:rsid w:val="3F0052E0"/>
    <w:rsid w:val="3F2D4E42"/>
    <w:rsid w:val="3F63430B"/>
    <w:rsid w:val="3F7F46F8"/>
    <w:rsid w:val="3F951640"/>
    <w:rsid w:val="3FA76A8F"/>
    <w:rsid w:val="3FC17063"/>
    <w:rsid w:val="400B44E4"/>
    <w:rsid w:val="40115408"/>
    <w:rsid w:val="40551B6F"/>
    <w:rsid w:val="40825B58"/>
    <w:rsid w:val="4085535B"/>
    <w:rsid w:val="40863572"/>
    <w:rsid w:val="40A43771"/>
    <w:rsid w:val="40AD37E2"/>
    <w:rsid w:val="40B82403"/>
    <w:rsid w:val="40CE3F71"/>
    <w:rsid w:val="40CE5F9F"/>
    <w:rsid w:val="40D858BD"/>
    <w:rsid w:val="40EB1655"/>
    <w:rsid w:val="40F668D5"/>
    <w:rsid w:val="41111BE1"/>
    <w:rsid w:val="41387937"/>
    <w:rsid w:val="413B5353"/>
    <w:rsid w:val="41515DEA"/>
    <w:rsid w:val="41582EF2"/>
    <w:rsid w:val="41965B8F"/>
    <w:rsid w:val="419923B2"/>
    <w:rsid w:val="41B06825"/>
    <w:rsid w:val="41DA4452"/>
    <w:rsid w:val="41EB643F"/>
    <w:rsid w:val="421A2904"/>
    <w:rsid w:val="421A355E"/>
    <w:rsid w:val="421A569D"/>
    <w:rsid w:val="42282592"/>
    <w:rsid w:val="42444690"/>
    <w:rsid w:val="424B619B"/>
    <w:rsid w:val="42517CD2"/>
    <w:rsid w:val="425A4117"/>
    <w:rsid w:val="42874412"/>
    <w:rsid w:val="429543C1"/>
    <w:rsid w:val="42B71CE2"/>
    <w:rsid w:val="42B91096"/>
    <w:rsid w:val="42BA74AE"/>
    <w:rsid w:val="42C779F0"/>
    <w:rsid w:val="42C857D3"/>
    <w:rsid w:val="42CC5064"/>
    <w:rsid w:val="434F7D8C"/>
    <w:rsid w:val="43690AF3"/>
    <w:rsid w:val="4389448F"/>
    <w:rsid w:val="43930874"/>
    <w:rsid w:val="43A21710"/>
    <w:rsid w:val="43B95330"/>
    <w:rsid w:val="43C104B2"/>
    <w:rsid w:val="43C26281"/>
    <w:rsid w:val="43D665DF"/>
    <w:rsid w:val="44083E88"/>
    <w:rsid w:val="44155CEB"/>
    <w:rsid w:val="442E169E"/>
    <w:rsid w:val="44332C8D"/>
    <w:rsid w:val="445A6A2B"/>
    <w:rsid w:val="4481205F"/>
    <w:rsid w:val="4499670A"/>
    <w:rsid w:val="44A74891"/>
    <w:rsid w:val="44A97DF5"/>
    <w:rsid w:val="44AD4D37"/>
    <w:rsid w:val="44AF59AC"/>
    <w:rsid w:val="44E060F6"/>
    <w:rsid w:val="44E72465"/>
    <w:rsid w:val="44E750BD"/>
    <w:rsid w:val="45510439"/>
    <w:rsid w:val="458C1751"/>
    <w:rsid w:val="45A55C23"/>
    <w:rsid w:val="45A62446"/>
    <w:rsid w:val="45D65461"/>
    <w:rsid w:val="45F6643C"/>
    <w:rsid w:val="46116D0C"/>
    <w:rsid w:val="4626423E"/>
    <w:rsid w:val="4639461A"/>
    <w:rsid w:val="465B07B7"/>
    <w:rsid w:val="466A5014"/>
    <w:rsid w:val="468256E9"/>
    <w:rsid w:val="46915F52"/>
    <w:rsid w:val="4693253C"/>
    <w:rsid w:val="4696561B"/>
    <w:rsid w:val="46AF5979"/>
    <w:rsid w:val="46BC58FD"/>
    <w:rsid w:val="46BD5A9D"/>
    <w:rsid w:val="46C57928"/>
    <w:rsid w:val="46DA08E9"/>
    <w:rsid w:val="46DD31A5"/>
    <w:rsid w:val="46EC1BC1"/>
    <w:rsid w:val="471D53B0"/>
    <w:rsid w:val="472D50FD"/>
    <w:rsid w:val="479847E1"/>
    <w:rsid w:val="47987A56"/>
    <w:rsid w:val="47AC64E9"/>
    <w:rsid w:val="47AD1654"/>
    <w:rsid w:val="47B62332"/>
    <w:rsid w:val="47B91E51"/>
    <w:rsid w:val="47C33CFA"/>
    <w:rsid w:val="47D5614B"/>
    <w:rsid w:val="47E8339B"/>
    <w:rsid w:val="47F23615"/>
    <w:rsid w:val="48142F41"/>
    <w:rsid w:val="482D781D"/>
    <w:rsid w:val="48457B46"/>
    <w:rsid w:val="48682E61"/>
    <w:rsid w:val="488D3C27"/>
    <w:rsid w:val="489145E1"/>
    <w:rsid w:val="48C11A8B"/>
    <w:rsid w:val="48E10330"/>
    <w:rsid w:val="491B4362"/>
    <w:rsid w:val="492F3E36"/>
    <w:rsid w:val="496268CE"/>
    <w:rsid w:val="497843E9"/>
    <w:rsid w:val="497A05D9"/>
    <w:rsid w:val="499C2CD8"/>
    <w:rsid w:val="49A12F7E"/>
    <w:rsid w:val="49CF6E42"/>
    <w:rsid w:val="4A0E2779"/>
    <w:rsid w:val="4A1747D2"/>
    <w:rsid w:val="4A745C3A"/>
    <w:rsid w:val="4A7813A7"/>
    <w:rsid w:val="4AD61F4B"/>
    <w:rsid w:val="4B071F64"/>
    <w:rsid w:val="4B0E5DF3"/>
    <w:rsid w:val="4B574DD6"/>
    <w:rsid w:val="4B7078C8"/>
    <w:rsid w:val="4B841727"/>
    <w:rsid w:val="4B873BDE"/>
    <w:rsid w:val="4B89449F"/>
    <w:rsid w:val="4B9D06AA"/>
    <w:rsid w:val="4BA926CF"/>
    <w:rsid w:val="4BD91F8D"/>
    <w:rsid w:val="4C161FFD"/>
    <w:rsid w:val="4C347658"/>
    <w:rsid w:val="4C3601B3"/>
    <w:rsid w:val="4C4D4470"/>
    <w:rsid w:val="4C736411"/>
    <w:rsid w:val="4C7C4891"/>
    <w:rsid w:val="4C974838"/>
    <w:rsid w:val="4CCB1409"/>
    <w:rsid w:val="4D024A62"/>
    <w:rsid w:val="4D274A6D"/>
    <w:rsid w:val="4D2E0041"/>
    <w:rsid w:val="4D446EBE"/>
    <w:rsid w:val="4D4750B0"/>
    <w:rsid w:val="4D511082"/>
    <w:rsid w:val="4D8464F3"/>
    <w:rsid w:val="4D8735CF"/>
    <w:rsid w:val="4E091E95"/>
    <w:rsid w:val="4E303E3B"/>
    <w:rsid w:val="4E6A2B30"/>
    <w:rsid w:val="4E6C7623"/>
    <w:rsid w:val="4EA30781"/>
    <w:rsid w:val="4EDA2696"/>
    <w:rsid w:val="4EED0308"/>
    <w:rsid w:val="4F52127C"/>
    <w:rsid w:val="4F5528FD"/>
    <w:rsid w:val="4F833BFA"/>
    <w:rsid w:val="4F874AF6"/>
    <w:rsid w:val="4FA36C5A"/>
    <w:rsid w:val="4FB62541"/>
    <w:rsid w:val="50413A23"/>
    <w:rsid w:val="50523D15"/>
    <w:rsid w:val="50532B8C"/>
    <w:rsid w:val="50584131"/>
    <w:rsid w:val="505A6EB6"/>
    <w:rsid w:val="506D4DF3"/>
    <w:rsid w:val="50740C76"/>
    <w:rsid w:val="50875B41"/>
    <w:rsid w:val="509C18DC"/>
    <w:rsid w:val="509C7153"/>
    <w:rsid w:val="50D55306"/>
    <w:rsid w:val="50E652DF"/>
    <w:rsid w:val="50EB31CC"/>
    <w:rsid w:val="50FA7A34"/>
    <w:rsid w:val="514019B6"/>
    <w:rsid w:val="5140202D"/>
    <w:rsid w:val="51427404"/>
    <w:rsid w:val="51482EA4"/>
    <w:rsid w:val="5151646D"/>
    <w:rsid w:val="519F47D3"/>
    <w:rsid w:val="51AD5AE6"/>
    <w:rsid w:val="51DE4CF9"/>
    <w:rsid w:val="51E10428"/>
    <w:rsid w:val="522B1F77"/>
    <w:rsid w:val="523418F6"/>
    <w:rsid w:val="524B4C37"/>
    <w:rsid w:val="527927CC"/>
    <w:rsid w:val="52887DAA"/>
    <w:rsid w:val="52C64499"/>
    <w:rsid w:val="52E81914"/>
    <w:rsid w:val="53323640"/>
    <w:rsid w:val="53651378"/>
    <w:rsid w:val="539357CA"/>
    <w:rsid w:val="53AC13C2"/>
    <w:rsid w:val="53C93F80"/>
    <w:rsid w:val="53D738B7"/>
    <w:rsid w:val="540A54EC"/>
    <w:rsid w:val="542C1C20"/>
    <w:rsid w:val="544B7C9C"/>
    <w:rsid w:val="545401E5"/>
    <w:rsid w:val="54847C55"/>
    <w:rsid w:val="54A72051"/>
    <w:rsid w:val="54C0518C"/>
    <w:rsid w:val="553D754A"/>
    <w:rsid w:val="555703D2"/>
    <w:rsid w:val="557506D9"/>
    <w:rsid w:val="55755E25"/>
    <w:rsid w:val="55900CBB"/>
    <w:rsid w:val="55FA4421"/>
    <w:rsid w:val="56024F63"/>
    <w:rsid w:val="56120E13"/>
    <w:rsid w:val="5615535E"/>
    <w:rsid w:val="56180E73"/>
    <w:rsid w:val="564A52BD"/>
    <w:rsid w:val="5664331D"/>
    <w:rsid w:val="56C76B80"/>
    <w:rsid w:val="56DC1B86"/>
    <w:rsid w:val="56EF058C"/>
    <w:rsid w:val="57030D63"/>
    <w:rsid w:val="5713710C"/>
    <w:rsid w:val="57362E41"/>
    <w:rsid w:val="575A530A"/>
    <w:rsid w:val="576524E8"/>
    <w:rsid w:val="5770451E"/>
    <w:rsid w:val="5786750A"/>
    <w:rsid w:val="579D54F2"/>
    <w:rsid w:val="57A926DF"/>
    <w:rsid w:val="57E330EF"/>
    <w:rsid w:val="57E35348"/>
    <w:rsid w:val="57F020CD"/>
    <w:rsid w:val="57F42EE5"/>
    <w:rsid w:val="57FA3FA3"/>
    <w:rsid w:val="57FE46BE"/>
    <w:rsid w:val="580B6761"/>
    <w:rsid w:val="581C3E57"/>
    <w:rsid w:val="58353495"/>
    <w:rsid w:val="58486639"/>
    <w:rsid w:val="584B02B3"/>
    <w:rsid w:val="586D4238"/>
    <w:rsid w:val="589F443C"/>
    <w:rsid w:val="58B54AB6"/>
    <w:rsid w:val="58C70858"/>
    <w:rsid w:val="59074804"/>
    <w:rsid w:val="590B2BF2"/>
    <w:rsid w:val="5923752C"/>
    <w:rsid w:val="59B94DF3"/>
    <w:rsid w:val="59BD51EF"/>
    <w:rsid w:val="59C510CE"/>
    <w:rsid w:val="59FB0D78"/>
    <w:rsid w:val="5A06291D"/>
    <w:rsid w:val="5A672ABB"/>
    <w:rsid w:val="5A85208D"/>
    <w:rsid w:val="5A8B41AD"/>
    <w:rsid w:val="5ADC34E9"/>
    <w:rsid w:val="5AEF2C64"/>
    <w:rsid w:val="5AFC0191"/>
    <w:rsid w:val="5B294523"/>
    <w:rsid w:val="5B51747F"/>
    <w:rsid w:val="5B562103"/>
    <w:rsid w:val="5B584EEB"/>
    <w:rsid w:val="5B700DAD"/>
    <w:rsid w:val="5B8127EB"/>
    <w:rsid w:val="5B896634"/>
    <w:rsid w:val="5BB40B9A"/>
    <w:rsid w:val="5BB862BE"/>
    <w:rsid w:val="5BE23EA9"/>
    <w:rsid w:val="5BFC2A7D"/>
    <w:rsid w:val="5C0C0176"/>
    <w:rsid w:val="5C146DFA"/>
    <w:rsid w:val="5C3E1FBA"/>
    <w:rsid w:val="5C413139"/>
    <w:rsid w:val="5C49372A"/>
    <w:rsid w:val="5C671BFE"/>
    <w:rsid w:val="5C9C5A07"/>
    <w:rsid w:val="5CA53C8E"/>
    <w:rsid w:val="5CAF37CE"/>
    <w:rsid w:val="5CC62503"/>
    <w:rsid w:val="5CC64BF1"/>
    <w:rsid w:val="5CD21AA7"/>
    <w:rsid w:val="5CE86629"/>
    <w:rsid w:val="5D0860C8"/>
    <w:rsid w:val="5D1C1B40"/>
    <w:rsid w:val="5D28086A"/>
    <w:rsid w:val="5D2F414D"/>
    <w:rsid w:val="5D3D31B8"/>
    <w:rsid w:val="5D533D2D"/>
    <w:rsid w:val="5D5C5604"/>
    <w:rsid w:val="5D603BBB"/>
    <w:rsid w:val="5D6E0DA9"/>
    <w:rsid w:val="5D732F7B"/>
    <w:rsid w:val="5D7C4F91"/>
    <w:rsid w:val="5DB805C0"/>
    <w:rsid w:val="5DDA0F7E"/>
    <w:rsid w:val="5E3076A2"/>
    <w:rsid w:val="5E3219C1"/>
    <w:rsid w:val="5E440D7D"/>
    <w:rsid w:val="5E54072E"/>
    <w:rsid w:val="5E63335D"/>
    <w:rsid w:val="5E6C5CBC"/>
    <w:rsid w:val="5EA24035"/>
    <w:rsid w:val="5EB579B7"/>
    <w:rsid w:val="5EBE1BD9"/>
    <w:rsid w:val="5EED569F"/>
    <w:rsid w:val="5F162B68"/>
    <w:rsid w:val="5F384286"/>
    <w:rsid w:val="5F506330"/>
    <w:rsid w:val="5F6101F9"/>
    <w:rsid w:val="5F6D7B0E"/>
    <w:rsid w:val="5FD23DA7"/>
    <w:rsid w:val="60043902"/>
    <w:rsid w:val="6042363C"/>
    <w:rsid w:val="60567B3E"/>
    <w:rsid w:val="6066312B"/>
    <w:rsid w:val="606741AC"/>
    <w:rsid w:val="60A424F3"/>
    <w:rsid w:val="60B2633C"/>
    <w:rsid w:val="60FA3041"/>
    <w:rsid w:val="60FE63FA"/>
    <w:rsid w:val="60FF6664"/>
    <w:rsid w:val="61095AB2"/>
    <w:rsid w:val="610E5F02"/>
    <w:rsid w:val="611F3770"/>
    <w:rsid w:val="615F0256"/>
    <w:rsid w:val="61805358"/>
    <w:rsid w:val="61B61BA1"/>
    <w:rsid w:val="61BD2CC4"/>
    <w:rsid w:val="61BD38C3"/>
    <w:rsid w:val="61CD7CA6"/>
    <w:rsid w:val="61E07E56"/>
    <w:rsid w:val="61EE01C8"/>
    <w:rsid w:val="61F51675"/>
    <w:rsid w:val="61F63162"/>
    <w:rsid w:val="62111FB0"/>
    <w:rsid w:val="621B35AB"/>
    <w:rsid w:val="62312992"/>
    <w:rsid w:val="623813AC"/>
    <w:rsid w:val="624713B1"/>
    <w:rsid w:val="62494F0D"/>
    <w:rsid w:val="626175A3"/>
    <w:rsid w:val="62652E11"/>
    <w:rsid w:val="62733134"/>
    <w:rsid w:val="62964CAC"/>
    <w:rsid w:val="62AE3C32"/>
    <w:rsid w:val="62B66BB8"/>
    <w:rsid w:val="62BF4AA1"/>
    <w:rsid w:val="62C00FF9"/>
    <w:rsid w:val="62E224FF"/>
    <w:rsid w:val="6305753A"/>
    <w:rsid w:val="630966EB"/>
    <w:rsid w:val="630B476C"/>
    <w:rsid w:val="630B69B8"/>
    <w:rsid w:val="631C4CAC"/>
    <w:rsid w:val="63803611"/>
    <w:rsid w:val="63A24058"/>
    <w:rsid w:val="63B81B8E"/>
    <w:rsid w:val="63C63B2D"/>
    <w:rsid w:val="63CE2F96"/>
    <w:rsid w:val="63E353C0"/>
    <w:rsid w:val="63F13415"/>
    <w:rsid w:val="640A5BE8"/>
    <w:rsid w:val="642D74A9"/>
    <w:rsid w:val="64400A41"/>
    <w:rsid w:val="6467756F"/>
    <w:rsid w:val="649561BD"/>
    <w:rsid w:val="64D56188"/>
    <w:rsid w:val="64EB356D"/>
    <w:rsid w:val="6554045E"/>
    <w:rsid w:val="657B5026"/>
    <w:rsid w:val="65BD74CE"/>
    <w:rsid w:val="65BE5D68"/>
    <w:rsid w:val="65C42EA8"/>
    <w:rsid w:val="65EC71CB"/>
    <w:rsid w:val="66162FC2"/>
    <w:rsid w:val="662E0EE9"/>
    <w:rsid w:val="66761F58"/>
    <w:rsid w:val="66821503"/>
    <w:rsid w:val="66843708"/>
    <w:rsid w:val="66A36987"/>
    <w:rsid w:val="66AC6538"/>
    <w:rsid w:val="66D924C5"/>
    <w:rsid w:val="66E755C9"/>
    <w:rsid w:val="66F518ED"/>
    <w:rsid w:val="670075B9"/>
    <w:rsid w:val="67166E75"/>
    <w:rsid w:val="671B4760"/>
    <w:rsid w:val="672B68B4"/>
    <w:rsid w:val="672E785B"/>
    <w:rsid w:val="672F708A"/>
    <w:rsid w:val="67333041"/>
    <w:rsid w:val="674E3C4B"/>
    <w:rsid w:val="6799245E"/>
    <w:rsid w:val="679A7E01"/>
    <w:rsid w:val="679D0408"/>
    <w:rsid w:val="67CE0C06"/>
    <w:rsid w:val="67DF7CAD"/>
    <w:rsid w:val="67E45FF5"/>
    <w:rsid w:val="67F77F52"/>
    <w:rsid w:val="67F90CDE"/>
    <w:rsid w:val="680C5657"/>
    <w:rsid w:val="680D4FA2"/>
    <w:rsid w:val="682E77DC"/>
    <w:rsid w:val="688A2E16"/>
    <w:rsid w:val="68D7577A"/>
    <w:rsid w:val="690574A9"/>
    <w:rsid w:val="694D03AF"/>
    <w:rsid w:val="69570425"/>
    <w:rsid w:val="69814C55"/>
    <w:rsid w:val="698C2E61"/>
    <w:rsid w:val="69E65270"/>
    <w:rsid w:val="6A4068D3"/>
    <w:rsid w:val="6A43503D"/>
    <w:rsid w:val="6A4755B2"/>
    <w:rsid w:val="6A590160"/>
    <w:rsid w:val="6A7F4930"/>
    <w:rsid w:val="6A8401C8"/>
    <w:rsid w:val="6A9059CD"/>
    <w:rsid w:val="6AA52DD1"/>
    <w:rsid w:val="6AAF0AA5"/>
    <w:rsid w:val="6AC43A79"/>
    <w:rsid w:val="6B157678"/>
    <w:rsid w:val="6B4A367E"/>
    <w:rsid w:val="6B5C0A14"/>
    <w:rsid w:val="6B9108E0"/>
    <w:rsid w:val="6BA87D8E"/>
    <w:rsid w:val="6BB666D4"/>
    <w:rsid w:val="6BDE5255"/>
    <w:rsid w:val="6C1B0084"/>
    <w:rsid w:val="6C213D50"/>
    <w:rsid w:val="6C3835FE"/>
    <w:rsid w:val="6C4833B5"/>
    <w:rsid w:val="6C6C408A"/>
    <w:rsid w:val="6C6F1F4E"/>
    <w:rsid w:val="6C847A36"/>
    <w:rsid w:val="6C9D2089"/>
    <w:rsid w:val="6C9F6677"/>
    <w:rsid w:val="6CBF4775"/>
    <w:rsid w:val="6CC93219"/>
    <w:rsid w:val="6CCF3EA8"/>
    <w:rsid w:val="6D1A1D27"/>
    <w:rsid w:val="6D294250"/>
    <w:rsid w:val="6D4920DC"/>
    <w:rsid w:val="6D531900"/>
    <w:rsid w:val="6D750A94"/>
    <w:rsid w:val="6DD20396"/>
    <w:rsid w:val="6DD33664"/>
    <w:rsid w:val="6DD43DD9"/>
    <w:rsid w:val="6DFF3BB6"/>
    <w:rsid w:val="6E2A6C7A"/>
    <w:rsid w:val="6E45456F"/>
    <w:rsid w:val="6E572D5F"/>
    <w:rsid w:val="6E7570DA"/>
    <w:rsid w:val="6E7A49D7"/>
    <w:rsid w:val="6E8E2066"/>
    <w:rsid w:val="6EAC772F"/>
    <w:rsid w:val="6EC44DD9"/>
    <w:rsid w:val="6ED54ACD"/>
    <w:rsid w:val="6EEB209A"/>
    <w:rsid w:val="6F111669"/>
    <w:rsid w:val="6F5D65CB"/>
    <w:rsid w:val="6F9478A9"/>
    <w:rsid w:val="6FAE6058"/>
    <w:rsid w:val="6FE1317C"/>
    <w:rsid w:val="6FF62B21"/>
    <w:rsid w:val="702371CD"/>
    <w:rsid w:val="70284C8D"/>
    <w:rsid w:val="70377D65"/>
    <w:rsid w:val="704F1D25"/>
    <w:rsid w:val="70577598"/>
    <w:rsid w:val="705D464D"/>
    <w:rsid w:val="705F3FCC"/>
    <w:rsid w:val="70674C7C"/>
    <w:rsid w:val="70703829"/>
    <w:rsid w:val="70800E9E"/>
    <w:rsid w:val="7081480D"/>
    <w:rsid w:val="708312A5"/>
    <w:rsid w:val="70975EFF"/>
    <w:rsid w:val="70C84AFF"/>
    <w:rsid w:val="7123465C"/>
    <w:rsid w:val="713454CC"/>
    <w:rsid w:val="715B5160"/>
    <w:rsid w:val="71744910"/>
    <w:rsid w:val="71797865"/>
    <w:rsid w:val="7186608C"/>
    <w:rsid w:val="71871419"/>
    <w:rsid w:val="7195257D"/>
    <w:rsid w:val="71A65933"/>
    <w:rsid w:val="71B65ECB"/>
    <w:rsid w:val="71C43B29"/>
    <w:rsid w:val="71E752DC"/>
    <w:rsid w:val="720B0CB2"/>
    <w:rsid w:val="72205126"/>
    <w:rsid w:val="7225197F"/>
    <w:rsid w:val="722670FD"/>
    <w:rsid w:val="72340AB8"/>
    <w:rsid w:val="723713EB"/>
    <w:rsid w:val="724752FF"/>
    <w:rsid w:val="72A37BDD"/>
    <w:rsid w:val="72A74F2E"/>
    <w:rsid w:val="7312482F"/>
    <w:rsid w:val="733E1340"/>
    <w:rsid w:val="736B60E0"/>
    <w:rsid w:val="739C292F"/>
    <w:rsid w:val="73A24DFB"/>
    <w:rsid w:val="73BA733F"/>
    <w:rsid w:val="743A7359"/>
    <w:rsid w:val="743E6694"/>
    <w:rsid w:val="74721386"/>
    <w:rsid w:val="749D43C7"/>
    <w:rsid w:val="74AF5A7C"/>
    <w:rsid w:val="74FE2455"/>
    <w:rsid w:val="750F20B5"/>
    <w:rsid w:val="754A5B66"/>
    <w:rsid w:val="756658A0"/>
    <w:rsid w:val="75874F05"/>
    <w:rsid w:val="75A87959"/>
    <w:rsid w:val="75B051F5"/>
    <w:rsid w:val="75BB251D"/>
    <w:rsid w:val="75BE53BC"/>
    <w:rsid w:val="76010251"/>
    <w:rsid w:val="7608551A"/>
    <w:rsid w:val="76274194"/>
    <w:rsid w:val="764E228C"/>
    <w:rsid w:val="76783CBB"/>
    <w:rsid w:val="76A96EC9"/>
    <w:rsid w:val="76B765CD"/>
    <w:rsid w:val="76C23C96"/>
    <w:rsid w:val="76D16731"/>
    <w:rsid w:val="772112F9"/>
    <w:rsid w:val="77277768"/>
    <w:rsid w:val="773615FC"/>
    <w:rsid w:val="775F0226"/>
    <w:rsid w:val="77902EEF"/>
    <w:rsid w:val="77A94E7C"/>
    <w:rsid w:val="77D81265"/>
    <w:rsid w:val="77FD389E"/>
    <w:rsid w:val="78003280"/>
    <w:rsid w:val="7802683B"/>
    <w:rsid w:val="78522A9C"/>
    <w:rsid w:val="7859305B"/>
    <w:rsid w:val="785C25D4"/>
    <w:rsid w:val="78E53498"/>
    <w:rsid w:val="78EB0356"/>
    <w:rsid w:val="790E1553"/>
    <w:rsid w:val="79176484"/>
    <w:rsid w:val="792817FD"/>
    <w:rsid w:val="79452053"/>
    <w:rsid w:val="797B1D76"/>
    <w:rsid w:val="79840359"/>
    <w:rsid w:val="79962297"/>
    <w:rsid w:val="79A53F9F"/>
    <w:rsid w:val="79C57FA3"/>
    <w:rsid w:val="79D2750A"/>
    <w:rsid w:val="7A0E774A"/>
    <w:rsid w:val="7A163853"/>
    <w:rsid w:val="7A2F5024"/>
    <w:rsid w:val="7A440ED1"/>
    <w:rsid w:val="7A4F2676"/>
    <w:rsid w:val="7A5E6A42"/>
    <w:rsid w:val="7A6151F2"/>
    <w:rsid w:val="7ABA2133"/>
    <w:rsid w:val="7AC52594"/>
    <w:rsid w:val="7ACF0AAC"/>
    <w:rsid w:val="7ADB6B65"/>
    <w:rsid w:val="7AE95DCA"/>
    <w:rsid w:val="7AF175E3"/>
    <w:rsid w:val="7B035F96"/>
    <w:rsid w:val="7B0A194F"/>
    <w:rsid w:val="7B125882"/>
    <w:rsid w:val="7B151E30"/>
    <w:rsid w:val="7B275679"/>
    <w:rsid w:val="7B2E79EA"/>
    <w:rsid w:val="7B5905B3"/>
    <w:rsid w:val="7B5B40E2"/>
    <w:rsid w:val="7B8838F5"/>
    <w:rsid w:val="7B95562C"/>
    <w:rsid w:val="7BCF0677"/>
    <w:rsid w:val="7BEC6E25"/>
    <w:rsid w:val="7C32343C"/>
    <w:rsid w:val="7C323762"/>
    <w:rsid w:val="7C326642"/>
    <w:rsid w:val="7C9A4632"/>
    <w:rsid w:val="7C9D22A2"/>
    <w:rsid w:val="7C9F2F63"/>
    <w:rsid w:val="7CB259FF"/>
    <w:rsid w:val="7CE35E0E"/>
    <w:rsid w:val="7CF20B8D"/>
    <w:rsid w:val="7D05429C"/>
    <w:rsid w:val="7D2307C9"/>
    <w:rsid w:val="7D5C6415"/>
    <w:rsid w:val="7D6B1DF0"/>
    <w:rsid w:val="7D6E07F9"/>
    <w:rsid w:val="7D910D77"/>
    <w:rsid w:val="7DF1277A"/>
    <w:rsid w:val="7DFC5D0E"/>
    <w:rsid w:val="7E7363F1"/>
    <w:rsid w:val="7E8062D9"/>
    <w:rsid w:val="7E945569"/>
    <w:rsid w:val="7E957CD9"/>
    <w:rsid w:val="7EB404D3"/>
    <w:rsid w:val="7ECC5F05"/>
    <w:rsid w:val="7EEF3C0E"/>
    <w:rsid w:val="7EF727F2"/>
    <w:rsid w:val="7F0B602D"/>
    <w:rsid w:val="7F0E39E0"/>
    <w:rsid w:val="7F1830AD"/>
    <w:rsid w:val="7F203CEF"/>
    <w:rsid w:val="7F3353B5"/>
    <w:rsid w:val="7F452B7C"/>
    <w:rsid w:val="7F70461E"/>
    <w:rsid w:val="7F747B7F"/>
    <w:rsid w:val="7FAF4E32"/>
    <w:rsid w:val="7FDD199D"/>
    <w:rsid w:val="7FF142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4"/>
      <o:rules v:ext="edit">
        <o:r id="V:Rule1" type="connector" idref="#_x0000_s2055"/>
        <o:r id="V:Rule2" type="connector" idref="#_x0000_s2065"/>
        <o:r id="V:Rule3" type="connector" idref="#_x0000_s2069"/>
        <o:r id="V:Rule4" type="connector" idref="#_x0000_s2070"/>
        <o:r id="V:Rule5" type="connector" idref="#_x0000_s2072"/>
        <o:r id="V:Rule6" type="connector" idref="#_x0000_s2075"/>
        <o:r id="V:Rule7" type="connector" idref="#_x0000_s2076"/>
        <o:r id="V:Rule8" type="connector" idref="#_x0000_s2077"/>
        <o:r id="V:Rule9" type="connector" idref="#AutoShape 2520"/>
        <o:r id="V:Rule10" type="connector" idref="#AutoShape 1902"/>
        <o:r id="V:Rule11" type="connector" idref="#AutoShape 1904"/>
        <o:r id="V:Rule12" type="connector" idref="#AutoShape 320"/>
        <o:r id="V:Rule13" type="connector" idref="#AutoShape 323"/>
        <o:r id="V:Rule14" type="connector" idref="#AutoShape 320"/>
        <o:r id="V:Rule15" type="connector" idref="#AutoShape 32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qFormat="1" w:uiPriority="99" w:semiHidden="0" w:name="List"/>
    <w:lsdException w:uiPriority="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3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qFormat="1" w:unhideWhenUsed="0" w:uiPriority="99" w:semiHidden="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qFormat="1" w:unhideWhenUsed="0" w:uiPriority="0" w:semiHidden="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2"/>
    <w:qFormat/>
    <w:uiPriority w:val="1"/>
    <w:pPr>
      <w:keepNext/>
      <w:keepLines/>
      <w:spacing w:before="260" w:after="260" w:line="416" w:lineRule="auto"/>
      <w:outlineLvl w:val="1"/>
    </w:pPr>
    <w:rPr>
      <w:rFonts w:hAnsi="Arial" w:eastAsia="黑体"/>
      <w:b/>
      <w:bCs/>
      <w:sz w:val="32"/>
      <w:szCs w:val="32"/>
    </w:rPr>
  </w:style>
  <w:style w:type="paragraph" w:styleId="6">
    <w:name w:val="heading 3"/>
    <w:basedOn w:val="1"/>
    <w:next w:val="1"/>
    <w:link w:val="63"/>
    <w:qFormat/>
    <w:uiPriority w:val="0"/>
    <w:pPr>
      <w:keepNext/>
      <w:keepLines/>
      <w:spacing w:before="260" w:after="260" w:line="416" w:lineRule="auto"/>
      <w:outlineLvl w:val="2"/>
    </w:pPr>
    <w:rPr>
      <w:b/>
      <w:bCs/>
      <w:sz w:val="32"/>
      <w:szCs w:val="32"/>
    </w:rPr>
  </w:style>
  <w:style w:type="paragraph" w:styleId="7">
    <w:name w:val="heading 4"/>
    <w:basedOn w:val="1"/>
    <w:next w:val="1"/>
    <w:link w:val="64"/>
    <w:qFormat/>
    <w:uiPriority w:val="0"/>
    <w:pPr>
      <w:keepNext/>
      <w:keepLines/>
      <w:spacing w:before="280" w:after="290" w:line="376" w:lineRule="auto"/>
      <w:outlineLvl w:val="3"/>
    </w:pPr>
    <w:rPr>
      <w:rFonts w:hAnsi="Arial" w:eastAsia="黑体"/>
      <w:b/>
      <w:bCs/>
      <w:szCs w:val="28"/>
    </w:rPr>
  </w:style>
  <w:style w:type="paragraph" w:styleId="8">
    <w:name w:val="heading 5"/>
    <w:basedOn w:val="1"/>
    <w:next w:val="1"/>
    <w:link w:val="65"/>
    <w:qFormat/>
    <w:uiPriority w:val="0"/>
    <w:pPr>
      <w:keepNext/>
      <w:keepLines/>
      <w:adjustRightInd w:val="0"/>
      <w:spacing w:before="280" w:after="290" w:line="376" w:lineRule="atLeast"/>
      <w:jc w:val="left"/>
      <w:textAlignment w:val="baseline"/>
      <w:outlineLvl w:val="4"/>
    </w:pPr>
    <w:rPr>
      <w:b/>
      <w:kern w:val="0"/>
      <w:sz w:val="28"/>
      <w:szCs w:val="20"/>
    </w:rPr>
  </w:style>
  <w:style w:type="paragraph" w:styleId="9">
    <w:name w:val="heading 6"/>
    <w:basedOn w:val="1"/>
    <w:next w:val="1"/>
    <w:link w:val="66"/>
    <w:qFormat/>
    <w:uiPriority w:val="0"/>
    <w:pPr>
      <w:keepNext/>
      <w:keepLines/>
      <w:tabs>
        <w:tab w:val="left" w:pos="240"/>
        <w:tab w:val="left" w:pos="480"/>
        <w:tab w:val="left" w:pos="720"/>
      </w:tabs>
      <w:adjustRightInd w:val="0"/>
      <w:spacing w:before="240" w:after="64" w:line="320" w:lineRule="atLeast"/>
      <w:ind w:left="2520" w:hanging="420"/>
      <w:jc w:val="left"/>
      <w:textAlignment w:val="baseline"/>
      <w:outlineLvl w:val="5"/>
    </w:pPr>
    <w:rPr>
      <w:rFonts w:ascii="Arial" w:hAnsi="Arial" w:eastAsia="黑体"/>
      <w:b/>
      <w:color w:val="FF0000"/>
      <w:kern w:val="0"/>
      <w:sz w:val="24"/>
      <w:szCs w:val="20"/>
    </w:rPr>
  </w:style>
  <w:style w:type="paragraph" w:styleId="10">
    <w:name w:val="heading 7"/>
    <w:basedOn w:val="1"/>
    <w:next w:val="1"/>
    <w:link w:val="67"/>
    <w:qFormat/>
    <w:uiPriority w:val="0"/>
    <w:pPr>
      <w:keepNext/>
      <w:keepLines/>
      <w:tabs>
        <w:tab w:val="left" w:pos="240"/>
        <w:tab w:val="left" w:pos="480"/>
        <w:tab w:val="left" w:pos="720"/>
      </w:tabs>
      <w:adjustRightInd w:val="0"/>
      <w:spacing w:before="240" w:after="64" w:line="320" w:lineRule="atLeast"/>
      <w:ind w:left="2940" w:hanging="420"/>
      <w:jc w:val="left"/>
      <w:textAlignment w:val="baseline"/>
      <w:outlineLvl w:val="6"/>
    </w:pPr>
    <w:rPr>
      <w:b/>
      <w:color w:val="FF0000"/>
      <w:kern w:val="0"/>
      <w:sz w:val="24"/>
      <w:szCs w:val="20"/>
    </w:rPr>
  </w:style>
  <w:style w:type="paragraph" w:styleId="11">
    <w:name w:val="heading 8"/>
    <w:basedOn w:val="1"/>
    <w:next w:val="1"/>
    <w:link w:val="68"/>
    <w:qFormat/>
    <w:uiPriority w:val="0"/>
    <w:pPr>
      <w:keepNext/>
      <w:keepLines/>
      <w:tabs>
        <w:tab w:val="left" w:pos="240"/>
        <w:tab w:val="left" w:pos="480"/>
        <w:tab w:val="left" w:pos="720"/>
      </w:tabs>
      <w:adjustRightInd w:val="0"/>
      <w:spacing w:before="240" w:after="64" w:line="320" w:lineRule="atLeast"/>
      <w:ind w:left="3360" w:hanging="420"/>
      <w:jc w:val="left"/>
      <w:textAlignment w:val="baseline"/>
      <w:outlineLvl w:val="7"/>
    </w:pPr>
    <w:rPr>
      <w:rFonts w:ascii="Arial" w:hAnsi="Arial" w:eastAsia="黑体"/>
      <w:b/>
      <w:color w:val="FF0000"/>
      <w:kern w:val="0"/>
      <w:sz w:val="24"/>
      <w:szCs w:val="20"/>
    </w:rPr>
  </w:style>
  <w:style w:type="paragraph" w:styleId="12">
    <w:name w:val="heading 9"/>
    <w:basedOn w:val="1"/>
    <w:next w:val="1"/>
    <w:link w:val="69"/>
    <w:qFormat/>
    <w:uiPriority w:val="0"/>
    <w:pPr>
      <w:keepNext/>
      <w:keepLines/>
      <w:tabs>
        <w:tab w:val="left" w:pos="240"/>
        <w:tab w:val="left" w:pos="480"/>
        <w:tab w:val="left" w:pos="720"/>
      </w:tabs>
      <w:adjustRightInd w:val="0"/>
      <w:spacing w:before="240" w:after="64" w:line="320" w:lineRule="atLeast"/>
      <w:ind w:left="3780" w:hanging="420"/>
      <w:jc w:val="left"/>
      <w:textAlignment w:val="baseline"/>
      <w:outlineLvl w:val="8"/>
    </w:pPr>
    <w:rPr>
      <w:rFonts w:ascii="Arial" w:hAnsi="Arial" w:eastAsia="黑体"/>
      <w:b/>
      <w:color w:val="FF0000"/>
      <w:kern w:val="0"/>
      <w:szCs w:val="20"/>
    </w:rPr>
  </w:style>
  <w:style w:type="character" w:default="1" w:styleId="50">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3"/>
    <w:link w:val="276"/>
    <w:qFormat/>
    <w:uiPriority w:val="99"/>
    <w:pPr>
      <w:widowControl/>
      <w:spacing w:after="120"/>
      <w:ind w:left="420" w:leftChars="200" w:firstLine="420" w:firstLineChars="200"/>
      <w:jc w:val="left"/>
    </w:pPr>
    <w:rPr>
      <w:kern w:val="0"/>
      <w:sz w:val="20"/>
      <w:szCs w:val="20"/>
    </w:rPr>
  </w:style>
  <w:style w:type="paragraph" w:customStyle="1" w:styleId="3">
    <w:name w:val="正文格式"/>
    <w:basedOn w:val="1"/>
    <w:qFormat/>
    <w:uiPriority w:val="0"/>
    <w:pPr>
      <w:spacing w:line="360" w:lineRule="auto"/>
      <w:ind w:firstLine="544" w:firstLineChars="200"/>
    </w:pPr>
    <w:rPr>
      <w:rFonts w:ascii="宋体" w:hAnsi="宋体"/>
      <w:kern w:val="0"/>
      <w:sz w:val="24"/>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Normal Indent"/>
    <w:basedOn w:val="1"/>
    <w:link w:val="74"/>
    <w:qFormat/>
    <w:uiPriority w:val="0"/>
    <w:pPr>
      <w:ind w:firstLine="420" w:firstLineChars="200"/>
    </w:pPr>
    <w:rPr>
      <w:sz w:val="20"/>
    </w:rPr>
  </w:style>
  <w:style w:type="paragraph" w:styleId="15">
    <w:name w:val="Document Map"/>
    <w:basedOn w:val="1"/>
    <w:link w:val="75"/>
    <w:qFormat/>
    <w:uiPriority w:val="0"/>
    <w:rPr>
      <w:rFonts w:ascii="宋体"/>
      <w:sz w:val="18"/>
      <w:szCs w:val="18"/>
    </w:rPr>
  </w:style>
  <w:style w:type="paragraph" w:styleId="16">
    <w:name w:val="annotation text"/>
    <w:basedOn w:val="1"/>
    <w:link w:val="70"/>
    <w:qFormat/>
    <w:uiPriority w:val="0"/>
    <w:pPr>
      <w:jc w:val="left"/>
    </w:pPr>
  </w:style>
  <w:style w:type="paragraph" w:styleId="17">
    <w:name w:val="Body Text 3"/>
    <w:basedOn w:val="1"/>
    <w:link w:val="76"/>
    <w:qFormat/>
    <w:uiPriority w:val="0"/>
    <w:pPr>
      <w:spacing w:line="320" w:lineRule="exact"/>
    </w:pPr>
    <w:rPr>
      <w:color w:val="000000"/>
      <w:sz w:val="24"/>
    </w:rPr>
  </w:style>
  <w:style w:type="paragraph" w:styleId="18">
    <w:name w:val="Body Text"/>
    <w:basedOn w:val="1"/>
    <w:link w:val="73"/>
    <w:qFormat/>
    <w:uiPriority w:val="0"/>
    <w:pPr>
      <w:spacing w:after="120"/>
    </w:pPr>
  </w:style>
  <w:style w:type="paragraph" w:styleId="19">
    <w:name w:val="Body Text Indent"/>
    <w:basedOn w:val="1"/>
    <w:link w:val="77"/>
    <w:qFormat/>
    <w:uiPriority w:val="0"/>
    <w:pPr>
      <w:spacing w:after="120"/>
      <w:ind w:left="420" w:leftChars="200"/>
    </w:pPr>
    <w:rPr>
      <w:szCs w:val="20"/>
    </w:rPr>
  </w:style>
  <w:style w:type="paragraph" w:styleId="20">
    <w:name w:val="List 2"/>
    <w:next w:val="1"/>
    <w:link w:val="78"/>
    <w:qFormat/>
    <w:uiPriority w:val="0"/>
    <w:pPr>
      <w:jc w:val="center"/>
    </w:pPr>
    <w:rPr>
      <w:rFonts w:ascii="Times New Roman" w:hAnsi="Times New Roman" w:eastAsia="宋体" w:cs="Times New Roman"/>
      <w:lang w:val="en-US" w:eastAsia="zh-CN" w:bidi="ar-SA"/>
    </w:rPr>
  </w:style>
  <w:style w:type="paragraph" w:styleId="21">
    <w:name w:val="Block Text"/>
    <w:basedOn w:val="1"/>
    <w:unhideWhenUsed/>
    <w:qFormat/>
    <w:uiPriority w:val="99"/>
    <w:pPr>
      <w:spacing w:after="120"/>
      <w:ind w:left="1440" w:leftChars="700" w:right="1440" w:rightChars="700"/>
    </w:pPr>
    <w:rPr>
      <w:sz w:val="28"/>
      <w:szCs w:val="20"/>
    </w:rPr>
  </w:style>
  <w:style w:type="paragraph" w:styleId="22">
    <w:name w:val="toc 5"/>
    <w:basedOn w:val="1"/>
    <w:next w:val="1"/>
    <w:qFormat/>
    <w:uiPriority w:val="39"/>
    <w:pPr>
      <w:jc w:val="center"/>
    </w:pPr>
    <w:rPr>
      <w:szCs w:val="21"/>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link w:val="79"/>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80"/>
    <w:qFormat/>
    <w:uiPriority w:val="99"/>
    <w:pPr>
      <w:ind w:left="100" w:leftChars="2500"/>
    </w:pPr>
    <w:rPr>
      <w:sz w:val="28"/>
      <w:szCs w:val="20"/>
    </w:rPr>
  </w:style>
  <w:style w:type="paragraph" w:styleId="27">
    <w:name w:val="Body Text Indent 2"/>
    <w:basedOn w:val="1"/>
    <w:link w:val="81"/>
    <w:qFormat/>
    <w:uiPriority w:val="0"/>
    <w:pPr>
      <w:spacing w:after="120" w:line="480" w:lineRule="auto"/>
      <w:ind w:left="420" w:leftChars="200"/>
    </w:pPr>
    <w:rPr>
      <w:szCs w:val="20"/>
    </w:rPr>
  </w:style>
  <w:style w:type="paragraph" w:styleId="28">
    <w:name w:val="Balloon Text"/>
    <w:basedOn w:val="1"/>
    <w:link w:val="82"/>
    <w:qFormat/>
    <w:uiPriority w:val="0"/>
    <w:rPr>
      <w:sz w:val="18"/>
      <w:szCs w:val="18"/>
    </w:rPr>
  </w:style>
  <w:style w:type="paragraph" w:styleId="29">
    <w:name w:val="footer"/>
    <w:basedOn w:val="1"/>
    <w:link w:val="83"/>
    <w:qFormat/>
    <w:uiPriority w:val="99"/>
    <w:pPr>
      <w:pBdr>
        <w:top w:val="none" w:color="auto" w:sz="0" w:space="1"/>
        <w:left w:val="none" w:color="auto" w:sz="0" w:space="4"/>
        <w:bottom w:val="thinThickLargeGap" w:color="auto" w:sz="24" w:space="1"/>
        <w:right w:val="none" w:color="auto" w:sz="0" w:space="4"/>
      </w:pBdr>
      <w:tabs>
        <w:tab w:val="center" w:pos="4153"/>
        <w:tab w:val="right" w:pos="8306"/>
      </w:tabs>
      <w:snapToGrid w:val="0"/>
      <w:jc w:val="left"/>
    </w:pPr>
    <w:rPr>
      <w:rFonts w:ascii="Calibri" w:hAnsi="Calibri"/>
    </w:rPr>
  </w:style>
  <w:style w:type="paragraph" w:styleId="30">
    <w:name w:val="header"/>
    <w:basedOn w:val="1"/>
    <w:link w:val="8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1">
    <w:name w:val="toc 1"/>
    <w:basedOn w:val="1"/>
    <w:next w:val="1"/>
    <w:qFormat/>
    <w:uiPriority w:val="0"/>
    <w:pPr>
      <w:tabs>
        <w:tab w:val="right" w:leader="hyphen" w:pos="8720"/>
      </w:tabs>
      <w:spacing w:line="440" w:lineRule="exact"/>
      <w:jc w:val="left"/>
    </w:pPr>
    <w:rPr>
      <w:rFonts w:ascii="宋体" w:hAnsi="宋体" w:cs="宋体"/>
      <w:b/>
      <w:bCs/>
      <w:caps/>
      <w:kern w:val="0"/>
      <w:sz w:val="24"/>
    </w:rPr>
  </w:style>
  <w:style w:type="paragraph" w:styleId="32">
    <w:name w:val="toc 4"/>
    <w:basedOn w:val="1"/>
    <w:next w:val="1"/>
    <w:unhideWhenUsed/>
    <w:qFormat/>
    <w:uiPriority w:val="39"/>
    <w:pPr>
      <w:ind w:left="1260" w:leftChars="600"/>
    </w:pPr>
    <w:rPr>
      <w:rFonts w:ascii="Calibri" w:hAnsi="Calibri"/>
      <w:szCs w:val="22"/>
    </w:rPr>
  </w:style>
  <w:style w:type="paragraph" w:styleId="33">
    <w:name w:val="List"/>
    <w:basedOn w:val="1"/>
    <w:unhideWhenUsed/>
    <w:qFormat/>
    <w:uiPriority w:val="99"/>
    <w:pPr>
      <w:ind w:left="200" w:hanging="200" w:hangingChars="200"/>
      <w:contextualSpacing/>
    </w:pPr>
    <w:rPr>
      <w:sz w:val="28"/>
      <w:szCs w:val="20"/>
    </w:rPr>
  </w:style>
  <w:style w:type="paragraph" w:styleId="34">
    <w:name w:val="toc 6"/>
    <w:basedOn w:val="1"/>
    <w:next w:val="1"/>
    <w:unhideWhenUsed/>
    <w:qFormat/>
    <w:uiPriority w:val="39"/>
    <w:pPr>
      <w:ind w:left="2100" w:leftChars="1000"/>
    </w:pPr>
    <w:rPr>
      <w:rFonts w:ascii="Calibri" w:hAnsi="Calibri"/>
      <w:szCs w:val="22"/>
    </w:rPr>
  </w:style>
  <w:style w:type="paragraph" w:styleId="35">
    <w:name w:val="Body Text Indent 3"/>
    <w:basedOn w:val="1"/>
    <w:link w:val="85"/>
    <w:qFormat/>
    <w:uiPriority w:val="0"/>
    <w:pPr>
      <w:spacing w:line="360" w:lineRule="auto"/>
      <w:ind w:firstLine="570"/>
    </w:pPr>
    <w:rPr>
      <w:rFonts w:ascii="宋体" w:hAnsi="宋体"/>
      <w:sz w:val="24"/>
    </w:rPr>
  </w:style>
  <w:style w:type="paragraph" w:styleId="36">
    <w:name w:val="toc 2"/>
    <w:basedOn w:val="1"/>
    <w:next w:val="1"/>
    <w:qFormat/>
    <w:uiPriority w:val="39"/>
    <w:pPr>
      <w:ind w:left="420" w:leftChars="200"/>
    </w:pPr>
  </w:style>
  <w:style w:type="paragraph" w:styleId="37">
    <w:name w:val="toc 9"/>
    <w:basedOn w:val="1"/>
    <w:next w:val="1"/>
    <w:unhideWhenUsed/>
    <w:qFormat/>
    <w:uiPriority w:val="39"/>
    <w:pPr>
      <w:ind w:left="3360" w:leftChars="1600"/>
    </w:pPr>
    <w:rPr>
      <w:rFonts w:ascii="Calibri" w:hAnsi="Calibri"/>
      <w:szCs w:val="22"/>
    </w:rPr>
  </w:style>
  <w:style w:type="paragraph" w:styleId="38">
    <w:name w:val="Body Text 2"/>
    <w:basedOn w:val="1"/>
    <w:link w:val="86"/>
    <w:qFormat/>
    <w:uiPriority w:val="0"/>
    <w:pPr>
      <w:spacing w:after="120" w:line="480" w:lineRule="auto"/>
    </w:pPr>
  </w:style>
  <w:style w:type="paragraph" w:styleId="39">
    <w:name w:val="HTML Preformatted"/>
    <w:basedOn w:val="1"/>
    <w:link w:val="8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40">
    <w:name w:val="Normal (Web)"/>
    <w:basedOn w:val="1"/>
    <w:qFormat/>
    <w:uiPriority w:val="39"/>
    <w:pPr>
      <w:widowControl/>
      <w:spacing w:before="100" w:beforeAutospacing="1" w:after="100" w:afterAutospacing="1" w:line="360" w:lineRule="atLeast"/>
      <w:jc w:val="left"/>
    </w:pPr>
    <w:rPr>
      <w:rFonts w:ascii="Arial Unicode MS" w:hAnsi="Arial Unicode MS" w:eastAsia="Arial Unicode MS" w:cs="Arial Unicode MS"/>
      <w:color w:val="000000"/>
      <w:kern w:val="0"/>
      <w:sz w:val="24"/>
    </w:rPr>
  </w:style>
  <w:style w:type="paragraph" w:styleId="41">
    <w:name w:val="index 1"/>
    <w:basedOn w:val="1"/>
    <w:next w:val="1"/>
    <w:qFormat/>
    <w:uiPriority w:val="0"/>
    <w:pPr>
      <w:tabs>
        <w:tab w:val="left" w:pos="5580"/>
      </w:tabs>
      <w:spacing w:line="280" w:lineRule="exact"/>
    </w:pPr>
    <w:rPr>
      <w:rFonts w:ascii="宋体" w:hAnsi="宋体"/>
      <w:spacing w:val="10"/>
    </w:rPr>
  </w:style>
  <w:style w:type="paragraph" w:styleId="42">
    <w:name w:val="Title"/>
    <w:basedOn w:val="1"/>
    <w:next w:val="1"/>
    <w:link w:val="88"/>
    <w:qFormat/>
    <w:uiPriority w:val="0"/>
    <w:pPr>
      <w:spacing w:before="240" w:after="60"/>
      <w:jc w:val="center"/>
      <w:outlineLvl w:val="0"/>
    </w:pPr>
    <w:rPr>
      <w:rFonts w:ascii="Calibri Light" w:hAnsi="Calibri Light"/>
      <w:b/>
      <w:bCs/>
      <w:spacing w:val="-6"/>
      <w:kern w:val="0"/>
      <w:sz w:val="32"/>
      <w:szCs w:val="32"/>
    </w:rPr>
  </w:style>
  <w:style w:type="paragraph" w:styleId="43">
    <w:name w:val="annotation subject"/>
    <w:basedOn w:val="16"/>
    <w:next w:val="16"/>
    <w:link w:val="71"/>
    <w:qFormat/>
    <w:uiPriority w:val="0"/>
    <w:rPr>
      <w:b/>
      <w:bCs/>
    </w:rPr>
  </w:style>
  <w:style w:type="paragraph" w:styleId="44">
    <w:name w:val="Body Text First Indent"/>
    <w:basedOn w:val="1"/>
    <w:link w:val="72"/>
    <w:qFormat/>
    <w:uiPriority w:val="0"/>
    <w:pPr>
      <w:suppressAutoHyphens/>
      <w:topLinePunct/>
      <w:adjustRightInd w:val="0"/>
      <w:spacing w:line="360" w:lineRule="auto"/>
      <w:ind w:firstLine="567"/>
      <w:textAlignment w:val="baseline"/>
    </w:pPr>
    <w:rPr>
      <w:sz w:val="28"/>
      <w:szCs w:val="20"/>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7">
    <w:name w:val="Table Theme"/>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8">
    <w:name w:val="Table List 7"/>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49">
    <w:name w:val="Table Professional"/>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333333"/>
      <w:u w:val="none"/>
    </w:rPr>
  </w:style>
  <w:style w:type="character" w:styleId="54">
    <w:name w:val="Emphasis"/>
    <w:qFormat/>
    <w:uiPriority w:val="0"/>
  </w:style>
  <w:style w:type="character" w:styleId="55">
    <w:name w:val="HTML Definition"/>
    <w:qFormat/>
    <w:uiPriority w:val="0"/>
  </w:style>
  <w:style w:type="character" w:styleId="56">
    <w:name w:val="HTML Variable"/>
    <w:qFormat/>
    <w:uiPriority w:val="0"/>
  </w:style>
  <w:style w:type="character" w:styleId="57">
    <w:name w:val="Hyperlink"/>
    <w:qFormat/>
    <w:uiPriority w:val="99"/>
    <w:rPr>
      <w:color w:val="333333"/>
      <w:u w:val="none"/>
    </w:rPr>
  </w:style>
  <w:style w:type="character" w:styleId="58">
    <w:name w:val="HTML Code"/>
    <w:qFormat/>
    <w:uiPriority w:val="0"/>
    <w:rPr>
      <w:rFonts w:ascii="Courier New" w:hAnsi="Courier New"/>
      <w:sz w:val="20"/>
    </w:rPr>
  </w:style>
  <w:style w:type="character" w:styleId="59">
    <w:name w:val="annotation reference"/>
    <w:qFormat/>
    <w:uiPriority w:val="0"/>
    <w:rPr>
      <w:sz w:val="21"/>
      <w:szCs w:val="21"/>
    </w:rPr>
  </w:style>
  <w:style w:type="character" w:styleId="60">
    <w:name w:val="HTML Cite"/>
    <w:qFormat/>
    <w:uiPriority w:val="0"/>
  </w:style>
  <w:style w:type="character" w:customStyle="1" w:styleId="61">
    <w:name w:val="标题 1 Char"/>
    <w:link w:val="4"/>
    <w:qFormat/>
    <w:uiPriority w:val="0"/>
    <w:rPr>
      <w:b/>
      <w:bCs/>
      <w:kern w:val="44"/>
      <w:sz w:val="44"/>
      <w:szCs w:val="44"/>
    </w:rPr>
  </w:style>
  <w:style w:type="character" w:customStyle="1" w:styleId="62">
    <w:name w:val="标题 2 Char"/>
    <w:link w:val="5"/>
    <w:qFormat/>
    <w:uiPriority w:val="0"/>
    <w:rPr>
      <w:rFonts w:hAnsi="Arial" w:eastAsia="黑体"/>
      <w:b/>
      <w:bCs/>
      <w:kern w:val="2"/>
      <w:sz w:val="32"/>
      <w:szCs w:val="32"/>
    </w:rPr>
  </w:style>
  <w:style w:type="character" w:customStyle="1" w:styleId="63">
    <w:name w:val="标题 3 Char"/>
    <w:link w:val="6"/>
    <w:qFormat/>
    <w:uiPriority w:val="0"/>
    <w:rPr>
      <w:b/>
      <w:bCs/>
      <w:kern w:val="2"/>
      <w:sz w:val="32"/>
      <w:szCs w:val="32"/>
    </w:rPr>
  </w:style>
  <w:style w:type="character" w:customStyle="1" w:styleId="64">
    <w:name w:val="标题 4 Char"/>
    <w:link w:val="7"/>
    <w:qFormat/>
    <w:uiPriority w:val="0"/>
    <w:rPr>
      <w:rFonts w:hAnsi="Arial" w:eastAsia="黑体"/>
      <w:b/>
      <w:bCs/>
      <w:kern w:val="2"/>
      <w:sz w:val="21"/>
      <w:szCs w:val="28"/>
    </w:rPr>
  </w:style>
  <w:style w:type="character" w:customStyle="1" w:styleId="65">
    <w:name w:val="标题 5 Char"/>
    <w:link w:val="8"/>
    <w:qFormat/>
    <w:uiPriority w:val="0"/>
    <w:rPr>
      <w:b/>
      <w:sz w:val="28"/>
    </w:rPr>
  </w:style>
  <w:style w:type="character" w:customStyle="1" w:styleId="66">
    <w:name w:val="标题 6 Char"/>
    <w:link w:val="9"/>
    <w:qFormat/>
    <w:uiPriority w:val="0"/>
    <w:rPr>
      <w:rFonts w:ascii="Arial" w:hAnsi="Arial" w:eastAsia="黑体"/>
      <w:b/>
      <w:color w:val="FF0000"/>
      <w:sz w:val="24"/>
    </w:rPr>
  </w:style>
  <w:style w:type="character" w:customStyle="1" w:styleId="67">
    <w:name w:val="标题 7 Char"/>
    <w:link w:val="10"/>
    <w:qFormat/>
    <w:uiPriority w:val="0"/>
    <w:rPr>
      <w:b/>
      <w:color w:val="FF0000"/>
      <w:sz w:val="24"/>
    </w:rPr>
  </w:style>
  <w:style w:type="character" w:customStyle="1" w:styleId="68">
    <w:name w:val="标题 8 Char"/>
    <w:link w:val="11"/>
    <w:qFormat/>
    <w:uiPriority w:val="0"/>
    <w:rPr>
      <w:rFonts w:ascii="Arial" w:hAnsi="Arial" w:eastAsia="黑体"/>
      <w:b/>
      <w:color w:val="FF0000"/>
      <w:sz w:val="24"/>
    </w:rPr>
  </w:style>
  <w:style w:type="character" w:customStyle="1" w:styleId="69">
    <w:name w:val="标题 9 Char"/>
    <w:link w:val="12"/>
    <w:qFormat/>
    <w:uiPriority w:val="0"/>
    <w:rPr>
      <w:rFonts w:ascii="Arial" w:hAnsi="Arial" w:eastAsia="黑体"/>
      <w:b/>
      <w:color w:val="FF0000"/>
      <w:sz w:val="21"/>
    </w:rPr>
  </w:style>
  <w:style w:type="character" w:customStyle="1" w:styleId="70">
    <w:name w:val="批注文字 Char"/>
    <w:link w:val="16"/>
    <w:qFormat/>
    <w:uiPriority w:val="0"/>
    <w:rPr>
      <w:kern w:val="2"/>
      <w:sz w:val="21"/>
      <w:szCs w:val="24"/>
    </w:rPr>
  </w:style>
  <w:style w:type="character" w:customStyle="1" w:styleId="71">
    <w:name w:val="批注主题 Char"/>
    <w:link w:val="43"/>
    <w:qFormat/>
    <w:uiPriority w:val="0"/>
    <w:rPr>
      <w:b/>
      <w:bCs/>
      <w:kern w:val="2"/>
      <w:sz w:val="21"/>
      <w:szCs w:val="24"/>
    </w:rPr>
  </w:style>
  <w:style w:type="character" w:customStyle="1" w:styleId="72">
    <w:name w:val="正文首行缩进 Char1"/>
    <w:basedOn w:val="73"/>
    <w:link w:val="44"/>
    <w:qFormat/>
    <w:uiPriority w:val="0"/>
    <w:rPr>
      <w:kern w:val="2"/>
      <w:sz w:val="21"/>
      <w:szCs w:val="24"/>
    </w:rPr>
  </w:style>
  <w:style w:type="character" w:customStyle="1" w:styleId="73">
    <w:name w:val="正文文本 Char1"/>
    <w:link w:val="18"/>
    <w:qFormat/>
    <w:uiPriority w:val="0"/>
    <w:rPr>
      <w:kern w:val="2"/>
      <w:sz w:val="21"/>
      <w:szCs w:val="24"/>
    </w:rPr>
  </w:style>
  <w:style w:type="character" w:customStyle="1" w:styleId="74">
    <w:name w:val="正文缩进 Char"/>
    <w:link w:val="14"/>
    <w:qFormat/>
    <w:uiPriority w:val="0"/>
    <w:rPr>
      <w:kern w:val="2"/>
      <w:szCs w:val="24"/>
    </w:rPr>
  </w:style>
  <w:style w:type="character" w:customStyle="1" w:styleId="75">
    <w:name w:val="文档结构图 Char"/>
    <w:link w:val="15"/>
    <w:qFormat/>
    <w:uiPriority w:val="0"/>
    <w:rPr>
      <w:rFonts w:ascii="宋体"/>
      <w:kern w:val="2"/>
      <w:sz w:val="18"/>
      <w:szCs w:val="18"/>
    </w:rPr>
  </w:style>
  <w:style w:type="character" w:customStyle="1" w:styleId="76">
    <w:name w:val="正文文本 3 Char"/>
    <w:link w:val="17"/>
    <w:qFormat/>
    <w:uiPriority w:val="0"/>
    <w:rPr>
      <w:color w:val="000000"/>
      <w:kern w:val="2"/>
      <w:sz w:val="24"/>
      <w:szCs w:val="24"/>
    </w:rPr>
  </w:style>
  <w:style w:type="character" w:customStyle="1" w:styleId="77">
    <w:name w:val="正文文本缩进 Char"/>
    <w:link w:val="19"/>
    <w:qFormat/>
    <w:uiPriority w:val="0"/>
    <w:rPr>
      <w:kern w:val="2"/>
      <w:sz w:val="21"/>
    </w:rPr>
  </w:style>
  <w:style w:type="character" w:customStyle="1" w:styleId="78">
    <w:name w:val="列表 2 Char"/>
    <w:link w:val="20"/>
    <w:qFormat/>
    <w:uiPriority w:val="0"/>
    <w:rPr>
      <w:lang w:val="en-US" w:eastAsia="zh-CN" w:bidi="ar-SA"/>
    </w:rPr>
  </w:style>
  <w:style w:type="character" w:customStyle="1" w:styleId="79">
    <w:name w:val="纯文本 Char"/>
    <w:link w:val="24"/>
    <w:qFormat/>
    <w:uiPriority w:val="0"/>
    <w:rPr>
      <w:rFonts w:ascii="宋体" w:hAnsi="Courier New" w:cs="Courier New"/>
      <w:szCs w:val="21"/>
    </w:rPr>
  </w:style>
  <w:style w:type="character" w:customStyle="1" w:styleId="80">
    <w:name w:val="日期 Char"/>
    <w:link w:val="26"/>
    <w:qFormat/>
    <w:uiPriority w:val="99"/>
    <w:rPr>
      <w:kern w:val="2"/>
      <w:sz w:val="28"/>
    </w:rPr>
  </w:style>
  <w:style w:type="character" w:customStyle="1" w:styleId="81">
    <w:name w:val="正文文本缩进 2 Char"/>
    <w:link w:val="27"/>
    <w:qFormat/>
    <w:uiPriority w:val="0"/>
    <w:rPr>
      <w:kern w:val="2"/>
      <w:sz w:val="21"/>
    </w:rPr>
  </w:style>
  <w:style w:type="character" w:customStyle="1" w:styleId="82">
    <w:name w:val="批注框文本 Char"/>
    <w:link w:val="28"/>
    <w:qFormat/>
    <w:uiPriority w:val="0"/>
    <w:rPr>
      <w:kern w:val="2"/>
      <w:sz w:val="18"/>
      <w:szCs w:val="18"/>
    </w:rPr>
  </w:style>
  <w:style w:type="character" w:customStyle="1" w:styleId="83">
    <w:name w:val="页脚 Char"/>
    <w:link w:val="29"/>
    <w:qFormat/>
    <w:uiPriority w:val="99"/>
    <w:rPr>
      <w:rFonts w:ascii="Calibri" w:hAnsi="Calibri"/>
      <w:kern w:val="2"/>
      <w:sz w:val="21"/>
      <w:szCs w:val="24"/>
    </w:rPr>
  </w:style>
  <w:style w:type="character" w:customStyle="1" w:styleId="84">
    <w:name w:val="页眉 Char"/>
    <w:link w:val="30"/>
    <w:qFormat/>
    <w:uiPriority w:val="99"/>
    <w:rPr>
      <w:kern w:val="2"/>
      <w:sz w:val="18"/>
      <w:szCs w:val="24"/>
    </w:rPr>
  </w:style>
  <w:style w:type="character" w:customStyle="1" w:styleId="85">
    <w:name w:val="正文文本缩进 3 Char"/>
    <w:link w:val="35"/>
    <w:qFormat/>
    <w:uiPriority w:val="0"/>
    <w:rPr>
      <w:rFonts w:ascii="宋体" w:hAnsi="宋体"/>
      <w:kern w:val="2"/>
      <w:sz w:val="24"/>
      <w:szCs w:val="24"/>
    </w:rPr>
  </w:style>
  <w:style w:type="character" w:customStyle="1" w:styleId="86">
    <w:name w:val="正文文本 2 Char"/>
    <w:link w:val="38"/>
    <w:qFormat/>
    <w:uiPriority w:val="0"/>
    <w:rPr>
      <w:kern w:val="2"/>
      <w:sz w:val="21"/>
      <w:szCs w:val="24"/>
    </w:rPr>
  </w:style>
  <w:style w:type="character" w:customStyle="1" w:styleId="87">
    <w:name w:val="HTML 预设格式 Char"/>
    <w:link w:val="39"/>
    <w:qFormat/>
    <w:uiPriority w:val="99"/>
    <w:rPr>
      <w:rFonts w:ascii="Arial" w:hAnsi="Arial" w:cs="Arial"/>
      <w:sz w:val="21"/>
      <w:szCs w:val="21"/>
    </w:rPr>
  </w:style>
  <w:style w:type="character" w:customStyle="1" w:styleId="88">
    <w:name w:val="标题 Char"/>
    <w:link w:val="42"/>
    <w:qFormat/>
    <w:uiPriority w:val="0"/>
    <w:rPr>
      <w:rFonts w:ascii="Calibri Light" w:hAnsi="Calibri Light"/>
      <w:b/>
      <w:bCs/>
      <w:spacing w:val="-6"/>
      <w:sz w:val="32"/>
      <w:szCs w:val="32"/>
    </w:rPr>
  </w:style>
  <w:style w:type="character" w:customStyle="1" w:styleId="89">
    <w:name w:val="正文111 Char"/>
    <w:link w:val="90"/>
    <w:qFormat/>
    <w:uiPriority w:val="0"/>
    <w:rPr>
      <w:b/>
      <w:spacing w:val="6"/>
      <w:sz w:val="21"/>
      <w:szCs w:val="21"/>
    </w:rPr>
  </w:style>
  <w:style w:type="paragraph" w:customStyle="1" w:styleId="90">
    <w:name w:val="正文111"/>
    <w:basedOn w:val="1"/>
    <w:link w:val="89"/>
    <w:qFormat/>
    <w:uiPriority w:val="0"/>
    <w:pPr>
      <w:spacing w:line="520" w:lineRule="exact"/>
      <w:ind w:firstLine="446" w:firstLineChars="200"/>
      <w:jc w:val="center"/>
    </w:pPr>
    <w:rPr>
      <w:b/>
      <w:spacing w:val="6"/>
      <w:kern w:val="0"/>
      <w:szCs w:val="21"/>
    </w:rPr>
  </w:style>
  <w:style w:type="character" w:customStyle="1" w:styleId="91">
    <w:name w:val="文本 Char"/>
    <w:link w:val="92"/>
    <w:qFormat/>
    <w:uiPriority w:val="0"/>
    <w:rPr>
      <w:kern w:val="2"/>
      <w:sz w:val="24"/>
      <w:szCs w:val="24"/>
    </w:rPr>
  </w:style>
  <w:style w:type="paragraph" w:customStyle="1" w:styleId="92">
    <w:name w:val="文本"/>
    <w:basedOn w:val="1"/>
    <w:link w:val="91"/>
    <w:qFormat/>
    <w:uiPriority w:val="0"/>
    <w:pPr>
      <w:spacing w:line="360" w:lineRule="auto"/>
      <w:ind w:firstLine="480" w:firstLineChars="200"/>
    </w:pPr>
    <w:rPr>
      <w:sz w:val="24"/>
    </w:rPr>
  </w:style>
  <w:style w:type="character" w:customStyle="1" w:styleId="93">
    <w:name w:val="页码2"/>
    <w:basedOn w:val="50"/>
    <w:qFormat/>
    <w:uiPriority w:val="0"/>
  </w:style>
  <w:style w:type="character" w:customStyle="1" w:styleId="94">
    <w:name w:val="正文1 Char"/>
    <w:link w:val="95"/>
    <w:qFormat/>
    <w:uiPriority w:val="0"/>
    <w:rPr>
      <w:kern w:val="2"/>
      <w:sz w:val="28"/>
    </w:rPr>
  </w:style>
  <w:style w:type="paragraph" w:customStyle="1" w:styleId="95">
    <w:name w:val="正文1"/>
    <w:basedOn w:val="1"/>
    <w:link w:val="94"/>
    <w:qFormat/>
    <w:uiPriority w:val="99"/>
    <w:pPr>
      <w:adjustRightInd w:val="0"/>
      <w:snapToGrid w:val="0"/>
      <w:spacing w:line="500" w:lineRule="atLeast"/>
      <w:ind w:firstLine="567"/>
    </w:pPr>
    <w:rPr>
      <w:sz w:val="28"/>
      <w:szCs w:val="20"/>
    </w:rPr>
  </w:style>
  <w:style w:type="character" w:customStyle="1" w:styleId="96">
    <w:name w:val="日期 Char1"/>
    <w:qFormat/>
    <w:uiPriority w:val="99"/>
    <w:rPr>
      <w:kern w:val="2"/>
      <w:sz w:val="21"/>
      <w:szCs w:val="24"/>
    </w:rPr>
  </w:style>
  <w:style w:type="character" w:customStyle="1" w:styleId="97">
    <w:name w:val="正文缩进 Char Char Char"/>
    <w:qFormat/>
    <w:uiPriority w:val="0"/>
    <w:rPr>
      <w:kern w:val="2"/>
      <w:sz w:val="28"/>
    </w:rPr>
  </w:style>
  <w:style w:type="character" w:customStyle="1" w:styleId="98">
    <w:name w:val="报告书正文 Char"/>
    <w:link w:val="99"/>
    <w:qFormat/>
    <w:uiPriority w:val="99"/>
    <w:rPr>
      <w:kern w:val="2"/>
      <w:sz w:val="24"/>
      <w:szCs w:val="24"/>
    </w:rPr>
  </w:style>
  <w:style w:type="paragraph" w:customStyle="1" w:styleId="99">
    <w:name w:val="报告书正文"/>
    <w:basedOn w:val="1"/>
    <w:next w:val="1"/>
    <w:link w:val="98"/>
    <w:qFormat/>
    <w:uiPriority w:val="0"/>
    <w:pPr>
      <w:spacing w:line="360" w:lineRule="auto"/>
      <w:ind w:firstLine="200" w:firstLineChars="200"/>
    </w:pPr>
    <w:rPr>
      <w:sz w:val="24"/>
    </w:rPr>
  </w:style>
  <w:style w:type="character" w:customStyle="1" w:styleId="100">
    <w:name w:val="style1"/>
    <w:qFormat/>
    <w:uiPriority w:val="0"/>
    <w:rPr>
      <w:rFonts w:hint="default" w:ascii="Times" w:hAnsi="Times"/>
      <w:color w:val="000000"/>
      <w:sz w:val="18"/>
      <w:szCs w:val="18"/>
    </w:rPr>
  </w:style>
  <w:style w:type="character" w:customStyle="1" w:styleId="101">
    <w:name w:val="正文首行缩进 Char"/>
    <w:basedOn w:val="102"/>
    <w:qFormat/>
    <w:uiPriority w:val="0"/>
    <w:rPr>
      <w:kern w:val="2"/>
      <w:sz w:val="28"/>
    </w:rPr>
  </w:style>
  <w:style w:type="character" w:customStyle="1" w:styleId="102">
    <w:name w:val="正文文本 Char"/>
    <w:qFormat/>
    <w:uiPriority w:val="0"/>
    <w:rPr>
      <w:kern w:val="2"/>
      <w:sz w:val="28"/>
    </w:rPr>
  </w:style>
  <w:style w:type="character" w:customStyle="1" w:styleId="103">
    <w:name w:val="纯文本 Char1"/>
    <w:qFormat/>
    <w:uiPriority w:val="0"/>
    <w:rPr>
      <w:rFonts w:ascii="宋体" w:hAnsi="Courier New" w:cs="Courier New"/>
      <w:kern w:val="2"/>
      <w:sz w:val="21"/>
      <w:szCs w:val="21"/>
    </w:rPr>
  </w:style>
  <w:style w:type="character" w:customStyle="1" w:styleId="104">
    <w:name w:val="~~表*标题 Char Char"/>
    <w:link w:val="105"/>
    <w:qFormat/>
    <w:uiPriority w:val="0"/>
    <w:rPr>
      <w:rFonts w:eastAsia="黑体"/>
      <w:kern w:val="2"/>
      <w:sz w:val="24"/>
      <w:szCs w:val="24"/>
    </w:rPr>
  </w:style>
  <w:style w:type="paragraph" w:customStyle="1" w:styleId="105">
    <w:name w:val="~~表*标题"/>
    <w:basedOn w:val="1"/>
    <w:link w:val="104"/>
    <w:qFormat/>
    <w:uiPriority w:val="0"/>
    <w:pPr>
      <w:spacing w:line="520" w:lineRule="exact"/>
      <w:ind w:firstLine="480" w:firstLineChars="200"/>
    </w:pPr>
    <w:rPr>
      <w:rFonts w:eastAsia="黑体"/>
      <w:sz w:val="24"/>
    </w:rPr>
  </w:style>
  <w:style w:type="character" w:customStyle="1" w:styleId="106">
    <w:name w:val="表内内容 Char"/>
    <w:link w:val="107"/>
    <w:qFormat/>
    <w:uiPriority w:val="0"/>
    <w:rPr>
      <w:kern w:val="2"/>
      <w:sz w:val="21"/>
      <w:szCs w:val="21"/>
    </w:rPr>
  </w:style>
  <w:style w:type="paragraph" w:customStyle="1" w:styleId="107">
    <w:name w:val="表内内容"/>
    <w:basedOn w:val="1"/>
    <w:link w:val="106"/>
    <w:qFormat/>
    <w:uiPriority w:val="0"/>
    <w:pPr>
      <w:jc w:val="center"/>
    </w:pPr>
    <w:rPr>
      <w:szCs w:val="21"/>
    </w:rPr>
  </w:style>
  <w:style w:type="character" w:customStyle="1" w:styleId="108">
    <w:name w:val="正文01 Char"/>
    <w:link w:val="109"/>
    <w:qFormat/>
    <w:uiPriority w:val="0"/>
    <w:rPr>
      <w:kern w:val="2"/>
      <w:sz w:val="24"/>
    </w:rPr>
  </w:style>
  <w:style w:type="paragraph" w:customStyle="1" w:styleId="109">
    <w:name w:val="正文01"/>
    <w:basedOn w:val="14"/>
    <w:link w:val="108"/>
    <w:qFormat/>
    <w:uiPriority w:val="0"/>
    <w:pPr>
      <w:spacing w:line="360" w:lineRule="auto"/>
      <w:ind w:firstLine="480"/>
    </w:pPr>
    <w:rPr>
      <w:sz w:val="24"/>
      <w:szCs w:val="20"/>
    </w:rPr>
  </w:style>
  <w:style w:type="character" w:customStyle="1" w:styleId="110">
    <w:name w:val="表格标题 Char"/>
    <w:link w:val="111"/>
    <w:qFormat/>
    <w:uiPriority w:val="0"/>
    <w:rPr>
      <w:b/>
      <w:kern w:val="2"/>
      <w:sz w:val="21"/>
      <w:szCs w:val="24"/>
    </w:rPr>
  </w:style>
  <w:style w:type="paragraph" w:customStyle="1" w:styleId="111">
    <w:name w:val="表格标题"/>
    <w:basedOn w:val="1"/>
    <w:next w:val="1"/>
    <w:link w:val="110"/>
    <w:qFormat/>
    <w:uiPriority w:val="0"/>
    <w:pPr>
      <w:tabs>
        <w:tab w:val="left" w:pos="227"/>
      </w:tabs>
      <w:spacing w:beforeLines="50"/>
      <w:jc w:val="center"/>
    </w:pPr>
    <w:rPr>
      <w:b/>
    </w:rPr>
  </w:style>
  <w:style w:type="character" w:customStyle="1" w:styleId="112">
    <w:name w:val="报告正文 Char"/>
    <w:qFormat/>
    <w:locked/>
    <w:uiPriority w:val="0"/>
    <w:rPr>
      <w:sz w:val="28"/>
      <w:szCs w:val="20"/>
    </w:rPr>
  </w:style>
  <w:style w:type="character" w:customStyle="1" w:styleId="113">
    <w:name w:val="15"/>
    <w:qFormat/>
    <w:uiPriority w:val="0"/>
    <w:rPr>
      <w:rFonts w:hint="default" w:ascii="Calibri" w:hAnsi="Calibri" w:cs="Calibri"/>
    </w:rPr>
  </w:style>
  <w:style w:type="character" w:customStyle="1" w:styleId="114">
    <w:name w:val="10"/>
    <w:qFormat/>
    <w:uiPriority w:val="0"/>
    <w:rPr>
      <w:rFonts w:hint="default" w:ascii="Calibri" w:hAnsi="Calibri" w:cs="Calibri"/>
    </w:rPr>
  </w:style>
  <w:style w:type="character" w:customStyle="1" w:styleId="115">
    <w:name w:val="正文文本缩进 2 Char1"/>
    <w:qFormat/>
    <w:uiPriority w:val="0"/>
    <w:rPr>
      <w:kern w:val="2"/>
      <w:sz w:val="21"/>
      <w:szCs w:val="24"/>
    </w:rPr>
  </w:style>
  <w:style w:type="character" w:customStyle="1" w:styleId="116">
    <w:name w:val="君邦正文 Char2"/>
    <w:link w:val="117"/>
    <w:qFormat/>
    <w:uiPriority w:val="0"/>
    <w:rPr>
      <w:bCs/>
      <w:snapToGrid w:val="0"/>
      <w:sz w:val="24"/>
      <w:lang w:val="en-US" w:eastAsia="zh-CN" w:bidi="ar-SA"/>
    </w:rPr>
  </w:style>
  <w:style w:type="paragraph" w:customStyle="1" w:styleId="117">
    <w:name w:val="君邦正文"/>
    <w:link w:val="116"/>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118">
    <w:name w:val="报告书正文 Char Char Char Char Char"/>
    <w:qFormat/>
    <w:uiPriority w:val="0"/>
    <w:rPr>
      <w:rFonts w:ascii="Times New Roman" w:hAnsi="Times New Roman"/>
      <w:kern w:val="2"/>
      <w:sz w:val="24"/>
      <w:szCs w:val="24"/>
    </w:rPr>
  </w:style>
  <w:style w:type="character" w:customStyle="1" w:styleId="119">
    <w:name w:val="表内内容 Char Char"/>
    <w:qFormat/>
    <w:uiPriority w:val="0"/>
    <w:rPr>
      <w:rFonts w:eastAsia="宋体"/>
      <w:kern w:val="2"/>
      <w:sz w:val="21"/>
      <w:szCs w:val="21"/>
      <w:lang w:val="en-US" w:eastAsia="zh-CN" w:bidi="ar-SA"/>
    </w:rPr>
  </w:style>
  <w:style w:type="character" w:customStyle="1" w:styleId="120">
    <w:name w:val="中文报告书样式 Char"/>
    <w:link w:val="121"/>
    <w:qFormat/>
    <w:uiPriority w:val="0"/>
    <w:rPr>
      <w:kern w:val="24"/>
      <w:sz w:val="24"/>
    </w:rPr>
  </w:style>
  <w:style w:type="paragraph" w:customStyle="1" w:styleId="121">
    <w:name w:val="中文报告书样式"/>
    <w:basedOn w:val="1"/>
    <w:link w:val="120"/>
    <w:qFormat/>
    <w:uiPriority w:val="0"/>
    <w:pPr>
      <w:adjustRightInd w:val="0"/>
      <w:spacing w:line="480" w:lineRule="atLeast"/>
      <w:ind w:firstLine="482"/>
      <w:textAlignment w:val="baseline"/>
    </w:pPr>
    <w:rPr>
      <w:kern w:val="24"/>
      <w:sz w:val="24"/>
      <w:szCs w:val="20"/>
    </w:rPr>
  </w:style>
  <w:style w:type="character" w:customStyle="1" w:styleId="122">
    <w:name w:val="正文(首行缩进) Char"/>
    <w:link w:val="123"/>
    <w:qFormat/>
    <w:uiPriority w:val="0"/>
    <w:rPr>
      <w:snapToGrid w:val="0"/>
      <w:sz w:val="24"/>
      <w:szCs w:val="24"/>
    </w:rPr>
  </w:style>
  <w:style w:type="paragraph" w:customStyle="1" w:styleId="123">
    <w:name w:val="正文(首行缩进)"/>
    <w:basedOn w:val="1"/>
    <w:link w:val="122"/>
    <w:qFormat/>
    <w:uiPriority w:val="0"/>
    <w:pPr>
      <w:adjustRightInd w:val="0"/>
      <w:snapToGrid w:val="0"/>
      <w:spacing w:line="360" w:lineRule="auto"/>
      <w:ind w:firstLine="200" w:firstLineChars="200"/>
    </w:pPr>
    <w:rPr>
      <w:snapToGrid w:val="0"/>
      <w:kern w:val="0"/>
      <w:sz w:val="24"/>
    </w:rPr>
  </w:style>
  <w:style w:type="character" w:customStyle="1" w:styleId="124">
    <w:name w:val="报告书正文 Char Char"/>
    <w:qFormat/>
    <w:uiPriority w:val="0"/>
    <w:rPr>
      <w:kern w:val="2"/>
      <w:sz w:val="24"/>
      <w:szCs w:val="24"/>
    </w:rPr>
  </w:style>
  <w:style w:type="character" w:customStyle="1" w:styleId="125">
    <w:name w:val="报告正文 Char Char"/>
    <w:link w:val="126"/>
    <w:qFormat/>
    <w:uiPriority w:val="0"/>
    <w:rPr>
      <w:color w:val="000000"/>
      <w:kern w:val="2"/>
      <w:sz w:val="24"/>
      <w:szCs w:val="24"/>
    </w:rPr>
  </w:style>
  <w:style w:type="paragraph" w:customStyle="1" w:styleId="126">
    <w:name w:val="报告正文"/>
    <w:basedOn w:val="1"/>
    <w:link w:val="125"/>
    <w:qFormat/>
    <w:uiPriority w:val="0"/>
    <w:pPr>
      <w:spacing w:line="480" w:lineRule="exact"/>
    </w:pPr>
    <w:rPr>
      <w:color w:val="000000"/>
      <w:sz w:val="24"/>
    </w:rPr>
  </w:style>
  <w:style w:type="character" w:customStyle="1" w:styleId="127">
    <w:name w:val="apple-style-span"/>
    <w:qFormat/>
    <w:uiPriority w:val="0"/>
  </w:style>
  <w:style w:type="character" w:customStyle="1" w:styleId="128">
    <w:name w:val="提头 Char"/>
    <w:link w:val="129"/>
    <w:qFormat/>
    <w:uiPriority w:val="0"/>
    <w:rPr>
      <w:rFonts w:hAnsi="宋体"/>
      <w:b/>
      <w:kern w:val="2"/>
      <w:sz w:val="21"/>
      <w:szCs w:val="21"/>
    </w:rPr>
  </w:style>
  <w:style w:type="paragraph" w:customStyle="1" w:styleId="129">
    <w:name w:val="提头"/>
    <w:basedOn w:val="1"/>
    <w:next w:val="1"/>
    <w:link w:val="128"/>
    <w:qFormat/>
    <w:uiPriority w:val="0"/>
    <w:pPr>
      <w:tabs>
        <w:tab w:val="left" w:pos="227"/>
      </w:tabs>
      <w:spacing w:before="48" w:line="520" w:lineRule="exact"/>
      <w:jc w:val="center"/>
    </w:pPr>
    <w:rPr>
      <w:rFonts w:hAnsi="宋体"/>
      <w:b/>
      <w:szCs w:val="21"/>
    </w:rPr>
  </w:style>
  <w:style w:type="character" w:customStyle="1" w:styleId="130">
    <w:name w:val="~~表内容 Char Char"/>
    <w:link w:val="131"/>
    <w:qFormat/>
    <w:uiPriority w:val="0"/>
    <w:rPr>
      <w:kern w:val="2"/>
      <w:sz w:val="21"/>
      <w:szCs w:val="21"/>
    </w:rPr>
  </w:style>
  <w:style w:type="paragraph" w:customStyle="1" w:styleId="131">
    <w:name w:val="~~表内容"/>
    <w:basedOn w:val="1"/>
    <w:link w:val="130"/>
    <w:qFormat/>
    <w:uiPriority w:val="0"/>
    <w:pPr>
      <w:jc w:val="center"/>
    </w:pPr>
    <w:rPr>
      <w:szCs w:val="21"/>
    </w:rPr>
  </w:style>
  <w:style w:type="character" w:customStyle="1" w:styleId="132">
    <w:name w:val="1正文段落 Char"/>
    <w:link w:val="133"/>
    <w:qFormat/>
    <w:uiPriority w:val="0"/>
    <w:rPr>
      <w:snapToGrid w:val="0"/>
      <w:szCs w:val="24"/>
    </w:rPr>
  </w:style>
  <w:style w:type="paragraph" w:customStyle="1" w:styleId="133">
    <w:name w:val="1正文段落"/>
    <w:basedOn w:val="1"/>
    <w:link w:val="132"/>
    <w:qFormat/>
    <w:uiPriority w:val="0"/>
    <w:pPr>
      <w:spacing w:line="360" w:lineRule="auto"/>
      <w:ind w:firstLine="480" w:firstLineChars="200"/>
      <w:jc w:val="left"/>
    </w:pPr>
    <w:rPr>
      <w:snapToGrid w:val="0"/>
      <w:kern w:val="0"/>
      <w:sz w:val="20"/>
    </w:rPr>
  </w:style>
  <w:style w:type="character" w:customStyle="1" w:styleId="134">
    <w:name w:val="表头 Char1"/>
    <w:link w:val="135"/>
    <w:qFormat/>
    <w:uiPriority w:val="0"/>
    <w:rPr>
      <w:rFonts w:ascii="仿宋_GB2312" w:eastAsia="仿宋_GB2312"/>
      <w:shadow/>
      <w:kern w:val="2"/>
      <w:sz w:val="28"/>
      <w:szCs w:val="28"/>
    </w:rPr>
  </w:style>
  <w:style w:type="paragraph" w:customStyle="1" w:styleId="135">
    <w:name w:val="表头"/>
    <w:basedOn w:val="1"/>
    <w:link w:val="134"/>
    <w:qFormat/>
    <w:uiPriority w:val="0"/>
    <w:pPr>
      <w:spacing w:beforeLines="50" w:afterLines="50"/>
    </w:pPr>
    <w:rPr>
      <w:rFonts w:ascii="仿宋_GB2312" w:eastAsia="仿宋_GB2312"/>
      <w:shadow/>
      <w:sz w:val="28"/>
      <w:szCs w:val="28"/>
      <w:shd w:val="clear" w:color="auto" w:fill="FFFFFF"/>
    </w:rPr>
  </w:style>
  <w:style w:type="character" w:customStyle="1" w:styleId="136">
    <w:name w:val="正文（首行缩进两字） Char1"/>
    <w:qFormat/>
    <w:uiPriority w:val="0"/>
    <w:rPr>
      <w:sz w:val="28"/>
      <w:szCs w:val="20"/>
    </w:rPr>
  </w:style>
  <w:style w:type="character" w:customStyle="1" w:styleId="137">
    <w:name w:val="无间隔 Char"/>
    <w:link w:val="138"/>
    <w:qFormat/>
    <w:uiPriority w:val="1"/>
    <w:rPr>
      <w:rFonts w:ascii="Calibri" w:hAnsi="Calibri"/>
      <w:sz w:val="22"/>
      <w:szCs w:val="22"/>
      <w:lang w:val="en-US" w:eastAsia="zh-CN" w:bidi="ar-SA"/>
    </w:rPr>
  </w:style>
  <w:style w:type="paragraph" w:styleId="138">
    <w:name w:val="No Spacing"/>
    <w:link w:val="137"/>
    <w:qFormat/>
    <w:uiPriority w:val="1"/>
    <w:rPr>
      <w:rFonts w:ascii="Calibri" w:hAnsi="Calibri" w:eastAsia="宋体" w:cs="Times New Roman"/>
      <w:sz w:val="22"/>
      <w:szCs w:val="22"/>
      <w:lang w:val="en-US" w:eastAsia="zh-CN" w:bidi="ar-SA"/>
    </w:rPr>
  </w:style>
  <w:style w:type="character" w:customStyle="1" w:styleId="139">
    <w:name w:val="页码1"/>
    <w:basedOn w:val="50"/>
    <w:qFormat/>
    <w:uiPriority w:val="0"/>
  </w:style>
  <w:style w:type="character" w:customStyle="1" w:styleId="140">
    <w:name w:val="表格 Char"/>
    <w:link w:val="141"/>
    <w:qFormat/>
    <w:uiPriority w:val="0"/>
    <w:rPr>
      <w:sz w:val="21"/>
    </w:rPr>
  </w:style>
  <w:style w:type="paragraph" w:customStyle="1" w:styleId="141">
    <w:name w:val="表格"/>
    <w:basedOn w:val="1"/>
    <w:link w:val="140"/>
    <w:qFormat/>
    <w:uiPriority w:val="0"/>
    <w:pPr>
      <w:keepNext/>
      <w:adjustRightInd w:val="0"/>
      <w:spacing w:line="312" w:lineRule="atLeast"/>
      <w:jc w:val="center"/>
      <w:textAlignment w:val="baseline"/>
    </w:pPr>
    <w:rPr>
      <w:kern w:val="0"/>
      <w:szCs w:val="20"/>
    </w:rPr>
  </w:style>
  <w:style w:type="character" w:customStyle="1" w:styleId="142">
    <w:name w:val="页码11"/>
    <w:qFormat/>
    <w:uiPriority w:val="0"/>
  </w:style>
  <w:style w:type="character" w:customStyle="1" w:styleId="143">
    <w:name w:val="HTML 预设格式 Char1"/>
    <w:qFormat/>
    <w:uiPriority w:val="0"/>
    <w:rPr>
      <w:rFonts w:ascii="Courier New" w:hAnsi="Courier New" w:cs="Courier New"/>
      <w:kern w:val="2"/>
    </w:rPr>
  </w:style>
  <w:style w:type="character" w:customStyle="1" w:styleId="144">
    <w:name w:val="表格 Char Char"/>
    <w:qFormat/>
    <w:uiPriority w:val="0"/>
    <w:rPr>
      <w:sz w:val="24"/>
      <w:szCs w:val="24"/>
    </w:rPr>
  </w:style>
  <w:style w:type="character" w:customStyle="1" w:styleId="145">
    <w:name w:val="表格文字 Char"/>
    <w:link w:val="146"/>
    <w:qFormat/>
    <w:uiPriority w:val="0"/>
    <w:rPr>
      <w:rFonts w:eastAsia="楷体_GB2312"/>
      <w:bCs/>
      <w:sz w:val="24"/>
      <w:szCs w:val="22"/>
      <w:lang w:val="en-US" w:eastAsia="zh-CN" w:bidi="ar-SA"/>
    </w:rPr>
  </w:style>
  <w:style w:type="paragraph" w:customStyle="1" w:styleId="146">
    <w:name w:val="表格文字"/>
    <w:next w:val="18"/>
    <w:link w:val="145"/>
    <w:qFormat/>
    <w:uiPriority w:val="0"/>
    <w:pPr>
      <w:jc w:val="center"/>
    </w:pPr>
    <w:rPr>
      <w:rFonts w:ascii="Times New Roman" w:hAnsi="Times New Roman" w:eastAsia="楷体_GB2312" w:cs="Times New Roman"/>
      <w:bCs/>
      <w:sz w:val="24"/>
      <w:szCs w:val="22"/>
      <w:lang w:val="en-US" w:eastAsia="zh-CN" w:bidi="ar-SA"/>
    </w:rPr>
  </w:style>
  <w:style w:type="character" w:customStyle="1" w:styleId="147">
    <w:name w:val="1111正文 Char"/>
    <w:link w:val="148"/>
    <w:qFormat/>
    <w:uiPriority w:val="0"/>
    <w:rPr>
      <w:kern w:val="2"/>
      <w:sz w:val="24"/>
      <w:szCs w:val="24"/>
    </w:rPr>
  </w:style>
  <w:style w:type="paragraph" w:customStyle="1" w:styleId="148">
    <w:name w:val="1111正文"/>
    <w:basedOn w:val="1"/>
    <w:link w:val="147"/>
    <w:qFormat/>
    <w:uiPriority w:val="0"/>
    <w:pPr>
      <w:spacing w:line="480" w:lineRule="exact"/>
      <w:ind w:firstLine="480" w:firstLineChars="200"/>
    </w:pPr>
    <w:rPr>
      <w:sz w:val="24"/>
    </w:rPr>
  </w:style>
  <w:style w:type="character" w:customStyle="1" w:styleId="149">
    <w:name w:val="文档结构图 Char1"/>
    <w:qFormat/>
    <w:uiPriority w:val="99"/>
    <w:rPr>
      <w:rFonts w:ascii="宋体"/>
      <w:kern w:val="2"/>
      <w:sz w:val="18"/>
      <w:szCs w:val="18"/>
    </w:rPr>
  </w:style>
  <w:style w:type="character" w:customStyle="1" w:styleId="150">
    <w:name w:val="正文文本 3 Char1"/>
    <w:qFormat/>
    <w:uiPriority w:val="0"/>
    <w:rPr>
      <w:kern w:val="2"/>
      <w:sz w:val="16"/>
      <w:szCs w:val="16"/>
    </w:rPr>
  </w:style>
  <w:style w:type="character" w:customStyle="1" w:styleId="151">
    <w:name w:val="正文四号 Char"/>
    <w:link w:val="152"/>
    <w:qFormat/>
    <w:uiPriority w:val="0"/>
    <w:rPr>
      <w:sz w:val="28"/>
    </w:rPr>
  </w:style>
  <w:style w:type="paragraph" w:customStyle="1" w:styleId="152">
    <w:name w:val="正文四号"/>
    <w:basedOn w:val="1"/>
    <w:link w:val="151"/>
    <w:qFormat/>
    <w:uiPriority w:val="0"/>
    <w:pPr>
      <w:spacing w:line="360" w:lineRule="auto"/>
      <w:ind w:firstLine="200" w:firstLineChars="200"/>
    </w:pPr>
    <w:rPr>
      <w:kern w:val="0"/>
      <w:sz w:val="28"/>
      <w:szCs w:val="20"/>
    </w:rPr>
  </w:style>
  <w:style w:type="character" w:customStyle="1" w:styleId="153">
    <w:name w:val="正文缩进 Char1"/>
    <w:qFormat/>
    <w:uiPriority w:val="0"/>
    <w:rPr>
      <w:kern w:val="2"/>
      <w:sz w:val="28"/>
    </w:rPr>
  </w:style>
  <w:style w:type="character" w:customStyle="1" w:styleId="154">
    <w:name w:val="正文正文 正文 正文 正文 正文  1.5 倍行距 首行缩进:  2 字符 + 首行缩进:  2 字符 Char"/>
    <w:link w:val="155"/>
    <w:qFormat/>
    <w:uiPriority w:val="0"/>
    <w:rPr>
      <w:kern w:val="2"/>
      <w:sz w:val="24"/>
      <w:szCs w:val="24"/>
    </w:rPr>
  </w:style>
  <w:style w:type="paragraph" w:customStyle="1" w:styleId="155">
    <w:name w:val="正文正文 正文 正文 正文 正文  1.5 倍行距 首行缩进:  2 字符 + 首行缩进:  2 字符"/>
    <w:basedOn w:val="1"/>
    <w:link w:val="154"/>
    <w:qFormat/>
    <w:uiPriority w:val="0"/>
    <w:pPr>
      <w:spacing w:line="500" w:lineRule="exact"/>
      <w:ind w:firstLine="480" w:firstLineChars="200"/>
    </w:pPr>
    <w:rPr>
      <w:sz w:val="24"/>
    </w:rPr>
  </w:style>
  <w:style w:type="character" w:customStyle="1" w:styleId="156">
    <w:name w:val="样式标题5 Char"/>
    <w:link w:val="157"/>
    <w:qFormat/>
    <w:uiPriority w:val="0"/>
    <w:rPr>
      <w:kern w:val="2"/>
      <w:sz w:val="24"/>
      <w:szCs w:val="24"/>
    </w:rPr>
  </w:style>
  <w:style w:type="paragraph" w:customStyle="1" w:styleId="157">
    <w:name w:val="样式标题5"/>
    <w:basedOn w:val="1"/>
    <w:next w:val="99"/>
    <w:link w:val="156"/>
    <w:qFormat/>
    <w:uiPriority w:val="99"/>
    <w:pPr>
      <w:spacing w:line="520" w:lineRule="exact"/>
      <w:ind w:firstLine="400"/>
    </w:pPr>
    <w:rPr>
      <w:sz w:val="24"/>
    </w:rPr>
  </w:style>
  <w:style w:type="paragraph" w:customStyle="1" w:styleId="158">
    <w:name w:val="样式2"/>
    <w:basedOn w:val="30"/>
    <w:qFormat/>
    <w:uiPriority w:val="99"/>
    <w:pPr>
      <w:pBdr>
        <w:bottom w:val="thinThickSmallGap" w:color="auto" w:sz="12" w:space="1"/>
      </w:pBdr>
      <w:jc w:val="left"/>
    </w:pPr>
    <w:rPr>
      <w:rFonts w:ascii="宋体" w:hAnsi="宋体"/>
    </w:rPr>
  </w:style>
  <w:style w:type="paragraph" w:customStyle="1" w:styleId="159">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60">
    <w:name w:val="样式1 Char"/>
    <w:basedOn w:val="19"/>
    <w:qFormat/>
    <w:uiPriority w:val="0"/>
    <w:pPr>
      <w:spacing w:after="0" w:line="360" w:lineRule="auto"/>
      <w:ind w:left="0" w:leftChars="0" w:firstLine="600"/>
      <w:textAlignment w:val="bottom"/>
    </w:pPr>
    <w:rPr>
      <w:rFonts w:hint="eastAsia" w:hAnsi="宋体"/>
      <w:color w:val="000000"/>
      <w:kern w:val="0"/>
      <w:sz w:val="30"/>
    </w:rPr>
  </w:style>
  <w:style w:type="paragraph" w:customStyle="1" w:styleId="161">
    <w:name w:val="Char Char Char Char"/>
    <w:basedOn w:val="1"/>
    <w:qFormat/>
    <w:uiPriority w:val="99"/>
    <w:pPr>
      <w:snapToGrid w:val="0"/>
      <w:spacing w:line="360" w:lineRule="auto"/>
      <w:ind w:firstLine="200" w:firstLineChars="200"/>
    </w:pPr>
    <w:rPr>
      <w:rFonts w:eastAsia="仿宋_GB2312"/>
      <w:sz w:val="24"/>
    </w:rPr>
  </w:style>
  <w:style w:type="paragraph" w:customStyle="1" w:styleId="162">
    <w:name w:val="文字"/>
    <w:basedOn w:val="1"/>
    <w:qFormat/>
    <w:uiPriority w:val="99"/>
    <w:pPr>
      <w:widowControl/>
      <w:spacing w:afterLines="50" w:line="360" w:lineRule="auto"/>
      <w:ind w:firstLine="420"/>
    </w:pPr>
    <w:rPr>
      <w:kern w:val="0"/>
      <w:sz w:val="24"/>
    </w:rPr>
  </w:style>
  <w:style w:type="paragraph" w:customStyle="1" w:styleId="163">
    <w:name w:val="样式1"/>
    <w:basedOn w:val="30"/>
    <w:qFormat/>
    <w:uiPriority w:val="99"/>
    <w:pPr>
      <w:pBdr>
        <w:top w:val="none" w:color="auto" w:sz="0" w:space="0"/>
        <w:left w:val="none" w:color="auto" w:sz="0" w:space="0"/>
        <w:bottom w:val="single" w:color="auto" w:sz="6" w:space="1"/>
        <w:right w:val="none" w:color="auto" w:sz="0" w:space="0"/>
      </w:pBdr>
      <w:jc w:val="center"/>
    </w:pPr>
    <w:rPr>
      <w:szCs w:val="18"/>
    </w:rPr>
  </w:style>
  <w:style w:type="paragraph" w:customStyle="1" w:styleId="164">
    <w:name w:val="Char1 Char Char Char"/>
    <w:basedOn w:val="1"/>
    <w:qFormat/>
    <w:uiPriority w:val="99"/>
    <w:pPr>
      <w:spacing w:beforeLines="100" w:afterLines="50" w:line="600" w:lineRule="exact"/>
      <w:ind w:firstLine="200" w:firstLineChars="200"/>
    </w:pPr>
  </w:style>
  <w:style w:type="paragraph" w:customStyle="1" w:styleId="165">
    <w:name w:val="默认段落字体 Para Char Char Char Char"/>
    <w:basedOn w:val="1"/>
    <w:qFormat/>
    <w:uiPriority w:val="99"/>
    <w:pPr>
      <w:spacing w:beforeLines="100" w:afterLines="50" w:line="600" w:lineRule="exact"/>
      <w:ind w:firstLine="200" w:firstLineChars="200"/>
    </w:pPr>
    <w:rPr>
      <w:rFonts w:eastAsia="黑体"/>
      <w:sz w:val="28"/>
    </w:rPr>
  </w:style>
  <w:style w:type="paragraph" w:customStyle="1" w:styleId="166">
    <w:name w:val="五级条标题"/>
    <w:basedOn w:val="1"/>
    <w:next w:val="1"/>
    <w:qFormat/>
    <w:uiPriority w:val="99"/>
    <w:pPr>
      <w:widowControl/>
      <w:tabs>
        <w:tab w:val="left" w:pos="1296"/>
      </w:tabs>
      <w:ind w:left="3220" w:hanging="420"/>
      <w:outlineLvl w:val="6"/>
    </w:pPr>
    <w:rPr>
      <w:rFonts w:ascii="黑体" w:eastAsia="黑体"/>
      <w:kern w:val="0"/>
      <w:szCs w:val="20"/>
    </w:rPr>
  </w:style>
  <w:style w:type="paragraph" w:customStyle="1" w:styleId="167">
    <w:name w:val="表格字体"/>
    <w:basedOn w:val="126"/>
    <w:qFormat/>
    <w:uiPriority w:val="0"/>
    <w:pPr>
      <w:adjustRightInd w:val="0"/>
      <w:spacing w:line="300" w:lineRule="exact"/>
      <w:jc w:val="center"/>
    </w:pPr>
    <w:rPr>
      <w:sz w:val="18"/>
    </w:rPr>
  </w:style>
  <w:style w:type="paragraph" w:styleId="168">
    <w:name w:val="List Paragraph"/>
    <w:basedOn w:val="1"/>
    <w:qFormat/>
    <w:uiPriority w:val="1"/>
    <w:pPr>
      <w:ind w:firstLine="420" w:firstLineChars="200"/>
    </w:pPr>
    <w:rPr>
      <w:rFonts w:ascii="Calibri" w:hAnsi="Calibri" w:eastAsia="楷体_GB2312"/>
      <w:spacing w:val="-6"/>
      <w:kern w:val="0"/>
      <w:sz w:val="28"/>
      <w:szCs w:val="28"/>
    </w:rPr>
  </w:style>
  <w:style w:type="paragraph" w:customStyle="1" w:styleId="169">
    <w:name w:val="Char1"/>
    <w:basedOn w:val="1"/>
    <w:qFormat/>
    <w:uiPriority w:val="0"/>
    <w:pPr>
      <w:adjustRightInd w:val="0"/>
      <w:spacing w:line="360" w:lineRule="atLeast"/>
    </w:pPr>
    <w:rPr>
      <w:rFonts w:eastAsia="黑体"/>
      <w:b/>
      <w:kern w:val="28"/>
      <w:sz w:val="28"/>
      <w:szCs w:val="20"/>
    </w:rPr>
  </w:style>
  <w:style w:type="paragraph" w:customStyle="1" w:styleId="170">
    <w:name w:val="Char1 Char Char Char1"/>
    <w:basedOn w:val="1"/>
    <w:qFormat/>
    <w:uiPriority w:val="0"/>
    <w:pPr>
      <w:spacing w:beforeLines="100" w:afterLines="50" w:line="600" w:lineRule="exact"/>
      <w:ind w:firstLine="200" w:firstLineChars="200"/>
    </w:pPr>
  </w:style>
  <w:style w:type="paragraph" w:customStyle="1" w:styleId="17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172">
    <w:name w:val="p0"/>
    <w:basedOn w:val="1"/>
    <w:qFormat/>
    <w:uiPriority w:val="99"/>
    <w:pPr>
      <w:widowControl/>
      <w:snapToGrid w:val="0"/>
      <w:spacing w:line="312" w:lineRule="atLeast"/>
    </w:pPr>
    <w:rPr>
      <w:kern w:val="0"/>
      <w:sz w:val="24"/>
      <w:szCs w:val="21"/>
    </w:rPr>
  </w:style>
  <w:style w:type="paragraph" w:customStyle="1" w:styleId="173">
    <w:name w:val="图号"/>
    <w:basedOn w:val="174"/>
    <w:qFormat/>
    <w:uiPriority w:val="99"/>
    <w:pPr>
      <w:ind w:firstLine="0" w:firstLineChars="0"/>
      <w:jc w:val="center"/>
    </w:pPr>
    <w:rPr>
      <w:rFonts w:ascii="Calibri" w:hAnsi="Calibri"/>
    </w:rPr>
  </w:style>
  <w:style w:type="paragraph" w:customStyle="1" w:styleId="174">
    <w:name w:val="缩进"/>
    <w:basedOn w:val="1"/>
    <w:qFormat/>
    <w:uiPriority w:val="99"/>
    <w:pPr>
      <w:autoSpaceDE w:val="0"/>
      <w:autoSpaceDN w:val="0"/>
      <w:adjustRightInd w:val="0"/>
      <w:spacing w:line="400" w:lineRule="atLeast"/>
      <w:ind w:firstLine="200" w:firstLineChars="200"/>
      <w:textAlignment w:val="baseline"/>
    </w:pPr>
    <w:rPr>
      <w:kern w:val="0"/>
      <w:sz w:val="24"/>
      <w:szCs w:val="20"/>
    </w:rPr>
  </w:style>
  <w:style w:type="paragraph" w:customStyle="1" w:styleId="175">
    <w:name w:val="_Style 3"/>
    <w:basedOn w:val="1"/>
    <w:qFormat/>
    <w:uiPriority w:val="99"/>
    <w:pPr>
      <w:ind w:firstLine="420" w:firstLineChars="200"/>
    </w:pPr>
    <w:rPr>
      <w:rFonts w:ascii="Calibri" w:hAnsi="Calibri"/>
      <w:szCs w:val="22"/>
    </w:rPr>
  </w:style>
  <w:style w:type="paragraph" w:customStyle="1" w:styleId="176">
    <w:name w:val="样式3"/>
    <w:basedOn w:val="5"/>
    <w:qFormat/>
    <w:uiPriority w:val="99"/>
    <w:pPr>
      <w:pBdr>
        <w:top w:val="none" w:color="auto" w:sz="0" w:space="1"/>
        <w:left w:val="none" w:color="auto" w:sz="0" w:space="4"/>
        <w:bottom w:val="thickThinMediumGap" w:color="auto" w:sz="12" w:space="1"/>
        <w:right w:val="none" w:color="auto" w:sz="0" w:space="4"/>
      </w:pBdr>
      <w:spacing w:line="413" w:lineRule="auto"/>
    </w:pPr>
    <w:rPr>
      <w:rFonts w:ascii="Arial" w:eastAsia="宋体"/>
      <w:bCs w:val="0"/>
      <w:szCs w:val="20"/>
    </w:rPr>
  </w:style>
  <w:style w:type="paragraph" w:customStyle="1" w:styleId="177">
    <w:name w:val="样式 首行缩进"/>
    <w:basedOn w:val="1"/>
    <w:qFormat/>
    <w:uiPriority w:val="99"/>
    <w:pPr>
      <w:spacing w:line="480" w:lineRule="exact"/>
      <w:ind w:firstLine="200" w:firstLineChars="200"/>
    </w:pPr>
    <w:rPr>
      <w:rFonts w:ascii="Calibri" w:hAnsi="Calibri" w:cs="宋体"/>
      <w:bCs/>
      <w:sz w:val="24"/>
      <w:szCs w:val="20"/>
    </w:rPr>
  </w:style>
  <w:style w:type="paragraph" w:customStyle="1" w:styleId="178">
    <w:name w:val="列出段落1"/>
    <w:basedOn w:val="1"/>
    <w:qFormat/>
    <w:uiPriority w:val="0"/>
    <w:pPr>
      <w:ind w:firstLine="420" w:firstLineChars="200"/>
    </w:pPr>
    <w:rPr>
      <w:rFonts w:hint="eastAsia"/>
    </w:rPr>
  </w:style>
  <w:style w:type="paragraph" w:customStyle="1" w:styleId="179">
    <w:name w:val="Char3"/>
    <w:basedOn w:val="1"/>
    <w:qFormat/>
    <w:uiPriority w:val="99"/>
    <w:rPr>
      <w:szCs w:val="20"/>
    </w:rPr>
  </w:style>
  <w:style w:type="paragraph" w:customStyle="1" w:styleId="180">
    <w:name w:val="样式 标题 3 + 首行缩进:  1.68 字符"/>
    <w:basedOn w:val="6"/>
    <w:qFormat/>
    <w:uiPriority w:val="99"/>
    <w:pPr>
      <w:spacing w:beforeLines="50" w:afterLines="50" w:line="520" w:lineRule="exact"/>
    </w:pPr>
    <w:rPr>
      <w:rFonts w:eastAsia="楷体_GB2312" w:cs="宋体"/>
      <w:b w:val="0"/>
      <w:bCs w:val="0"/>
      <w:sz w:val="28"/>
      <w:szCs w:val="28"/>
    </w:rPr>
  </w:style>
  <w:style w:type="paragraph" w:customStyle="1" w:styleId="181">
    <w:name w:val="标准"/>
    <w:basedOn w:val="1"/>
    <w:qFormat/>
    <w:uiPriority w:val="99"/>
    <w:pPr>
      <w:adjustRightInd w:val="0"/>
      <w:spacing w:line="360" w:lineRule="auto"/>
      <w:textAlignment w:val="baseline"/>
    </w:pPr>
    <w:rPr>
      <w:rFonts w:ascii="楷体_GB2312" w:eastAsia="楷体_GB2312"/>
      <w:kern w:val="0"/>
      <w:sz w:val="28"/>
      <w:szCs w:val="20"/>
    </w:rPr>
  </w:style>
  <w:style w:type="paragraph" w:customStyle="1" w:styleId="182">
    <w:name w:val="样式 小四 行距: 固定值 24 磅"/>
    <w:basedOn w:val="1"/>
    <w:qFormat/>
    <w:uiPriority w:val="99"/>
    <w:pPr>
      <w:adjustRightInd w:val="0"/>
      <w:snapToGrid w:val="0"/>
      <w:spacing w:line="360" w:lineRule="auto"/>
      <w:ind w:firstLine="200" w:firstLineChars="200"/>
    </w:pPr>
    <w:rPr>
      <w:rFonts w:cs="宋体"/>
      <w:sz w:val="24"/>
      <w:szCs w:val="20"/>
    </w:rPr>
  </w:style>
  <w:style w:type="paragraph" w:customStyle="1" w:styleId="183">
    <w:name w:val="小节标题"/>
    <w:basedOn w:val="1"/>
    <w:next w:val="1"/>
    <w:qFormat/>
    <w:uiPriority w:val="99"/>
    <w:pPr>
      <w:widowControl/>
      <w:spacing w:before="175" w:after="102" w:line="351" w:lineRule="atLeast"/>
      <w:textAlignment w:val="baseline"/>
    </w:pPr>
    <w:rPr>
      <w:rFonts w:eastAsia="黑体"/>
      <w:color w:val="000000"/>
      <w:kern w:val="0"/>
      <w:szCs w:val="20"/>
      <w:u w:color="000000"/>
    </w:rPr>
  </w:style>
  <w:style w:type="paragraph" w:customStyle="1" w:styleId="184">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85">
    <w:name w:val="样式 意见正文 + 首行缩进:  2 字符2"/>
    <w:basedOn w:val="1"/>
    <w:qFormat/>
    <w:uiPriority w:val="99"/>
    <w:pPr>
      <w:spacing w:line="360" w:lineRule="auto"/>
      <w:ind w:firstLine="200" w:firstLineChars="200"/>
    </w:pPr>
    <w:rPr>
      <w:rFonts w:cs="宋体"/>
      <w:sz w:val="24"/>
      <w:szCs w:val="20"/>
    </w:rPr>
  </w:style>
  <w:style w:type="paragraph" w:customStyle="1" w:styleId="186">
    <w:name w:val="格式正文"/>
    <w:basedOn w:val="1"/>
    <w:qFormat/>
    <w:uiPriority w:val="99"/>
    <w:pPr>
      <w:spacing w:line="520" w:lineRule="exact"/>
      <w:ind w:firstLine="200" w:firstLineChars="200"/>
    </w:pPr>
    <w:rPr>
      <w:sz w:val="24"/>
      <w:szCs w:val="20"/>
    </w:rPr>
  </w:style>
  <w:style w:type="paragraph" w:customStyle="1" w:styleId="187">
    <w:name w:val="表文字"/>
    <w:basedOn w:val="1"/>
    <w:qFormat/>
    <w:uiPriority w:val="99"/>
    <w:pPr>
      <w:topLinePunct/>
      <w:adjustRightInd w:val="0"/>
      <w:spacing w:line="240" w:lineRule="exact"/>
      <w:jc w:val="center"/>
      <w:textAlignment w:val="baseline"/>
    </w:pPr>
    <w:rPr>
      <w:szCs w:val="21"/>
    </w:rPr>
  </w:style>
  <w:style w:type="paragraph" w:customStyle="1" w:styleId="188">
    <w:name w:val="Char111"/>
    <w:basedOn w:val="1"/>
    <w:qFormat/>
    <w:uiPriority w:val="0"/>
    <w:pPr>
      <w:spacing w:beforeLines="100" w:afterLines="50" w:line="600" w:lineRule="exact"/>
      <w:ind w:firstLine="200" w:firstLineChars="200"/>
    </w:pPr>
    <w:rPr>
      <w:szCs w:val="20"/>
    </w:rPr>
  </w:style>
  <w:style w:type="paragraph" w:customStyle="1" w:styleId="189">
    <w:name w:val="Char Char6"/>
    <w:basedOn w:val="1"/>
    <w:qFormat/>
    <w:uiPriority w:val="99"/>
    <w:pPr>
      <w:spacing w:beforeLines="100" w:afterLines="50" w:line="600" w:lineRule="exact"/>
      <w:ind w:firstLine="200" w:firstLineChars="200"/>
    </w:pPr>
  </w:style>
  <w:style w:type="paragraph" w:customStyle="1" w:styleId="190">
    <w:name w:val="Char Char6 Char Char"/>
    <w:basedOn w:val="1"/>
    <w:qFormat/>
    <w:uiPriority w:val="99"/>
    <w:pPr>
      <w:spacing w:beforeLines="100" w:afterLines="50" w:line="600" w:lineRule="exact"/>
      <w:ind w:firstLine="200" w:firstLineChars="200"/>
    </w:pPr>
  </w:style>
  <w:style w:type="paragraph" w:customStyle="1" w:styleId="191">
    <w:name w:val="样式 居中"/>
    <w:basedOn w:val="1"/>
    <w:qFormat/>
    <w:uiPriority w:val="99"/>
    <w:pPr>
      <w:jc w:val="center"/>
    </w:pPr>
    <w:rPr>
      <w:rFonts w:cs="宋体"/>
      <w:szCs w:val="20"/>
    </w:rPr>
  </w:style>
  <w:style w:type="paragraph" w:customStyle="1" w:styleId="192">
    <w:name w:val="Char Char Char Char1"/>
    <w:basedOn w:val="1"/>
    <w:qFormat/>
    <w:uiPriority w:val="0"/>
    <w:pPr>
      <w:snapToGrid w:val="0"/>
      <w:spacing w:line="360" w:lineRule="auto"/>
      <w:ind w:firstLine="200" w:firstLineChars="200"/>
    </w:pPr>
    <w:rPr>
      <w:rFonts w:eastAsia="仿宋_GB2312"/>
      <w:sz w:val="24"/>
    </w:rPr>
  </w:style>
  <w:style w:type="paragraph" w:customStyle="1" w:styleId="193">
    <w:name w:val="标题4"/>
    <w:basedOn w:val="1"/>
    <w:next w:val="1"/>
    <w:qFormat/>
    <w:uiPriority w:val="99"/>
    <w:pPr>
      <w:spacing w:line="520" w:lineRule="exact"/>
    </w:pPr>
    <w:rPr>
      <w:color w:val="000000"/>
      <w:sz w:val="28"/>
    </w:rPr>
  </w:style>
  <w:style w:type="paragraph" w:customStyle="1" w:styleId="194">
    <w:name w:val="Char"/>
    <w:basedOn w:val="1"/>
    <w:qFormat/>
    <w:uiPriority w:val="99"/>
    <w:pPr>
      <w:spacing w:beforeLines="100" w:afterLines="50" w:line="600" w:lineRule="exact"/>
      <w:ind w:firstLine="200" w:firstLineChars="200"/>
    </w:pPr>
  </w:style>
  <w:style w:type="paragraph" w:customStyle="1" w:styleId="195">
    <w:name w:val="样式 (符号) 宋体 二号 加粗 居中 段前: 15.6 磅 段后: 5 磅 行距: 固定值 40 磅"/>
    <w:basedOn w:val="42"/>
    <w:qFormat/>
    <w:uiPriority w:val="99"/>
    <w:pPr>
      <w:spacing w:before="312" w:after="100" w:line="800" w:lineRule="exact"/>
    </w:pPr>
    <w:rPr>
      <w:rFonts w:ascii="Cambria" w:hAnsi="宋体" w:cs="宋体"/>
      <w:b w:val="0"/>
      <w:bCs w:val="0"/>
      <w:spacing w:val="0"/>
      <w:kern w:val="2"/>
      <w:sz w:val="44"/>
    </w:rPr>
  </w:style>
  <w:style w:type="paragraph" w:customStyle="1" w:styleId="196">
    <w:name w:val="dandan6-13正文 Char Char Char"/>
    <w:basedOn w:val="1"/>
    <w:next w:val="1"/>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97">
    <w:name w:val="TOC 标题1"/>
    <w:basedOn w:val="4"/>
    <w:next w:val="1"/>
    <w:qFormat/>
    <w:uiPriority w:val="39"/>
    <w:pPr>
      <w:widowControl/>
      <w:spacing w:before="0" w:after="0" w:line="276" w:lineRule="auto"/>
      <w:jc w:val="left"/>
      <w:outlineLvl w:val="9"/>
    </w:pPr>
    <w:rPr>
      <w:rFonts w:ascii="Cambria" w:hAnsi="Cambria"/>
      <w:color w:val="365F91"/>
      <w:kern w:val="0"/>
      <w:sz w:val="28"/>
      <w:szCs w:val="28"/>
    </w:rPr>
  </w:style>
  <w:style w:type="paragraph" w:customStyle="1" w:styleId="198">
    <w:name w:val="表格1"/>
    <w:basedOn w:val="21"/>
    <w:qFormat/>
    <w:uiPriority w:val="99"/>
    <w:pPr>
      <w:adjustRightInd w:val="0"/>
      <w:snapToGrid w:val="0"/>
      <w:spacing w:after="0" w:line="360" w:lineRule="exact"/>
      <w:ind w:left="0" w:leftChars="0" w:right="0" w:rightChars="0"/>
      <w:jc w:val="center"/>
    </w:pPr>
    <w:rPr>
      <w:rFonts w:eastAsia="黑体"/>
      <w:kern w:val="0"/>
      <w:sz w:val="24"/>
      <w:szCs w:val="28"/>
    </w:rPr>
  </w:style>
  <w:style w:type="paragraph" w:customStyle="1" w:styleId="199">
    <w:name w:val="pic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200">
    <w:name w:val="Char Char1 Char Char Char Char Char Char Char Char Char Char Char Char Char Char Char Char Char Char Char Char1 Char"/>
    <w:basedOn w:val="1"/>
    <w:qFormat/>
    <w:uiPriority w:val="99"/>
    <w:pPr>
      <w:spacing w:line="360" w:lineRule="auto"/>
      <w:ind w:firstLine="200" w:firstLineChars="200"/>
    </w:pPr>
    <w:rPr>
      <w:rFonts w:ascii="宋体" w:hAnsi="宋体" w:cs="宋体"/>
      <w:sz w:val="24"/>
    </w:rPr>
  </w:style>
  <w:style w:type="paragraph" w:customStyle="1" w:styleId="201">
    <w:name w:val="样式 标题 2 + 黑体 四号 非加粗"/>
    <w:basedOn w:val="5"/>
    <w:qFormat/>
    <w:uiPriority w:val="99"/>
    <w:pPr>
      <w:spacing w:before="0" w:after="0"/>
      <w:ind w:left="100" w:leftChars="100" w:right="100" w:rightChars="100"/>
      <w:jc w:val="left"/>
    </w:pPr>
    <w:rPr>
      <w:rFonts w:ascii="黑体" w:hAnsi="黑体" w:eastAsia="宋体"/>
      <w:b w:val="0"/>
      <w:bCs w:val="0"/>
      <w:sz w:val="28"/>
    </w:rPr>
  </w:style>
  <w:style w:type="paragraph" w:customStyle="1" w:styleId="202">
    <w:name w:val="Char Char Char Char Char Char Char Char Char Char Char Char Char Char Char Char Char Char Char"/>
    <w:basedOn w:val="1"/>
    <w:qFormat/>
    <w:uiPriority w:val="99"/>
    <w:rPr>
      <w:sz w:val="24"/>
    </w:rPr>
  </w:style>
  <w:style w:type="paragraph" w:customStyle="1" w:styleId="203">
    <w:name w:val="标题3 Char Char Char Char"/>
    <w:basedOn w:val="1"/>
    <w:qFormat/>
    <w:uiPriority w:val="99"/>
    <w:pPr>
      <w:spacing w:afterLines="50" w:line="560" w:lineRule="exact"/>
    </w:pPr>
    <w:rPr>
      <w:rFonts w:eastAsia="黑体"/>
      <w:sz w:val="30"/>
      <w:szCs w:val="30"/>
    </w:rPr>
  </w:style>
  <w:style w:type="paragraph" w:customStyle="1" w:styleId="204">
    <w:name w:val="4 Char Char"/>
    <w:basedOn w:val="1"/>
    <w:qFormat/>
    <w:uiPriority w:val="99"/>
    <w:pPr>
      <w:autoSpaceDE w:val="0"/>
      <w:autoSpaceDN w:val="0"/>
      <w:adjustRightInd w:val="0"/>
      <w:snapToGrid w:val="0"/>
      <w:spacing w:line="360" w:lineRule="auto"/>
      <w:ind w:firstLine="567"/>
      <w:jc w:val="left"/>
    </w:pPr>
    <w:rPr>
      <w:sz w:val="28"/>
    </w:rPr>
  </w:style>
  <w:style w:type="paragraph" w:customStyle="1" w:styleId="205">
    <w:name w:val="Char Char Char1 Char Char Char Char Char Char Char Char Char Char Char Char Char Char Char Char Char Char Char"/>
    <w:basedOn w:val="1"/>
    <w:qFormat/>
    <w:uiPriority w:val="99"/>
    <w:pPr>
      <w:spacing w:line="360" w:lineRule="auto"/>
      <w:ind w:firstLine="200" w:firstLineChars="200"/>
    </w:pPr>
    <w:rPr>
      <w:rFonts w:ascii="宋体" w:hAnsi="宋体" w:cs="宋体"/>
      <w:sz w:val="24"/>
    </w:rPr>
  </w:style>
  <w:style w:type="paragraph" w:customStyle="1" w:styleId="206">
    <w:name w:val="表格正文"/>
    <w:basedOn w:val="1"/>
    <w:qFormat/>
    <w:uiPriority w:val="0"/>
    <w:pPr>
      <w:spacing w:line="360" w:lineRule="exact"/>
      <w:jc w:val="center"/>
    </w:pPr>
    <w:rPr>
      <w:rFonts w:ascii="Arial" w:hAnsi="Arial"/>
    </w:rPr>
  </w:style>
  <w:style w:type="paragraph" w:customStyle="1" w:styleId="207">
    <w:name w:val="表格式"/>
    <w:basedOn w:val="33"/>
    <w:qFormat/>
    <w:uiPriority w:val="99"/>
    <w:pPr>
      <w:spacing w:beforeLines="50" w:afterLines="50" w:line="200" w:lineRule="exact"/>
      <w:ind w:left="0" w:firstLine="0" w:firstLineChars="0"/>
      <w:jc w:val="center"/>
    </w:pPr>
    <w:rPr>
      <w:sz w:val="21"/>
    </w:rPr>
  </w:style>
  <w:style w:type="paragraph" w:customStyle="1" w:styleId="208">
    <w:name w:val="Char2"/>
    <w:basedOn w:val="1"/>
    <w:qFormat/>
    <w:uiPriority w:val="0"/>
    <w:pPr>
      <w:spacing w:beforeLines="100" w:afterLines="50" w:line="600" w:lineRule="exact"/>
      <w:ind w:firstLine="200" w:firstLineChars="200"/>
    </w:pPr>
  </w:style>
  <w:style w:type="paragraph" w:customStyle="1" w:styleId="209">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210">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11">
    <w:name w:val="xl31"/>
    <w:basedOn w:val="1"/>
    <w:qFormat/>
    <w:uiPriority w:val="99"/>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12">
    <w:name w:val="Char11"/>
    <w:basedOn w:val="1"/>
    <w:qFormat/>
    <w:uiPriority w:val="99"/>
    <w:pPr>
      <w:spacing w:beforeLines="100" w:afterLines="50" w:line="600" w:lineRule="exact"/>
      <w:ind w:firstLine="200" w:firstLineChars="200"/>
    </w:pPr>
    <w:rPr>
      <w:szCs w:val="20"/>
    </w:rPr>
  </w:style>
  <w:style w:type="paragraph" w:customStyle="1" w:styleId="213">
    <w:name w:val="Char Char Char1 Char Char Char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14">
    <w:name w:val="样式 首行缩进:  2 字符"/>
    <w:basedOn w:val="1"/>
    <w:qFormat/>
    <w:uiPriority w:val="99"/>
    <w:pPr>
      <w:autoSpaceDE w:val="0"/>
      <w:autoSpaceDN w:val="0"/>
      <w:adjustRightInd w:val="0"/>
      <w:snapToGrid w:val="0"/>
      <w:spacing w:line="520" w:lineRule="exact"/>
    </w:pPr>
    <w:rPr>
      <w:rFonts w:ascii="宋体" w:hAnsi="宋体"/>
      <w:kern w:val="0"/>
      <w:sz w:val="24"/>
    </w:rPr>
  </w:style>
  <w:style w:type="paragraph" w:customStyle="1" w:styleId="215">
    <w:name w:val="正文2"/>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16">
    <w:name w:val="Char Char Char Char1 Char Char Char Char Char Char Char Char Char"/>
    <w:basedOn w:val="1"/>
    <w:qFormat/>
    <w:uiPriority w:val="99"/>
    <w:rPr>
      <w:rFonts w:ascii="Calibri" w:hAnsi="Calibri"/>
    </w:rPr>
  </w:style>
  <w:style w:type="paragraph" w:customStyle="1" w:styleId="217">
    <w:name w:val="Char Char Char Char Char Char Char Char Char Char Char Char Char Char Char Char Char Char Char Char Char Char Char Char"/>
    <w:basedOn w:val="1"/>
    <w:qFormat/>
    <w:uiPriority w:val="0"/>
  </w:style>
  <w:style w:type="paragraph" w:customStyle="1" w:styleId="218">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219">
    <w:name w:val="正文缩进1"/>
    <w:basedOn w:val="1"/>
    <w:qFormat/>
    <w:uiPriority w:val="0"/>
    <w:pPr>
      <w:spacing w:line="365" w:lineRule="atLeast"/>
      <w:ind w:firstLine="420" w:firstLineChars="200"/>
      <w:textAlignment w:val="bottom"/>
    </w:pPr>
    <w:rPr>
      <w:rFonts w:hint="eastAsia"/>
      <w:kern w:val="0"/>
      <w:sz w:val="20"/>
      <w:szCs w:val="20"/>
    </w:rPr>
  </w:style>
  <w:style w:type="paragraph" w:customStyle="1" w:styleId="220">
    <w:name w:val="Char Char Char Char Char Char Char"/>
    <w:basedOn w:val="1"/>
    <w:qFormat/>
    <w:uiPriority w:val="0"/>
    <w:rPr>
      <w:szCs w:val="21"/>
    </w:rPr>
  </w:style>
  <w:style w:type="paragraph" w:customStyle="1" w:styleId="221">
    <w:name w:val="Char Char6 Char Char1"/>
    <w:basedOn w:val="1"/>
    <w:qFormat/>
    <w:uiPriority w:val="0"/>
    <w:pPr>
      <w:spacing w:beforeLines="100" w:afterLines="50" w:line="600" w:lineRule="exact"/>
      <w:ind w:firstLine="200" w:firstLineChars="200"/>
    </w:pPr>
  </w:style>
  <w:style w:type="paragraph" w:customStyle="1" w:styleId="222">
    <w:name w:val="标题3"/>
    <w:basedOn w:val="6"/>
    <w:next w:val="1"/>
    <w:qFormat/>
    <w:uiPriority w:val="0"/>
    <w:pPr>
      <w:spacing w:before="80" w:after="80" w:line="416" w:lineRule="atLeast"/>
      <w:ind w:firstLine="561" w:firstLineChars="200"/>
    </w:pPr>
    <w:rPr>
      <w:rFonts w:eastAsia="楷体_GB2312"/>
      <w:b w:val="0"/>
      <w:sz w:val="28"/>
    </w:rPr>
  </w:style>
  <w:style w:type="paragraph" w:customStyle="1" w:styleId="223">
    <w:name w:val="Char Char Char Char Char Char Char Char Char Char Char Char Char Char Char Char Char Char Char1"/>
    <w:basedOn w:val="1"/>
    <w:qFormat/>
    <w:uiPriority w:val="0"/>
    <w:rPr>
      <w:sz w:val="24"/>
    </w:rPr>
  </w:style>
  <w:style w:type="paragraph" w:customStyle="1" w:styleId="22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25">
    <w:name w:val="Char Char1 Char Char Char Char Char Char Char"/>
    <w:basedOn w:val="1"/>
    <w:qFormat/>
    <w:uiPriority w:val="0"/>
    <w:pPr>
      <w:spacing w:line="520" w:lineRule="exact"/>
      <w:ind w:firstLine="200" w:firstLineChars="200"/>
    </w:pPr>
    <w:rPr>
      <w:sz w:val="24"/>
    </w:rPr>
  </w:style>
  <w:style w:type="paragraph" w:customStyle="1" w:styleId="226">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27">
    <w:name w:val="正文缩进11"/>
    <w:basedOn w:val="1"/>
    <w:qFormat/>
    <w:uiPriority w:val="0"/>
    <w:pPr>
      <w:spacing w:line="365" w:lineRule="atLeast"/>
      <w:ind w:firstLine="420" w:firstLineChars="200"/>
      <w:textAlignment w:val="bottom"/>
    </w:pPr>
    <w:rPr>
      <w:rFonts w:hint="eastAsia"/>
      <w:kern w:val="0"/>
      <w:sz w:val="20"/>
      <w:szCs w:val="20"/>
    </w:rPr>
  </w:style>
  <w:style w:type="paragraph" w:customStyle="1" w:styleId="228">
    <w:name w:val="正文2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29">
    <w:name w:val="B标题(2级)"/>
    <w:basedOn w:val="1"/>
    <w:qFormat/>
    <w:uiPriority w:val="0"/>
    <w:pPr>
      <w:tabs>
        <w:tab w:val="left" w:pos="1260"/>
      </w:tabs>
      <w:ind w:left="1260" w:hanging="420"/>
    </w:pPr>
  </w:style>
  <w:style w:type="paragraph" w:customStyle="1" w:styleId="230">
    <w:name w:val="Char Char61"/>
    <w:basedOn w:val="1"/>
    <w:qFormat/>
    <w:uiPriority w:val="0"/>
    <w:pPr>
      <w:spacing w:beforeLines="100" w:afterLines="50" w:line="600" w:lineRule="exact"/>
      <w:ind w:firstLine="200" w:firstLineChars="200"/>
    </w:pPr>
  </w:style>
  <w:style w:type="table" w:customStyle="1" w:styleId="231">
    <w:name w:val="专业型111"/>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2">
    <w:name w:val="专业型11"/>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3">
    <w:name w:val="列表型 71"/>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4">
    <w:name w:val="网格型3"/>
    <w:basedOn w:val="4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5">
    <w:name w:val="专业型3"/>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6">
    <w:name w:val="列表型 7111"/>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7">
    <w:name w:val="专业型21"/>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8">
    <w:name w:val="列表型 721"/>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9">
    <w:name w:val="专业型12"/>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0">
    <w:name w:val="专业型13"/>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1">
    <w:name w:val="列表型 72"/>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2">
    <w:name w:val="列表型 73"/>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3">
    <w:name w:val="列表型 712"/>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4">
    <w:name w:val="网格型2"/>
    <w:basedOn w:val="4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5">
    <w:name w:val="专业型2"/>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6">
    <w:name w:val="网格型1"/>
    <w:basedOn w:val="45"/>
    <w:qFormat/>
    <w:uiPriority w:val="0"/>
    <w:pPr>
      <w:widowControl w:val="0"/>
      <w:jc w:val="both"/>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47">
    <w:name w:val="专业型1"/>
    <w:basedOn w:val="4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8">
    <w:name w:val="列表型 711"/>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9">
    <w:name w:val="列表型 713"/>
    <w:basedOn w:val="45"/>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paragraph" w:customStyle="1" w:styleId="250">
    <w:name w:val="_Style 58"/>
    <w:basedOn w:val="1"/>
    <w:next w:val="1"/>
    <w:qFormat/>
    <w:uiPriority w:val="0"/>
    <w:rPr>
      <w:rFonts w:ascii="Calibri" w:hAnsi="Calibri"/>
      <w:szCs w:val="22"/>
    </w:rPr>
  </w:style>
  <w:style w:type="character" w:customStyle="1" w:styleId="251">
    <w:name w:val="标题 1 Char2"/>
    <w:basedOn w:val="50"/>
    <w:qFormat/>
    <w:uiPriority w:val="0"/>
    <w:rPr>
      <w:b/>
      <w:bCs/>
      <w:kern w:val="44"/>
      <w:sz w:val="44"/>
      <w:szCs w:val="44"/>
    </w:rPr>
  </w:style>
  <w:style w:type="character" w:customStyle="1" w:styleId="252">
    <w:name w:val="标题 2 Char1"/>
    <w:basedOn w:val="50"/>
    <w:semiHidden/>
    <w:qFormat/>
    <w:uiPriority w:val="0"/>
    <w:rPr>
      <w:rFonts w:asciiTheme="majorHAnsi" w:hAnsiTheme="majorHAnsi" w:eastAsiaTheme="majorEastAsia" w:cstheme="majorBidi"/>
      <w:b/>
      <w:bCs/>
      <w:kern w:val="2"/>
      <w:sz w:val="32"/>
      <w:szCs w:val="32"/>
    </w:rPr>
  </w:style>
  <w:style w:type="character" w:customStyle="1" w:styleId="253">
    <w:name w:val="标题 3 Char1"/>
    <w:basedOn w:val="50"/>
    <w:semiHidden/>
    <w:qFormat/>
    <w:uiPriority w:val="0"/>
    <w:rPr>
      <w:b/>
      <w:bCs/>
      <w:kern w:val="2"/>
      <w:sz w:val="32"/>
      <w:szCs w:val="32"/>
    </w:rPr>
  </w:style>
  <w:style w:type="character" w:customStyle="1" w:styleId="254">
    <w:name w:val="标题 4 Char1"/>
    <w:basedOn w:val="50"/>
    <w:semiHidden/>
    <w:qFormat/>
    <w:uiPriority w:val="0"/>
    <w:rPr>
      <w:rFonts w:asciiTheme="majorHAnsi" w:hAnsiTheme="majorHAnsi" w:eastAsiaTheme="majorEastAsia" w:cstheme="majorBidi"/>
      <w:b/>
      <w:bCs/>
      <w:kern w:val="2"/>
      <w:sz w:val="28"/>
      <w:szCs w:val="28"/>
    </w:rPr>
  </w:style>
  <w:style w:type="character" w:customStyle="1" w:styleId="255">
    <w:name w:val="页眉 Char1"/>
    <w:basedOn w:val="50"/>
    <w:semiHidden/>
    <w:qFormat/>
    <w:uiPriority w:val="99"/>
    <w:rPr>
      <w:kern w:val="2"/>
      <w:sz w:val="18"/>
      <w:szCs w:val="18"/>
    </w:rPr>
  </w:style>
  <w:style w:type="character" w:customStyle="1" w:styleId="256">
    <w:name w:val="批注文字 Char1"/>
    <w:basedOn w:val="50"/>
    <w:qFormat/>
    <w:uiPriority w:val="0"/>
    <w:rPr>
      <w:kern w:val="2"/>
      <w:sz w:val="21"/>
      <w:szCs w:val="24"/>
    </w:rPr>
  </w:style>
  <w:style w:type="character" w:customStyle="1" w:styleId="257">
    <w:name w:val="普通(网站) Char"/>
    <w:qFormat/>
    <w:locked/>
    <w:uiPriority w:val="1"/>
    <w:rPr>
      <w:rFonts w:ascii="Calibri" w:hAnsi="Calibri"/>
      <w:sz w:val="22"/>
      <w:szCs w:val="22"/>
    </w:rPr>
  </w:style>
  <w:style w:type="paragraph" w:customStyle="1" w:styleId="258">
    <w:name w:val="列出段落2"/>
    <w:basedOn w:val="1"/>
    <w:qFormat/>
    <w:uiPriority w:val="99"/>
    <w:pPr>
      <w:ind w:firstLine="420" w:firstLineChars="200"/>
    </w:pPr>
  </w:style>
  <w:style w:type="character" w:customStyle="1" w:styleId="259">
    <w:name w:val="标题 Char1"/>
    <w:basedOn w:val="50"/>
    <w:qFormat/>
    <w:uiPriority w:val="0"/>
    <w:rPr>
      <w:rFonts w:asciiTheme="majorHAnsi" w:hAnsiTheme="majorHAnsi" w:cstheme="majorBidi"/>
      <w:b/>
      <w:bCs/>
      <w:kern w:val="2"/>
      <w:sz w:val="32"/>
      <w:szCs w:val="32"/>
    </w:rPr>
  </w:style>
  <w:style w:type="character" w:customStyle="1" w:styleId="260">
    <w:name w:val="3级标题 Char"/>
    <w:link w:val="261"/>
    <w:qFormat/>
    <w:locked/>
    <w:uiPriority w:val="0"/>
    <w:rPr>
      <w:rFonts w:ascii="楷体_GB2312" w:eastAsia="楷体_GB2312"/>
      <w:b/>
      <w:kern w:val="2"/>
      <w:sz w:val="24"/>
      <w:szCs w:val="24"/>
    </w:rPr>
  </w:style>
  <w:style w:type="paragraph" w:customStyle="1" w:styleId="261">
    <w:name w:val="3级标题"/>
    <w:basedOn w:val="1"/>
    <w:link w:val="260"/>
    <w:qFormat/>
    <w:uiPriority w:val="0"/>
    <w:pPr>
      <w:spacing w:line="360" w:lineRule="auto"/>
      <w:outlineLvl w:val="2"/>
    </w:pPr>
    <w:rPr>
      <w:rFonts w:ascii="楷体_GB2312" w:eastAsia="楷体_GB2312"/>
      <w:b/>
      <w:sz w:val="24"/>
    </w:rPr>
  </w:style>
  <w:style w:type="paragraph" w:customStyle="1" w:styleId="262">
    <w:name w:val="样式 样式 标题 3 + 楷体_GB2312 小四 段前: 7.8 磅 段后: 7.8 磅 行距: 固定值 25 磅 + 段前:..."/>
    <w:basedOn w:val="1"/>
    <w:qFormat/>
    <w:uiPriority w:val="99"/>
    <w:pPr>
      <w:keepNext/>
      <w:keepLines/>
      <w:adjustRightInd w:val="0"/>
      <w:snapToGrid w:val="0"/>
      <w:spacing w:before="156" w:after="156" w:line="360" w:lineRule="auto"/>
      <w:outlineLvl w:val="2"/>
    </w:pPr>
    <w:rPr>
      <w:rFonts w:cs="宋体"/>
      <w:b/>
      <w:bCs/>
      <w:sz w:val="24"/>
      <w:szCs w:val="20"/>
    </w:rPr>
  </w:style>
  <w:style w:type="character" w:customStyle="1" w:styleId="263">
    <w:name w:val="正文（环评） Char Char"/>
    <w:link w:val="264"/>
    <w:qFormat/>
    <w:locked/>
    <w:uiPriority w:val="0"/>
    <w:rPr>
      <w:spacing w:val="6"/>
      <w:kern w:val="2"/>
      <w:sz w:val="24"/>
      <w:szCs w:val="24"/>
    </w:rPr>
  </w:style>
  <w:style w:type="paragraph" w:customStyle="1" w:styleId="264">
    <w:name w:val="正文（环评）"/>
    <w:basedOn w:val="1"/>
    <w:link w:val="263"/>
    <w:qFormat/>
    <w:uiPriority w:val="0"/>
    <w:pPr>
      <w:spacing w:line="360" w:lineRule="auto"/>
      <w:ind w:firstLine="200" w:firstLineChars="200"/>
      <w:jc w:val="left"/>
    </w:pPr>
    <w:rPr>
      <w:spacing w:val="6"/>
      <w:sz w:val="24"/>
    </w:rPr>
  </w:style>
  <w:style w:type="character" w:customStyle="1" w:styleId="265">
    <w:name w:val="正文文本缩进 3 Char1"/>
    <w:basedOn w:val="50"/>
    <w:semiHidden/>
    <w:qFormat/>
    <w:uiPriority w:val="0"/>
    <w:rPr>
      <w:kern w:val="2"/>
      <w:sz w:val="16"/>
      <w:szCs w:val="16"/>
    </w:rPr>
  </w:style>
  <w:style w:type="character" w:customStyle="1" w:styleId="266">
    <w:name w:val="页脚 Char1"/>
    <w:basedOn w:val="50"/>
    <w:semiHidden/>
    <w:qFormat/>
    <w:uiPriority w:val="99"/>
    <w:rPr>
      <w:kern w:val="2"/>
      <w:sz w:val="18"/>
      <w:szCs w:val="18"/>
    </w:rPr>
  </w:style>
  <w:style w:type="character" w:customStyle="1" w:styleId="267">
    <w:name w:val="正文文本 2 Char1"/>
    <w:basedOn w:val="50"/>
    <w:semiHidden/>
    <w:qFormat/>
    <w:uiPriority w:val="0"/>
    <w:rPr>
      <w:kern w:val="2"/>
      <w:sz w:val="21"/>
      <w:szCs w:val="24"/>
    </w:rPr>
  </w:style>
  <w:style w:type="character" w:customStyle="1" w:styleId="268">
    <w:name w:val="正文文本缩进 Char1"/>
    <w:basedOn w:val="50"/>
    <w:semiHidden/>
    <w:qFormat/>
    <w:uiPriority w:val="0"/>
    <w:rPr>
      <w:kern w:val="2"/>
      <w:sz w:val="21"/>
      <w:szCs w:val="24"/>
    </w:rPr>
  </w:style>
  <w:style w:type="character" w:customStyle="1" w:styleId="269">
    <w:name w:val="批注框文本 Char1"/>
    <w:basedOn w:val="50"/>
    <w:semiHidden/>
    <w:qFormat/>
    <w:uiPriority w:val="0"/>
    <w:rPr>
      <w:kern w:val="2"/>
      <w:sz w:val="18"/>
      <w:szCs w:val="18"/>
    </w:rPr>
  </w:style>
  <w:style w:type="character" w:customStyle="1" w:styleId="270">
    <w:name w:val="批注主题 Char1"/>
    <w:basedOn w:val="256"/>
    <w:semiHidden/>
    <w:qFormat/>
    <w:uiPriority w:val="0"/>
    <w:rPr>
      <w:b/>
      <w:bCs/>
      <w:kern w:val="2"/>
      <w:sz w:val="21"/>
      <w:szCs w:val="24"/>
    </w:rPr>
  </w:style>
  <w:style w:type="character" w:customStyle="1" w:styleId="271">
    <w:name w:val="页码3"/>
    <w:basedOn w:val="50"/>
    <w:qFormat/>
    <w:uiPriority w:val="0"/>
  </w:style>
  <w:style w:type="character" w:customStyle="1" w:styleId="272">
    <w:name w:val="表格内容 Char"/>
    <w:basedOn w:val="50"/>
    <w:link w:val="273"/>
    <w:qFormat/>
    <w:locked/>
    <w:uiPriority w:val="0"/>
    <w:rPr>
      <w:sz w:val="21"/>
      <w:szCs w:val="21"/>
    </w:rPr>
  </w:style>
  <w:style w:type="paragraph" w:customStyle="1" w:styleId="273">
    <w:name w:val="表格内容"/>
    <w:basedOn w:val="1"/>
    <w:link w:val="272"/>
    <w:qFormat/>
    <w:uiPriority w:val="0"/>
    <w:pPr>
      <w:spacing w:line="240" w:lineRule="exact"/>
    </w:pPr>
    <w:rPr>
      <w:kern w:val="0"/>
      <w:szCs w:val="21"/>
    </w:rPr>
  </w:style>
  <w:style w:type="character" w:customStyle="1" w:styleId="274">
    <w:name w:val="表内格式 Char1"/>
    <w:link w:val="275"/>
    <w:qFormat/>
    <w:uiPriority w:val="0"/>
    <w:rPr>
      <w:kern w:val="2"/>
      <w:sz w:val="18"/>
    </w:rPr>
  </w:style>
  <w:style w:type="paragraph" w:customStyle="1" w:styleId="275">
    <w:name w:val="表内格式"/>
    <w:basedOn w:val="1"/>
    <w:link w:val="274"/>
    <w:qFormat/>
    <w:uiPriority w:val="0"/>
    <w:pPr>
      <w:jc w:val="center"/>
    </w:pPr>
    <w:rPr>
      <w:sz w:val="18"/>
      <w:szCs w:val="20"/>
    </w:rPr>
  </w:style>
  <w:style w:type="character" w:customStyle="1" w:styleId="276">
    <w:name w:val="正文首行缩进 2 Char"/>
    <w:basedOn w:val="77"/>
    <w:link w:val="2"/>
    <w:qFormat/>
    <w:uiPriority w:val="99"/>
    <w:rPr>
      <w:kern w:val="2"/>
      <w:sz w:val="21"/>
    </w:rPr>
  </w:style>
  <w:style w:type="paragraph" w:customStyle="1" w:styleId="277">
    <w:name w:val="Table Paragraph"/>
    <w:basedOn w:val="1"/>
    <w:qFormat/>
    <w:uiPriority w:val="1"/>
    <w:pPr>
      <w:widowControl/>
      <w:jc w:val="left"/>
    </w:pPr>
    <w:rPr>
      <w:rFonts w:ascii="宋体" w:hAnsi="宋体" w:cs="宋体"/>
      <w:kern w:val="0"/>
      <w:sz w:val="20"/>
      <w:szCs w:val="20"/>
      <w:lang w:val="zh-CN" w:bidi="zh-CN"/>
    </w:rPr>
  </w:style>
  <w:style w:type="paragraph" w:customStyle="1" w:styleId="278">
    <w:name w:val="Default"/>
    <w:qFormat/>
    <w:uiPriority w:val="0"/>
    <w:pPr>
      <w:widowControl w:val="0"/>
      <w:autoSpaceDE w:val="0"/>
      <w:autoSpaceDN w:val="0"/>
      <w:adjustRightInd w:val="0"/>
      <w:spacing w:line="520" w:lineRule="exact"/>
      <w:ind w:firstLine="880" w:firstLineChars="200"/>
    </w:pPr>
    <w:rPr>
      <w:rFonts w:ascii="宋体" w:hAnsi="宋体" w:eastAsia="宋体" w:cs="宋体"/>
      <w:color w:val="000000"/>
      <w:sz w:val="24"/>
      <w:szCs w:val="24"/>
      <w:lang w:val="en-US" w:eastAsia="zh-CN" w:bidi="ar-SA"/>
    </w:rPr>
  </w:style>
  <w:style w:type="paragraph" w:customStyle="1" w:styleId="279">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80">
    <w:name w:val="样式 表头文字 + 段前: 1 行"/>
    <w:basedOn w:val="1"/>
    <w:qFormat/>
    <w:uiPriority w:val="0"/>
    <w:pPr>
      <w:spacing w:line="240" w:lineRule="auto"/>
      <w:ind w:firstLine="0" w:firstLineChars="0"/>
      <w:jc w:val="center"/>
    </w:pPr>
    <w:rPr>
      <w:rFonts w:ascii="Times New Roman" w:hAnsi="Times New Roman" w:cs="宋体"/>
      <w:sz w:val="21"/>
      <w:szCs w:val="20"/>
    </w:rPr>
  </w:style>
  <w:style w:type="paragraph" w:customStyle="1" w:styleId="281">
    <w:name w:val="6表头"/>
    <w:next w:val="282"/>
    <w:qFormat/>
    <w:uiPriority w:val="0"/>
    <w:pPr>
      <w:widowControl w:val="0"/>
      <w:spacing w:line="520" w:lineRule="exact"/>
      <w:ind w:firstLine="200" w:firstLineChars="200"/>
    </w:pPr>
    <w:rPr>
      <w:rFonts w:ascii="Times New Roman" w:hAnsi="Times New Roman" w:eastAsia="黑体" w:cs="Times New Roman"/>
      <w:kern w:val="2"/>
      <w:sz w:val="24"/>
      <w:lang w:val="en-US" w:eastAsia="zh-CN" w:bidi="ar-SA"/>
    </w:rPr>
  </w:style>
  <w:style w:type="paragraph" w:customStyle="1" w:styleId="282">
    <w:name w:val="5正文"/>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hyperlink" Target="http://www.biaozhi.net/eNews/news/200602/0030_0000002014.shtml" TargetMode="External"/><Relationship Id="rId33" Type="http://schemas.openxmlformats.org/officeDocument/2006/relationships/image" Target="media/image24.jpeg"/><Relationship Id="rId32" Type="http://schemas.openxmlformats.org/officeDocument/2006/relationships/hyperlink" Target="http://www.biaozhi.net/eNews/news/200602/0029_0000000909.shtml" TargetMode="External"/><Relationship Id="rId31" Type="http://schemas.openxmlformats.org/officeDocument/2006/relationships/image" Target="media/image23.jpeg"/><Relationship Id="rId30" Type="http://schemas.openxmlformats.org/officeDocument/2006/relationships/hyperlink" Target="http://www.biaozhi.net/eNews/news/200602/0029_0000000907.shtml" TargetMode="Externa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wmf"/><Relationship Id="rId26" Type="http://schemas.openxmlformats.org/officeDocument/2006/relationships/oleObject" Target="embeddings/oleObject1.bin"/><Relationship Id="rId25" Type="http://schemas.openxmlformats.org/officeDocument/2006/relationships/image" Target="media/image19.png"/><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pn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12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078"/>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31"/>
    <customShpInfo spid="_x0000_s2141"/>
    <customShpInfo spid="_x0000_s2142"/>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3"/>
    <customShpInfo spid="_x0000_s4464"/>
    <customShpInfo spid="_x0000_s4465"/>
    <customShpInfo spid="_x0000_s4466"/>
    <customShpInfo spid="_x0000_s4467"/>
    <customShpInfo spid="_x0000_s4468"/>
    <customShpInfo spid="_x0000_s4469"/>
    <customShpInfo spid="_x0000_s4470"/>
    <customShpInfo spid="_x0000_s4471"/>
    <customShpInfo spid="_x0000_s4472"/>
    <customShpInfo spid="_x0000_s4473"/>
    <customShpInfo spid="_x0000_s4474"/>
    <customShpInfo spid="_x0000_s4475"/>
    <customShpInfo spid="_x0000_s4476"/>
    <customShpInfo spid="_x0000_s4477"/>
    <customShpInfo spid="_x0000_s4478"/>
    <customShpInfo spid="_x0000_s4479"/>
    <customShpInfo spid="_x0000_s4480"/>
    <customShpInfo spid="_x0000_s4481"/>
    <customShpInfo spid="_x0000_s4482"/>
    <customShpInfo spid="_x0000_s4483"/>
    <customShpInfo spid="_x0000_s4491"/>
    <customShpInfo spid="_x0000_s4492"/>
    <customShpInfo spid="_x0000_s4493"/>
    <customShpInfo spid="_x0000_s4494"/>
    <customShpInfo spid="_x0000_s4495"/>
    <customShpInfo spid="_x0000_s2143"/>
    <customShpInfo spid="_x0000_s4497"/>
    <customShpInfo spid="_x0000_s4498"/>
    <customShpInfo spid="_x0000_s4499"/>
    <customShpInfo spid="_x0000_s4500"/>
    <customShpInfo spid="_x0000_s4501"/>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5"/>
    <customShpInfo spid="_x0000_s4536"/>
    <customShpInfo spid="_x0000_s4537"/>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62"/>
    <customShpInfo spid="_x0000_s4563"/>
    <customShpInfo spid="_x0000_s4564"/>
    <customShpInfo spid="_x0000_s4565"/>
    <customShpInfo spid="_x0000_s4566"/>
    <customShpInfo spid="_x0000_s4496"/>
    <customShpInfo spid="_x0000_s4567"/>
    <customShpInfo spid="_x0000_s4568"/>
    <customShpInfo spid="_x0000_s4569"/>
    <customShpInfo spid="_x0000_s4570"/>
    <customShpInfo spid="_x0000_s4571"/>
    <customShpInfo spid="_x0000_s4572"/>
    <customShpInfo spid="_x0000_s45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E24706-EC6F-467F-A7C6-62950013BC08}">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209</Pages>
  <Words>21849</Words>
  <Characters>124544</Characters>
  <Lines>1037</Lines>
  <Paragraphs>292</Paragraphs>
  <TotalTime>0</TotalTime>
  <ScaleCrop>false</ScaleCrop>
  <LinksUpToDate>false</LinksUpToDate>
  <CharactersWithSpaces>146101</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2019-08-20T03:42:00Z</dcterms:created>
  <dc:creator>zhaoxinlei</dc:creator>
  <cp:lastModifiedBy>pizza Q</cp:lastModifiedBy>
  <cp:lastPrinted>2019-10-10T03:44:00Z</cp:lastPrinted>
  <dcterms:modified xsi:type="dcterms:W3CDTF">2020-05-15T02:09:01Z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