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21"/>
        <w:jc w:val="center"/>
        <w:rPr>
          <w:rFonts w:ascii="Times New Roman" w:hAnsi="Times New Roman" w:eastAsia="华文新魏"/>
          <w:b/>
          <w:spacing w:val="-5"/>
          <w:sz w:val="52"/>
          <w:szCs w:val="52"/>
          <w:highlight w:val="none"/>
        </w:rPr>
      </w:pPr>
      <w:r>
        <w:rPr>
          <w:rFonts w:hint="eastAsia" w:ascii="Times New Roman" w:hAnsi="Times New Roman" w:eastAsia="华文新魏"/>
          <w:b/>
          <w:spacing w:val="-5"/>
          <w:sz w:val="52"/>
          <w:szCs w:val="52"/>
          <w:highlight w:val="none"/>
        </w:rPr>
        <w:t>正阳牧原农牧有限公司</w:t>
      </w:r>
    </w:p>
    <w:p>
      <w:pPr>
        <w:ind w:firstLine="1021"/>
        <w:jc w:val="center"/>
        <w:rPr>
          <w:rFonts w:ascii="Times New Roman" w:hAnsi="Times New Roman" w:eastAsia="华文新魏"/>
          <w:b/>
          <w:spacing w:val="-5"/>
          <w:sz w:val="52"/>
          <w:szCs w:val="52"/>
          <w:highlight w:val="none"/>
        </w:rPr>
      </w:pPr>
      <w:r>
        <w:rPr>
          <w:rFonts w:hint="eastAsia" w:ascii="Times New Roman" w:hAnsi="Times New Roman" w:eastAsia="华文新魏"/>
          <w:b/>
          <w:spacing w:val="-5"/>
          <w:sz w:val="52"/>
          <w:szCs w:val="52"/>
          <w:highlight w:val="none"/>
        </w:rPr>
        <w:t>八场生猪养殖项目</w:t>
      </w:r>
    </w:p>
    <w:p>
      <w:pPr>
        <w:ind w:firstLine="1440"/>
        <w:jc w:val="center"/>
        <w:rPr>
          <w:rFonts w:ascii="华文行楷" w:hAnsi="Times New Roman" w:eastAsia="华文行楷"/>
          <w:sz w:val="72"/>
          <w:szCs w:val="72"/>
          <w:highlight w:val="none"/>
        </w:rPr>
      </w:pPr>
      <w:r>
        <w:rPr>
          <w:rFonts w:ascii="华文行楷" w:hAnsi="Times New Roman" w:eastAsia="华文行楷"/>
          <w:sz w:val="72"/>
          <w:szCs w:val="72"/>
          <w:highlight w:val="none"/>
        </w:rPr>
        <w:t>环境影响报告书</w:t>
      </w:r>
    </w:p>
    <w:p>
      <w:pPr>
        <w:keepNext w:val="0"/>
        <w:keepLines w:val="0"/>
        <w:pageBreakBefore w:val="0"/>
        <w:widowControl/>
        <w:kinsoku/>
        <w:wordWrap/>
        <w:overflowPunct/>
        <w:topLinePunct w:val="0"/>
        <w:autoSpaceDE/>
        <w:autoSpaceDN/>
        <w:bidi w:val="0"/>
        <w:adjustRightInd/>
        <w:snapToGrid/>
        <w:ind w:firstLine="643"/>
        <w:jc w:val="center"/>
        <w:textAlignment w:val="auto"/>
        <w:outlineLvl w:val="9"/>
        <w:rPr>
          <w:rFonts w:ascii="Times New Roman" w:hAnsi="Times New Roman" w:eastAsia="黑体"/>
          <w:b/>
          <w:bCs/>
          <w:sz w:val="32"/>
          <w:szCs w:val="32"/>
          <w:highlight w:val="none"/>
        </w:rPr>
      </w:pPr>
      <w:r>
        <w:rPr>
          <w:rFonts w:ascii="Times New Roman" w:hAnsi="Times New Roman" w:eastAsia="黑体"/>
          <w:b/>
          <w:bCs/>
          <w:sz w:val="32"/>
          <w:szCs w:val="32"/>
          <w:highlight w:val="none"/>
        </w:rPr>
        <w:t>（</w:t>
      </w:r>
      <w:r>
        <w:rPr>
          <w:rFonts w:hint="eastAsia" w:ascii="Times New Roman" w:hAnsi="Times New Roman" w:eastAsia="黑体"/>
          <w:b/>
          <w:bCs/>
          <w:sz w:val="32"/>
          <w:szCs w:val="32"/>
          <w:highlight w:val="none"/>
        </w:rPr>
        <w:t>报批版</w:t>
      </w:r>
      <w:r>
        <w:rPr>
          <w:rFonts w:ascii="Times New Roman" w:hAnsi="Times New Roman" w:eastAsia="黑体"/>
          <w:b/>
          <w:bCs/>
          <w:sz w:val="32"/>
          <w:szCs w:val="32"/>
          <w:highlight w:val="none"/>
        </w:rPr>
        <w:t>）</w:t>
      </w: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640"/>
        <w:jc w:val="center"/>
        <w:rPr>
          <w:rFonts w:ascii="Times New Roman" w:hAnsi="Times New Roman" w:eastAsia="黑体"/>
          <w:sz w:val="32"/>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jc w:val="center"/>
        <w:rPr>
          <w:rFonts w:ascii="Times New Roman" w:hAnsi="Times New Roman" w:eastAsia="黑体"/>
          <w:szCs w:val="21"/>
          <w:highlight w:val="none"/>
        </w:rPr>
      </w:pPr>
    </w:p>
    <w:p>
      <w:pPr>
        <w:ind w:firstLine="480"/>
        <w:rPr>
          <w:rFonts w:ascii="Times New Roman" w:hAnsi="Times New Roman" w:eastAsia="黑体"/>
          <w:szCs w:val="21"/>
          <w:highlight w:val="none"/>
        </w:rPr>
      </w:pPr>
    </w:p>
    <w:p>
      <w:pPr>
        <w:spacing w:line="480" w:lineRule="auto"/>
        <w:ind w:firstLine="846" w:firstLineChars="245"/>
        <w:rPr>
          <w:rFonts w:ascii="Times New Roman" w:hAnsi="宋体"/>
          <w:b/>
          <w:bCs/>
          <w:spacing w:val="12"/>
          <w:sz w:val="32"/>
          <w:highlight w:val="none"/>
        </w:rPr>
      </w:pPr>
      <w:r>
        <w:rPr>
          <w:rFonts w:hint="eastAsia" w:ascii="Times New Roman" w:hAnsi="宋体"/>
          <w:b/>
          <w:bCs/>
          <w:spacing w:val="12"/>
          <w:sz w:val="32"/>
          <w:highlight w:val="none"/>
        </w:rPr>
        <w:t>建设单位：正阳牧原农牧有限公司</w:t>
      </w:r>
    </w:p>
    <w:p>
      <w:pPr>
        <w:spacing w:line="480" w:lineRule="auto"/>
        <w:ind w:firstLine="846" w:firstLineChars="245"/>
        <w:rPr>
          <w:rFonts w:ascii="Times New Roman" w:hAnsi="宋体"/>
          <w:b/>
          <w:spacing w:val="20"/>
          <w:sz w:val="32"/>
          <w:szCs w:val="32"/>
          <w:highlight w:val="none"/>
        </w:rPr>
      </w:pPr>
      <w:r>
        <w:rPr>
          <w:rFonts w:hint="eastAsia" w:ascii="Times New Roman" w:hAnsi="宋体"/>
          <w:b/>
          <w:bCs/>
          <w:spacing w:val="12"/>
          <w:sz w:val="32"/>
          <w:highlight w:val="none"/>
        </w:rPr>
        <w:t>编制单位：济源蓝天科技有限责任公司</w:t>
      </w:r>
    </w:p>
    <w:p>
      <w:pPr>
        <w:spacing w:after="156" w:line="720" w:lineRule="auto"/>
        <w:ind w:firstLine="650"/>
        <w:jc w:val="center"/>
        <w:rPr>
          <w:rFonts w:ascii="Times New Roman" w:hAnsi="宋体"/>
          <w:b/>
          <w:bCs/>
          <w:spacing w:val="12"/>
          <w:sz w:val="30"/>
          <w:szCs w:val="30"/>
          <w:highlight w:val="none"/>
        </w:rPr>
      </w:pPr>
      <w:r>
        <w:rPr>
          <w:rFonts w:ascii="Times New Roman" w:hAnsi="宋体"/>
          <w:b/>
          <w:bCs/>
          <w:spacing w:val="12"/>
          <w:sz w:val="30"/>
          <w:szCs w:val="30"/>
          <w:highlight w:val="none"/>
        </w:rPr>
        <w:t>二</w:t>
      </w:r>
      <w:r>
        <w:rPr>
          <w:rFonts w:hint="eastAsia" w:ascii="Times New Roman" w:hAnsi="Times New Roman"/>
          <w:b/>
          <w:bCs/>
          <w:spacing w:val="12"/>
          <w:sz w:val="30"/>
          <w:szCs w:val="30"/>
          <w:highlight w:val="none"/>
        </w:rPr>
        <w:t>○</w:t>
      </w:r>
      <w:r>
        <w:rPr>
          <w:rFonts w:ascii="Times New Roman" w:hAnsi="宋体"/>
          <w:b/>
          <w:bCs/>
          <w:spacing w:val="12"/>
          <w:sz w:val="30"/>
          <w:szCs w:val="30"/>
          <w:highlight w:val="none"/>
        </w:rPr>
        <w:t>二</w:t>
      </w:r>
      <w:r>
        <w:rPr>
          <w:rFonts w:hint="eastAsia" w:ascii="Times New Roman" w:hAnsi="Times New Roman"/>
          <w:b/>
          <w:bCs/>
          <w:spacing w:val="12"/>
          <w:sz w:val="30"/>
          <w:szCs w:val="30"/>
          <w:highlight w:val="none"/>
        </w:rPr>
        <w:t>○</w:t>
      </w:r>
      <w:r>
        <w:rPr>
          <w:rFonts w:ascii="Times New Roman" w:hAnsi="宋体"/>
          <w:b/>
          <w:bCs/>
          <w:spacing w:val="12"/>
          <w:sz w:val="30"/>
          <w:szCs w:val="30"/>
          <w:highlight w:val="none"/>
        </w:rPr>
        <w:t>年</w:t>
      </w:r>
      <w:r>
        <w:rPr>
          <w:rFonts w:hint="eastAsia" w:ascii="Times New Roman" w:hAnsi="宋体"/>
          <w:b/>
          <w:bCs/>
          <w:spacing w:val="12"/>
          <w:sz w:val="30"/>
          <w:szCs w:val="30"/>
          <w:highlight w:val="none"/>
        </w:rPr>
        <w:t>六月</w:t>
      </w:r>
    </w:p>
    <w:p>
      <w:pPr>
        <w:spacing w:line="360" w:lineRule="auto"/>
        <w:ind w:firstLine="562" w:firstLineChars="200"/>
        <w:jc w:val="center"/>
        <w:rPr>
          <w:rFonts w:ascii="Times New Roman" w:hAnsi="Times New Roman" w:eastAsia="宋体" w:cs="Times New Roman"/>
          <w:b/>
          <w:kern w:val="2"/>
          <w:sz w:val="28"/>
          <w:szCs w:val="24"/>
          <w:highlight w:val="none"/>
          <w:lang w:val="en-US" w:eastAsia="zh-CN" w:bidi="ar-SA"/>
        </w:rPr>
      </w:pPr>
    </w:p>
    <w:p>
      <w:pPr>
        <w:pStyle w:val="39"/>
        <w:spacing w:line="360" w:lineRule="auto"/>
        <w:ind w:firstLine="562"/>
        <w:rPr>
          <w:rFonts w:cs="Times New Roman"/>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9"/>
        <w:spacing w:line="360" w:lineRule="auto"/>
        <w:ind w:firstLine="562"/>
        <w:rPr>
          <w:rFonts w:cs="Times New Roman"/>
          <w:highlight w:val="none"/>
        </w:rPr>
      </w:pPr>
      <w:r>
        <w:rPr>
          <w:rFonts w:cs="Times New Roman"/>
          <w:highlight w:val="none"/>
        </w:rPr>
        <w:t>目录</w:t>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TOC \o "1-2" \h \u </w:instrText>
      </w:r>
      <w:r>
        <w:rPr>
          <w:rFonts w:cs="Times New Roman"/>
          <w:highlight w:val="none"/>
        </w:rPr>
        <w:fldChar w:fldCharType="separate"/>
      </w:r>
      <w:r>
        <w:rPr>
          <w:rFonts w:cs="Times New Roman"/>
          <w:highlight w:val="none"/>
        </w:rPr>
        <w:fldChar w:fldCharType="begin"/>
      </w:r>
      <w:r>
        <w:rPr>
          <w:rFonts w:cs="Times New Roman"/>
          <w:highlight w:val="none"/>
        </w:rPr>
        <w:instrText xml:space="preserve"> HYPERLINK \l _Toc7373 </w:instrText>
      </w:r>
      <w:r>
        <w:rPr>
          <w:rFonts w:cs="Times New Roman"/>
          <w:highlight w:val="none"/>
        </w:rPr>
        <w:fldChar w:fldCharType="separate"/>
      </w:r>
      <w:r>
        <w:rPr>
          <w:rFonts w:cs="Times New Roman"/>
          <w:highlight w:val="none"/>
        </w:rPr>
        <w:t>概述</w:t>
      </w:r>
      <w:r>
        <w:rPr>
          <w:highlight w:val="none"/>
        </w:rPr>
        <w:tab/>
      </w:r>
      <w:r>
        <w:rPr>
          <w:highlight w:val="none"/>
        </w:rPr>
        <w:fldChar w:fldCharType="begin"/>
      </w:r>
      <w:r>
        <w:rPr>
          <w:highlight w:val="none"/>
        </w:rPr>
        <w:instrText xml:space="preserve"> PAGEREF _Toc7373 </w:instrText>
      </w:r>
      <w:r>
        <w:rPr>
          <w:highlight w:val="none"/>
        </w:rPr>
        <w:fldChar w:fldCharType="separate"/>
      </w:r>
      <w:r>
        <w:rPr>
          <w:highlight w:val="none"/>
        </w:rPr>
        <w:t>1</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_Toc23285 </w:instrText>
      </w:r>
      <w:r>
        <w:rPr>
          <w:rFonts w:cs="Times New Roman"/>
          <w:highlight w:val="none"/>
        </w:rPr>
        <w:fldChar w:fldCharType="separate"/>
      </w:r>
      <w:r>
        <w:rPr>
          <w:rFonts w:cs="Times New Roman"/>
          <w:highlight w:val="none"/>
        </w:rPr>
        <w:t>1总则</w:t>
      </w:r>
      <w:r>
        <w:rPr>
          <w:highlight w:val="none"/>
        </w:rPr>
        <w:tab/>
      </w:r>
      <w:r>
        <w:rPr>
          <w:highlight w:val="none"/>
        </w:rPr>
        <w:fldChar w:fldCharType="begin"/>
      </w:r>
      <w:r>
        <w:rPr>
          <w:highlight w:val="none"/>
        </w:rPr>
        <w:instrText xml:space="preserve"> PAGEREF _Toc23285 </w:instrText>
      </w:r>
      <w:r>
        <w:rPr>
          <w:highlight w:val="none"/>
        </w:rPr>
        <w:fldChar w:fldCharType="separate"/>
      </w:r>
      <w:r>
        <w:rPr>
          <w:highlight w:val="none"/>
        </w:rPr>
        <w:t>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_Toc8996 </w:instrText>
      </w:r>
      <w:r>
        <w:rPr>
          <w:rFonts w:cs="Times New Roman"/>
          <w:highlight w:val="none"/>
        </w:rPr>
        <w:fldChar w:fldCharType="separate"/>
      </w:r>
      <w:r>
        <w:rPr>
          <w:rFonts w:cs="Times New Roman"/>
          <w:highlight w:val="none"/>
        </w:rPr>
        <w:t>1.1评价目的及评价原则</w:t>
      </w:r>
      <w:r>
        <w:rPr>
          <w:highlight w:val="none"/>
        </w:rPr>
        <w:tab/>
      </w:r>
      <w:r>
        <w:rPr>
          <w:highlight w:val="none"/>
        </w:rPr>
        <w:fldChar w:fldCharType="begin"/>
      </w:r>
      <w:r>
        <w:rPr>
          <w:highlight w:val="none"/>
        </w:rPr>
        <w:instrText xml:space="preserve"> PAGEREF _Toc8996 </w:instrText>
      </w:r>
      <w:r>
        <w:rPr>
          <w:highlight w:val="none"/>
        </w:rPr>
        <w:fldChar w:fldCharType="separate"/>
      </w:r>
      <w:r>
        <w:rPr>
          <w:highlight w:val="none"/>
        </w:rPr>
        <w:t>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_Toc18574 </w:instrText>
      </w:r>
      <w:r>
        <w:rPr>
          <w:rFonts w:cs="Times New Roman"/>
          <w:highlight w:val="none"/>
        </w:rPr>
        <w:fldChar w:fldCharType="separate"/>
      </w:r>
      <w:r>
        <w:rPr>
          <w:rFonts w:cs="Times New Roman"/>
          <w:highlight w:val="none"/>
        </w:rPr>
        <w:t>1.2编制依据</w:t>
      </w:r>
      <w:r>
        <w:rPr>
          <w:highlight w:val="none"/>
        </w:rPr>
        <w:tab/>
      </w:r>
      <w:r>
        <w:rPr>
          <w:highlight w:val="none"/>
        </w:rPr>
        <w:fldChar w:fldCharType="begin"/>
      </w:r>
      <w:r>
        <w:rPr>
          <w:highlight w:val="none"/>
        </w:rPr>
        <w:instrText xml:space="preserve"> PAGEREF _Toc18574 </w:instrText>
      </w:r>
      <w:r>
        <w:rPr>
          <w:highlight w:val="none"/>
        </w:rPr>
        <w:fldChar w:fldCharType="separate"/>
      </w:r>
      <w:r>
        <w:rPr>
          <w:highlight w:val="none"/>
        </w:rPr>
        <w:t>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_Toc3230 </w:instrText>
      </w:r>
      <w:r>
        <w:rPr>
          <w:rFonts w:cs="Times New Roman"/>
          <w:highlight w:val="none"/>
        </w:rPr>
        <w:fldChar w:fldCharType="separate"/>
      </w:r>
      <w:r>
        <w:rPr>
          <w:rFonts w:cs="Times New Roman"/>
          <w:highlight w:val="none"/>
        </w:rPr>
        <w:t>1.3评价时段</w:t>
      </w:r>
      <w:r>
        <w:rPr>
          <w:highlight w:val="none"/>
        </w:rPr>
        <w:tab/>
      </w:r>
      <w:r>
        <w:rPr>
          <w:highlight w:val="none"/>
        </w:rPr>
        <w:fldChar w:fldCharType="begin"/>
      </w:r>
      <w:r>
        <w:rPr>
          <w:highlight w:val="none"/>
        </w:rPr>
        <w:instrText xml:space="preserve"> PAGEREF _Toc3230 </w:instrText>
      </w:r>
      <w:r>
        <w:rPr>
          <w:highlight w:val="none"/>
        </w:rPr>
        <w:fldChar w:fldCharType="separate"/>
      </w:r>
      <w:r>
        <w:rPr>
          <w:highlight w:val="none"/>
        </w:rPr>
        <w:t>11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_Toc22770 </w:instrText>
      </w:r>
      <w:r>
        <w:rPr>
          <w:rFonts w:cs="Times New Roman"/>
          <w:highlight w:val="none"/>
        </w:rPr>
        <w:fldChar w:fldCharType="separate"/>
      </w:r>
      <w:r>
        <w:rPr>
          <w:highlight w:val="none"/>
        </w:rPr>
        <w:t>1.4评价因子及识别</w:t>
      </w:r>
      <w:r>
        <w:rPr>
          <w:highlight w:val="none"/>
        </w:rPr>
        <w:tab/>
      </w:r>
      <w:r>
        <w:rPr>
          <w:highlight w:val="none"/>
        </w:rPr>
        <w:fldChar w:fldCharType="begin"/>
      </w:r>
      <w:r>
        <w:rPr>
          <w:highlight w:val="none"/>
        </w:rPr>
        <w:instrText xml:space="preserve"> PAGEREF _Toc22770 </w:instrText>
      </w:r>
      <w:r>
        <w:rPr>
          <w:highlight w:val="none"/>
        </w:rPr>
        <w:fldChar w:fldCharType="separate"/>
      </w:r>
      <w:r>
        <w:rPr>
          <w:highlight w:val="none"/>
        </w:rPr>
        <w:t>11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_Toc18970 </w:instrText>
      </w:r>
      <w:r>
        <w:rPr>
          <w:rFonts w:cs="Times New Roman"/>
          <w:highlight w:val="none"/>
        </w:rPr>
        <w:fldChar w:fldCharType="separate"/>
      </w:r>
      <w:r>
        <w:rPr>
          <w:rFonts w:cs="Times New Roman"/>
          <w:highlight w:val="none"/>
        </w:rPr>
        <w:t>1.5评价重点</w:t>
      </w:r>
      <w:r>
        <w:rPr>
          <w:highlight w:val="none"/>
        </w:rPr>
        <w:tab/>
      </w:r>
      <w:r>
        <w:rPr>
          <w:highlight w:val="none"/>
        </w:rPr>
        <w:fldChar w:fldCharType="begin"/>
      </w:r>
      <w:r>
        <w:rPr>
          <w:highlight w:val="none"/>
        </w:rPr>
        <w:instrText xml:space="preserve"> PAGEREF _Toc18970 </w:instrText>
      </w:r>
      <w:r>
        <w:rPr>
          <w:highlight w:val="none"/>
        </w:rPr>
        <w:fldChar w:fldCharType="separate"/>
      </w:r>
      <w:r>
        <w:rPr>
          <w:highlight w:val="none"/>
        </w:rPr>
        <w:t>12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_Toc21800 </w:instrText>
      </w:r>
      <w:r>
        <w:rPr>
          <w:rFonts w:cs="Times New Roman"/>
          <w:highlight w:val="none"/>
        </w:rPr>
        <w:fldChar w:fldCharType="separate"/>
      </w:r>
      <w:r>
        <w:rPr>
          <w:rFonts w:cs="Times New Roman"/>
          <w:highlight w:val="none"/>
        </w:rPr>
        <w:t>1.6评价标准</w:t>
      </w:r>
      <w:r>
        <w:rPr>
          <w:highlight w:val="none"/>
        </w:rPr>
        <w:tab/>
      </w:r>
      <w:r>
        <w:rPr>
          <w:highlight w:val="none"/>
        </w:rPr>
        <w:fldChar w:fldCharType="begin"/>
      </w:r>
      <w:r>
        <w:rPr>
          <w:highlight w:val="none"/>
        </w:rPr>
        <w:instrText xml:space="preserve"> PAGEREF _Toc21800 </w:instrText>
      </w:r>
      <w:r>
        <w:rPr>
          <w:highlight w:val="none"/>
        </w:rPr>
        <w:fldChar w:fldCharType="separate"/>
      </w:r>
      <w:r>
        <w:rPr>
          <w:highlight w:val="none"/>
        </w:rPr>
        <w:t>12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_Toc13726 </w:instrText>
      </w:r>
      <w:r>
        <w:rPr>
          <w:rFonts w:cs="Times New Roman"/>
          <w:highlight w:val="none"/>
        </w:rPr>
        <w:fldChar w:fldCharType="separate"/>
      </w:r>
      <w:r>
        <w:rPr>
          <w:rFonts w:cs="Times New Roman"/>
          <w:highlight w:val="none"/>
        </w:rPr>
        <w:t>1.</w:t>
      </w:r>
      <w:r>
        <w:rPr>
          <w:rFonts w:hint="eastAsia" w:cs="Times New Roman"/>
          <w:highlight w:val="none"/>
        </w:rPr>
        <w:t>7</w:t>
      </w:r>
      <w:r>
        <w:rPr>
          <w:rFonts w:cs="Times New Roman"/>
          <w:highlight w:val="none"/>
        </w:rPr>
        <w:t>评价等级与范围</w:t>
      </w:r>
      <w:r>
        <w:rPr>
          <w:highlight w:val="none"/>
        </w:rPr>
        <w:tab/>
      </w:r>
      <w:r>
        <w:rPr>
          <w:highlight w:val="none"/>
        </w:rPr>
        <w:fldChar w:fldCharType="begin"/>
      </w:r>
      <w:r>
        <w:rPr>
          <w:highlight w:val="none"/>
        </w:rPr>
        <w:instrText xml:space="preserve"> PAGEREF _Toc13726 </w:instrText>
      </w:r>
      <w:r>
        <w:rPr>
          <w:highlight w:val="none"/>
        </w:rPr>
        <w:fldChar w:fldCharType="separate"/>
      </w:r>
      <w:r>
        <w:rPr>
          <w:highlight w:val="none"/>
        </w:rPr>
        <w:t>15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_Toc30670 </w:instrText>
      </w:r>
      <w:r>
        <w:rPr>
          <w:rFonts w:cs="Times New Roman"/>
          <w:highlight w:val="none"/>
        </w:rPr>
        <w:fldChar w:fldCharType="separate"/>
      </w:r>
      <w:r>
        <w:rPr>
          <w:rFonts w:cs="Times New Roman"/>
          <w:highlight w:val="none"/>
        </w:rPr>
        <w:t>1.8环境保护目标</w:t>
      </w:r>
      <w:r>
        <w:rPr>
          <w:highlight w:val="none"/>
        </w:rPr>
        <w:tab/>
      </w:r>
      <w:r>
        <w:rPr>
          <w:highlight w:val="none"/>
        </w:rPr>
        <w:fldChar w:fldCharType="begin"/>
      </w:r>
      <w:r>
        <w:rPr>
          <w:highlight w:val="none"/>
        </w:rPr>
        <w:instrText xml:space="preserve"> PAGEREF _Toc30670 </w:instrText>
      </w:r>
      <w:r>
        <w:rPr>
          <w:highlight w:val="none"/>
        </w:rPr>
        <w:fldChar w:fldCharType="separate"/>
      </w:r>
      <w:r>
        <w:rPr>
          <w:highlight w:val="none"/>
        </w:rPr>
        <w:t>20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_Toc3384 </w:instrText>
      </w:r>
      <w:r>
        <w:rPr>
          <w:rFonts w:cs="Times New Roman"/>
          <w:highlight w:val="none"/>
        </w:rPr>
        <w:fldChar w:fldCharType="separate"/>
      </w:r>
      <w:r>
        <w:rPr>
          <w:rFonts w:cs="Times New Roman"/>
          <w:highlight w:val="none"/>
        </w:rPr>
        <w:t>1.9</w:t>
      </w:r>
      <w:r>
        <w:rPr>
          <w:highlight w:val="none"/>
        </w:rPr>
        <w:t>政策符合性分析</w:t>
      </w:r>
      <w:r>
        <w:rPr>
          <w:highlight w:val="none"/>
        </w:rPr>
        <w:tab/>
      </w:r>
      <w:r>
        <w:rPr>
          <w:highlight w:val="none"/>
        </w:rPr>
        <w:fldChar w:fldCharType="begin"/>
      </w:r>
      <w:r>
        <w:rPr>
          <w:highlight w:val="none"/>
        </w:rPr>
        <w:instrText xml:space="preserve"> PAGEREF _Toc3384 </w:instrText>
      </w:r>
      <w:r>
        <w:rPr>
          <w:highlight w:val="none"/>
        </w:rPr>
        <w:fldChar w:fldCharType="separate"/>
      </w:r>
      <w:r>
        <w:rPr>
          <w:highlight w:val="none"/>
        </w:rPr>
        <w:t>22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_Toc25850 </w:instrText>
      </w:r>
      <w:r>
        <w:rPr>
          <w:rFonts w:cs="Times New Roman"/>
          <w:highlight w:val="none"/>
        </w:rPr>
        <w:fldChar w:fldCharType="separate"/>
      </w:r>
      <w:r>
        <w:rPr>
          <w:rFonts w:hint="eastAsia" w:cs="Times New Roman"/>
          <w:highlight w:val="none"/>
          <w:lang w:val="en-US" w:eastAsia="zh-CN"/>
        </w:rPr>
        <w:t>1.10</w:t>
      </w:r>
      <w:r>
        <w:rPr>
          <w:rFonts w:cs="Times New Roman"/>
          <w:highlight w:val="none"/>
        </w:rPr>
        <w:t>评价工作程序</w:t>
      </w:r>
      <w:r>
        <w:rPr>
          <w:highlight w:val="none"/>
        </w:rPr>
        <w:tab/>
      </w:r>
      <w:r>
        <w:rPr>
          <w:highlight w:val="none"/>
        </w:rPr>
        <w:fldChar w:fldCharType="begin"/>
      </w:r>
      <w:r>
        <w:rPr>
          <w:highlight w:val="none"/>
        </w:rPr>
        <w:instrText xml:space="preserve"> PAGEREF _Toc25850 </w:instrText>
      </w:r>
      <w:r>
        <w:rPr>
          <w:highlight w:val="none"/>
        </w:rPr>
        <w:fldChar w:fldCharType="separate"/>
      </w:r>
      <w:r>
        <w:rPr>
          <w:highlight w:val="none"/>
        </w:rPr>
        <w:t>30</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_Toc20961 </w:instrText>
      </w:r>
      <w:r>
        <w:rPr>
          <w:rFonts w:cs="Times New Roman"/>
          <w:highlight w:val="none"/>
        </w:rPr>
        <w:fldChar w:fldCharType="separate"/>
      </w:r>
      <w:r>
        <w:rPr>
          <w:highlight w:val="none"/>
        </w:rPr>
        <w:t>2</w:t>
      </w:r>
      <w:r>
        <w:rPr>
          <w:rFonts w:hint="eastAsia"/>
          <w:highlight w:val="none"/>
        </w:rPr>
        <w:t>项目概况</w:t>
      </w:r>
      <w:r>
        <w:rPr>
          <w:rFonts w:hint="eastAsia"/>
          <w:highlight w:val="none"/>
          <w:lang w:eastAsia="zh-CN"/>
        </w:rPr>
        <w:t>及工程分析</w:t>
      </w:r>
      <w:r>
        <w:rPr>
          <w:highlight w:val="none"/>
        </w:rPr>
        <w:tab/>
      </w:r>
      <w:r>
        <w:rPr>
          <w:highlight w:val="none"/>
        </w:rPr>
        <w:fldChar w:fldCharType="begin"/>
      </w:r>
      <w:r>
        <w:rPr>
          <w:highlight w:val="none"/>
        </w:rPr>
        <w:instrText xml:space="preserve"> PAGEREF _Toc20961 </w:instrText>
      </w:r>
      <w:r>
        <w:rPr>
          <w:highlight w:val="none"/>
        </w:rPr>
        <w:fldChar w:fldCharType="separate"/>
      </w:r>
      <w:r>
        <w:rPr>
          <w:highlight w:val="none"/>
        </w:rPr>
        <w:t>32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_Toc14870 </w:instrText>
      </w:r>
      <w:r>
        <w:rPr>
          <w:rFonts w:cs="Times New Roman"/>
          <w:highlight w:val="none"/>
        </w:rPr>
        <w:fldChar w:fldCharType="separate"/>
      </w:r>
      <w:r>
        <w:rPr>
          <w:rFonts w:cs="Times New Roman"/>
          <w:highlight w:val="none"/>
        </w:rPr>
        <w:t>2.</w:t>
      </w:r>
      <w:r>
        <w:rPr>
          <w:rFonts w:hint="eastAsia" w:cs="Times New Roman"/>
          <w:highlight w:val="none"/>
        </w:rPr>
        <w:t>1</w:t>
      </w:r>
      <w:r>
        <w:rPr>
          <w:highlight w:val="none"/>
        </w:rPr>
        <w:t>工程基本情况</w:t>
      </w:r>
      <w:r>
        <w:rPr>
          <w:highlight w:val="none"/>
        </w:rPr>
        <w:tab/>
      </w:r>
      <w:r>
        <w:rPr>
          <w:highlight w:val="none"/>
        </w:rPr>
        <w:fldChar w:fldCharType="begin"/>
      </w:r>
      <w:r>
        <w:rPr>
          <w:highlight w:val="none"/>
        </w:rPr>
        <w:instrText xml:space="preserve"> PAGEREF _Toc14870 </w:instrText>
      </w:r>
      <w:r>
        <w:rPr>
          <w:highlight w:val="none"/>
        </w:rPr>
        <w:fldChar w:fldCharType="separate"/>
      </w:r>
      <w:r>
        <w:rPr>
          <w:highlight w:val="none"/>
        </w:rPr>
        <w:t>32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_Toc4708 </w:instrText>
      </w:r>
      <w:r>
        <w:rPr>
          <w:rFonts w:cs="Times New Roman"/>
          <w:highlight w:val="none"/>
        </w:rPr>
        <w:fldChar w:fldCharType="separate"/>
      </w:r>
      <w:r>
        <w:rPr>
          <w:rFonts w:hint="eastAsia" w:cs="Times New Roman"/>
          <w:highlight w:val="none"/>
        </w:rPr>
        <w:t>2.2产品</w:t>
      </w:r>
      <w:r>
        <w:rPr>
          <w:rFonts w:hint="eastAsia" w:cs="Times New Roman"/>
          <w:highlight w:val="none"/>
          <w:lang w:eastAsia="zh-CN"/>
        </w:rPr>
        <w:t>方案</w:t>
      </w:r>
      <w:r>
        <w:rPr>
          <w:highlight w:val="none"/>
        </w:rPr>
        <w:tab/>
      </w:r>
      <w:r>
        <w:rPr>
          <w:highlight w:val="none"/>
        </w:rPr>
        <w:fldChar w:fldCharType="begin"/>
      </w:r>
      <w:r>
        <w:rPr>
          <w:highlight w:val="none"/>
        </w:rPr>
        <w:instrText xml:space="preserve"> PAGEREF _Toc4708 </w:instrText>
      </w:r>
      <w:r>
        <w:rPr>
          <w:highlight w:val="none"/>
        </w:rPr>
        <w:fldChar w:fldCharType="separate"/>
      </w:r>
      <w:r>
        <w:rPr>
          <w:highlight w:val="none"/>
        </w:rPr>
        <w:t>35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_Toc15779 </w:instrText>
      </w:r>
      <w:r>
        <w:rPr>
          <w:rFonts w:cs="Times New Roman"/>
          <w:highlight w:val="none"/>
        </w:rPr>
        <w:fldChar w:fldCharType="separate"/>
      </w:r>
      <w:r>
        <w:rPr>
          <w:rFonts w:cs="Times New Roman"/>
          <w:highlight w:val="none"/>
        </w:rPr>
        <w:t>2.</w:t>
      </w:r>
      <w:r>
        <w:rPr>
          <w:rFonts w:hint="eastAsia" w:cs="Times New Roman"/>
          <w:highlight w:val="none"/>
        </w:rPr>
        <w:t>3</w:t>
      </w:r>
      <w:r>
        <w:rPr>
          <w:rFonts w:cs="Times New Roman"/>
          <w:highlight w:val="none"/>
        </w:rPr>
        <w:t>原辅材料</w:t>
      </w:r>
      <w:r>
        <w:rPr>
          <w:highlight w:val="none"/>
        </w:rPr>
        <w:tab/>
      </w:r>
      <w:r>
        <w:rPr>
          <w:highlight w:val="none"/>
        </w:rPr>
        <w:fldChar w:fldCharType="begin"/>
      </w:r>
      <w:r>
        <w:rPr>
          <w:highlight w:val="none"/>
        </w:rPr>
        <w:instrText xml:space="preserve"> PAGEREF _Toc15779 </w:instrText>
      </w:r>
      <w:r>
        <w:rPr>
          <w:highlight w:val="none"/>
        </w:rPr>
        <w:fldChar w:fldCharType="separate"/>
      </w:r>
      <w:r>
        <w:rPr>
          <w:highlight w:val="none"/>
        </w:rPr>
        <w:t>36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_Toc10907 </w:instrText>
      </w:r>
      <w:r>
        <w:rPr>
          <w:rFonts w:cs="Times New Roman"/>
          <w:highlight w:val="none"/>
        </w:rPr>
        <w:fldChar w:fldCharType="separate"/>
      </w:r>
      <w:r>
        <w:rPr>
          <w:rFonts w:cs="Times New Roman"/>
          <w:highlight w:val="none"/>
        </w:rPr>
        <w:t>2.</w:t>
      </w:r>
      <w:r>
        <w:rPr>
          <w:rFonts w:hint="eastAsia" w:cs="Times New Roman"/>
          <w:highlight w:val="none"/>
        </w:rPr>
        <w:t>4</w:t>
      </w:r>
      <w:r>
        <w:rPr>
          <w:rFonts w:cs="Times New Roman"/>
          <w:highlight w:val="none"/>
        </w:rPr>
        <w:t>生产设备</w:t>
      </w:r>
      <w:r>
        <w:rPr>
          <w:highlight w:val="none"/>
        </w:rPr>
        <w:tab/>
      </w:r>
      <w:r>
        <w:rPr>
          <w:highlight w:val="none"/>
        </w:rPr>
        <w:fldChar w:fldCharType="begin"/>
      </w:r>
      <w:r>
        <w:rPr>
          <w:highlight w:val="none"/>
        </w:rPr>
        <w:instrText xml:space="preserve"> PAGEREF _Toc10907 </w:instrText>
      </w:r>
      <w:r>
        <w:rPr>
          <w:highlight w:val="none"/>
        </w:rPr>
        <w:fldChar w:fldCharType="separate"/>
      </w:r>
      <w:r>
        <w:rPr>
          <w:highlight w:val="none"/>
        </w:rPr>
        <w:t>37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_Toc13830 </w:instrText>
      </w:r>
      <w:r>
        <w:rPr>
          <w:rFonts w:cs="Times New Roman"/>
          <w:highlight w:val="none"/>
        </w:rPr>
        <w:fldChar w:fldCharType="separate"/>
      </w:r>
      <w:r>
        <w:rPr>
          <w:rFonts w:hint="eastAsia" w:cs="Times New Roman"/>
          <w:highlight w:val="none"/>
        </w:rPr>
        <w:t>2.5</w:t>
      </w:r>
      <w:r>
        <w:rPr>
          <w:rFonts w:cs="Times New Roman"/>
          <w:highlight w:val="none"/>
        </w:rPr>
        <w:t>公用工程</w:t>
      </w:r>
      <w:r>
        <w:rPr>
          <w:rFonts w:hint="eastAsia" w:cs="Times New Roman"/>
          <w:highlight w:val="none"/>
        </w:rPr>
        <w:t>及辅助设施</w:t>
      </w:r>
      <w:r>
        <w:rPr>
          <w:highlight w:val="none"/>
        </w:rPr>
        <w:tab/>
      </w:r>
      <w:r>
        <w:rPr>
          <w:highlight w:val="none"/>
        </w:rPr>
        <w:fldChar w:fldCharType="begin"/>
      </w:r>
      <w:r>
        <w:rPr>
          <w:highlight w:val="none"/>
        </w:rPr>
        <w:instrText xml:space="preserve"> PAGEREF _Toc13830 </w:instrText>
      </w:r>
      <w:r>
        <w:rPr>
          <w:highlight w:val="none"/>
        </w:rPr>
        <w:fldChar w:fldCharType="separate"/>
      </w:r>
      <w:r>
        <w:rPr>
          <w:highlight w:val="none"/>
        </w:rPr>
        <w:t>38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_Toc386 </w:instrText>
      </w:r>
      <w:r>
        <w:rPr>
          <w:rFonts w:cs="Times New Roman"/>
          <w:highlight w:val="none"/>
        </w:rPr>
        <w:fldChar w:fldCharType="separate"/>
      </w:r>
      <w:r>
        <w:rPr>
          <w:rFonts w:hint="eastAsia" w:cs="Times New Roman"/>
          <w:highlight w:val="none"/>
        </w:rPr>
        <w:t>2.6</w:t>
      </w:r>
      <w:r>
        <w:rPr>
          <w:rFonts w:cs="Times New Roman"/>
          <w:highlight w:val="none"/>
        </w:rPr>
        <w:t>总体</w:t>
      </w:r>
      <w:r>
        <w:rPr>
          <w:rFonts w:hint="eastAsia" w:cs="Times New Roman"/>
          <w:highlight w:val="none"/>
        </w:rPr>
        <w:t>平面</w:t>
      </w:r>
      <w:r>
        <w:rPr>
          <w:rFonts w:cs="Times New Roman"/>
          <w:highlight w:val="none"/>
        </w:rPr>
        <w:t>布置</w:t>
      </w:r>
      <w:r>
        <w:rPr>
          <w:highlight w:val="none"/>
        </w:rPr>
        <w:tab/>
      </w:r>
      <w:r>
        <w:rPr>
          <w:highlight w:val="none"/>
        </w:rPr>
        <w:fldChar w:fldCharType="begin"/>
      </w:r>
      <w:r>
        <w:rPr>
          <w:highlight w:val="none"/>
        </w:rPr>
        <w:instrText xml:space="preserve"> PAGEREF _Toc386 </w:instrText>
      </w:r>
      <w:r>
        <w:rPr>
          <w:highlight w:val="none"/>
        </w:rPr>
        <w:fldChar w:fldCharType="separate"/>
      </w:r>
      <w:r>
        <w:rPr>
          <w:highlight w:val="none"/>
        </w:rPr>
        <w:t>41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_Toc26569 </w:instrText>
      </w:r>
      <w:r>
        <w:rPr>
          <w:rFonts w:cs="Times New Roman"/>
          <w:highlight w:val="none"/>
        </w:rPr>
        <w:fldChar w:fldCharType="separate"/>
      </w:r>
      <w:r>
        <w:rPr>
          <w:rFonts w:hint="eastAsia" w:cs="Times New Roman"/>
          <w:highlight w:val="none"/>
        </w:rPr>
        <w:t>2.7劳动定员及工作制度</w:t>
      </w:r>
      <w:r>
        <w:rPr>
          <w:highlight w:val="none"/>
        </w:rPr>
        <w:tab/>
      </w:r>
      <w:r>
        <w:rPr>
          <w:highlight w:val="none"/>
        </w:rPr>
        <w:fldChar w:fldCharType="begin"/>
      </w:r>
      <w:r>
        <w:rPr>
          <w:highlight w:val="none"/>
        </w:rPr>
        <w:instrText xml:space="preserve"> PAGEREF _Toc26569 </w:instrText>
      </w:r>
      <w:r>
        <w:rPr>
          <w:highlight w:val="none"/>
        </w:rPr>
        <w:fldChar w:fldCharType="separate"/>
      </w:r>
      <w:r>
        <w:rPr>
          <w:highlight w:val="none"/>
        </w:rPr>
        <w:t>42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_Toc25837 </w:instrText>
      </w:r>
      <w:r>
        <w:rPr>
          <w:rFonts w:cs="Times New Roman"/>
          <w:highlight w:val="none"/>
        </w:rPr>
        <w:fldChar w:fldCharType="separate"/>
      </w:r>
      <w:r>
        <w:rPr>
          <w:rFonts w:hint="eastAsia" w:cs="Times New Roman"/>
          <w:highlight w:val="none"/>
        </w:rPr>
        <w:t>2.8周边环境概况</w:t>
      </w:r>
      <w:r>
        <w:rPr>
          <w:highlight w:val="none"/>
        </w:rPr>
        <w:tab/>
      </w:r>
      <w:r>
        <w:rPr>
          <w:highlight w:val="none"/>
        </w:rPr>
        <w:fldChar w:fldCharType="begin"/>
      </w:r>
      <w:r>
        <w:rPr>
          <w:highlight w:val="none"/>
        </w:rPr>
        <w:instrText xml:space="preserve"> PAGEREF _Toc25837 </w:instrText>
      </w:r>
      <w:r>
        <w:rPr>
          <w:highlight w:val="none"/>
        </w:rPr>
        <w:fldChar w:fldCharType="separate"/>
      </w:r>
      <w:r>
        <w:rPr>
          <w:highlight w:val="none"/>
        </w:rPr>
        <w:t>42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_Toc32516 </w:instrText>
      </w:r>
      <w:r>
        <w:rPr>
          <w:rFonts w:cs="Times New Roman"/>
          <w:highlight w:val="none"/>
        </w:rPr>
        <w:fldChar w:fldCharType="separate"/>
      </w:r>
      <w:r>
        <w:rPr>
          <w:rFonts w:hint="eastAsia"/>
          <w:highlight w:val="none"/>
          <w:lang w:val="en-US" w:eastAsia="zh-CN"/>
        </w:rPr>
        <w:t>2</w:t>
      </w:r>
      <w:r>
        <w:rPr>
          <w:rFonts w:hint="eastAsia"/>
          <w:highlight w:val="none"/>
        </w:rPr>
        <w:t>.</w:t>
      </w:r>
      <w:r>
        <w:rPr>
          <w:rFonts w:hint="eastAsia"/>
          <w:highlight w:val="none"/>
          <w:lang w:val="en-US" w:eastAsia="zh-CN"/>
        </w:rPr>
        <w:t>9</w:t>
      </w:r>
      <w:r>
        <w:rPr>
          <w:highlight w:val="none"/>
        </w:rPr>
        <w:t>工艺流程</w:t>
      </w:r>
      <w:r>
        <w:rPr>
          <w:highlight w:val="none"/>
        </w:rPr>
        <w:tab/>
      </w:r>
      <w:r>
        <w:rPr>
          <w:highlight w:val="none"/>
        </w:rPr>
        <w:fldChar w:fldCharType="begin"/>
      </w:r>
      <w:r>
        <w:rPr>
          <w:highlight w:val="none"/>
        </w:rPr>
        <w:instrText xml:space="preserve"> PAGEREF _Toc32516 </w:instrText>
      </w:r>
      <w:r>
        <w:rPr>
          <w:highlight w:val="none"/>
        </w:rPr>
        <w:fldChar w:fldCharType="separate"/>
      </w:r>
      <w:r>
        <w:rPr>
          <w:highlight w:val="none"/>
        </w:rPr>
        <w:t>42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_Toc22503 </w:instrText>
      </w:r>
      <w:r>
        <w:rPr>
          <w:rFonts w:cs="Times New Roman"/>
          <w:highlight w:val="none"/>
        </w:rPr>
        <w:fldChar w:fldCharType="separate"/>
      </w:r>
      <w:r>
        <w:rPr>
          <w:rFonts w:hint="eastAsia"/>
          <w:highlight w:val="none"/>
          <w:lang w:val="en-US" w:eastAsia="zh-CN"/>
        </w:rPr>
        <w:t>2</w:t>
      </w:r>
      <w:r>
        <w:rPr>
          <w:rFonts w:hint="eastAsia" w:ascii="Times New Roman" w:hAnsi="Times New Roman"/>
          <w:highlight w:val="none"/>
        </w:rPr>
        <w:t>.</w:t>
      </w:r>
      <w:r>
        <w:rPr>
          <w:rFonts w:hint="eastAsia"/>
          <w:highlight w:val="none"/>
          <w:lang w:val="en-US" w:eastAsia="zh-CN"/>
        </w:rPr>
        <w:t>10</w:t>
      </w:r>
      <w:r>
        <w:rPr>
          <w:rFonts w:hint="eastAsia" w:ascii="Times New Roman" w:hAnsi="Times New Roman"/>
          <w:highlight w:val="none"/>
          <w:lang w:eastAsia="zh-CN"/>
        </w:rPr>
        <w:t>产污环节分析</w:t>
      </w:r>
      <w:r>
        <w:rPr>
          <w:highlight w:val="none"/>
        </w:rPr>
        <w:tab/>
      </w:r>
      <w:r>
        <w:rPr>
          <w:highlight w:val="none"/>
        </w:rPr>
        <w:fldChar w:fldCharType="begin"/>
      </w:r>
      <w:r>
        <w:rPr>
          <w:highlight w:val="none"/>
        </w:rPr>
        <w:instrText xml:space="preserve"> PAGEREF _Toc22503 </w:instrText>
      </w:r>
      <w:r>
        <w:rPr>
          <w:highlight w:val="none"/>
        </w:rPr>
        <w:fldChar w:fldCharType="separate"/>
      </w:r>
      <w:r>
        <w:rPr>
          <w:highlight w:val="none"/>
        </w:rPr>
        <w:t>61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_Toc1209 </w:instrText>
      </w:r>
      <w:r>
        <w:rPr>
          <w:rFonts w:cs="Times New Roman"/>
          <w:highlight w:val="none"/>
        </w:rPr>
        <w:fldChar w:fldCharType="separate"/>
      </w:r>
      <w:r>
        <w:rPr>
          <w:rFonts w:hint="eastAsia"/>
          <w:highlight w:val="none"/>
          <w:lang w:val="en-US" w:eastAsia="zh-CN"/>
        </w:rPr>
        <w:t>2</w:t>
      </w:r>
      <w:r>
        <w:rPr>
          <w:rFonts w:hint="eastAsia" w:ascii="Times New Roman" w:hAnsi="Times New Roman"/>
          <w:highlight w:val="none"/>
        </w:rPr>
        <w:t>.</w:t>
      </w:r>
      <w:r>
        <w:rPr>
          <w:rFonts w:hint="eastAsia"/>
          <w:highlight w:val="none"/>
          <w:lang w:val="en-US" w:eastAsia="zh-CN"/>
        </w:rPr>
        <w:t>11</w:t>
      </w:r>
      <w:r>
        <w:rPr>
          <w:rFonts w:hint="eastAsia"/>
          <w:highlight w:val="none"/>
          <w:lang w:eastAsia="zh-CN"/>
        </w:rPr>
        <w:t>项目</w:t>
      </w:r>
      <w:r>
        <w:rPr>
          <w:rFonts w:hint="eastAsia" w:ascii="Times New Roman" w:hAnsi="Times New Roman"/>
          <w:highlight w:val="none"/>
        </w:rPr>
        <w:t>平衡</w:t>
      </w:r>
      <w:r>
        <w:rPr>
          <w:highlight w:val="none"/>
        </w:rPr>
        <w:tab/>
      </w:r>
      <w:r>
        <w:rPr>
          <w:highlight w:val="none"/>
        </w:rPr>
        <w:fldChar w:fldCharType="begin"/>
      </w:r>
      <w:r>
        <w:rPr>
          <w:highlight w:val="none"/>
        </w:rPr>
        <w:instrText xml:space="preserve"> PAGEREF _Toc1209 </w:instrText>
      </w:r>
      <w:r>
        <w:rPr>
          <w:highlight w:val="none"/>
        </w:rPr>
        <w:fldChar w:fldCharType="separate"/>
      </w:r>
      <w:r>
        <w:rPr>
          <w:highlight w:val="none"/>
        </w:rPr>
        <w:t>63</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_Toc4351 </w:instrText>
      </w:r>
      <w:r>
        <w:rPr>
          <w:rFonts w:cs="Times New Roman"/>
          <w:highlight w:val="none"/>
        </w:rPr>
        <w:fldChar w:fldCharType="separate"/>
      </w:r>
      <w:r>
        <w:rPr>
          <w:rFonts w:hint="eastAsia"/>
          <w:highlight w:val="none"/>
          <w:lang w:val="en-US" w:eastAsia="zh-CN"/>
        </w:rPr>
        <w:t>2</w:t>
      </w:r>
      <w:r>
        <w:rPr>
          <w:rFonts w:hint="eastAsia"/>
          <w:highlight w:val="none"/>
        </w:rPr>
        <w:t>.</w:t>
      </w:r>
      <w:r>
        <w:rPr>
          <w:rFonts w:hint="eastAsia"/>
          <w:highlight w:val="none"/>
          <w:lang w:val="en-US" w:eastAsia="zh-CN"/>
        </w:rPr>
        <w:t>12</w:t>
      </w:r>
      <w:r>
        <w:rPr>
          <w:highlight w:val="none"/>
        </w:rPr>
        <w:t>污染源强</w:t>
      </w:r>
      <w:r>
        <w:rPr>
          <w:highlight w:val="none"/>
        </w:rPr>
        <w:tab/>
      </w:r>
      <w:r>
        <w:rPr>
          <w:highlight w:val="none"/>
        </w:rPr>
        <w:fldChar w:fldCharType="begin"/>
      </w:r>
      <w:r>
        <w:rPr>
          <w:highlight w:val="none"/>
        </w:rPr>
        <w:instrText xml:space="preserve"> PAGEREF _Toc4351 </w:instrText>
      </w:r>
      <w:r>
        <w:rPr>
          <w:highlight w:val="none"/>
        </w:rPr>
        <w:fldChar w:fldCharType="separate"/>
      </w:r>
      <w:r>
        <w:rPr>
          <w:highlight w:val="none"/>
        </w:rPr>
        <w:t>67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_Toc18541 </w:instrText>
      </w:r>
      <w:r>
        <w:rPr>
          <w:rFonts w:cs="Times New Roman"/>
          <w:highlight w:val="none"/>
        </w:rPr>
        <w:fldChar w:fldCharType="separate"/>
      </w:r>
      <w:r>
        <w:rPr>
          <w:rFonts w:hint="eastAsia"/>
          <w:highlight w:val="none"/>
          <w:lang w:val="en-US" w:eastAsia="zh-CN"/>
        </w:rPr>
        <w:t>2</w:t>
      </w:r>
      <w:r>
        <w:rPr>
          <w:highlight w:val="none"/>
        </w:rPr>
        <w:t>.</w:t>
      </w:r>
      <w:r>
        <w:rPr>
          <w:rFonts w:hint="eastAsia"/>
          <w:highlight w:val="none"/>
          <w:lang w:val="en-US" w:eastAsia="zh-CN"/>
        </w:rPr>
        <w:t>13</w:t>
      </w:r>
      <w:r>
        <w:rPr>
          <w:rFonts w:hint="eastAsia"/>
          <w:highlight w:val="none"/>
        </w:rPr>
        <w:t>全厂项目污染物环保措施及排放情况</w:t>
      </w:r>
      <w:r>
        <w:rPr>
          <w:highlight w:val="none"/>
        </w:rPr>
        <w:t>汇总</w:t>
      </w:r>
      <w:r>
        <w:rPr>
          <w:highlight w:val="none"/>
        </w:rPr>
        <w:tab/>
      </w:r>
      <w:r>
        <w:rPr>
          <w:highlight w:val="none"/>
        </w:rPr>
        <w:fldChar w:fldCharType="begin"/>
      </w:r>
      <w:r>
        <w:rPr>
          <w:highlight w:val="none"/>
        </w:rPr>
        <w:instrText xml:space="preserve"> PAGEREF _Toc18541 </w:instrText>
      </w:r>
      <w:r>
        <w:rPr>
          <w:highlight w:val="none"/>
        </w:rPr>
        <w:fldChar w:fldCharType="separate"/>
      </w:r>
      <w:r>
        <w:rPr>
          <w:highlight w:val="none"/>
        </w:rPr>
        <w:t>83</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_Toc4113 </w:instrText>
      </w:r>
      <w:r>
        <w:rPr>
          <w:rFonts w:cs="Times New Roman"/>
          <w:highlight w:val="none"/>
        </w:rPr>
        <w:fldChar w:fldCharType="separate"/>
      </w:r>
      <w:r>
        <w:rPr>
          <w:rFonts w:hint="eastAsia"/>
          <w:highlight w:val="none"/>
          <w:lang w:val="en-US" w:eastAsia="zh-CN"/>
        </w:rPr>
        <w:t>3</w:t>
      </w:r>
      <w:r>
        <w:rPr>
          <w:rFonts w:hint="eastAsia"/>
          <w:highlight w:val="none"/>
        </w:rPr>
        <w:t>环境现状调查与评价</w:t>
      </w:r>
      <w:r>
        <w:rPr>
          <w:highlight w:val="none"/>
        </w:rPr>
        <w:tab/>
      </w:r>
      <w:r>
        <w:rPr>
          <w:highlight w:val="none"/>
        </w:rPr>
        <w:fldChar w:fldCharType="begin"/>
      </w:r>
      <w:r>
        <w:rPr>
          <w:highlight w:val="none"/>
        </w:rPr>
        <w:instrText xml:space="preserve"> PAGEREF _Toc4113 </w:instrText>
      </w:r>
      <w:r>
        <w:rPr>
          <w:highlight w:val="none"/>
        </w:rPr>
        <w:fldChar w:fldCharType="separate"/>
      </w:r>
      <w:r>
        <w:rPr>
          <w:highlight w:val="none"/>
        </w:rPr>
        <w:t>86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_Toc10061 </w:instrText>
      </w:r>
      <w:r>
        <w:rPr>
          <w:rFonts w:cs="Times New Roman"/>
          <w:highlight w:val="none"/>
        </w:rPr>
        <w:fldChar w:fldCharType="separate"/>
      </w:r>
      <w:r>
        <w:rPr>
          <w:rFonts w:hint="eastAsia"/>
          <w:highlight w:val="none"/>
          <w:lang w:val="en-US" w:eastAsia="zh-CN"/>
        </w:rPr>
        <w:t>3</w:t>
      </w:r>
      <w:r>
        <w:rPr>
          <w:highlight w:val="none"/>
        </w:rPr>
        <w:t>.1</w:t>
      </w:r>
      <w:r>
        <w:rPr>
          <w:rFonts w:hint="eastAsia"/>
          <w:highlight w:val="none"/>
        </w:rPr>
        <w:t>区域自然</w:t>
      </w:r>
      <w:r>
        <w:rPr>
          <w:highlight w:val="none"/>
        </w:rPr>
        <w:t>环境概况</w:t>
      </w:r>
      <w:r>
        <w:rPr>
          <w:highlight w:val="none"/>
        </w:rPr>
        <w:tab/>
      </w:r>
      <w:r>
        <w:rPr>
          <w:highlight w:val="none"/>
        </w:rPr>
        <w:fldChar w:fldCharType="begin"/>
      </w:r>
      <w:r>
        <w:rPr>
          <w:highlight w:val="none"/>
        </w:rPr>
        <w:instrText xml:space="preserve"> PAGEREF _Toc10061 </w:instrText>
      </w:r>
      <w:r>
        <w:rPr>
          <w:highlight w:val="none"/>
        </w:rPr>
        <w:fldChar w:fldCharType="separate"/>
      </w:r>
      <w:r>
        <w:rPr>
          <w:highlight w:val="none"/>
        </w:rPr>
        <w:t>86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_Toc12111 </w:instrText>
      </w:r>
      <w:r>
        <w:rPr>
          <w:rFonts w:cs="Times New Roman"/>
          <w:highlight w:val="none"/>
        </w:rPr>
        <w:fldChar w:fldCharType="separate"/>
      </w:r>
      <w:r>
        <w:rPr>
          <w:rFonts w:hint="eastAsia"/>
          <w:highlight w:val="none"/>
          <w:lang w:val="en-US" w:eastAsia="zh-CN"/>
        </w:rPr>
        <w:t>3</w:t>
      </w:r>
      <w:r>
        <w:rPr>
          <w:highlight w:val="none"/>
        </w:rPr>
        <w:t>.2</w:t>
      </w:r>
      <w:r>
        <w:rPr>
          <w:rFonts w:hint="eastAsia"/>
          <w:highlight w:val="none"/>
        </w:rPr>
        <w:t>社会环境概况</w:t>
      </w:r>
      <w:r>
        <w:rPr>
          <w:highlight w:val="none"/>
        </w:rPr>
        <w:tab/>
      </w:r>
      <w:r>
        <w:rPr>
          <w:highlight w:val="none"/>
        </w:rPr>
        <w:fldChar w:fldCharType="begin"/>
      </w:r>
      <w:r>
        <w:rPr>
          <w:highlight w:val="none"/>
        </w:rPr>
        <w:instrText xml:space="preserve"> PAGEREF _Toc12111 </w:instrText>
      </w:r>
      <w:r>
        <w:rPr>
          <w:highlight w:val="none"/>
        </w:rPr>
        <w:fldChar w:fldCharType="separate"/>
      </w:r>
      <w:r>
        <w:rPr>
          <w:highlight w:val="none"/>
        </w:rPr>
        <w:t>90</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_Toc9620 </w:instrText>
      </w:r>
      <w:r>
        <w:rPr>
          <w:rFonts w:cs="Times New Roman"/>
          <w:highlight w:val="none"/>
        </w:rPr>
        <w:fldChar w:fldCharType="separate"/>
      </w:r>
      <w:r>
        <w:rPr>
          <w:rFonts w:hint="eastAsia"/>
          <w:highlight w:val="none"/>
          <w:lang w:val="en-US" w:eastAsia="zh-CN"/>
        </w:rPr>
        <w:t>3</w:t>
      </w:r>
      <w:r>
        <w:rPr>
          <w:highlight w:val="none"/>
        </w:rPr>
        <w:t>.</w:t>
      </w:r>
      <w:r>
        <w:rPr>
          <w:rFonts w:hint="eastAsia"/>
          <w:highlight w:val="none"/>
        </w:rPr>
        <w:t>3环境质量现状调查与评价</w:t>
      </w:r>
      <w:r>
        <w:rPr>
          <w:highlight w:val="none"/>
        </w:rPr>
        <w:tab/>
      </w:r>
      <w:r>
        <w:rPr>
          <w:highlight w:val="none"/>
        </w:rPr>
        <w:fldChar w:fldCharType="begin"/>
      </w:r>
      <w:r>
        <w:rPr>
          <w:highlight w:val="none"/>
        </w:rPr>
        <w:instrText xml:space="preserve"> PAGEREF _Toc9620 </w:instrText>
      </w:r>
      <w:r>
        <w:rPr>
          <w:highlight w:val="none"/>
        </w:rPr>
        <w:fldChar w:fldCharType="separate"/>
      </w:r>
      <w:r>
        <w:rPr>
          <w:highlight w:val="none"/>
        </w:rPr>
        <w:t>93</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_Toc29077 </w:instrText>
      </w:r>
      <w:r>
        <w:rPr>
          <w:rFonts w:cs="Times New Roman"/>
          <w:highlight w:val="none"/>
        </w:rPr>
        <w:fldChar w:fldCharType="separate"/>
      </w:r>
      <w:r>
        <w:rPr>
          <w:rFonts w:hint="eastAsia"/>
          <w:highlight w:val="none"/>
          <w:lang w:val="en-US" w:eastAsia="zh-CN"/>
        </w:rPr>
        <w:t>3</w:t>
      </w:r>
      <w:r>
        <w:rPr>
          <w:highlight w:val="none"/>
        </w:rPr>
        <w:t>.</w:t>
      </w:r>
      <w:r>
        <w:rPr>
          <w:rFonts w:hint="eastAsia"/>
          <w:highlight w:val="none"/>
        </w:rPr>
        <w:t>4区域污染源调查</w:t>
      </w:r>
      <w:r>
        <w:rPr>
          <w:highlight w:val="none"/>
        </w:rPr>
        <w:tab/>
      </w:r>
      <w:r>
        <w:rPr>
          <w:highlight w:val="none"/>
        </w:rPr>
        <w:fldChar w:fldCharType="begin"/>
      </w:r>
      <w:r>
        <w:rPr>
          <w:highlight w:val="none"/>
        </w:rPr>
        <w:instrText xml:space="preserve"> PAGEREF _Toc29077 </w:instrText>
      </w:r>
      <w:r>
        <w:rPr>
          <w:highlight w:val="none"/>
        </w:rPr>
        <w:fldChar w:fldCharType="separate"/>
      </w:r>
      <w:r>
        <w:rPr>
          <w:highlight w:val="none"/>
        </w:rPr>
        <w:t>107</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_Toc13331 </w:instrText>
      </w:r>
      <w:r>
        <w:rPr>
          <w:rFonts w:cs="Times New Roman"/>
          <w:highlight w:val="none"/>
        </w:rPr>
        <w:fldChar w:fldCharType="separate"/>
      </w:r>
      <w:r>
        <w:rPr>
          <w:rFonts w:hint="eastAsia"/>
          <w:highlight w:val="none"/>
          <w:lang w:val="en-US" w:eastAsia="zh-CN"/>
        </w:rPr>
        <w:t>4</w:t>
      </w:r>
      <w:r>
        <w:rPr>
          <w:highlight w:val="none"/>
        </w:rPr>
        <w:t>环境影响预测</w:t>
      </w:r>
      <w:r>
        <w:rPr>
          <w:rFonts w:hint="eastAsia"/>
          <w:highlight w:val="none"/>
        </w:rPr>
        <w:t>分析</w:t>
      </w:r>
      <w:r>
        <w:rPr>
          <w:highlight w:val="none"/>
        </w:rPr>
        <w:t>与评价</w:t>
      </w:r>
      <w:r>
        <w:rPr>
          <w:highlight w:val="none"/>
        </w:rPr>
        <w:tab/>
      </w:r>
      <w:r>
        <w:rPr>
          <w:highlight w:val="none"/>
        </w:rPr>
        <w:fldChar w:fldCharType="begin"/>
      </w:r>
      <w:r>
        <w:rPr>
          <w:highlight w:val="none"/>
        </w:rPr>
        <w:instrText xml:space="preserve"> PAGEREF _Toc13331 </w:instrText>
      </w:r>
      <w:r>
        <w:rPr>
          <w:highlight w:val="none"/>
        </w:rPr>
        <w:fldChar w:fldCharType="separate"/>
      </w:r>
      <w:r>
        <w:rPr>
          <w:highlight w:val="none"/>
        </w:rPr>
        <w:t>108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_Toc8265 </w:instrText>
      </w:r>
      <w:r>
        <w:rPr>
          <w:rFonts w:cs="Times New Roman"/>
          <w:highlight w:val="none"/>
        </w:rPr>
        <w:fldChar w:fldCharType="separate"/>
      </w:r>
      <w:r>
        <w:rPr>
          <w:rFonts w:hint="eastAsia"/>
          <w:highlight w:val="none"/>
          <w:lang w:val="en-US" w:eastAsia="zh-CN"/>
        </w:rPr>
        <w:t>4</w:t>
      </w:r>
      <w:r>
        <w:rPr>
          <w:rFonts w:hint="eastAsia"/>
          <w:highlight w:val="none"/>
        </w:rPr>
        <w:t>.1施工期环境影响分析</w:t>
      </w:r>
      <w:r>
        <w:rPr>
          <w:highlight w:val="none"/>
        </w:rPr>
        <w:tab/>
      </w:r>
      <w:r>
        <w:rPr>
          <w:highlight w:val="none"/>
        </w:rPr>
        <w:fldChar w:fldCharType="begin"/>
      </w:r>
      <w:r>
        <w:rPr>
          <w:highlight w:val="none"/>
        </w:rPr>
        <w:instrText xml:space="preserve"> PAGEREF _Toc8265 </w:instrText>
      </w:r>
      <w:r>
        <w:rPr>
          <w:highlight w:val="none"/>
        </w:rPr>
        <w:fldChar w:fldCharType="separate"/>
      </w:r>
      <w:r>
        <w:rPr>
          <w:highlight w:val="none"/>
        </w:rPr>
        <w:t>108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_Toc2824 </w:instrText>
      </w:r>
      <w:r>
        <w:rPr>
          <w:rFonts w:cs="Times New Roman"/>
          <w:highlight w:val="none"/>
        </w:rPr>
        <w:fldChar w:fldCharType="separate"/>
      </w:r>
      <w:r>
        <w:rPr>
          <w:rFonts w:hint="eastAsia"/>
          <w:highlight w:val="none"/>
          <w:lang w:val="en-US" w:eastAsia="zh-CN"/>
        </w:rPr>
        <w:t>4</w:t>
      </w:r>
      <w:r>
        <w:rPr>
          <w:rFonts w:hint="eastAsia"/>
          <w:highlight w:val="none"/>
        </w:rPr>
        <w:t>.2运营期环境影响预测与评价</w:t>
      </w:r>
      <w:r>
        <w:rPr>
          <w:highlight w:val="none"/>
        </w:rPr>
        <w:tab/>
      </w:r>
      <w:r>
        <w:rPr>
          <w:highlight w:val="none"/>
        </w:rPr>
        <w:fldChar w:fldCharType="begin"/>
      </w:r>
      <w:r>
        <w:rPr>
          <w:highlight w:val="none"/>
        </w:rPr>
        <w:instrText xml:space="preserve"> PAGEREF _Toc2824 </w:instrText>
      </w:r>
      <w:r>
        <w:rPr>
          <w:highlight w:val="none"/>
        </w:rPr>
        <w:fldChar w:fldCharType="separate"/>
      </w:r>
      <w:r>
        <w:rPr>
          <w:highlight w:val="none"/>
        </w:rPr>
        <w:t>114</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_Toc7512 </w:instrText>
      </w:r>
      <w:r>
        <w:rPr>
          <w:rFonts w:cs="Times New Roman"/>
          <w:highlight w:val="none"/>
        </w:rPr>
        <w:fldChar w:fldCharType="separate"/>
      </w:r>
      <w:r>
        <w:rPr>
          <w:rFonts w:hint="eastAsia" w:cs="Times New Roman"/>
          <w:highlight w:val="none"/>
          <w:lang w:val="en-US" w:eastAsia="zh-CN"/>
        </w:rPr>
        <w:t>5</w:t>
      </w:r>
      <w:r>
        <w:rPr>
          <w:rFonts w:cs="Times New Roman"/>
          <w:highlight w:val="none"/>
        </w:rPr>
        <w:t>环境保护措施及其可行性分析</w:t>
      </w:r>
      <w:r>
        <w:rPr>
          <w:highlight w:val="none"/>
        </w:rPr>
        <w:tab/>
      </w:r>
      <w:r>
        <w:rPr>
          <w:highlight w:val="none"/>
        </w:rPr>
        <w:fldChar w:fldCharType="begin"/>
      </w:r>
      <w:r>
        <w:rPr>
          <w:highlight w:val="none"/>
        </w:rPr>
        <w:instrText xml:space="preserve"> PAGEREF _Toc7512 </w:instrText>
      </w:r>
      <w:r>
        <w:rPr>
          <w:highlight w:val="none"/>
        </w:rPr>
        <w:fldChar w:fldCharType="separate"/>
      </w:r>
      <w:r>
        <w:rPr>
          <w:highlight w:val="none"/>
        </w:rPr>
        <w:t>191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_Toc3243 </w:instrText>
      </w:r>
      <w:r>
        <w:rPr>
          <w:rFonts w:cs="Times New Roman"/>
          <w:highlight w:val="none"/>
        </w:rPr>
        <w:fldChar w:fldCharType="separate"/>
      </w:r>
      <w:r>
        <w:rPr>
          <w:rFonts w:hint="eastAsia" w:cs="Times New Roman"/>
          <w:highlight w:val="none"/>
          <w:lang w:val="en-US" w:eastAsia="zh-CN"/>
        </w:rPr>
        <w:t>5</w:t>
      </w:r>
      <w:r>
        <w:rPr>
          <w:rFonts w:hint="eastAsia" w:cs="Times New Roman"/>
          <w:highlight w:val="none"/>
        </w:rPr>
        <w:t>.</w:t>
      </w:r>
      <w:r>
        <w:rPr>
          <w:rFonts w:cs="Times New Roman"/>
          <w:highlight w:val="none"/>
        </w:rPr>
        <w:t>1</w:t>
      </w:r>
      <w:r>
        <w:rPr>
          <w:rFonts w:hint="eastAsia" w:cs="Times New Roman"/>
          <w:highlight w:val="none"/>
        </w:rPr>
        <w:t>施工期环境保护措施</w:t>
      </w:r>
      <w:r>
        <w:rPr>
          <w:highlight w:val="none"/>
        </w:rPr>
        <w:tab/>
      </w:r>
      <w:r>
        <w:rPr>
          <w:highlight w:val="none"/>
        </w:rPr>
        <w:fldChar w:fldCharType="begin"/>
      </w:r>
      <w:r>
        <w:rPr>
          <w:highlight w:val="none"/>
        </w:rPr>
        <w:instrText xml:space="preserve"> PAGEREF _Toc3243 </w:instrText>
      </w:r>
      <w:r>
        <w:rPr>
          <w:highlight w:val="none"/>
        </w:rPr>
        <w:fldChar w:fldCharType="separate"/>
      </w:r>
      <w:r>
        <w:rPr>
          <w:highlight w:val="none"/>
        </w:rPr>
        <w:t>191</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_Toc12823 </w:instrText>
      </w:r>
      <w:r>
        <w:rPr>
          <w:rFonts w:cs="Times New Roman"/>
          <w:highlight w:val="none"/>
        </w:rPr>
        <w:fldChar w:fldCharType="separate"/>
      </w:r>
      <w:r>
        <w:rPr>
          <w:rFonts w:hint="eastAsia" w:cs="Times New Roman"/>
          <w:highlight w:val="none"/>
          <w:lang w:val="en-US" w:eastAsia="zh-CN"/>
        </w:rPr>
        <w:t>5</w:t>
      </w:r>
      <w:r>
        <w:rPr>
          <w:rFonts w:hint="eastAsia" w:cs="Times New Roman"/>
          <w:highlight w:val="none"/>
        </w:rPr>
        <w:t>.2营运期环境保护措施</w:t>
      </w:r>
      <w:r>
        <w:rPr>
          <w:highlight w:val="none"/>
        </w:rPr>
        <w:tab/>
      </w:r>
      <w:r>
        <w:rPr>
          <w:highlight w:val="none"/>
        </w:rPr>
        <w:fldChar w:fldCharType="begin"/>
      </w:r>
      <w:r>
        <w:rPr>
          <w:highlight w:val="none"/>
        </w:rPr>
        <w:instrText xml:space="preserve"> PAGEREF _Toc12823 </w:instrText>
      </w:r>
      <w:r>
        <w:rPr>
          <w:highlight w:val="none"/>
        </w:rPr>
        <w:fldChar w:fldCharType="separate"/>
      </w:r>
      <w:r>
        <w:rPr>
          <w:highlight w:val="none"/>
        </w:rPr>
        <w:t>194</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_Toc29974 </w:instrText>
      </w:r>
      <w:r>
        <w:rPr>
          <w:rFonts w:cs="Times New Roman"/>
          <w:highlight w:val="none"/>
        </w:rPr>
        <w:fldChar w:fldCharType="separate"/>
      </w:r>
      <w:r>
        <w:rPr>
          <w:rFonts w:hint="eastAsia"/>
          <w:highlight w:val="none"/>
          <w:lang w:val="en-US" w:eastAsia="zh-CN"/>
        </w:rPr>
        <w:t>6</w:t>
      </w:r>
      <w:r>
        <w:rPr>
          <w:highlight w:val="none"/>
        </w:rPr>
        <w:t>环境影响经济损益分析</w:t>
      </w:r>
      <w:r>
        <w:rPr>
          <w:highlight w:val="none"/>
        </w:rPr>
        <w:tab/>
      </w:r>
      <w:r>
        <w:rPr>
          <w:highlight w:val="none"/>
        </w:rPr>
        <w:fldChar w:fldCharType="begin"/>
      </w:r>
      <w:r>
        <w:rPr>
          <w:highlight w:val="none"/>
        </w:rPr>
        <w:instrText xml:space="preserve"> PAGEREF _Toc29974 </w:instrText>
      </w:r>
      <w:r>
        <w:rPr>
          <w:highlight w:val="none"/>
        </w:rPr>
        <w:fldChar w:fldCharType="separate"/>
      </w:r>
      <w:r>
        <w:rPr>
          <w:highlight w:val="none"/>
        </w:rPr>
        <w:t>222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_Toc10754 </w:instrText>
      </w:r>
      <w:r>
        <w:rPr>
          <w:rFonts w:cs="Times New Roman"/>
          <w:highlight w:val="none"/>
        </w:rPr>
        <w:fldChar w:fldCharType="separate"/>
      </w:r>
      <w:r>
        <w:rPr>
          <w:rFonts w:hint="eastAsia"/>
          <w:highlight w:val="none"/>
          <w:lang w:val="en-US" w:eastAsia="zh-CN"/>
        </w:rPr>
        <w:t>6</w:t>
      </w:r>
      <w:r>
        <w:rPr>
          <w:rFonts w:hint="eastAsia"/>
          <w:highlight w:val="none"/>
        </w:rPr>
        <w:t>.1环保投资估算</w:t>
      </w:r>
      <w:r>
        <w:rPr>
          <w:highlight w:val="none"/>
        </w:rPr>
        <w:tab/>
      </w:r>
      <w:r>
        <w:rPr>
          <w:highlight w:val="none"/>
        </w:rPr>
        <w:fldChar w:fldCharType="begin"/>
      </w:r>
      <w:r>
        <w:rPr>
          <w:highlight w:val="none"/>
        </w:rPr>
        <w:instrText xml:space="preserve"> PAGEREF _Toc10754 </w:instrText>
      </w:r>
      <w:r>
        <w:rPr>
          <w:highlight w:val="none"/>
        </w:rPr>
        <w:fldChar w:fldCharType="separate"/>
      </w:r>
      <w:r>
        <w:rPr>
          <w:highlight w:val="none"/>
        </w:rPr>
        <w:t>222</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_Toc2673 </w:instrText>
      </w:r>
      <w:r>
        <w:rPr>
          <w:rFonts w:cs="Times New Roman"/>
          <w:highlight w:val="none"/>
        </w:rPr>
        <w:fldChar w:fldCharType="separate"/>
      </w:r>
      <w:r>
        <w:rPr>
          <w:rFonts w:hint="eastAsia"/>
          <w:highlight w:val="none"/>
          <w:lang w:val="en-US" w:eastAsia="zh-CN"/>
        </w:rPr>
        <w:t>6</w:t>
      </w:r>
      <w:r>
        <w:rPr>
          <w:rFonts w:hint="eastAsia"/>
          <w:highlight w:val="none"/>
        </w:rPr>
        <w:t>.2环境影响经济损益分析</w:t>
      </w:r>
      <w:r>
        <w:rPr>
          <w:highlight w:val="none"/>
        </w:rPr>
        <w:tab/>
      </w:r>
      <w:r>
        <w:rPr>
          <w:highlight w:val="none"/>
        </w:rPr>
        <w:fldChar w:fldCharType="begin"/>
      </w:r>
      <w:r>
        <w:rPr>
          <w:highlight w:val="none"/>
        </w:rPr>
        <w:instrText xml:space="preserve"> PAGEREF _Toc2673 </w:instrText>
      </w:r>
      <w:r>
        <w:rPr>
          <w:highlight w:val="none"/>
        </w:rPr>
        <w:fldChar w:fldCharType="separate"/>
      </w:r>
      <w:r>
        <w:rPr>
          <w:highlight w:val="none"/>
        </w:rPr>
        <w:t>223</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_Toc16570 </w:instrText>
      </w:r>
      <w:r>
        <w:rPr>
          <w:rFonts w:cs="Times New Roman"/>
          <w:highlight w:val="none"/>
        </w:rPr>
        <w:fldChar w:fldCharType="separate"/>
      </w:r>
      <w:r>
        <w:rPr>
          <w:rFonts w:hint="eastAsia"/>
          <w:highlight w:val="none"/>
          <w:lang w:val="en-US" w:eastAsia="zh-CN"/>
        </w:rPr>
        <w:t>6</w:t>
      </w:r>
      <w:r>
        <w:rPr>
          <w:highlight w:val="none"/>
        </w:rPr>
        <w:t>.3</w:t>
      </w:r>
      <w:r>
        <w:rPr>
          <w:rFonts w:hint="eastAsia"/>
          <w:highlight w:val="none"/>
          <w:lang w:eastAsia="zh-CN"/>
        </w:rPr>
        <w:t>经济</w:t>
      </w:r>
      <w:r>
        <w:rPr>
          <w:highlight w:val="none"/>
        </w:rPr>
        <w:t>效益</w:t>
      </w:r>
      <w:r>
        <w:rPr>
          <w:rFonts w:hint="eastAsia"/>
          <w:highlight w:val="none"/>
          <w:lang w:eastAsia="zh-CN"/>
        </w:rPr>
        <w:t>分析</w:t>
      </w:r>
      <w:r>
        <w:rPr>
          <w:highlight w:val="none"/>
        </w:rPr>
        <w:tab/>
      </w:r>
      <w:r>
        <w:rPr>
          <w:highlight w:val="none"/>
        </w:rPr>
        <w:fldChar w:fldCharType="begin"/>
      </w:r>
      <w:r>
        <w:rPr>
          <w:highlight w:val="none"/>
        </w:rPr>
        <w:instrText xml:space="preserve"> PAGEREF _Toc16570 </w:instrText>
      </w:r>
      <w:r>
        <w:rPr>
          <w:highlight w:val="none"/>
        </w:rPr>
        <w:fldChar w:fldCharType="separate"/>
      </w:r>
      <w:r>
        <w:rPr>
          <w:highlight w:val="none"/>
        </w:rPr>
        <w:t>224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_Toc22415 </w:instrText>
      </w:r>
      <w:r>
        <w:rPr>
          <w:rFonts w:cs="Times New Roman"/>
          <w:highlight w:val="none"/>
        </w:rPr>
        <w:fldChar w:fldCharType="separate"/>
      </w:r>
      <w:r>
        <w:rPr>
          <w:rFonts w:hint="eastAsia"/>
          <w:highlight w:val="none"/>
          <w:lang w:val="en-US" w:eastAsia="zh-CN"/>
        </w:rPr>
        <w:t>6.4环境效益分析</w:t>
      </w:r>
      <w:r>
        <w:rPr>
          <w:highlight w:val="none"/>
        </w:rPr>
        <w:tab/>
      </w:r>
      <w:r>
        <w:rPr>
          <w:highlight w:val="none"/>
        </w:rPr>
        <w:fldChar w:fldCharType="begin"/>
      </w:r>
      <w:r>
        <w:rPr>
          <w:highlight w:val="none"/>
        </w:rPr>
        <w:instrText xml:space="preserve"> PAGEREF _Toc22415 </w:instrText>
      </w:r>
      <w:r>
        <w:rPr>
          <w:highlight w:val="none"/>
        </w:rPr>
        <w:fldChar w:fldCharType="separate"/>
      </w:r>
      <w:r>
        <w:rPr>
          <w:highlight w:val="none"/>
        </w:rPr>
        <w:t>225</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_Toc25776 </w:instrText>
      </w:r>
      <w:r>
        <w:rPr>
          <w:rFonts w:cs="Times New Roman"/>
          <w:highlight w:val="none"/>
        </w:rPr>
        <w:fldChar w:fldCharType="separate"/>
      </w:r>
      <w:r>
        <w:rPr>
          <w:rFonts w:hint="eastAsia"/>
          <w:highlight w:val="none"/>
          <w:lang w:val="en-US" w:eastAsia="zh-CN"/>
        </w:rPr>
        <w:t>6.5社会效益分析</w:t>
      </w:r>
      <w:r>
        <w:rPr>
          <w:highlight w:val="none"/>
        </w:rPr>
        <w:tab/>
      </w:r>
      <w:r>
        <w:rPr>
          <w:highlight w:val="none"/>
        </w:rPr>
        <w:fldChar w:fldCharType="begin"/>
      </w:r>
      <w:r>
        <w:rPr>
          <w:highlight w:val="none"/>
        </w:rPr>
        <w:instrText xml:space="preserve"> PAGEREF _Toc25776 </w:instrText>
      </w:r>
      <w:r>
        <w:rPr>
          <w:highlight w:val="none"/>
        </w:rPr>
        <w:fldChar w:fldCharType="separate"/>
      </w:r>
      <w:r>
        <w:rPr>
          <w:highlight w:val="none"/>
        </w:rPr>
        <w:t>226</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_Toc3165 </w:instrText>
      </w:r>
      <w:r>
        <w:rPr>
          <w:rFonts w:cs="Times New Roman"/>
          <w:highlight w:val="none"/>
        </w:rPr>
        <w:fldChar w:fldCharType="separate"/>
      </w:r>
      <w:r>
        <w:rPr>
          <w:rFonts w:hint="eastAsia"/>
          <w:highlight w:val="none"/>
          <w:lang w:val="en-US" w:eastAsia="zh-CN"/>
        </w:rPr>
        <w:t>6.6生态效益分析</w:t>
      </w:r>
      <w:r>
        <w:rPr>
          <w:highlight w:val="none"/>
        </w:rPr>
        <w:tab/>
      </w:r>
      <w:r>
        <w:rPr>
          <w:highlight w:val="none"/>
        </w:rPr>
        <w:fldChar w:fldCharType="begin"/>
      </w:r>
      <w:r>
        <w:rPr>
          <w:highlight w:val="none"/>
        </w:rPr>
        <w:instrText xml:space="preserve"> PAGEREF _Toc3165 </w:instrText>
      </w:r>
      <w:r>
        <w:rPr>
          <w:highlight w:val="none"/>
        </w:rPr>
        <w:fldChar w:fldCharType="separate"/>
      </w:r>
      <w:r>
        <w:rPr>
          <w:highlight w:val="none"/>
        </w:rPr>
        <w:t>227</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_Toc7258 </w:instrText>
      </w:r>
      <w:r>
        <w:rPr>
          <w:rFonts w:cs="Times New Roman"/>
          <w:highlight w:val="none"/>
        </w:rPr>
        <w:fldChar w:fldCharType="separate"/>
      </w:r>
      <w:r>
        <w:rPr>
          <w:rFonts w:hint="eastAsia"/>
          <w:highlight w:val="none"/>
          <w:lang w:val="en-US" w:eastAsia="zh-CN"/>
        </w:rPr>
        <w:t>6.7</w:t>
      </w:r>
      <w:r>
        <w:rPr>
          <w:highlight w:val="none"/>
        </w:rPr>
        <w:t>环境经济损益分析结论</w:t>
      </w:r>
      <w:r>
        <w:rPr>
          <w:highlight w:val="none"/>
        </w:rPr>
        <w:tab/>
      </w:r>
      <w:r>
        <w:rPr>
          <w:highlight w:val="none"/>
        </w:rPr>
        <w:fldChar w:fldCharType="begin"/>
      </w:r>
      <w:r>
        <w:rPr>
          <w:highlight w:val="none"/>
        </w:rPr>
        <w:instrText xml:space="preserve"> PAGEREF _Toc7258 </w:instrText>
      </w:r>
      <w:r>
        <w:rPr>
          <w:highlight w:val="none"/>
        </w:rPr>
        <w:fldChar w:fldCharType="separate"/>
      </w:r>
      <w:r>
        <w:rPr>
          <w:highlight w:val="none"/>
        </w:rPr>
        <w:t>227</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_Toc15052 </w:instrText>
      </w:r>
      <w:r>
        <w:rPr>
          <w:rFonts w:cs="Times New Roman"/>
          <w:highlight w:val="none"/>
        </w:rPr>
        <w:fldChar w:fldCharType="separate"/>
      </w:r>
      <w:r>
        <w:rPr>
          <w:rFonts w:hint="eastAsia"/>
          <w:highlight w:val="none"/>
          <w:lang w:val="en-US" w:eastAsia="zh-CN"/>
        </w:rPr>
        <w:t>7</w:t>
      </w:r>
      <w:r>
        <w:rPr>
          <w:highlight w:val="none"/>
        </w:rPr>
        <w:t>环境管理与监测计划</w:t>
      </w:r>
      <w:r>
        <w:rPr>
          <w:highlight w:val="none"/>
        </w:rPr>
        <w:tab/>
      </w:r>
      <w:r>
        <w:rPr>
          <w:highlight w:val="none"/>
        </w:rPr>
        <w:fldChar w:fldCharType="begin"/>
      </w:r>
      <w:r>
        <w:rPr>
          <w:highlight w:val="none"/>
        </w:rPr>
        <w:instrText xml:space="preserve"> PAGEREF _Toc15052 </w:instrText>
      </w:r>
      <w:r>
        <w:rPr>
          <w:highlight w:val="none"/>
        </w:rPr>
        <w:fldChar w:fldCharType="separate"/>
      </w:r>
      <w:r>
        <w:rPr>
          <w:highlight w:val="none"/>
        </w:rPr>
        <w:t>228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_Toc2538 </w:instrText>
      </w:r>
      <w:r>
        <w:rPr>
          <w:rFonts w:cs="Times New Roman"/>
          <w:highlight w:val="none"/>
        </w:rPr>
        <w:fldChar w:fldCharType="separate"/>
      </w:r>
      <w:r>
        <w:rPr>
          <w:rFonts w:hint="eastAsia" w:cs="Times New Roman"/>
          <w:highlight w:val="none"/>
          <w:lang w:val="en-US" w:eastAsia="zh-CN"/>
        </w:rPr>
        <w:t>7</w:t>
      </w:r>
      <w:r>
        <w:rPr>
          <w:rFonts w:cs="Times New Roman"/>
          <w:highlight w:val="none"/>
        </w:rPr>
        <w:t>.1环境管理</w:t>
      </w:r>
      <w:r>
        <w:rPr>
          <w:highlight w:val="none"/>
        </w:rPr>
        <w:tab/>
      </w:r>
      <w:r>
        <w:rPr>
          <w:highlight w:val="none"/>
        </w:rPr>
        <w:fldChar w:fldCharType="begin"/>
      </w:r>
      <w:r>
        <w:rPr>
          <w:highlight w:val="none"/>
        </w:rPr>
        <w:instrText xml:space="preserve"> PAGEREF _Toc2538 </w:instrText>
      </w:r>
      <w:r>
        <w:rPr>
          <w:highlight w:val="none"/>
        </w:rPr>
        <w:fldChar w:fldCharType="separate"/>
      </w:r>
      <w:r>
        <w:rPr>
          <w:highlight w:val="none"/>
        </w:rPr>
        <w:t>228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_Toc7207 </w:instrText>
      </w:r>
      <w:r>
        <w:rPr>
          <w:rFonts w:cs="Times New Roman"/>
          <w:highlight w:val="none"/>
        </w:rPr>
        <w:fldChar w:fldCharType="separate"/>
      </w:r>
      <w:r>
        <w:rPr>
          <w:rFonts w:hint="eastAsia" w:cs="Times New Roman"/>
          <w:highlight w:val="none"/>
          <w:lang w:val="en-US" w:eastAsia="zh-CN"/>
        </w:rPr>
        <w:t>7</w:t>
      </w:r>
      <w:r>
        <w:rPr>
          <w:rFonts w:hint="eastAsia" w:cs="Times New Roman"/>
          <w:highlight w:val="none"/>
        </w:rPr>
        <w:t>.2环境监测计划</w:t>
      </w:r>
      <w:r>
        <w:rPr>
          <w:highlight w:val="none"/>
        </w:rPr>
        <w:tab/>
      </w:r>
      <w:r>
        <w:rPr>
          <w:highlight w:val="none"/>
        </w:rPr>
        <w:fldChar w:fldCharType="begin"/>
      </w:r>
      <w:r>
        <w:rPr>
          <w:highlight w:val="none"/>
        </w:rPr>
        <w:instrText xml:space="preserve"> PAGEREF _Toc7207 </w:instrText>
      </w:r>
      <w:r>
        <w:rPr>
          <w:highlight w:val="none"/>
        </w:rPr>
        <w:fldChar w:fldCharType="separate"/>
      </w:r>
      <w:r>
        <w:rPr>
          <w:highlight w:val="none"/>
        </w:rPr>
        <w:t>229</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_Toc10714 </w:instrText>
      </w:r>
      <w:r>
        <w:rPr>
          <w:rFonts w:cs="Times New Roman"/>
          <w:highlight w:val="none"/>
        </w:rPr>
        <w:fldChar w:fldCharType="separate"/>
      </w:r>
      <w:r>
        <w:rPr>
          <w:rFonts w:hint="eastAsia" w:cs="Times New Roman"/>
          <w:highlight w:val="none"/>
          <w:lang w:val="en-US" w:eastAsia="zh-CN"/>
        </w:rPr>
        <w:t>7</w:t>
      </w:r>
      <w:r>
        <w:rPr>
          <w:rFonts w:hint="eastAsia" w:cs="Times New Roman"/>
          <w:highlight w:val="none"/>
        </w:rPr>
        <w:t>.3环保验收要求内容</w:t>
      </w:r>
      <w:r>
        <w:rPr>
          <w:highlight w:val="none"/>
        </w:rPr>
        <w:tab/>
      </w:r>
      <w:r>
        <w:rPr>
          <w:highlight w:val="none"/>
        </w:rPr>
        <w:fldChar w:fldCharType="begin"/>
      </w:r>
      <w:r>
        <w:rPr>
          <w:highlight w:val="none"/>
        </w:rPr>
        <w:instrText xml:space="preserve"> PAGEREF _Toc10714 </w:instrText>
      </w:r>
      <w:r>
        <w:rPr>
          <w:highlight w:val="none"/>
        </w:rPr>
        <w:fldChar w:fldCharType="separate"/>
      </w:r>
      <w:r>
        <w:rPr>
          <w:highlight w:val="none"/>
        </w:rPr>
        <w:t>231</w:t>
      </w:r>
      <w:r>
        <w:rPr>
          <w:highlight w:val="none"/>
        </w:rPr>
        <w:fldChar w:fldCharType="end"/>
      </w:r>
      <w:r>
        <w:rPr>
          <w:rFonts w:cs="Times New Roman"/>
          <w:highlight w:val="none"/>
        </w:rPr>
        <w:fldChar w:fldCharType="end"/>
      </w:r>
    </w:p>
    <w:p>
      <w:pPr>
        <w:pStyle w:val="18"/>
        <w:tabs>
          <w:tab w:val="right" w:leader="dot" w:pos="8306"/>
        </w:tabs>
        <w:rPr>
          <w:highlight w:val="none"/>
        </w:rPr>
      </w:pPr>
      <w:r>
        <w:rPr>
          <w:rFonts w:cs="Times New Roman"/>
          <w:highlight w:val="none"/>
        </w:rPr>
        <w:fldChar w:fldCharType="begin"/>
      </w:r>
      <w:r>
        <w:rPr>
          <w:rFonts w:cs="Times New Roman"/>
          <w:highlight w:val="none"/>
        </w:rPr>
        <w:instrText xml:space="preserve"> HYPERLINK \l _Toc10734 </w:instrText>
      </w:r>
      <w:r>
        <w:rPr>
          <w:rFonts w:cs="Times New Roman"/>
          <w:highlight w:val="none"/>
        </w:rPr>
        <w:fldChar w:fldCharType="separate"/>
      </w:r>
      <w:r>
        <w:rPr>
          <w:rFonts w:hint="eastAsia" w:cs="Times New Roman"/>
          <w:highlight w:val="none"/>
          <w:lang w:val="en-US" w:eastAsia="zh-CN"/>
        </w:rPr>
        <w:t>8</w:t>
      </w:r>
      <w:r>
        <w:rPr>
          <w:rFonts w:cs="Times New Roman"/>
          <w:highlight w:val="none"/>
        </w:rPr>
        <w:t>结论</w:t>
      </w:r>
      <w:r>
        <w:rPr>
          <w:rFonts w:hint="eastAsia" w:cs="Times New Roman"/>
          <w:highlight w:val="none"/>
        </w:rPr>
        <w:t>与建议</w:t>
      </w:r>
      <w:r>
        <w:rPr>
          <w:highlight w:val="none"/>
        </w:rPr>
        <w:tab/>
      </w:r>
      <w:r>
        <w:rPr>
          <w:highlight w:val="none"/>
        </w:rPr>
        <w:fldChar w:fldCharType="begin"/>
      </w:r>
      <w:r>
        <w:rPr>
          <w:highlight w:val="none"/>
        </w:rPr>
        <w:instrText xml:space="preserve"> PAGEREF _Toc10734 </w:instrText>
      </w:r>
      <w:r>
        <w:rPr>
          <w:highlight w:val="none"/>
        </w:rPr>
        <w:fldChar w:fldCharType="separate"/>
      </w:r>
      <w:r>
        <w:rPr>
          <w:highlight w:val="none"/>
        </w:rPr>
        <w:t>234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_Toc2772 </w:instrText>
      </w:r>
      <w:r>
        <w:rPr>
          <w:rFonts w:cs="Times New Roman"/>
          <w:highlight w:val="none"/>
        </w:rPr>
        <w:fldChar w:fldCharType="separate"/>
      </w:r>
      <w:r>
        <w:rPr>
          <w:rFonts w:hint="eastAsia"/>
          <w:highlight w:val="none"/>
          <w:lang w:val="en-US" w:eastAsia="zh-CN"/>
        </w:rPr>
        <w:t>8</w:t>
      </w:r>
      <w:r>
        <w:rPr>
          <w:rFonts w:hint="eastAsia"/>
          <w:highlight w:val="none"/>
        </w:rPr>
        <w:t>.1结论</w:t>
      </w:r>
      <w:r>
        <w:rPr>
          <w:highlight w:val="none"/>
        </w:rPr>
        <w:tab/>
      </w:r>
      <w:r>
        <w:rPr>
          <w:highlight w:val="none"/>
        </w:rPr>
        <w:fldChar w:fldCharType="begin"/>
      </w:r>
      <w:r>
        <w:rPr>
          <w:highlight w:val="none"/>
        </w:rPr>
        <w:instrText xml:space="preserve"> PAGEREF _Toc2772 </w:instrText>
      </w:r>
      <w:r>
        <w:rPr>
          <w:highlight w:val="none"/>
        </w:rPr>
        <w:fldChar w:fldCharType="separate"/>
      </w:r>
      <w:r>
        <w:rPr>
          <w:highlight w:val="none"/>
        </w:rPr>
        <w:t>234</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_Toc28334 </w:instrText>
      </w:r>
      <w:r>
        <w:rPr>
          <w:rFonts w:cs="Times New Roman"/>
          <w:highlight w:val="none"/>
        </w:rPr>
        <w:fldChar w:fldCharType="separate"/>
      </w:r>
      <w:r>
        <w:rPr>
          <w:rFonts w:hint="eastAsia"/>
          <w:highlight w:val="none"/>
          <w:lang w:val="en-US" w:eastAsia="zh-CN"/>
        </w:rPr>
        <w:t>8</w:t>
      </w:r>
      <w:r>
        <w:rPr>
          <w:highlight w:val="none"/>
        </w:rPr>
        <w:t>.2建议</w:t>
      </w:r>
      <w:r>
        <w:rPr>
          <w:highlight w:val="none"/>
        </w:rPr>
        <w:tab/>
      </w:r>
      <w:r>
        <w:rPr>
          <w:highlight w:val="none"/>
        </w:rPr>
        <w:fldChar w:fldCharType="begin"/>
      </w:r>
      <w:r>
        <w:rPr>
          <w:highlight w:val="none"/>
        </w:rPr>
        <w:instrText xml:space="preserve"> PAGEREF _Toc28334 </w:instrText>
      </w:r>
      <w:r>
        <w:rPr>
          <w:highlight w:val="none"/>
        </w:rPr>
        <w:fldChar w:fldCharType="separate"/>
      </w:r>
      <w:r>
        <w:rPr>
          <w:highlight w:val="none"/>
        </w:rPr>
        <w:t>238</w:t>
      </w:r>
      <w:r>
        <w:rPr>
          <w:highlight w:val="none"/>
        </w:rPr>
        <w:fldChar w:fldCharType="end"/>
      </w:r>
      <w:r>
        <w:rPr>
          <w:rFonts w:cs="Times New Roman"/>
          <w:highlight w:val="none"/>
        </w:rPr>
        <w:fldChar w:fldCharType="end"/>
      </w:r>
    </w:p>
    <w:p>
      <w:pPr>
        <w:pStyle w:val="20"/>
        <w:tabs>
          <w:tab w:val="right" w:leader="dot" w:pos="8306"/>
        </w:tabs>
        <w:rPr>
          <w:highlight w:val="none"/>
        </w:rPr>
      </w:pPr>
      <w:r>
        <w:rPr>
          <w:rFonts w:cs="Times New Roman"/>
          <w:highlight w:val="none"/>
        </w:rPr>
        <w:fldChar w:fldCharType="begin"/>
      </w:r>
      <w:r>
        <w:rPr>
          <w:rFonts w:cs="Times New Roman"/>
          <w:highlight w:val="none"/>
        </w:rPr>
        <w:instrText xml:space="preserve"> HYPERLINK \l _Toc29104 </w:instrText>
      </w:r>
      <w:r>
        <w:rPr>
          <w:rFonts w:cs="Times New Roman"/>
          <w:highlight w:val="none"/>
        </w:rPr>
        <w:fldChar w:fldCharType="separate"/>
      </w:r>
      <w:r>
        <w:rPr>
          <w:rFonts w:hint="eastAsia"/>
          <w:highlight w:val="none"/>
          <w:lang w:val="en-US" w:eastAsia="zh-CN"/>
        </w:rPr>
        <w:t>8.3总结论</w:t>
      </w:r>
      <w:r>
        <w:rPr>
          <w:highlight w:val="none"/>
        </w:rPr>
        <w:tab/>
      </w:r>
      <w:r>
        <w:rPr>
          <w:highlight w:val="none"/>
        </w:rPr>
        <w:fldChar w:fldCharType="begin"/>
      </w:r>
      <w:r>
        <w:rPr>
          <w:highlight w:val="none"/>
        </w:rPr>
        <w:instrText xml:space="preserve"> PAGEREF _Toc29104 </w:instrText>
      </w:r>
      <w:r>
        <w:rPr>
          <w:highlight w:val="none"/>
        </w:rPr>
        <w:fldChar w:fldCharType="separate"/>
      </w:r>
      <w:r>
        <w:rPr>
          <w:highlight w:val="none"/>
        </w:rPr>
        <w:t>239</w:t>
      </w:r>
      <w:r>
        <w:rPr>
          <w:highlight w:val="none"/>
        </w:rPr>
        <w:fldChar w:fldCharType="end"/>
      </w:r>
      <w:r>
        <w:rPr>
          <w:rFonts w:cs="Times New Roman"/>
          <w:highlight w:val="none"/>
        </w:rPr>
        <w:fldChar w:fldCharType="end"/>
      </w:r>
    </w:p>
    <w:p>
      <w:pPr>
        <w:ind w:firstLine="0" w:firstLineChars="0"/>
        <w:rPr>
          <w:rFonts w:cs="Times New Roman"/>
          <w:b/>
          <w:bCs/>
          <w:highlight w:val="none"/>
        </w:rPr>
      </w:pPr>
      <w:r>
        <w:rPr>
          <w:rFonts w:cs="Times New Roman"/>
          <w:highlight w:val="none"/>
        </w:rPr>
        <w:fldChar w:fldCharType="end"/>
      </w:r>
      <w:r>
        <w:rPr>
          <w:rFonts w:hint="eastAsia" w:cs="Times New Roman"/>
          <w:b/>
          <w:bCs/>
          <w:highlight w:val="none"/>
        </w:rPr>
        <w:t>附图</w:t>
      </w:r>
    </w:p>
    <w:p>
      <w:pPr>
        <w:ind w:firstLine="0" w:firstLineChars="0"/>
        <w:rPr>
          <w:rFonts w:cs="Times New Roman"/>
          <w:highlight w:val="none"/>
        </w:rPr>
      </w:pPr>
      <w:r>
        <w:rPr>
          <w:rFonts w:hint="eastAsia" w:cs="Times New Roman"/>
          <w:highlight w:val="none"/>
        </w:rPr>
        <w:t>附图一：项目地理位置图</w:t>
      </w:r>
    </w:p>
    <w:p>
      <w:pPr>
        <w:ind w:firstLine="0" w:firstLineChars="0"/>
        <w:rPr>
          <w:rFonts w:cs="Times New Roman"/>
          <w:highlight w:val="none"/>
        </w:rPr>
      </w:pPr>
      <w:r>
        <w:rPr>
          <w:rFonts w:hint="eastAsia" w:cs="Times New Roman"/>
          <w:highlight w:val="none"/>
        </w:rPr>
        <w:t>附图二：项目平面布置图</w:t>
      </w:r>
    </w:p>
    <w:p>
      <w:pPr>
        <w:ind w:firstLine="0" w:firstLineChars="0"/>
        <w:rPr>
          <w:rFonts w:cs="Times New Roman"/>
          <w:highlight w:val="none"/>
        </w:rPr>
      </w:pPr>
      <w:r>
        <w:rPr>
          <w:rFonts w:hint="eastAsia" w:cs="Times New Roman"/>
          <w:highlight w:val="none"/>
        </w:rPr>
        <w:t>附图三：项目敏感目标图</w:t>
      </w:r>
    </w:p>
    <w:p>
      <w:pPr>
        <w:ind w:firstLine="0" w:firstLineChars="0"/>
        <w:rPr>
          <w:rFonts w:cs="Times New Roman"/>
          <w:highlight w:val="none"/>
        </w:rPr>
      </w:pPr>
      <w:r>
        <w:rPr>
          <w:rFonts w:hint="eastAsia" w:cs="Times New Roman"/>
          <w:highlight w:val="none"/>
        </w:rPr>
        <w:t>附图四：项目监测点位图</w:t>
      </w:r>
    </w:p>
    <w:p>
      <w:pPr>
        <w:ind w:firstLine="0" w:firstLineChars="0"/>
        <w:rPr>
          <w:rFonts w:cs="Times New Roman"/>
          <w:highlight w:val="none"/>
        </w:rPr>
      </w:pPr>
      <w:r>
        <w:rPr>
          <w:rFonts w:hint="eastAsia" w:cs="Times New Roman"/>
          <w:highlight w:val="none"/>
        </w:rPr>
        <w:t>附图五：</w:t>
      </w:r>
      <w:r>
        <w:rPr>
          <w:rFonts w:hint="eastAsia" w:cs="Times New Roman"/>
          <w:highlight w:val="none"/>
          <w:lang w:eastAsia="zh-CN"/>
        </w:rPr>
        <w:t>项目</w:t>
      </w:r>
      <w:r>
        <w:rPr>
          <w:rFonts w:hint="eastAsia" w:cs="Times New Roman"/>
          <w:highlight w:val="none"/>
          <w:lang w:val="en-US" w:eastAsia="zh-CN"/>
        </w:rPr>
        <w:t>区域水系</w:t>
      </w:r>
      <w:r>
        <w:rPr>
          <w:rFonts w:hint="eastAsia" w:cs="Times New Roman"/>
          <w:highlight w:val="none"/>
        </w:rPr>
        <w:t>图</w:t>
      </w:r>
    </w:p>
    <w:p>
      <w:pPr>
        <w:ind w:firstLine="0" w:firstLineChars="0"/>
        <w:rPr>
          <w:rFonts w:cs="Times New Roman"/>
          <w:highlight w:val="none"/>
        </w:rPr>
      </w:pPr>
      <w:r>
        <w:rPr>
          <w:rFonts w:hint="eastAsia" w:cs="Times New Roman"/>
          <w:highlight w:val="none"/>
        </w:rPr>
        <w:t>附图六：项目地下水分区防渗图</w:t>
      </w:r>
    </w:p>
    <w:p>
      <w:pPr>
        <w:ind w:firstLine="0" w:firstLineChars="0"/>
        <w:rPr>
          <w:rFonts w:hint="eastAsia" w:cs="Times New Roman"/>
          <w:highlight w:val="none"/>
        </w:rPr>
      </w:pPr>
      <w:r>
        <w:rPr>
          <w:rFonts w:hint="eastAsia" w:cs="Times New Roman"/>
          <w:highlight w:val="none"/>
        </w:rPr>
        <w:t>附图七：驻马店市生态环境保护规划图</w:t>
      </w:r>
    </w:p>
    <w:p>
      <w:pPr>
        <w:ind w:firstLine="0" w:firstLineChars="0"/>
        <w:rPr>
          <w:rFonts w:hint="eastAsia" w:cs="Times New Roman"/>
          <w:highlight w:val="none"/>
        </w:rPr>
      </w:pPr>
      <w:r>
        <w:rPr>
          <w:rFonts w:hint="eastAsia" w:cs="Times New Roman"/>
          <w:highlight w:val="none"/>
        </w:rPr>
        <w:t>附图八：沼液消纳管网布置图</w:t>
      </w:r>
    </w:p>
    <w:p>
      <w:pPr>
        <w:ind w:firstLine="0" w:firstLineChars="0"/>
        <w:rPr>
          <w:rFonts w:hint="eastAsia"/>
          <w:highlight w:val="none"/>
        </w:rPr>
      </w:pPr>
      <w:r>
        <w:rPr>
          <w:rFonts w:hint="eastAsia" w:cs="Times New Roman"/>
          <w:highlight w:val="none"/>
        </w:rPr>
        <w:t>附图</w:t>
      </w:r>
      <w:r>
        <w:rPr>
          <w:rFonts w:hint="eastAsia" w:cs="Times New Roman"/>
          <w:highlight w:val="none"/>
          <w:lang w:eastAsia="zh-CN"/>
        </w:rPr>
        <w:t>九</w:t>
      </w:r>
      <w:r>
        <w:rPr>
          <w:rFonts w:hint="eastAsia" w:cs="Times New Roman"/>
          <w:highlight w:val="none"/>
        </w:rPr>
        <w:t>：</w:t>
      </w:r>
      <w:r>
        <w:rPr>
          <w:rFonts w:hint="eastAsia"/>
          <w:highlight w:val="none"/>
        </w:rPr>
        <w:t>项目卫生防护距离包络线图</w:t>
      </w:r>
    </w:p>
    <w:p>
      <w:pPr>
        <w:ind w:firstLine="0" w:firstLineChars="0"/>
        <w:rPr>
          <w:b/>
          <w:highlight w:val="none"/>
        </w:rPr>
      </w:pPr>
      <w:r>
        <w:rPr>
          <w:rFonts w:hint="eastAsia"/>
          <w:b/>
          <w:highlight w:val="none"/>
        </w:rPr>
        <w:t>附件：</w:t>
      </w:r>
    </w:p>
    <w:p>
      <w:pPr>
        <w:ind w:firstLine="0" w:firstLineChars="0"/>
        <w:rPr>
          <w:highlight w:val="none"/>
        </w:rPr>
      </w:pPr>
      <w:r>
        <w:rPr>
          <w:rFonts w:hint="eastAsia"/>
          <w:highlight w:val="none"/>
        </w:rPr>
        <w:t>附件一：环评委托书</w:t>
      </w:r>
    </w:p>
    <w:p>
      <w:pPr>
        <w:ind w:firstLine="0" w:firstLineChars="0"/>
        <w:rPr>
          <w:highlight w:val="none"/>
        </w:rPr>
      </w:pPr>
      <w:r>
        <w:rPr>
          <w:rFonts w:hint="eastAsia"/>
          <w:highlight w:val="none"/>
        </w:rPr>
        <w:t>附件二：项目备案证明</w:t>
      </w:r>
    </w:p>
    <w:p>
      <w:pPr>
        <w:ind w:firstLine="0" w:firstLineChars="0"/>
        <w:rPr>
          <w:highlight w:val="none"/>
        </w:rPr>
      </w:pPr>
      <w:r>
        <w:rPr>
          <w:rFonts w:hint="eastAsia"/>
          <w:highlight w:val="none"/>
        </w:rPr>
        <w:t>附件三：项目土地证明</w:t>
      </w:r>
    </w:p>
    <w:p>
      <w:pPr>
        <w:ind w:firstLine="0" w:firstLineChars="0"/>
        <w:rPr>
          <w:highlight w:val="none"/>
        </w:rPr>
      </w:pPr>
      <w:r>
        <w:rPr>
          <w:rFonts w:hint="eastAsia"/>
          <w:highlight w:val="none"/>
        </w:rPr>
        <w:t>附件四：监测报告</w:t>
      </w:r>
    </w:p>
    <w:p>
      <w:pPr>
        <w:ind w:firstLine="0" w:firstLineChars="0"/>
        <w:rPr>
          <w:highlight w:val="none"/>
        </w:rPr>
      </w:pPr>
      <w:r>
        <w:rPr>
          <w:rFonts w:hint="eastAsia"/>
          <w:highlight w:val="none"/>
        </w:rPr>
        <w:t>附件五：不在禁养区证明</w:t>
      </w:r>
    </w:p>
    <w:p>
      <w:pPr>
        <w:ind w:firstLine="0" w:firstLineChars="0"/>
        <w:rPr>
          <w:highlight w:val="none"/>
        </w:rPr>
      </w:pPr>
      <w:r>
        <w:rPr>
          <w:rFonts w:hint="eastAsia"/>
          <w:highlight w:val="none"/>
        </w:rPr>
        <w:t>附件六：规划证明</w:t>
      </w:r>
    </w:p>
    <w:p>
      <w:pPr>
        <w:ind w:firstLine="0" w:firstLineChars="0"/>
        <w:rPr>
          <w:highlight w:val="none"/>
        </w:rPr>
      </w:pPr>
      <w:r>
        <w:rPr>
          <w:rFonts w:hint="eastAsia"/>
          <w:highlight w:val="none"/>
        </w:rPr>
        <w:t>附件七：消纳协议</w:t>
      </w:r>
    </w:p>
    <w:p>
      <w:pPr>
        <w:ind w:firstLine="0" w:firstLineChars="0"/>
        <w:rPr>
          <w:rFonts w:hint="eastAsia"/>
          <w:highlight w:val="none"/>
        </w:rPr>
      </w:pPr>
      <w:r>
        <w:rPr>
          <w:rFonts w:hint="eastAsia"/>
          <w:highlight w:val="none"/>
        </w:rPr>
        <w:t>附件八：医疗废物协议</w:t>
      </w:r>
    </w:p>
    <w:p>
      <w:pPr>
        <w:ind w:firstLine="0" w:firstLineChars="0"/>
        <w:rPr>
          <w:rFonts w:hint="eastAsia"/>
          <w:highlight w:val="none"/>
          <w:lang w:eastAsia="zh-CN"/>
        </w:rPr>
      </w:pPr>
      <w:r>
        <w:rPr>
          <w:rFonts w:hint="eastAsia"/>
          <w:highlight w:val="none"/>
          <w:lang w:eastAsia="zh-CN"/>
        </w:rPr>
        <w:t>附件九：执行标准函</w:t>
      </w:r>
    </w:p>
    <w:p>
      <w:pPr>
        <w:ind w:firstLine="0" w:firstLineChars="0"/>
        <w:rPr>
          <w:rFonts w:cs="Times New Roman"/>
          <w:b/>
          <w:bCs/>
          <w:highlight w:val="none"/>
        </w:rPr>
      </w:pPr>
      <w:r>
        <w:rPr>
          <w:rFonts w:hint="eastAsia" w:cs="Times New Roman"/>
          <w:b/>
          <w:bCs/>
          <w:highlight w:val="none"/>
        </w:rPr>
        <w:t>附表</w:t>
      </w:r>
    </w:p>
    <w:p>
      <w:pPr>
        <w:ind w:firstLine="0" w:firstLineChars="0"/>
        <w:rPr>
          <w:rFonts w:cs="Times New Roman"/>
          <w:highlight w:val="none"/>
        </w:rPr>
      </w:pPr>
      <w:r>
        <w:rPr>
          <w:rFonts w:hint="eastAsia"/>
          <w:highlight w:val="none"/>
        </w:rPr>
        <w:t>附表1建设项目环评审批基础信息表</w:t>
      </w:r>
    </w:p>
    <w:p>
      <w:pPr>
        <w:pStyle w:val="5"/>
        <w:spacing w:before="0" w:beforeLines="0" w:after="0" w:afterLines="0"/>
        <w:rPr>
          <w:rFonts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spacing w:before="0" w:beforeLines="0" w:after="0" w:afterLines="0"/>
        <w:rPr>
          <w:rFonts w:cs="Times New Roman"/>
          <w:highlight w:val="none"/>
        </w:rPr>
      </w:pPr>
      <w:bookmarkStart w:id="0" w:name="_Toc7373"/>
      <w:r>
        <w:rPr>
          <w:rFonts w:cs="Times New Roman"/>
          <w:highlight w:val="none"/>
        </w:rPr>
        <w:t>概述</w:t>
      </w:r>
      <w:bookmarkEnd w:id="0"/>
    </w:p>
    <w:p>
      <w:pPr>
        <w:pStyle w:val="41"/>
        <w:numPr>
          <w:ilvl w:val="0"/>
          <w:numId w:val="1"/>
        </w:numPr>
        <w:rPr>
          <w:rFonts w:cs="Times New Roman"/>
          <w:highlight w:val="none"/>
        </w:rPr>
      </w:pPr>
      <w:r>
        <w:rPr>
          <w:rFonts w:cs="Times New Roman"/>
          <w:highlight w:val="none"/>
        </w:rPr>
        <w:t>项目由来及项目概况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sz w:val="24"/>
          <w:szCs w:val="24"/>
          <w:highlight w:val="none"/>
        </w:rPr>
        <w:t>牧原食品股份有限公司是集约化养猪规模居全国前列的农业产业化国家重点龙头企业，始建于1992年，注册资本20.8亿元，拥有职工50000余人。经过二十多年的发展和积累，本公司形成了以“自育、自繁、自养大规模一体化”为特色的生猪养殖模式：截至目前，公司已</w:t>
      </w:r>
      <w:r>
        <w:rPr>
          <w:rFonts w:ascii="Times New Roman" w:hAnsi="Times New Roman"/>
          <w:color w:val="auto"/>
          <w:sz w:val="24"/>
          <w:szCs w:val="24"/>
          <w:highlight w:val="none"/>
        </w:rPr>
        <w:t>拥有</w:t>
      </w:r>
      <w:r>
        <w:rPr>
          <w:rFonts w:hint="eastAsia"/>
          <w:color w:val="auto"/>
          <w:sz w:val="24"/>
          <w:szCs w:val="24"/>
          <w:highlight w:val="none"/>
          <w:lang w:val="en-US" w:eastAsia="zh-CN"/>
        </w:rPr>
        <w:t>200</w:t>
      </w:r>
      <w:r>
        <w:rPr>
          <w:rFonts w:ascii="Times New Roman" w:hAnsi="Times New Roman"/>
          <w:color w:val="auto"/>
          <w:sz w:val="24"/>
          <w:szCs w:val="24"/>
          <w:highlight w:val="none"/>
        </w:rPr>
        <w:t>多家子公司，形成了集饲料加工、生猪育种、种猪扩繁、商品猪饲养为一体的完整生猪产业链。公司于2014年1月28日在深圳证券交易所敲钟上市，正式进入资本市场，股票种类为A股，股票简称</w:t>
      </w:r>
      <w:r>
        <w:rPr>
          <w:rFonts w:hint="eastAsia" w:asciiTheme="minorEastAsia" w:hAnsiTheme="minorEastAsia" w:eastAsiaTheme="minorEastAsia" w:cstheme="minorEastAsia"/>
          <w:color w:val="auto"/>
          <w:sz w:val="24"/>
          <w:szCs w:val="24"/>
          <w:highlight w:val="none"/>
        </w:rPr>
        <w:t>“牧原股份”</w:t>
      </w:r>
      <w:r>
        <w:rPr>
          <w:rFonts w:ascii="Times New Roman" w:hAnsi="Times New Roman"/>
          <w:color w:val="auto"/>
          <w:sz w:val="24"/>
          <w:szCs w:val="24"/>
          <w:highlight w:val="none"/>
        </w:rPr>
        <w:t>，代码为002714。2014年11月21日，正阳牧原农牧有限公司依法成立。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color w:val="000000"/>
          <w:sz w:val="24"/>
          <w:highlight w:val="none"/>
        </w:rPr>
      </w:pPr>
      <w:r>
        <w:rPr>
          <w:rFonts w:ascii="Times New Roman" w:hAnsi="Times New Roman"/>
          <w:color w:val="auto"/>
          <w:sz w:val="24"/>
          <w:szCs w:val="24"/>
          <w:highlight w:val="none"/>
        </w:rPr>
        <w:t>为了促进农业产业结构调整和养殖业的发展，推动养殖专业化进程，推动农业增效、农民增收，</w:t>
      </w:r>
      <w:r>
        <w:rPr>
          <w:rFonts w:ascii="Times New Roman" w:hAnsi="Times New Roman"/>
          <w:color w:val="auto"/>
          <w:kern w:val="0"/>
          <w:sz w:val="24"/>
          <w:szCs w:val="21"/>
          <w:highlight w:val="none"/>
        </w:rPr>
        <w:t>正阳牧原农牧有限公司</w:t>
      </w:r>
      <w:r>
        <w:rPr>
          <w:rFonts w:ascii="Times New Roman" w:hAnsi="Times New Roman"/>
          <w:color w:val="auto"/>
          <w:sz w:val="24"/>
          <w:szCs w:val="24"/>
          <w:highlight w:val="none"/>
        </w:rPr>
        <w:t>拟在驻马店市</w:t>
      </w:r>
      <w:r>
        <w:rPr>
          <w:rFonts w:hint="eastAsia" w:ascii="Times New Roman" w:hAnsi="Times New Roman"/>
          <w:color w:val="auto"/>
          <w:sz w:val="24"/>
          <w:highlight w:val="none"/>
        </w:rPr>
        <w:t>正阳县铜钟镇</w:t>
      </w:r>
      <w:r>
        <w:rPr>
          <w:rFonts w:hint="eastAsia"/>
          <w:color w:val="auto"/>
          <w:sz w:val="24"/>
          <w:highlight w:val="none"/>
          <w:lang w:eastAsia="zh-CN"/>
        </w:rPr>
        <w:t>崔塘村</w:t>
      </w:r>
      <w:r>
        <w:rPr>
          <w:rFonts w:ascii="Times New Roman" w:hAnsi="Times New Roman"/>
          <w:color w:val="auto"/>
          <w:sz w:val="24"/>
          <w:szCs w:val="24"/>
          <w:highlight w:val="none"/>
        </w:rPr>
        <w:t>建设“</w:t>
      </w:r>
      <w:r>
        <w:rPr>
          <w:rFonts w:hint="eastAsia" w:ascii="Times New Roman" w:hAnsi="Times New Roman"/>
          <w:color w:val="auto"/>
          <w:sz w:val="24"/>
          <w:szCs w:val="24"/>
          <w:highlight w:val="none"/>
        </w:rPr>
        <w:t>正阳牧原农牧有限公司八场生猪养殖项目</w:t>
      </w:r>
      <w:r>
        <w:rPr>
          <w:rFonts w:ascii="Times New Roman" w:hAnsi="Times New Roman"/>
          <w:color w:val="auto"/>
          <w:sz w:val="24"/>
          <w:szCs w:val="24"/>
          <w:highlight w:val="none"/>
        </w:rPr>
        <w:t>”。项目建设内容包括：怀孕舍</w:t>
      </w:r>
      <w:r>
        <w:rPr>
          <w:rFonts w:hint="eastAsia" w:ascii="Times New Roman" w:hAnsi="Times New Roman"/>
          <w:color w:val="auto"/>
          <w:sz w:val="24"/>
          <w:szCs w:val="24"/>
          <w:highlight w:val="none"/>
          <w:lang w:val="en-US" w:eastAsia="zh-CN"/>
        </w:rPr>
        <w:t>27个</w:t>
      </w:r>
      <w:r>
        <w:rPr>
          <w:rFonts w:ascii="Times New Roman" w:hAnsi="Times New Roman"/>
          <w:color w:val="auto"/>
          <w:sz w:val="24"/>
          <w:szCs w:val="24"/>
          <w:highlight w:val="none"/>
        </w:rPr>
        <w:t>，哺乳舍</w:t>
      </w:r>
      <w:r>
        <w:rPr>
          <w:rFonts w:hint="eastAsia" w:ascii="Times New Roman" w:hAnsi="Times New Roman"/>
          <w:color w:val="auto"/>
          <w:sz w:val="24"/>
          <w:szCs w:val="24"/>
          <w:highlight w:val="none"/>
          <w:lang w:val="en-US" w:eastAsia="zh-CN"/>
        </w:rPr>
        <w:t>24个</w:t>
      </w:r>
      <w:r>
        <w:rPr>
          <w:rFonts w:ascii="Times New Roman" w:hAnsi="Times New Roman"/>
          <w:color w:val="auto"/>
          <w:sz w:val="24"/>
          <w:szCs w:val="24"/>
          <w:highlight w:val="none"/>
        </w:rPr>
        <w:t>，后备舍</w:t>
      </w:r>
      <w:r>
        <w:rPr>
          <w:rFonts w:hint="eastAsia" w:ascii="Times New Roman" w:hAnsi="Times New Roman"/>
          <w:color w:val="auto"/>
          <w:sz w:val="24"/>
          <w:szCs w:val="24"/>
          <w:highlight w:val="none"/>
          <w:lang w:val="en-US" w:eastAsia="zh-CN"/>
        </w:rPr>
        <w:t>6个</w:t>
      </w:r>
      <w:r>
        <w:rPr>
          <w:rFonts w:ascii="Times New Roman" w:hAnsi="Times New Roman"/>
          <w:color w:val="auto"/>
          <w:sz w:val="24"/>
          <w:szCs w:val="24"/>
          <w:highlight w:val="none"/>
        </w:rPr>
        <w:t>、保育舍</w:t>
      </w:r>
      <w:r>
        <w:rPr>
          <w:rFonts w:hint="eastAsia" w:ascii="Times New Roman" w:hAnsi="Times New Roman"/>
          <w:color w:val="auto"/>
          <w:sz w:val="24"/>
          <w:szCs w:val="24"/>
          <w:highlight w:val="none"/>
          <w:lang w:val="en-US" w:eastAsia="zh-CN"/>
        </w:rPr>
        <w:t>48个</w:t>
      </w:r>
      <w:r>
        <w:rPr>
          <w:rFonts w:ascii="Times New Roman" w:hAnsi="Times New Roman"/>
          <w:color w:val="auto"/>
          <w:sz w:val="24"/>
          <w:szCs w:val="24"/>
          <w:highlight w:val="none"/>
        </w:rPr>
        <w:t>、育肥舍</w:t>
      </w:r>
      <w:r>
        <w:rPr>
          <w:rFonts w:hint="eastAsia" w:ascii="Times New Roman" w:hAnsi="Times New Roman"/>
          <w:color w:val="auto"/>
          <w:sz w:val="24"/>
          <w:szCs w:val="24"/>
          <w:highlight w:val="none"/>
          <w:lang w:val="en-US" w:eastAsia="zh-CN"/>
        </w:rPr>
        <w:t>73个</w:t>
      </w:r>
      <w:r>
        <w:rPr>
          <w:rFonts w:ascii="Times New Roman" w:hAnsi="Times New Roman"/>
          <w:color w:val="auto"/>
          <w:sz w:val="24"/>
          <w:szCs w:val="24"/>
          <w:highlight w:val="none"/>
        </w:rPr>
        <w:t>等主要养殖场舍，并配套建设污水处理设施、沼液综合利用等配套工程；清粪方式</w:t>
      </w:r>
      <w:r>
        <w:rPr>
          <w:rFonts w:ascii="Times New Roman" w:hAnsi="Times New Roman"/>
          <w:color w:val="auto"/>
          <w:sz w:val="24"/>
          <w:highlight w:val="none"/>
        </w:rPr>
        <w:t>采用环保部认定的干清粪工艺</w:t>
      </w:r>
      <w:r>
        <w:rPr>
          <w:rFonts w:ascii="Times New Roman" w:hAnsi="Times New Roman"/>
          <w:color w:val="auto"/>
          <w:sz w:val="24"/>
          <w:szCs w:val="24"/>
          <w:highlight w:val="none"/>
        </w:rPr>
        <w:t>；该项目占地面积约</w:t>
      </w:r>
      <w:r>
        <w:rPr>
          <w:rFonts w:hint="eastAsia" w:ascii="Times New Roman" w:hAnsi="Times New Roman"/>
          <w:color w:val="auto"/>
          <w:sz w:val="24"/>
          <w:szCs w:val="24"/>
          <w:highlight w:val="none"/>
          <w:lang w:val="en-US" w:eastAsia="zh-CN"/>
        </w:rPr>
        <w:t>362</w:t>
      </w:r>
      <w:r>
        <w:rPr>
          <w:rFonts w:ascii="Times New Roman" w:hAnsi="Times New Roman"/>
          <w:color w:val="auto"/>
          <w:sz w:val="24"/>
          <w:szCs w:val="24"/>
          <w:highlight w:val="none"/>
        </w:rPr>
        <w:t>亩，总投资</w:t>
      </w:r>
      <w:r>
        <w:rPr>
          <w:rFonts w:hint="eastAsia"/>
          <w:color w:val="auto"/>
          <w:sz w:val="24"/>
          <w:szCs w:val="24"/>
          <w:highlight w:val="none"/>
          <w:lang w:val="en-US" w:eastAsia="zh-CN"/>
        </w:rPr>
        <w:t>16639.57</w:t>
      </w:r>
      <w:r>
        <w:rPr>
          <w:rFonts w:ascii="Times New Roman" w:hAnsi="Times New Roman"/>
          <w:color w:val="auto"/>
          <w:sz w:val="24"/>
          <w:szCs w:val="24"/>
          <w:highlight w:val="none"/>
        </w:rPr>
        <w:t>万元，劳动定</w:t>
      </w:r>
      <w:r>
        <w:rPr>
          <w:rFonts w:ascii="Times New Roman" w:hAnsi="Times New Roman"/>
          <w:sz w:val="24"/>
          <w:szCs w:val="24"/>
          <w:highlight w:val="none"/>
        </w:rPr>
        <w:t>员</w:t>
      </w:r>
      <w:r>
        <w:rPr>
          <w:rFonts w:hint="eastAsia" w:ascii="Times New Roman" w:hAnsi="Times New Roman"/>
          <w:sz w:val="24"/>
          <w:szCs w:val="24"/>
          <w:highlight w:val="none"/>
          <w:lang w:val="en-US" w:eastAsia="zh-CN"/>
        </w:rPr>
        <w:t>90</w:t>
      </w:r>
      <w:r>
        <w:rPr>
          <w:rFonts w:ascii="Times New Roman" w:hAnsi="Times New Roman"/>
          <w:sz w:val="24"/>
          <w:szCs w:val="24"/>
          <w:highlight w:val="none"/>
        </w:rPr>
        <w:t>人，项目建成后养殖规模可达到年出栏1</w:t>
      </w:r>
      <w:r>
        <w:rPr>
          <w:rFonts w:hint="eastAsia" w:ascii="Times New Roman" w:hAnsi="Times New Roman"/>
          <w:sz w:val="24"/>
          <w:szCs w:val="24"/>
          <w:highlight w:val="none"/>
          <w:lang w:val="en-US" w:eastAsia="zh-CN"/>
        </w:rPr>
        <w:t>5</w:t>
      </w:r>
      <w:r>
        <w:rPr>
          <w:rFonts w:ascii="Times New Roman" w:hAnsi="Times New Roman"/>
          <w:sz w:val="24"/>
          <w:szCs w:val="24"/>
          <w:highlight w:val="none"/>
        </w:rPr>
        <w:t>万头商品猪。</w:t>
      </w:r>
      <w:r>
        <w:rPr>
          <w:rFonts w:ascii="Times New Roman" w:hAnsi="Times New Roman"/>
          <w:color w:val="000000"/>
          <w:sz w:val="24"/>
          <w:highlight w:val="none"/>
        </w:rPr>
        <w:t>项目中心坐标东经：</w:t>
      </w:r>
      <w:r>
        <w:rPr>
          <w:rFonts w:hint="eastAsia" w:ascii="Times New Roman" w:hAnsi="Times New Roman"/>
          <w:color w:val="000000"/>
          <w:sz w:val="24"/>
          <w:highlight w:val="none"/>
        </w:rPr>
        <w:t>114.488858</w:t>
      </w:r>
      <w:r>
        <w:rPr>
          <w:rFonts w:ascii="Times New Roman" w:hAnsi="Times New Roman"/>
          <w:color w:val="000000"/>
          <w:sz w:val="24"/>
          <w:highlight w:val="none"/>
        </w:rPr>
        <w:t>，北纬：</w:t>
      </w:r>
      <w:r>
        <w:rPr>
          <w:rFonts w:hint="eastAsia" w:ascii="Times New Roman" w:hAnsi="Times New Roman"/>
          <w:color w:val="000000"/>
          <w:sz w:val="24"/>
          <w:highlight w:val="none"/>
        </w:rPr>
        <w:t>32.410038</w:t>
      </w:r>
      <w:r>
        <w:rPr>
          <w:rFonts w:ascii="Times New Roman" w:hAnsi="Times New Roman"/>
          <w:color w:val="000000"/>
          <w:sz w:val="24"/>
          <w:highlight w:val="none"/>
        </w:rPr>
        <w:t>。厂界拐点坐标见下表：</w:t>
      </w:r>
    </w:p>
    <w:p>
      <w:pPr>
        <w:pStyle w:val="40"/>
        <w:rPr>
          <w:rFonts w:hint="eastAsia" w:cs="Times New Roman"/>
          <w:highlight w:val="none"/>
          <w:lang w:val="en-US" w:eastAsia="zh-CN"/>
        </w:rPr>
      </w:pPr>
      <w:r>
        <w:rPr>
          <w:rFonts w:hint="eastAsia" w:cs="Times New Roman"/>
          <w:highlight w:val="none"/>
          <w:lang w:val="en-US" w:eastAsia="zh-CN"/>
        </w:rPr>
        <w:t>表1-1 项目场界拐点坐标</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2969"/>
        <w:gridCol w:w="355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拐点编号</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经度（东经）</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纬度（北纬）</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1</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114.484298</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32.410926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2</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114.487250</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32.411618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3</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114.487541</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32.410910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4</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114.490068</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32.411468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5</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114.491540</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32.411649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6</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114.491422</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32.412689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sz w:val="21"/>
                <w:szCs w:val="21"/>
                <w:highlight w:val="none"/>
              </w:rPr>
            </w:pPr>
            <w:r>
              <w:rPr>
                <w:rFonts w:hint="eastAsia"/>
                <w:b w:val="0"/>
                <w:bCs/>
                <w:sz w:val="21"/>
                <w:szCs w:val="21"/>
                <w:highlight w:val="none"/>
              </w:rPr>
              <w:t>7</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114.493270</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32.412768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eastAsia="宋体"/>
                <w:b w:val="0"/>
                <w:bCs/>
                <w:sz w:val="21"/>
                <w:szCs w:val="21"/>
                <w:highlight w:val="none"/>
                <w:lang w:val="en-US" w:eastAsia="zh-CN"/>
              </w:rPr>
            </w:pPr>
            <w:r>
              <w:rPr>
                <w:rFonts w:hint="eastAsia"/>
                <w:b w:val="0"/>
                <w:bCs/>
                <w:sz w:val="21"/>
                <w:szCs w:val="21"/>
                <w:highlight w:val="none"/>
                <w:lang w:val="en-US" w:eastAsia="zh-CN"/>
              </w:rPr>
              <w:t>8</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114.493551</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32.411359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9" w:type="pct"/>
            <w:noWrap w:val="0"/>
            <w:vAlign w:val="top"/>
          </w:tcPr>
          <w:p>
            <w:pPr>
              <w:pStyle w:val="40"/>
              <w:rPr>
                <w:rFonts w:hint="eastAsia" w:eastAsia="宋体"/>
                <w:b w:val="0"/>
                <w:bCs/>
                <w:sz w:val="21"/>
                <w:szCs w:val="21"/>
                <w:highlight w:val="none"/>
                <w:lang w:val="en-US" w:eastAsia="zh-CN"/>
              </w:rPr>
            </w:pPr>
            <w:r>
              <w:rPr>
                <w:rFonts w:hint="eastAsia"/>
                <w:b w:val="0"/>
                <w:bCs/>
                <w:sz w:val="21"/>
                <w:szCs w:val="21"/>
                <w:highlight w:val="none"/>
                <w:lang w:val="en-US" w:eastAsia="zh-CN"/>
              </w:rPr>
              <w:t>9</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114.493422</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32.409731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default" w:eastAsia="宋体"/>
                <w:b w:val="0"/>
                <w:bCs/>
                <w:sz w:val="21"/>
                <w:szCs w:val="21"/>
                <w:highlight w:val="none"/>
                <w:lang w:val="en-US" w:eastAsia="zh-CN"/>
              </w:rPr>
            </w:pPr>
            <w:r>
              <w:rPr>
                <w:rFonts w:hint="eastAsia"/>
                <w:b w:val="0"/>
                <w:bCs/>
                <w:sz w:val="21"/>
                <w:szCs w:val="21"/>
                <w:highlight w:val="none"/>
                <w:lang w:val="en-US" w:eastAsia="zh-CN"/>
              </w:rPr>
              <w:t>10</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114.492558</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32.409509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default" w:eastAsia="宋体"/>
                <w:b w:val="0"/>
                <w:bCs/>
                <w:sz w:val="21"/>
                <w:szCs w:val="21"/>
                <w:highlight w:val="none"/>
                <w:lang w:val="en-US" w:eastAsia="zh-CN"/>
              </w:rPr>
            </w:pPr>
            <w:r>
              <w:rPr>
                <w:rFonts w:hint="eastAsia"/>
                <w:b w:val="0"/>
                <w:bCs/>
                <w:sz w:val="21"/>
                <w:szCs w:val="21"/>
                <w:highlight w:val="none"/>
                <w:lang w:val="en-US" w:eastAsia="zh-CN"/>
              </w:rPr>
              <w:t>11</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114.490162</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32.409477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default" w:eastAsia="宋体"/>
                <w:b w:val="0"/>
                <w:bCs/>
                <w:sz w:val="21"/>
                <w:szCs w:val="21"/>
                <w:highlight w:val="none"/>
                <w:lang w:val="en-US" w:eastAsia="zh-CN"/>
              </w:rPr>
            </w:pPr>
            <w:r>
              <w:rPr>
                <w:rFonts w:hint="eastAsia"/>
                <w:b w:val="0"/>
                <w:bCs/>
                <w:sz w:val="21"/>
                <w:szCs w:val="21"/>
                <w:highlight w:val="none"/>
                <w:lang w:val="en-US" w:eastAsia="zh-CN"/>
              </w:rPr>
              <w:t>12</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114.490365</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32.408439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default"/>
                <w:b w:val="0"/>
                <w:bCs/>
                <w:sz w:val="21"/>
                <w:szCs w:val="21"/>
                <w:highlight w:val="none"/>
                <w:lang w:val="en-US" w:eastAsia="zh-CN"/>
              </w:rPr>
            </w:pPr>
            <w:r>
              <w:rPr>
                <w:rFonts w:hint="eastAsia"/>
                <w:b w:val="0"/>
                <w:bCs/>
                <w:sz w:val="21"/>
                <w:szCs w:val="21"/>
                <w:highlight w:val="none"/>
                <w:lang w:val="en-US" w:eastAsia="zh-CN"/>
              </w:rPr>
              <w:t>13</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114.488692</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32.408702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default"/>
                <w:b w:val="0"/>
                <w:bCs/>
                <w:sz w:val="21"/>
                <w:szCs w:val="21"/>
                <w:highlight w:val="none"/>
                <w:lang w:val="en-US" w:eastAsia="zh-CN"/>
              </w:rPr>
            </w:pPr>
            <w:r>
              <w:rPr>
                <w:rFonts w:hint="eastAsia"/>
                <w:b w:val="0"/>
                <w:bCs/>
                <w:sz w:val="21"/>
                <w:szCs w:val="21"/>
                <w:highlight w:val="none"/>
                <w:lang w:val="en-US" w:eastAsia="zh-CN"/>
              </w:rPr>
              <w:t>14</w:t>
            </w:r>
          </w:p>
        </w:tc>
        <w:tc>
          <w:tcPr>
            <w:tcW w:w="1742" w:type="pct"/>
            <w:noWrap/>
            <w:vAlign w:val="center"/>
          </w:tcPr>
          <w:p>
            <w:pPr>
              <w:pStyle w:val="40"/>
              <w:rPr>
                <w:rFonts w:hint="eastAsia"/>
                <w:b w:val="0"/>
                <w:bCs/>
                <w:sz w:val="21"/>
                <w:szCs w:val="21"/>
                <w:highlight w:val="none"/>
              </w:rPr>
            </w:pPr>
            <w:r>
              <w:rPr>
                <w:rFonts w:hint="eastAsia"/>
                <w:b w:val="0"/>
                <w:bCs/>
                <w:sz w:val="21"/>
                <w:szCs w:val="21"/>
                <w:highlight w:val="none"/>
              </w:rPr>
              <w:t>114.485139</w:t>
            </w:r>
          </w:p>
        </w:tc>
        <w:tc>
          <w:tcPr>
            <w:tcW w:w="2088" w:type="pct"/>
            <w:noWrap/>
            <w:vAlign w:val="center"/>
          </w:tcPr>
          <w:p>
            <w:pPr>
              <w:pStyle w:val="40"/>
              <w:rPr>
                <w:rFonts w:hint="eastAsia"/>
                <w:b w:val="0"/>
                <w:bCs/>
                <w:sz w:val="21"/>
                <w:szCs w:val="21"/>
                <w:highlight w:val="none"/>
              </w:rPr>
            </w:pPr>
            <w:r>
              <w:rPr>
                <w:rFonts w:hint="eastAsia"/>
                <w:b w:val="0"/>
                <w:bCs/>
                <w:sz w:val="21"/>
                <w:szCs w:val="21"/>
                <w:highlight w:val="none"/>
              </w:rPr>
              <w:t>32.408698</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畜牧业作为我国农业农村经济的支柱产业，对保障国家食物安全，增加农民收入，保护和改善生态环境，推进农业现代化，促进国民经济现代化，促进国民经济稳定发展，具有十分重要的现实意义。《全国畜牧业发展第十三个五年规划（2016-2020）》及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szCs w:val="24"/>
          <w:highlight w:val="none"/>
        </w:rPr>
      </w:pPr>
      <w:r>
        <w:rPr>
          <w:rFonts w:ascii="Times New Roman" w:hAnsi="Times New Roman"/>
          <w:bCs/>
          <w:sz w:val="24"/>
          <w:szCs w:val="24"/>
          <w:highlight w:val="none"/>
        </w:rPr>
        <w:t>根据《循环经济发展战略及近期行动计划》（国发〔2013〕5号）</w:t>
      </w:r>
      <w:r>
        <w:rPr>
          <w:rFonts w:hint="eastAsia" w:asciiTheme="minorEastAsia" w:hAnsiTheme="minorEastAsia" w:eastAsiaTheme="minorEastAsia" w:cstheme="minorEastAsia"/>
          <w:bCs/>
          <w:sz w:val="24"/>
          <w:szCs w:val="24"/>
          <w:highlight w:val="none"/>
        </w:rPr>
        <w:t>“第四章构建循环型农业体系第三节畜牧业”</w:t>
      </w:r>
      <w:r>
        <w:rPr>
          <w:rFonts w:ascii="Times New Roman" w:hAnsi="Times New Roman"/>
          <w:bCs/>
          <w:sz w:val="24"/>
          <w:szCs w:val="24"/>
          <w:highlight w:val="none"/>
        </w:rPr>
        <w:t>明确指出：推进畜禽养殖清洁生产，推进适度规模养殖，鼓励养殖与种植相结合，建设标准化畜禽养殖场，推广畜禽清洁养殖、雨污分流、干湿分离和设施化处理技术；加强畜禽粪污资源化利用，推广堆肥处理、工厂化生产有机肥、好氧发酵农田直接施用技术，促进养殖粪污资源化利用和无害化处理；构建农牧业循环经济产业链，构建畜禽粪便—沼气—发电，畜禽粪便—沼气—沼渣、沼液—无害化处理—肥料、农药—农林作物，畜禽加工—副产物—生化制品等产业链。根据《河南省人民政府办公厅关于推动全省都市生态农业发展的指导意见》（豫政办[2014]128号），要加快我省生态农业发展，加强农业生态环境建设，加大农业面源污染防治力度，控制农药化肥使用，发展农牧结合循环经济，推进畜禽粪污资源化利用，推进以沼气池建设为重点的农村生态循环经济发展,规范农业投入品使用，支持推广农业物理和生物防控技术，减少化学农药用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szCs w:val="24"/>
          <w:highlight w:val="none"/>
        </w:rPr>
      </w:pPr>
      <w:r>
        <w:rPr>
          <w:rFonts w:ascii="Times New Roman" w:hAnsi="Times New Roman"/>
          <w:sz w:val="24"/>
          <w:highlight w:val="none"/>
        </w:rPr>
        <w:t>本项目为生猪养殖项目，</w:t>
      </w:r>
      <w:r>
        <w:rPr>
          <w:rFonts w:ascii="Times New Roman" w:hAnsi="Times New Roman"/>
          <w:sz w:val="24"/>
          <w:szCs w:val="28"/>
          <w:highlight w:val="none"/>
        </w:rPr>
        <w:t>建设规模为年</w:t>
      </w:r>
      <w:r>
        <w:rPr>
          <w:rFonts w:ascii="Times New Roman" w:hAnsi="Times New Roman"/>
          <w:bCs/>
          <w:sz w:val="24"/>
          <w:highlight w:val="none"/>
        </w:rPr>
        <w:t>出栏商品猪1</w:t>
      </w:r>
      <w:r>
        <w:rPr>
          <w:rFonts w:hint="eastAsia" w:ascii="Times New Roman" w:hAnsi="Times New Roman"/>
          <w:bCs/>
          <w:sz w:val="24"/>
          <w:highlight w:val="none"/>
          <w:lang w:val="en-US" w:eastAsia="zh-CN"/>
        </w:rPr>
        <w:t>5</w:t>
      </w:r>
      <w:r>
        <w:rPr>
          <w:rFonts w:ascii="Times New Roman" w:hAnsi="Times New Roman"/>
          <w:bCs/>
          <w:sz w:val="24"/>
          <w:highlight w:val="none"/>
        </w:rPr>
        <w:t>万头。</w:t>
      </w:r>
      <w:r>
        <w:rPr>
          <w:rFonts w:ascii="Times New Roman" w:hAnsi="Times New Roman"/>
          <w:sz w:val="24"/>
          <w:highlight w:val="none"/>
        </w:rPr>
        <w:t>建设性质为新建，</w:t>
      </w:r>
      <w:r>
        <w:rPr>
          <w:rFonts w:ascii="Times New Roman" w:hAnsi="Times New Roman"/>
          <w:bCs/>
          <w:sz w:val="24"/>
          <w:highlight w:val="none"/>
        </w:rPr>
        <w:t>项目清粪工艺采用环保部认定的</w:t>
      </w:r>
      <w:r>
        <w:rPr>
          <w:rFonts w:ascii="Times New Roman" w:hAnsi="Times New Roman"/>
          <w:sz w:val="24"/>
          <w:szCs w:val="28"/>
          <w:highlight w:val="none"/>
        </w:rPr>
        <w:t>干清粪工艺。项目产生的粪污经固液分离后固形物进入固粪处理区制有机肥原料，经固液分离后的废水进入</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沼气池处理。经</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沼气池处理后产生沼液的作为农肥施用于周边农田不外排，产生的沼渣经排泥管通过泵送至污水处理工艺前端的收集池-固液分离工序进入固粪处理区晾晒后制有机肥基肥；</w:t>
      </w:r>
      <w:r>
        <w:rPr>
          <w:rFonts w:hint="eastAsia" w:ascii="Times New Roman" w:hAnsi="Times New Roman"/>
          <w:sz w:val="24"/>
          <w:szCs w:val="28"/>
          <w:highlight w:val="none"/>
          <w:lang w:eastAsia="zh-CN"/>
        </w:rPr>
        <w:t>黑膜</w:t>
      </w:r>
      <w:r>
        <w:rPr>
          <w:rFonts w:ascii="Times New Roman" w:hAnsi="Times New Roman"/>
          <w:sz w:val="24"/>
          <w:szCs w:val="28"/>
          <w:highlight w:val="none"/>
        </w:rPr>
        <w:t>沼气池厌氧发酵产生的沼气</w:t>
      </w:r>
      <w:r>
        <w:rPr>
          <w:rFonts w:ascii="Times New Roman" w:hAnsi="Times New Roman"/>
          <w:sz w:val="24"/>
          <w:highlight w:val="none"/>
        </w:rPr>
        <w:t>经净化后，用于场区食堂灶台，多余部分</w:t>
      </w:r>
      <w:r>
        <w:rPr>
          <w:rFonts w:hint="eastAsia" w:ascii="Times New Roman" w:hAnsi="Times New Roman"/>
          <w:sz w:val="24"/>
          <w:highlight w:val="none"/>
          <w:lang w:eastAsia="zh-CN"/>
        </w:rPr>
        <w:t>用于项目配套建设的饲料加工生产线沼气</w:t>
      </w:r>
      <w:r>
        <w:rPr>
          <w:rFonts w:hint="eastAsia" w:ascii="Times New Roman" w:hAnsi="Times New Roman"/>
          <w:sz w:val="24"/>
          <w:highlight w:val="none"/>
          <w:lang w:val="en-US" w:eastAsia="zh-CN"/>
        </w:rPr>
        <w:t>/天然气两用锅炉</w:t>
      </w:r>
      <w:r>
        <w:rPr>
          <w:rFonts w:hint="eastAsia" w:ascii="Times New Roman" w:hAnsi="Times New Roman"/>
          <w:sz w:val="24"/>
          <w:highlight w:val="none"/>
          <w:lang w:eastAsia="zh-CN"/>
        </w:rPr>
        <w:t>使用</w:t>
      </w:r>
      <w:r>
        <w:rPr>
          <w:rFonts w:ascii="Times New Roman" w:hAnsi="Times New Roman"/>
          <w:sz w:val="24"/>
          <w:highlight w:val="none"/>
        </w:rPr>
        <w:t>。</w:t>
      </w:r>
      <w:r>
        <w:rPr>
          <w:rFonts w:ascii="Times New Roman" w:hAnsi="Times New Roman"/>
          <w:bCs/>
          <w:sz w:val="24"/>
          <w:szCs w:val="24"/>
          <w:highlight w:val="none"/>
        </w:rPr>
        <w:t>这种间接的种养结合发展模式是符合生态农业发展要求的同时也是满足可持续发展观的。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根据《产业结构调整指导目录（2019年本）》，</w:t>
      </w:r>
      <w:r>
        <w:rPr>
          <w:rFonts w:hint="eastAsia" w:asciiTheme="minorEastAsia" w:hAnsiTheme="minorEastAsia" w:eastAsiaTheme="minorEastAsia" w:cstheme="minorEastAsia"/>
          <w:sz w:val="24"/>
          <w:szCs w:val="24"/>
          <w:highlight w:val="none"/>
        </w:rPr>
        <w:t>本项目属于鼓励类中的“畜禽标准化养殖技术开发与应用”；</w:t>
      </w:r>
      <w:r>
        <w:rPr>
          <w:rFonts w:ascii="Times New Roman" w:hAnsi="Times New Roman"/>
          <w:sz w:val="24"/>
          <w:szCs w:val="24"/>
          <w:highlight w:val="none"/>
        </w:rPr>
        <w:t>根据《中华人民共和国环境保护法》和《中华人民共和国环境影响评价法》等法律有关规定，对新建或改扩建项目需进行环境影响评价。对照《建设项目环境影响评价分类管理名录》及关于修改《建设项目环境影响评价分类管理名录》部分内容的决定（生态环境部令第1号），本项目</w:t>
      </w:r>
      <w:r>
        <w:rPr>
          <w:rFonts w:hint="eastAsia"/>
          <w:sz w:val="24"/>
          <w:szCs w:val="24"/>
          <w:highlight w:val="none"/>
          <w:lang w:eastAsia="zh-CN"/>
        </w:rPr>
        <w:t>属于“</w:t>
      </w:r>
      <w:r>
        <w:rPr>
          <w:rFonts w:ascii="Times New Roman" w:hAnsi="Times New Roman"/>
          <w:sz w:val="24"/>
          <w:szCs w:val="24"/>
          <w:highlight w:val="none"/>
        </w:rPr>
        <w:t>一、畜牧业/1、畜禽养殖场、养殖小区</w:t>
      </w:r>
      <w:r>
        <w:rPr>
          <w:rFonts w:hint="eastAsia" w:ascii="Times New Roman" w:hAnsi="Times New Roman"/>
          <w:sz w:val="24"/>
          <w:szCs w:val="24"/>
          <w:highlight w:val="none"/>
          <w:lang w:val="en-US" w:eastAsia="zh-CN"/>
        </w:rPr>
        <w:t>/</w:t>
      </w:r>
      <w:r>
        <w:rPr>
          <w:rFonts w:ascii="Times New Roman" w:hAnsi="Times New Roman"/>
          <w:sz w:val="24"/>
          <w:szCs w:val="24"/>
          <w:highlight w:val="none"/>
        </w:rPr>
        <w:t>年出栏生猪5000头及以上</w:t>
      </w:r>
      <w:r>
        <w:rPr>
          <w:rFonts w:hint="eastAsia"/>
          <w:sz w:val="24"/>
          <w:szCs w:val="24"/>
          <w:highlight w:val="none"/>
          <w:lang w:eastAsia="zh-CN"/>
        </w:rPr>
        <w:t>”</w:t>
      </w:r>
      <w:r>
        <w:rPr>
          <w:rFonts w:ascii="Times New Roman" w:hAnsi="Times New Roman"/>
          <w:sz w:val="24"/>
          <w:szCs w:val="24"/>
          <w:highlight w:val="none"/>
        </w:rPr>
        <w:t>，环评类别为报告书，本项目需编制环境影响报告书。受</w:t>
      </w:r>
      <w:r>
        <w:rPr>
          <w:rFonts w:ascii="Times New Roman" w:hAnsi="Times New Roman"/>
          <w:color w:val="000000"/>
          <w:kern w:val="0"/>
          <w:sz w:val="24"/>
          <w:szCs w:val="21"/>
          <w:highlight w:val="none"/>
        </w:rPr>
        <w:t>正阳牧原农牧有限公司</w:t>
      </w:r>
      <w:r>
        <w:rPr>
          <w:rFonts w:ascii="Times New Roman" w:hAnsi="Times New Roman"/>
          <w:sz w:val="24"/>
          <w:szCs w:val="24"/>
          <w:highlight w:val="none"/>
        </w:rPr>
        <w:t>的委托，</w:t>
      </w:r>
      <w:r>
        <w:rPr>
          <w:rFonts w:ascii="Times New Roman" w:hAnsi="Times New Roman"/>
          <w:sz w:val="24"/>
          <w:highlight w:val="none"/>
        </w:rPr>
        <w:t>我单位</w:t>
      </w:r>
      <w:r>
        <w:rPr>
          <w:rFonts w:ascii="Times New Roman" w:hAnsi="Times New Roman"/>
          <w:sz w:val="24"/>
          <w:szCs w:val="24"/>
          <w:highlight w:val="none"/>
        </w:rPr>
        <w:t>承担该项目的环境影响报告书编制工作（项目委托书见附件</w:t>
      </w:r>
      <w:r>
        <w:rPr>
          <w:rFonts w:hint="eastAsia" w:ascii="Times New Roman" w:hAnsi="Times New Roman"/>
          <w:sz w:val="24"/>
          <w:szCs w:val="24"/>
          <w:highlight w:val="none"/>
          <w:lang w:eastAsia="zh-CN"/>
        </w:rPr>
        <w:t>一</w:t>
      </w:r>
      <w:r>
        <w:rPr>
          <w:rFonts w:ascii="Times New Roman" w:hAnsi="Times New Roman"/>
          <w:sz w:val="24"/>
          <w:szCs w:val="24"/>
          <w:highlight w:val="none"/>
        </w:rPr>
        <w:t>）。</w:t>
      </w:r>
    </w:p>
    <w:p>
      <w:pPr>
        <w:ind w:firstLine="480"/>
        <w:rPr>
          <w:rFonts w:cs="Times New Roman"/>
          <w:highlight w:val="none"/>
        </w:rPr>
      </w:pPr>
      <w:r>
        <w:rPr>
          <w:rFonts w:ascii="Times New Roman" w:hAnsi="Times New Roman"/>
          <w:sz w:val="24"/>
          <w:szCs w:val="24"/>
          <w:highlight w:val="none"/>
        </w:rPr>
        <w:t>评价单位在接受委托后，收集有关的资料，进行现场踏勘调查，了解场址及周边环境概况，并组织对区域各环境要素进行监测，分析工程相关污染因素，经预测和评价，本着科学、规范、客观、公正的原则，编制该项目的环境影响报告书。</w:t>
      </w:r>
    </w:p>
    <w:p>
      <w:pPr>
        <w:pStyle w:val="41"/>
        <w:numPr>
          <w:ilvl w:val="0"/>
          <w:numId w:val="1"/>
        </w:numPr>
        <w:rPr>
          <w:rFonts w:cs="Times New Roman"/>
          <w:highlight w:val="none"/>
        </w:rPr>
      </w:pPr>
      <w:r>
        <w:rPr>
          <w:rFonts w:cs="Times New Roman"/>
          <w:highlight w:val="none"/>
        </w:rPr>
        <w:t>项目特点</w:t>
      </w:r>
    </w:p>
    <w:p>
      <w:pPr>
        <w:keepNext w:val="0"/>
        <w:keepLines w:val="0"/>
        <w:pageBreakBefore w:val="0"/>
        <w:widowControl/>
        <w:numPr>
          <w:ilvl w:val="0"/>
          <w:numId w:val="2"/>
        </w:numPr>
        <w:wordWrap/>
        <w:topLinePunct w:val="0"/>
        <w:autoSpaceDE/>
        <w:autoSpaceDN/>
        <w:bidi w:val="0"/>
        <w:adjustRightInd/>
        <w:snapToGrid/>
        <w:spacing w:line="360" w:lineRule="auto"/>
        <w:ind w:firstLine="480"/>
        <w:textAlignment w:val="auto"/>
        <w:rPr>
          <w:rFonts w:hint="eastAsia" w:cs="Times New Roman"/>
          <w:highlight w:val="none"/>
          <w:lang w:eastAsia="zh-CN"/>
        </w:rPr>
      </w:pPr>
      <w:r>
        <w:rPr>
          <w:rFonts w:hint="eastAsia" w:cs="Times New Roman"/>
          <w:highlight w:val="none"/>
          <w:lang w:eastAsia="zh-CN"/>
        </w:rPr>
        <w:t>工程特点</w:t>
      </w:r>
    </w:p>
    <w:p>
      <w:pPr>
        <w:keepNext w:val="0"/>
        <w:keepLines w:val="0"/>
        <w:pageBreakBefore w:val="0"/>
        <w:widowControl/>
        <w:numPr>
          <w:ilvl w:val="0"/>
          <w:numId w:val="0"/>
        </w:numPr>
        <w:wordWrap/>
        <w:topLinePunct w:val="0"/>
        <w:autoSpaceDE/>
        <w:autoSpaceDN/>
        <w:bidi w:val="0"/>
        <w:adjustRightInd/>
        <w:snapToGrid/>
        <w:spacing w:line="360" w:lineRule="auto"/>
        <w:ind w:firstLine="480" w:firstLineChars="200"/>
        <w:textAlignment w:val="auto"/>
        <w:rPr>
          <w:rFonts w:cs="Times New Roman"/>
          <w:highlight w:val="none"/>
        </w:rPr>
      </w:pPr>
      <w:r>
        <w:rPr>
          <w:rFonts w:cs="Times New Roman"/>
          <w:highlight w:val="none"/>
        </w:rPr>
        <w:t>本工程</w:t>
      </w:r>
      <w:r>
        <w:rPr>
          <w:rFonts w:hint="eastAsia" w:cs="Times New Roman"/>
          <w:highlight w:val="none"/>
        </w:rPr>
        <w:t>建设性质为新建，主要特点有：</w:t>
      </w:r>
    </w:p>
    <w:p>
      <w:pPr>
        <w:keepNext w:val="0"/>
        <w:keepLines w:val="0"/>
        <w:pageBreakBefore w:val="0"/>
        <w:widowControl/>
        <w:kinsoku w:val="0"/>
        <w:wordWrap/>
        <w:overflowPunct w:val="0"/>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hint="eastAsia" w:cs="Times New Roman"/>
          <w:highlight w:val="none"/>
        </w:rPr>
        <w:t>1、</w:t>
      </w:r>
      <w:r>
        <w:rPr>
          <w:rFonts w:ascii="Times New Roman" w:hAnsi="Times New Roman"/>
          <w:bCs/>
          <w:color w:val="000000"/>
          <w:sz w:val="24"/>
          <w:szCs w:val="24"/>
          <w:highlight w:val="none"/>
        </w:rPr>
        <w:t>生产规模可达到年出栏1</w:t>
      </w:r>
      <w:r>
        <w:rPr>
          <w:rFonts w:hint="eastAsia" w:ascii="Times New Roman" w:hAnsi="Times New Roman"/>
          <w:bCs/>
          <w:color w:val="000000"/>
          <w:sz w:val="24"/>
          <w:szCs w:val="24"/>
          <w:highlight w:val="none"/>
          <w:lang w:val="en-US" w:eastAsia="zh-CN"/>
        </w:rPr>
        <w:t>5</w:t>
      </w:r>
      <w:r>
        <w:rPr>
          <w:rFonts w:ascii="Times New Roman" w:hAnsi="Times New Roman"/>
          <w:bCs/>
          <w:color w:val="000000"/>
          <w:sz w:val="24"/>
          <w:szCs w:val="24"/>
          <w:highlight w:val="none"/>
        </w:rPr>
        <w:t>万头商品猪，</w:t>
      </w:r>
      <w:r>
        <w:rPr>
          <w:rFonts w:ascii="Times New Roman" w:hAnsi="Times New Roman"/>
          <w:sz w:val="24"/>
          <w:szCs w:val="24"/>
          <w:highlight w:val="none"/>
        </w:rPr>
        <w:t>年存栏猪</w:t>
      </w:r>
      <w:r>
        <w:rPr>
          <w:rFonts w:hint="eastAsia" w:ascii="Times New Roman" w:hAnsi="Times New Roman"/>
          <w:color w:val="000000"/>
          <w:sz w:val="24"/>
          <w:szCs w:val="24"/>
          <w:highlight w:val="none"/>
          <w:lang w:val="en-US" w:eastAsia="zh-CN"/>
        </w:rPr>
        <w:t>67200</w:t>
      </w:r>
      <w:r>
        <w:rPr>
          <w:rFonts w:ascii="Times New Roman" w:hAnsi="Times New Roman"/>
          <w:color w:val="000000"/>
          <w:sz w:val="24"/>
          <w:szCs w:val="24"/>
          <w:highlight w:val="none"/>
        </w:rPr>
        <w:t>头，</w:t>
      </w:r>
      <w:r>
        <w:rPr>
          <w:rFonts w:ascii="Times New Roman" w:hAnsi="Times New Roman"/>
          <w:sz w:val="24"/>
          <w:szCs w:val="24"/>
          <w:highlight w:val="none"/>
        </w:rPr>
        <w:t>其中怀孕猪</w:t>
      </w:r>
      <w:r>
        <w:rPr>
          <w:rFonts w:hint="eastAsia" w:ascii="Times New Roman" w:hAnsi="Times New Roman"/>
          <w:sz w:val="24"/>
          <w:szCs w:val="24"/>
          <w:highlight w:val="none"/>
          <w:lang w:val="en-US" w:eastAsia="zh-CN"/>
        </w:rPr>
        <w:t>4944</w:t>
      </w:r>
      <w:r>
        <w:rPr>
          <w:rFonts w:ascii="Times New Roman" w:hAnsi="Times New Roman"/>
          <w:sz w:val="24"/>
          <w:szCs w:val="24"/>
          <w:highlight w:val="none"/>
        </w:rPr>
        <w:t>头，哺乳猪</w:t>
      </w:r>
      <w:r>
        <w:rPr>
          <w:rFonts w:hint="eastAsia" w:ascii="Times New Roman" w:hAnsi="Times New Roman"/>
          <w:sz w:val="24"/>
          <w:szCs w:val="24"/>
          <w:highlight w:val="none"/>
          <w:lang w:val="en-US" w:eastAsia="zh-CN"/>
        </w:rPr>
        <w:t>1056</w:t>
      </w:r>
      <w:r>
        <w:rPr>
          <w:rFonts w:ascii="Times New Roman" w:hAnsi="Times New Roman"/>
          <w:sz w:val="24"/>
          <w:szCs w:val="24"/>
          <w:highlight w:val="none"/>
        </w:rPr>
        <w:t>头，保育猪</w:t>
      </w:r>
      <w:r>
        <w:rPr>
          <w:rFonts w:hint="eastAsia" w:ascii="Times New Roman" w:hAnsi="Times New Roman"/>
          <w:sz w:val="24"/>
          <w:szCs w:val="24"/>
          <w:highlight w:val="none"/>
          <w:lang w:val="en-US" w:eastAsia="zh-CN"/>
        </w:rPr>
        <w:t>20000</w:t>
      </w:r>
      <w:r>
        <w:rPr>
          <w:rFonts w:ascii="Times New Roman" w:hAnsi="Times New Roman"/>
          <w:sz w:val="24"/>
          <w:szCs w:val="24"/>
          <w:highlight w:val="none"/>
        </w:rPr>
        <w:t>头，育肥猪</w:t>
      </w:r>
      <w:r>
        <w:rPr>
          <w:rFonts w:hint="eastAsia" w:ascii="Times New Roman" w:hAnsi="Times New Roman"/>
          <w:sz w:val="24"/>
          <w:szCs w:val="24"/>
          <w:highlight w:val="none"/>
          <w:lang w:val="en-US" w:eastAsia="zh-CN"/>
        </w:rPr>
        <w:t>40000</w:t>
      </w:r>
      <w:r>
        <w:rPr>
          <w:rFonts w:ascii="Times New Roman" w:hAnsi="Times New Roman"/>
          <w:sz w:val="24"/>
          <w:szCs w:val="24"/>
          <w:highlight w:val="none"/>
        </w:rPr>
        <w:t>头，后备猪</w:t>
      </w:r>
      <w:r>
        <w:rPr>
          <w:rFonts w:hint="eastAsia" w:ascii="Times New Roman" w:hAnsi="Times New Roman"/>
          <w:sz w:val="24"/>
          <w:szCs w:val="24"/>
          <w:highlight w:val="none"/>
          <w:lang w:val="en-US" w:eastAsia="zh-CN"/>
        </w:rPr>
        <w:t>1200</w:t>
      </w:r>
      <w:r>
        <w:rPr>
          <w:rFonts w:ascii="Times New Roman" w:hAnsi="Times New Roman"/>
          <w:sz w:val="24"/>
          <w:szCs w:val="24"/>
          <w:highlight w:val="none"/>
        </w:rPr>
        <w:t>头。</w:t>
      </w:r>
      <w:r>
        <w:rPr>
          <w:rFonts w:ascii="Times New Roman" w:hAnsi="Times New Roman"/>
          <w:sz w:val="24"/>
          <w:highlight w:val="none"/>
        </w:rPr>
        <w:t>采用环保部认定的干清粪</w:t>
      </w:r>
      <w:r>
        <w:rPr>
          <w:rFonts w:ascii="Times New Roman" w:hAnsi="Times New Roman"/>
          <w:sz w:val="24"/>
          <w:szCs w:val="24"/>
          <w:highlight w:val="none"/>
        </w:rPr>
        <w:t>工艺，建设内容包括：怀孕舍</w:t>
      </w:r>
      <w:r>
        <w:rPr>
          <w:rFonts w:hint="eastAsia" w:ascii="Times New Roman" w:hAnsi="Times New Roman"/>
          <w:sz w:val="24"/>
          <w:szCs w:val="24"/>
          <w:highlight w:val="none"/>
          <w:lang w:val="en-US" w:eastAsia="zh-CN"/>
        </w:rPr>
        <w:t>27</w:t>
      </w:r>
      <w:r>
        <w:rPr>
          <w:rFonts w:ascii="Times New Roman" w:hAnsi="Times New Roman"/>
          <w:sz w:val="24"/>
          <w:szCs w:val="24"/>
          <w:highlight w:val="none"/>
        </w:rPr>
        <w:t>栋，哺乳舍</w:t>
      </w:r>
      <w:r>
        <w:rPr>
          <w:rFonts w:hint="eastAsia" w:ascii="Times New Roman" w:hAnsi="Times New Roman"/>
          <w:sz w:val="24"/>
          <w:szCs w:val="24"/>
          <w:highlight w:val="none"/>
          <w:lang w:val="en-US" w:eastAsia="zh-CN"/>
        </w:rPr>
        <w:t>24</w:t>
      </w:r>
      <w:r>
        <w:rPr>
          <w:rFonts w:ascii="Times New Roman" w:hAnsi="Times New Roman"/>
          <w:sz w:val="24"/>
          <w:szCs w:val="24"/>
          <w:highlight w:val="none"/>
        </w:rPr>
        <w:t>栋，后备舍</w:t>
      </w:r>
      <w:r>
        <w:rPr>
          <w:rFonts w:hint="eastAsia" w:ascii="Times New Roman" w:hAnsi="Times New Roman"/>
          <w:sz w:val="24"/>
          <w:szCs w:val="24"/>
          <w:highlight w:val="none"/>
          <w:lang w:val="en-US" w:eastAsia="zh-CN"/>
        </w:rPr>
        <w:t>6</w:t>
      </w:r>
      <w:r>
        <w:rPr>
          <w:rFonts w:ascii="Times New Roman" w:hAnsi="Times New Roman"/>
          <w:sz w:val="24"/>
          <w:szCs w:val="24"/>
          <w:highlight w:val="none"/>
        </w:rPr>
        <w:t>栋、保育舍</w:t>
      </w:r>
      <w:r>
        <w:rPr>
          <w:rFonts w:hint="eastAsia" w:ascii="Times New Roman" w:hAnsi="Times New Roman"/>
          <w:sz w:val="24"/>
          <w:szCs w:val="24"/>
          <w:highlight w:val="none"/>
          <w:lang w:val="en-US" w:eastAsia="zh-CN"/>
        </w:rPr>
        <w:t>48</w:t>
      </w:r>
      <w:r>
        <w:rPr>
          <w:rFonts w:ascii="Times New Roman" w:hAnsi="Times New Roman"/>
          <w:sz w:val="24"/>
          <w:szCs w:val="24"/>
          <w:highlight w:val="none"/>
        </w:rPr>
        <w:t>栋、育肥舍</w:t>
      </w:r>
      <w:r>
        <w:rPr>
          <w:rFonts w:hint="eastAsia" w:ascii="Times New Roman" w:hAnsi="Times New Roman"/>
          <w:sz w:val="24"/>
          <w:szCs w:val="24"/>
          <w:highlight w:val="none"/>
          <w:lang w:val="en-US" w:eastAsia="zh-CN"/>
        </w:rPr>
        <w:t>73</w:t>
      </w:r>
      <w:r>
        <w:rPr>
          <w:rFonts w:ascii="Times New Roman" w:hAnsi="Times New Roman"/>
          <w:sz w:val="24"/>
          <w:szCs w:val="24"/>
          <w:highlight w:val="none"/>
        </w:rPr>
        <w:t>栋，粪污处置工艺、沼液储存池及配套的生活设施、环保设施。</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hint="eastAsia" w:ascii="Times New Roman" w:hAnsi="Times New Roman"/>
          <w:bCs/>
          <w:color w:val="000000"/>
          <w:sz w:val="24"/>
          <w:szCs w:val="24"/>
          <w:highlight w:val="none"/>
          <w:lang w:val="en-US" w:eastAsia="zh-CN"/>
        </w:rPr>
        <w:t>2、</w:t>
      </w:r>
      <w:r>
        <w:rPr>
          <w:rFonts w:ascii="Times New Roman" w:hAnsi="Times New Roman"/>
          <w:bCs/>
          <w:color w:val="000000"/>
          <w:sz w:val="24"/>
          <w:szCs w:val="24"/>
          <w:highlight w:val="none"/>
        </w:rPr>
        <w:t>项目运行过程中产生的污染因素以废水、恶臭气体、固体废物和设备噪声为主。项目以</w:t>
      </w:r>
      <w:r>
        <w:rPr>
          <w:rFonts w:hint="eastAsia" w:asciiTheme="minorEastAsia" w:hAnsiTheme="minorEastAsia" w:eastAsiaTheme="minorEastAsia" w:cstheme="minorEastAsia"/>
          <w:bCs/>
          <w:color w:val="000000"/>
          <w:sz w:val="24"/>
          <w:szCs w:val="24"/>
          <w:highlight w:val="none"/>
        </w:rPr>
        <w:t>“预防为主、防治结合”</w:t>
      </w:r>
      <w:r>
        <w:rPr>
          <w:rFonts w:ascii="Times New Roman" w:hAnsi="Times New Roman"/>
          <w:bCs/>
          <w:color w:val="000000"/>
          <w:sz w:val="24"/>
          <w:szCs w:val="24"/>
          <w:highlight w:val="none"/>
        </w:rPr>
        <w:t>的技术方针，采用较为成熟的治理措施，可以将其对外环境的影响降至最低。</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hint="eastAsia" w:ascii="Times New Roman" w:hAnsi="Times New Roman"/>
          <w:bCs/>
          <w:color w:val="000000"/>
          <w:sz w:val="24"/>
          <w:szCs w:val="24"/>
          <w:highlight w:val="none"/>
          <w:lang w:val="en-US" w:eastAsia="zh-CN"/>
        </w:rPr>
        <w:t>3、</w:t>
      </w:r>
      <w:r>
        <w:rPr>
          <w:rFonts w:ascii="Times New Roman" w:hAnsi="Times New Roman"/>
          <w:bCs/>
          <w:color w:val="000000"/>
          <w:sz w:val="24"/>
          <w:szCs w:val="24"/>
          <w:highlight w:val="none"/>
        </w:rPr>
        <w:t>项目为规模化养殖，</w:t>
      </w:r>
      <w:r>
        <w:rPr>
          <w:rFonts w:ascii="Times New Roman" w:hAnsi="Times New Roman"/>
          <w:bCs/>
          <w:sz w:val="24"/>
          <w:szCs w:val="24"/>
          <w:highlight w:val="none"/>
        </w:rPr>
        <w:t>养殖区</w:t>
      </w:r>
      <w:r>
        <w:rPr>
          <w:rFonts w:ascii="Times New Roman" w:hAnsi="Times New Roman"/>
          <w:sz w:val="24"/>
          <w:highlight w:val="none"/>
        </w:rPr>
        <w:t>采用环保部认定的干清粪</w:t>
      </w:r>
      <w:r>
        <w:rPr>
          <w:rFonts w:ascii="Times New Roman" w:hAnsi="Times New Roman"/>
          <w:bCs/>
          <w:sz w:val="24"/>
          <w:szCs w:val="24"/>
          <w:highlight w:val="none"/>
        </w:rPr>
        <w:t>工艺，减少养殖过程中冲洗废水产生量、降低</w:t>
      </w:r>
      <w:r>
        <w:rPr>
          <w:rFonts w:ascii="Times New Roman" w:hAnsi="Times New Roman"/>
          <w:bCs/>
          <w:color w:val="000000"/>
          <w:sz w:val="24"/>
          <w:szCs w:val="24"/>
          <w:highlight w:val="none"/>
        </w:rPr>
        <w:t>废水中污染物的浓度；项目产生的猪粪以及本项目污水处理装置产生的粪渣运至场区固粪处理区，</w:t>
      </w:r>
      <w:r>
        <w:rPr>
          <w:rFonts w:ascii="Times New Roman" w:hAnsi="Times New Roman"/>
          <w:color w:val="000000"/>
          <w:sz w:val="24"/>
          <w:szCs w:val="21"/>
          <w:highlight w:val="none"/>
        </w:rPr>
        <w:t>进行发酵作为</w:t>
      </w:r>
      <w:r>
        <w:rPr>
          <w:rFonts w:ascii="Times New Roman" w:hAnsi="Times New Roman"/>
          <w:bCs/>
          <w:color w:val="000000"/>
          <w:sz w:val="24"/>
          <w:szCs w:val="24"/>
          <w:highlight w:val="none"/>
        </w:rPr>
        <w:t>有机肥原料外售；病死猪及母猪胎盘胎衣</w:t>
      </w:r>
      <w:r>
        <w:rPr>
          <w:rFonts w:ascii="Times New Roman" w:hAnsi="Times New Roman"/>
          <w:sz w:val="24"/>
          <w:highlight w:val="none"/>
        </w:rPr>
        <w:t>交由</w:t>
      </w:r>
      <w:r>
        <w:rPr>
          <w:rFonts w:ascii="Times New Roman" w:hAnsi="Times New Roman"/>
          <w:kern w:val="0"/>
          <w:sz w:val="24"/>
          <w:highlight w:val="none"/>
        </w:rPr>
        <w:t>正阳一场无害化处理车间进行</w:t>
      </w:r>
      <w:r>
        <w:rPr>
          <w:rFonts w:ascii="Times New Roman" w:hAnsi="Times New Roman"/>
          <w:bCs/>
          <w:color w:val="000000"/>
          <w:sz w:val="24"/>
          <w:szCs w:val="24"/>
          <w:highlight w:val="none"/>
        </w:rPr>
        <w:t>无害化处理。</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sz w:val="24"/>
          <w:szCs w:val="24"/>
          <w:highlight w:val="none"/>
        </w:rPr>
      </w:pPr>
      <w:r>
        <w:rPr>
          <w:rFonts w:hint="eastAsia" w:ascii="Times New Roman" w:hAnsi="Times New Roman"/>
          <w:bCs/>
          <w:color w:val="000000"/>
          <w:sz w:val="24"/>
          <w:szCs w:val="24"/>
          <w:highlight w:val="none"/>
          <w:lang w:val="en-US" w:eastAsia="zh-CN"/>
        </w:rPr>
        <w:t>4、</w:t>
      </w:r>
      <w:r>
        <w:rPr>
          <w:rFonts w:ascii="Times New Roman" w:hAnsi="Times New Roman"/>
          <w:bCs/>
          <w:color w:val="000000"/>
          <w:sz w:val="24"/>
          <w:szCs w:val="24"/>
          <w:highlight w:val="none"/>
        </w:rPr>
        <w:t>项目产生的废水采用</w:t>
      </w:r>
      <w:r>
        <w:rPr>
          <w:rFonts w:hint="eastAsia" w:asciiTheme="minorEastAsia" w:hAnsiTheme="minorEastAsia" w:eastAsiaTheme="minorEastAsia" w:cstheme="minorEastAsia"/>
          <w:bCs/>
          <w:color w:val="000000"/>
          <w:sz w:val="24"/>
          <w:szCs w:val="24"/>
          <w:highlight w:val="none"/>
        </w:rPr>
        <w:t>“污水厌氧处理+农田综合利用”的处理方式，实现废水资源化利用。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hint="eastAsia" w:ascii="Times New Roman" w:hAnsi="Times New Roman"/>
          <w:bCs/>
          <w:color w:val="000000"/>
          <w:sz w:val="24"/>
          <w:szCs w:val="24"/>
          <w:highlight w:val="none"/>
          <w:lang w:val="en-US" w:eastAsia="zh-CN"/>
        </w:rPr>
        <w:t>5、</w:t>
      </w:r>
      <w:r>
        <w:rPr>
          <w:rFonts w:ascii="Times New Roman" w:hAnsi="Times New Roman"/>
          <w:bCs/>
          <w:color w:val="000000"/>
          <w:sz w:val="24"/>
          <w:szCs w:val="24"/>
          <w:highlight w:val="none"/>
        </w:rPr>
        <w:t>项目养殖区产生的恶臭气体通过控制饲养密度、加强舍内通风、采用节水型饮水器及时清粪、绿化等措施抑制或减少臭气的产生。</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bCs/>
          <w:color w:val="000000"/>
          <w:sz w:val="24"/>
          <w:szCs w:val="24"/>
          <w:highlight w:val="none"/>
          <w:lang w:eastAsia="zh-CN"/>
        </w:rPr>
      </w:pPr>
      <w:r>
        <w:rPr>
          <w:rFonts w:hint="eastAsia" w:ascii="Times New Roman" w:hAnsi="Times New Roman"/>
          <w:bCs/>
          <w:color w:val="000000"/>
          <w:sz w:val="24"/>
          <w:szCs w:val="24"/>
          <w:highlight w:val="none"/>
          <w:lang w:eastAsia="zh-CN"/>
        </w:rPr>
        <w:t>（</w:t>
      </w:r>
      <w:r>
        <w:rPr>
          <w:rFonts w:hint="eastAsia" w:ascii="Times New Roman" w:hAnsi="Times New Roman"/>
          <w:bCs/>
          <w:color w:val="000000"/>
          <w:sz w:val="24"/>
          <w:szCs w:val="24"/>
          <w:highlight w:val="none"/>
          <w:lang w:val="en-US" w:eastAsia="zh-CN"/>
        </w:rPr>
        <w:t>2</w:t>
      </w:r>
      <w:r>
        <w:rPr>
          <w:rFonts w:hint="eastAsia" w:ascii="Times New Roman" w:hAnsi="Times New Roman"/>
          <w:bCs/>
          <w:color w:val="000000"/>
          <w:sz w:val="24"/>
          <w:szCs w:val="24"/>
          <w:highlight w:val="none"/>
          <w:lang w:eastAsia="zh-CN"/>
        </w:rPr>
        <w:t>）环境特点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hint="eastAsia" w:ascii="Times New Roman" w:hAnsi="Times New Roman"/>
          <w:bCs/>
          <w:color w:val="000000"/>
          <w:sz w:val="24"/>
          <w:szCs w:val="24"/>
          <w:highlight w:val="none"/>
          <w:lang w:val="en-US" w:eastAsia="zh-CN"/>
        </w:rPr>
        <w:t>1、</w:t>
      </w:r>
      <w:r>
        <w:rPr>
          <w:rFonts w:ascii="Times New Roman" w:hAnsi="Times New Roman"/>
          <w:color w:val="000000"/>
          <w:sz w:val="24"/>
          <w:szCs w:val="24"/>
          <w:highlight w:val="none"/>
        </w:rPr>
        <w:t>距离最近的水体为项目</w:t>
      </w:r>
      <w:r>
        <w:rPr>
          <w:rFonts w:hint="eastAsia" w:ascii="Times New Roman" w:hAnsi="Times New Roman"/>
          <w:color w:val="000000"/>
          <w:sz w:val="24"/>
          <w:szCs w:val="24"/>
          <w:highlight w:val="none"/>
          <w:lang w:eastAsia="zh-CN"/>
        </w:rPr>
        <w:t>北</w:t>
      </w:r>
      <w:r>
        <w:rPr>
          <w:rFonts w:ascii="Times New Roman" w:hAnsi="Times New Roman"/>
          <w:color w:val="000000"/>
          <w:sz w:val="24"/>
          <w:szCs w:val="24"/>
          <w:highlight w:val="none"/>
        </w:rPr>
        <w:t>侧</w:t>
      </w:r>
      <w:r>
        <w:rPr>
          <w:rFonts w:hint="eastAsia" w:ascii="Times New Roman" w:hAnsi="Times New Roman"/>
          <w:color w:val="000000"/>
          <w:sz w:val="24"/>
          <w:szCs w:val="24"/>
          <w:highlight w:val="none"/>
          <w:lang w:val="en-US" w:eastAsia="zh-CN"/>
        </w:rPr>
        <w:t>2850</w:t>
      </w:r>
      <w:r>
        <w:rPr>
          <w:rFonts w:ascii="Times New Roman" w:hAnsi="Times New Roman"/>
          <w:color w:val="000000"/>
          <w:sz w:val="24"/>
          <w:szCs w:val="24"/>
          <w:highlight w:val="none"/>
        </w:rPr>
        <w:t>m</w:t>
      </w:r>
      <w:r>
        <w:rPr>
          <w:rFonts w:hint="eastAsia" w:ascii="Times New Roman" w:hAnsi="Times New Roman"/>
          <w:color w:val="000000"/>
          <w:sz w:val="24"/>
          <w:szCs w:val="24"/>
          <w:highlight w:val="none"/>
          <w:lang w:eastAsia="zh-CN"/>
        </w:rPr>
        <w:t>处</w:t>
      </w:r>
      <w:r>
        <w:rPr>
          <w:rFonts w:ascii="Times New Roman" w:hAnsi="Times New Roman"/>
          <w:color w:val="000000"/>
          <w:sz w:val="24"/>
          <w:szCs w:val="24"/>
          <w:highlight w:val="none"/>
        </w:rPr>
        <w:t>的</w:t>
      </w:r>
      <w:r>
        <w:rPr>
          <w:rFonts w:hint="eastAsia" w:ascii="Times New Roman" w:hAnsi="Times New Roman"/>
          <w:color w:val="000000"/>
          <w:sz w:val="24"/>
          <w:szCs w:val="24"/>
          <w:highlight w:val="none"/>
          <w:lang w:eastAsia="zh-CN"/>
        </w:rPr>
        <w:t>清水河</w:t>
      </w:r>
      <w:r>
        <w:rPr>
          <w:rFonts w:ascii="Times New Roman" w:hAnsi="Times New Roman"/>
          <w:color w:val="000000"/>
          <w:sz w:val="24"/>
          <w:szCs w:val="24"/>
          <w:highlight w:val="none"/>
        </w:rPr>
        <w:t>，属Ⅲ类地表水体，</w:t>
      </w:r>
      <w:r>
        <w:rPr>
          <w:rFonts w:ascii="Times New Roman" w:hAnsi="Times New Roman"/>
          <w:bCs/>
          <w:color w:val="000000"/>
          <w:sz w:val="24"/>
          <w:szCs w:val="24"/>
          <w:highlight w:val="none"/>
        </w:rPr>
        <w:t>水</w:t>
      </w:r>
      <w:r>
        <w:rPr>
          <w:rFonts w:ascii="Times New Roman" w:hAnsi="Times New Roman"/>
          <w:color w:val="000000"/>
          <w:sz w:val="24"/>
          <w:szCs w:val="24"/>
          <w:highlight w:val="none"/>
        </w:rPr>
        <w:t>质功能区划为Ⅲ类，</w:t>
      </w:r>
      <w:r>
        <w:rPr>
          <w:rFonts w:ascii="Times New Roman" w:hAnsi="Times New Roman"/>
          <w:color w:val="000000"/>
          <w:sz w:val="24"/>
          <w:szCs w:val="24"/>
          <w:highlight w:val="none"/>
          <w:lang w:val="zh-CN"/>
        </w:rPr>
        <w:t>用</w:t>
      </w:r>
      <w:r>
        <w:rPr>
          <w:rFonts w:ascii="Times New Roman" w:hAnsi="Times New Roman"/>
          <w:color w:val="000000"/>
          <w:sz w:val="24"/>
          <w:highlight w:val="none"/>
          <w:lang w:val="zh-CN"/>
        </w:rPr>
        <w:t>于农田灌溉，防洪排涝</w:t>
      </w:r>
      <w:r>
        <w:rPr>
          <w:rFonts w:ascii="Times New Roman" w:hAnsi="Times New Roman"/>
          <w:color w:val="000000"/>
          <w:sz w:val="24"/>
          <w:szCs w:val="24"/>
          <w:highlight w:val="none"/>
        </w:rPr>
        <w:t>；项目所在地环境空气为二类功能区；声环境功能区为2类。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hint="eastAsia" w:ascii="Times New Roman" w:hAnsi="Times New Roman"/>
          <w:color w:val="000000"/>
          <w:sz w:val="24"/>
          <w:szCs w:val="24"/>
          <w:highlight w:val="none"/>
          <w:lang w:val="en-US" w:eastAsia="zh-CN"/>
        </w:rPr>
        <w:t>2、</w:t>
      </w:r>
      <w:r>
        <w:rPr>
          <w:rFonts w:ascii="Times New Roman" w:hAnsi="Times New Roman"/>
          <w:color w:val="000000"/>
          <w:sz w:val="24"/>
          <w:highlight w:val="none"/>
          <w:lang w:val="zh-CN"/>
        </w:rPr>
        <w:t>该项目位于</w:t>
      </w:r>
      <w:r>
        <w:rPr>
          <w:rFonts w:ascii="Times New Roman" w:hAnsi="Times New Roman"/>
          <w:color w:val="000000"/>
          <w:sz w:val="24"/>
          <w:highlight w:val="none"/>
        </w:rPr>
        <w:t>正阳县</w:t>
      </w:r>
      <w:r>
        <w:rPr>
          <w:rFonts w:hint="eastAsia" w:ascii="Times New Roman" w:hAnsi="Times New Roman"/>
          <w:color w:val="000000"/>
          <w:sz w:val="24"/>
          <w:highlight w:val="none"/>
        </w:rPr>
        <w:t>铜钟镇</w:t>
      </w:r>
      <w:r>
        <w:rPr>
          <w:rFonts w:hint="eastAsia"/>
          <w:color w:val="000000"/>
          <w:sz w:val="24"/>
          <w:highlight w:val="none"/>
          <w:lang w:eastAsia="zh-CN"/>
        </w:rPr>
        <w:t>崔塘村</w:t>
      </w:r>
      <w:r>
        <w:rPr>
          <w:rFonts w:ascii="Times New Roman" w:hAnsi="Times New Roman"/>
          <w:color w:val="000000"/>
          <w:sz w:val="24"/>
          <w:highlight w:val="none"/>
          <w:lang w:val="zh-CN"/>
        </w:rPr>
        <w:t>，场区四周农田围绕，地形相对平坦。种植作物有玉米、小麦等；场址周围敏感点有：</w:t>
      </w:r>
      <w:r>
        <w:rPr>
          <w:rFonts w:hint="eastAsia" w:ascii="Times New Roman" w:hAnsi="Times New Roman"/>
          <w:bCs/>
          <w:color w:val="000000"/>
          <w:sz w:val="24"/>
          <w:highlight w:val="none"/>
          <w:lang w:eastAsia="zh-CN"/>
        </w:rPr>
        <w:t>北</w:t>
      </w:r>
      <w:r>
        <w:rPr>
          <w:rFonts w:ascii="Times New Roman" w:hAnsi="Times New Roman"/>
          <w:bCs/>
          <w:color w:val="000000"/>
          <w:sz w:val="24"/>
          <w:highlight w:val="none"/>
          <w:lang w:val="zh-CN"/>
        </w:rPr>
        <w:t>侧</w:t>
      </w:r>
      <w:r>
        <w:rPr>
          <w:rFonts w:hint="eastAsia" w:ascii="Times New Roman" w:hAnsi="Times New Roman"/>
          <w:bCs/>
          <w:color w:val="000000"/>
          <w:sz w:val="24"/>
          <w:highlight w:val="none"/>
          <w:lang w:val="en-US" w:eastAsia="zh-CN"/>
        </w:rPr>
        <w:t>250</w:t>
      </w:r>
      <w:r>
        <w:rPr>
          <w:rFonts w:ascii="Times New Roman" w:hAnsi="Times New Roman"/>
          <w:bCs/>
          <w:color w:val="000000"/>
          <w:sz w:val="24"/>
          <w:highlight w:val="none"/>
        </w:rPr>
        <w:t>m</w:t>
      </w:r>
      <w:r>
        <w:rPr>
          <w:rFonts w:ascii="Times New Roman" w:hAnsi="Times New Roman"/>
          <w:bCs/>
          <w:color w:val="000000"/>
          <w:sz w:val="24"/>
          <w:highlight w:val="none"/>
          <w:lang w:val="zh-CN"/>
        </w:rPr>
        <w:t>处为</w:t>
      </w:r>
      <w:r>
        <w:rPr>
          <w:rFonts w:hint="eastAsia"/>
          <w:bCs/>
          <w:color w:val="000000"/>
          <w:sz w:val="24"/>
          <w:highlight w:val="none"/>
          <w:lang w:eastAsia="zh-CN"/>
        </w:rPr>
        <w:t>崔塘村</w:t>
      </w:r>
      <w:r>
        <w:rPr>
          <w:rFonts w:ascii="Times New Roman" w:hAnsi="Times New Roman"/>
          <w:bCs/>
          <w:color w:val="000000"/>
          <w:sz w:val="24"/>
          <w:highlight w:val="none"/>
          <w:lang w:val="zh-CN"/>
        </w:rPr>
        <w:t>，西侧</w:t>
      </w:r>
      <w:r>
        <w:rPr>
          <w:rFonts w:hint="eastAsia" w:ascii="Times New Roman" w:hAnsi="Times New Roman"/>
          <w:bCs/>
          <w:color w:val="000000"/>
          <w:sz w:val="24"/>
          <w:highlight w:val="none"/>
          <w:lang w:val="en-US" w:eastAsia="zh-CN"/>
        </w:rPr>
        <w:t>230</w:t>
      </w:r>
      <w:r>
        <w:rPr>
          <w:rFonts w:ascii="Times New Roman" w:hAnsi="Times New Roman"/>
          <w:bCs/>
          <w:color w:val="000000"/>
          <w:sz w:val="24"/>
          <w:highlight w:val="none"/>
          <w:lang w:val="zh-CN"/>
        </w:rPr>
        <w:t>m处为</w:t>
      </w:r>
      <w:r>
        <w:rPr>
          <w:rFonts w:hint="eastAsia" w:ascii="Times New Roman" w:hAnsi="Times New Roman"/>
          <w:bCs/>
          <w:color w:val="000000"/>
          <w:sz w:val="24"/>
          <w:highlight w:val="none"/>
          <w:lang w:eastAsia="zh-CN"/>
        </w:rPr>
        <w:t>黎刘庄</w:t>
      </w:r>
      <w:r>
        <w:rPr>
          <w:rFonts w:ascii="Times New Roman" w:hAnsi="Times New Roman"/>
          <w:bCs/>
          <w:color w:val="000000"/>
          <w:sz w:val="24"/>
          <w:highlight w:val="none"/>
          <w:lang w:val="zh-CN"/>
        </w:rPr>
        <w:t>，</w:t>
      </w:r>
      <w:r>
        <w:rPr>
          <w:rFonts w:hint="eastAsia" w:ascii="Times New Roman" w:hAnsi="Times New Roman"/>
          <w:bCs/>
          <w:color w:val="000000"/>
          <w:sz w:val="24"/>
          <w:highlight w:val="none"/>
          <w:lang w:val="zh-CN"/>
        </w:rPr>
        <w:t>东北</w:t>
      </w:r>
      <w:r>
        <w:rPr>
          <w:rFonts w:ascii="Times New Roman" w:hAnsi="Times New Roman"/>
          <w:bCs/>
          <w:color w:val="000000"/>
          <w:sz w:val="24"/>
          <w:highlight w:val="none"/>
          <w:lang w:val="zh-CN"/>
        </w:rPr>
        <w:t>侧</w:t>
      </w:r>
      <w:r>
        <w:rPr>
          <w:rFonts w:ascii="Times New Roman" w:hAnsi="Times New Roman"/>
          <w:bCs/>
          <w:color w:val="000000"/>
          <w:sz w:val="24"/>
          <w:highlight w:val="none"/>
        </w:rPr>
        <w:t>4</w:t>
      </w:r>
      <w:r>
        <w:rPr>
          <w:rFonts w:hint="eastAsia" w:ascii="Times New Roman" w:hAnsi="Times New Roman"/>
          <w:bCs/>
          <w:color w:val="000000"/>
          <w:sz w:val="24"/>
          <w:highlight w:val="none"/>
          <w:lang w:val="en-US" w:eastAsia="zh-CN"/>
        </w:rPr>
        <w:t>27</w:t>
      </w:r>
      <w:r>
        <w:rPr>
          <w:rFonts w:ascii="Times New Roman" w:hAnsi="Times New Roman"/>
          <w:bCs/>
          <w:color w:val="000000"/>
          <w:sz w:val="24"/>
          <w:highlight w:val="none"/>
        </w:rPr>
        <w:t>m</w:t>
      </w:r>
      <w:r>
        <w:rPr>
          <w:rFonts w:ascii="Times New Roman" w:hAnsi="Times New Roman"/>
          <w:bCs/>
          <w:color w:val="000000"/>
          <w:sz w:val="24"/>
          <w:highlight w:val="none"/>
          <w:lang w:val="zh-CN"/>
        </w:rPr>
        <w:t>处为</w:t>
      </w:r>
      <w:r>
        <w:rPr>
          <w:rFonts w:hint="eastAsia" w:ascii="Times New Roman" w:hAnsi="Times New Roman"/>
          <w:bCs/>
          <w:color w:val="000000"/>
          <w:sz w:val="24"/>
          <w:highlight w:val="none"/>
          <w:lang w:eastAsia="zh-CN"/>
        </w:rPr>
        <w:t>任庄</w:t>
      </w:r>
      <w:r>
        <w:rPr>
          <w:rFonts w:ascii="Times New Roman" w:hAnsi="Times New Roman"/>
          <w:bCs/>
          <w:color w:val="000000"/>
          <w:sz w:val="24"/>
          <w:highlight w:val="none"/>
          <w:lang w:val="zh-CN"/>
        </w:rPr>
        <w:t>，东</w:t>
      </w:r>
      <w:r>
        <w:rPr>
          <w:rFonts w:hint="eastAsia" w:ascii="Times New Roman" w:hAnsi="Times New Roman"/>
          <w:bCs/>
          <w:color w:val="000000"/>
          <w:sz w:val="24"/>
          <w:highlight w:val="none"/>
          <w:lang w:val="zh-CN"/>
        </w:rPr>
        <w:t>南</w:t>
      </w:r>
      <w:r>
        <w:rPr>
          <w:rFonts w:ascii="Times New Roman" w:hAnsi="Times New Roman"/>
          <w:bCs/>
          <w:color w:val="000000"/>
          <w:sz w:val="24"/>
          <w:highlight w:val="none"/>
          <w:lang w:val="zh-CN"/>
        </w:rPr>
        <w:t>侧</w:t>
      </w:r>
      <w:r>
        <w:rPr>
          <w:rFonts w:hint="eastAsia" w:ascii="Times New Roman" w:hAnsi="Times New Roman"/>
          <w:bCs/>
          <w:color w:val="000000"/>
          <w:sz w:val="24"/>
          <w:highlight w:val="none"/>
          <w:lang w:val="en-US" w:eastAsia="zh-CN"/>
        </w:rPr>
        <w:t>400</w:t>
      </w:r>
      <w:r>
        <w:rPr>
          <w:rFonts w:ascii="Times New Roman" w:hAnsi="Times New Roman"/>
          <w:bCs/>
          <w:color w:val="000000"/>
          <w:sz w:val="24"/>
          <w:highlight w:val="none"/>
          <w:lang w:val="zh-CN"/>
        </w:rPr>
        <w:t>m处为</w:t>
      </w:r>
      <w:r>
        <w:rPr>
          <w:rFonts w:hint="eastAsia" w:ascii="Times New Roman" w:hAnsi="Times New Roman"/>
          <w:bCs/>
          <w:color w:val="000000"/>
          <w:sz w:val="24"/>
          <w:highlight w:val="none"/>
          <w:lang w:eastAsia="zh-CN"/>
        </w:rPr>
        <w:t>刘小</w:t>
      </w:r>
      <w:r>
        <w:rPr>
          <w:rFonts w:ascii="Times New Roman" w:hAnsi="Times New Roman"/>
          <w:bCs/>
          <w:color w:val="000000"/>
          <w:sz w:val="24"/>
          <w:highlight w:val="none"/>
        </w:rPr>
        <w:t>庄</w:t>
      </w:r>
      <w:r>
        <w:rPr>
          <w:rFonts w:hint="eastAsia" w:ascii="Times New Roman" w:hAnsi="Times New Roman"/>
          <w:bCs/>
          <w:color w:val="000000"/>
          <w:sz w:val="24"/>
          <w:highlight w:val="none"/>
          <w:lang w:eastAsia="zh-CN"/>
        </w:rPr>
        <w:t>，</w:t>
      </w:r>
      <w:r>
        <w:rPr>
          <w:rFonts w:hint="eastAsia" w:ascii="Times New Roman" w:hAnsi="Times New Roman"/>
          <w:bCs/>
          <w:color w:val="000000"/>
          <w:sz w:val="24"/>
          <w:highlight w:val="none"/>
          <w:lang w:val="zh-CN"/>
        </w:rPr>
        <w:t>南</w:t>
      </w:r>
      <w:r>
        <w:rPr>
          <w:rFonts w:ascii="Times New Roman" w:hAnsi="Times New Roman"/>
          <w:bCs/>
          <w:color w:val="000000"/>
          <w:sz w:val="24"/>
          <w:highlight w:val="none"/>
          <w:lang w:val="zh-CN"/>
        </w:rPr>
        <w:t>侧</w:t>
      </w:r>
      <w:r>
        <w:rPr>
          <w:rFonts w:hint="eastAsia"/>
          <w:bCs/>
          <w:color w:val="000000"/>
          <w:sz w:val="24"/>
          <w:highlight w:val="none"/>
          <w:lang w:val="en-US" w:eastAsia="zh-CN"/>
        </w:rPr>
        <w:t>54</w:t>
      </w:r>
      <w:r>
        <w:rPr>
          <w:rFonts w:hint="eastAsia" w:ascii="Times New Roman" w:hAnsi="Times New Roman"/>
          <w:bCs/>
          <w:color w:val="000000"/>
          <w:sz w:val="24"/>
          <w:highlight w:val="none"/>
          <w:lang w:val="en-US" w:eastAsia="zh-CN"/>
        </w:rPr>
        <w:t>0</w:t>
      </w:r>
      <w:r>
        <w:rPr>
          <w:rFonts w:ascii="Times New Roman" w:hAnsi="Times New Roman"/>
          <w:bCs/>
          <w:color w:val="000000"/>
          <w:sz w:val="24"/>
          <w:highlight w:val="none"/>
          <w:lang w:val="zh-CN"/>
        </w:rPr>
        <w:t>m处为</w:t>
      </w:r>
      <w:r>
        <w:rPr>
          <w:rFonts w:hint="eastAsia"/>
          <w:bCs/>
          <w:color w:val="000000"/>
          <w:sz w:val="24"/>
          <w:highlight w:val="none"/>
          <w:lang w:eastAsia="zh-CN"/>
        </w:rPr>
        <w:t>东侯</w:t>
      </w:r>
      <w:r>
        <w:rPr>
          <w:rFonts w:ascii="Times New Roman" w:hAnsi="Times New Roman"/>
          <w:bCs/>
          <w:color w:val="000000"/>
          <w:sz w:val="24"/>
          <w:highlight w:val="none"/>
        </w:rPr>
        <w:t>庄。</w:t>
      </w:r>
      <w:r>
        <w:rPr>
          <w:rFonts w:ascii="Times New Roman" w:hAnsi="Times New Roman"/>
          <w:color w:val="000000"/>
          <w:sz w:val="24"/>
          <w:highlight w:val="none"/>
        </w:rPr>
        <w:t>根据本次评价调查，项目所在区周边3km范围内无规模化养殖场。项目周围环境示意图见附图</w:t>
      </w:r>
      <w:r>
        <w:rPr>
          <w:rFonts w:hint="eastAsia"/>
          <w:color w:val="000000"/>
          <w:sz w:val="24"/>
          <w:highlight w:val="none"/>
          <w:lang w:eastAsia="zh-CN"/>
        </w:rPr>
        <w:t>三</w:t>
      </w:r>
      <w:r>
        <w:rPr>
          <w:rFonts w:ascii="Times New Roman" w:hAnsi="Times New Roman"/>
          <w:color w:val="000000"/>
          <w:sz w:val="24"/>
          <w:highlight w:val="none"/>
        </w:rPr>
        <w:t>。</w:t>
      </w:r>
    </w:p>
    <w:p>
      <w:pPr>
        <w:pStyle w:val="41"/>
        <w:numPr>
          <w:ilvl w:val="0"/>
          <w:numId w:val="1"/>
        </w:numPr>
        <w:rPr>
          <w:rFonts w:cs="Times New Roman"/>
          <w:highlight w:val="none"/>
        </w:rPr>
      </w:pPr>
      <w:r>
        <w:rPr>
          <w:rFonts w:hint="eastAsia" w:cs="Times New Roman"/>
          <w:highlight w:val="none"/>
          <w:lang w:eastAsia="zh-CN"/>
        </w:rPr>
        <w:t>分析判定情况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（1）产业政策相符性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sz w:val="24"/>
          <w:highlight w:val="none"/>
        </w:rPr>
        <w:t>本项目为生猪规模化养殖建设项目。根据国家发展和改革委员会第21号令《产业结构调整指导目录（2019年本）》，本项目属于第一类鼓励类中</w:t>
      </w:r>
      <w:r>
        <w:rPr>
          <w:rFonts w:hint="eastAsia" w:asciiTheme="minorEastAsia" w:hAnsiTheme="minorEastAsia" w:eastAsiaTheme="minorEastAsia" w:cstheme="minorEastAsia"/>
          <w:sz w:val="24"/>
          <w:highlight w:val="none"/>
        </w:rPr>
        <w:t>“一、农林业第4条畜禽标准化规模养殖技术开发与应用”</w:t>
      </w:r>
      <w:r>
        <w:rPr>
          <w:rFonts w:ascii="Times New Roman" w:hAnsi="Times New Roman"/>
          <w:sz w:val="24"/>
          <w:highlight w:val="none"/>
        </w:rPr>
        <w:t>，符合国家现行的有关产业政策。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（2）规划相符性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1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①</w:t>
      </w:r>
      <w:r>
        <w:rPr>
          <w:rFonts w:ascii="Times New Roman" w:hAnsi="Times New Roman"/>
          <w:sz w:val="24"/>
          <w:szCs w:val="24"/>
          <w:highlight w:val="none"/>
        </w:rPr>
        <w:fldChar w:fldCharType="end"/>
      </w:r>
      <w:r>
        <w:rPr>
          <w:rFonts w:ascii="Times New Roman" w:hAnsi="Times New Roman"/>
          <w:sz w:val="24"/>
          <w:szCs w:val="24"/>
          <w:highlight w:val="none"/>
        </w:rPr>
        <w:t>正阳县城市总体发展规划（2011-2030）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本项目位于正阳县</w:t>
      </w:r>
      <w:r>
        <w:rPr>
          <w:rFonts w:hint="eastAsia" w:ascii="Times New Roman" w:hAnsi="Times New Roman"/>
          <w:sz w:val="24"/>
          <w:szCs w:val="24"/>
          <w:highlight w:val="none"/>
          <w:lang w:eastAsia="zh-CN"/>
        </w:rPr>
        <w:t>铜钟镇</w:t>
      </w:r>
      <w:r>
        <w:rPr>
          <w:rFonts w:hint="eastAsia"/>
          <w:sz w:val="24"/>
          <w:szCs w:val="24"/>
          <w:highlight w:val="none"/>
          <w:lang w:eastAsia="zh-CN"/>
        </w:rPr>
        <w:t>崔塘村</w:t>
      </w:r>
      <w:r>
        <w:rPr>
          <w:rFonts w:ascii="Times New Roman" w:hAnsi="Times New Roman"/>
          <w:sz w:val="24"/>
          <w:szCs w:val="24"/>
          <w:highlight w:val="none"/>
        </w:rPr>
        <w:t>，不在正阳县城市总体发展规划（2011-2030）范围内，故本次项目的建设不违背正阳县城市总体发展规划（2011-2030）。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2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②</w:t>
      </w:r>
      <w:r>
        <w:rPr>
          <w:rFonts w:ascii="Times New Roman" w:hAnsi="Times New Roman"/>
          <w:sz w:val="24"/>
          <w:szCs w:val="24"/>
          <w:highlight w:val="none"/>
        </w:rPr>
        <w:fldChar w:fldCharType="end"/>
      </w:r>
      <w:r>
        <w:rPr>
          <w:rFonts w:ascii="Times New Roman" w:hAnsi="Times New Roman"/>
          <w:sz w:val="24"/>
          <w:szCs w:val="24"/>
          <w:highlight w:val="none"/>
        </w:rPr>
        <w:t>土地利用规划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本项目拟建场址位于正阳县</w:t>
      </w:r>
      <w:r>
        <w:rPr>
          <w:rFonts w:hint="eastAsia" w:ascii="Times New Roman" w:hAnsi="Times New Roman"/>
          <w:sz w:val="24"/>
          <w:szCs w:val="24"/>
          <w:highlight w:val="none"/>
          <w:lang w:eastAsia="zh-CN"/>
        </w:rPr>
        <w:t>铜钟镇</w:t>
      </w:r>
      <w:r>
        <w:rPr>
          <w:rFonts w:hint="eastAsia"/>
          <w:sz w:val="24"/>
          <w:szCs w:val="24"/>
          <w:highlight w:val="none"/>
          <w:lang w:eastAsia="zh-CN"/>
        </w:rPr>
        <w:t>崔塘村</w:t>
      </w:r>
      <w:r>
        <w:rPr>
          <w:rFonts w:ascii="Times New Roman" w:hAnsi="Times New Roman"/>
          <w:sz w:val="24"/>
          <w:szCs w:val="24"/>
          <w:highlight w:val="none"/>
        </w:rPr>
        <w:t>，本项目占地为一般农用地，项目用地符合</w:t>
      </w:r>
      <w:r>
        <w:rPr>
          <w:rFonts w:hint="eastAsia" w:ascii="Times New Roman" w:hAnsi="Times New Roman"/>
          <w:sz w:val="24"/>
          <w:szCs w:val="24"/>
          <w:highlight w:val="none"/>
          <w:lang w:eastAsia="zh-CN"/>
        </w:rPr>
        <w:t>铜钟镇</w:t>
      </w:r>
      <w:r>
        <w:rPr>
          <w:rFonts w:ascii="Times New Roman" w:hAnsi="Times New Roman"/>
          <w:sz w:val="24"/>
          <w:szCs w:val="24"/>
          <w:highlight w:val="none"/>
        </w:rPr>
        <w:t>建设总体规划要求。正阳县国土局及规划证明见附件</w:t>
      </w:r>
      <w:r>
        <w:rPr>
          <w:rFonts w:hint="eastAsia"/>
          <w:sz w:val="24"/>
          <w:szCs w:val="24"/>
          <w:highlight w:val="none"/>
          <w:lang w:eastAsia="zh-CN"/>
        </w:rPr>
        <w:t>六</w:t>
      </w:r>
      <w:r>
        <w:rPr>
          <w:rFonts w:ascii="Times New Roman" w:hAnsi="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fldChar w:fldCharType="begin"/>
      </w:r>
      <w:r>
        <w:rPr>
          <w:rFonts w:ascii="Times New Roman" w:hAnsi="Times New Roman"/>
          <w:sz w:val="24"/>
          <w:szCs w:val="24"/>
          <w:highlight w:val="none"/>
        </w:rPr>
        <w:instrText xml:space="preserve"> = 3 \* GB3 \* MERGEFORMAT </w:instrText>
      </w:r>
      <w:r>
        <w:rPr>
          <w:rFonts w:ascii="Times New Roman" w:hAnsi="Times New Roman"/>
          <w:sz w:val="24"/>
          <w:szCs w:val="24"/>
          <w:highlight w:val="none"/>
        </w:rPr>
        <w:fldChar w:fldCharType="separate"/>
      </w:r>
      <w:r>
        <w:rPr>
          <w:rFonts w:ascii="Times New Roman" w:hAnsi="Times New Roman"/>
          <w:sz w:val="24"/>
          <w:szCs w:val="24"/>
          <w:highlight w:val="none"/>
        </w:rPr>
        <w:t>③</w:t>
      </w:r>
      <w:r>
        <w:rPr>
          <w:rFonts w:ascii="Times New Roman" w:hAnsi="Times New Roman"/>
          <w:sz w:val="24"/>
          <w:szCs w:val="24"/>
          <w:highlight w:val="none"/>
        </w:rPr>
        <w:fldChar w:fldCharType="end"/>
      </w:r>
      <w:r>
        <w:rPr>
          <w:rFonts w:ascii="Times New Roman" w:hAnsi="Times New Roman"/>
          <w:sz w:val="24"/>
          <w:szCs w:val="24"/>
          <w:highlight w:val="none"/>
        </w:rPr>
        <w:t>饮用水源地保护区划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根据《河南省县级集中式饮用水水源保护区划》（豫政办〔2013〕107号）划分的结果可知，本项目距正阳县城市饮用水水源地一级保护区最近距离约为</w:t>
      </w:r>
      <w:r>
        <w:rPr>
          <w:rFonts w:hint="eastAsia"/>
          <w:sz w:val="24"/>
          <w:szCs w:val="24"/>
          <w:highlight w:val="none"/>
          <w:lang w:val="en-US" w:eastAsia="zh-CN"/>
        </w:rPr>
        <w:t>22.7</w:t>
      </w:r>
      <w:r>
        <w:rPr>
          <w:rFonts w:ascii="Times New Roman" w:hAnsi="Times New Roman"/>
          <w:sz w:val="24"/>
          <w:szCs w:val="24"/>
          <w:highlight w:val="none"/>
        </w:rPr>
        <w:t>km，不在正阳县饮用水水源保护区范围内，故项目的建设与正阳县饮用水水源地保护区划是不冲突的。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根据《河南省乡镇集中式饮用水水源保护区划》（豫政办〔2016〕23号）划分的结果可知，本项目距</w:t>
      </w:r>
      <w:r>
        <w:rPr>
          <w:rFonts w:hint="eastAsia" w:ascii="Times New Roman" w:hAnsi="Times New Roman"/>
          <w:sz w:val="24"/>
          <w:szCs w:val="24"/>
          <w:highlight w:val="none"/>
          <w:lang w:eastAsia="zh-CN"/>
        </w:rPr>
        <w:t>铜钟镇</w:t>
      </w:r>
      <w:r>
        <w:rPr>
          <w:rFonts w:ascii="Times New Roman" w:hAnsi="Times New Roman"/>
          <w:sz w:val="24"/>
          <w:szCs w:val="24"/>
          <w:highlight w:val="none"/>
        </w:rPr>
        <w:t>饮用水水源地一级保护区最近距离约为</w:t>
      </w:r>
      <w:r>
        <w:rPr>
          <w:rFonts w:hint="eastAsia"/>
          <w:sz w:val="24"/>
          <w:szCs w:val="24"/>
          <w:highlight w:val="none"/>
          <w:lang w:val="en-US" w:eastAsia="zh-CN"/>
        </w:rPr>
        <w:t>1.3</w:t>
      </w:r>
      <w:r>
        <w:rPr>
          <w:rFonts w:ascii="Times New Roman" w:hAnsi="Times New Roman"/>
          <w:sz w:val="24"/>
          <w:szCs w:val="24"/>
          <w:highlight w:val="none"/>
        </w:rPr>
        <w:t>km，不在</w:t>
      </w:r>
      <w:r>
        <w:rPr>
          <w:rFonts w:hint="eastAsia" w:ascii="Times New Roman" w:hAnsi="Times New Roman"/>
          <w:sz w:val="24"/>
          <w:szCs w:val="24"/>
          <w:highlight w:val="none"/>
          <w:lang w:eastAsia="zh-CN"/>
        </w:rPr>
        <w:t>铜钟镇</w:t>
      </w:r>
      <w:r>
        <w:rPr>
          <w:rFonts w:ascii="Times New Roman" w:hAnsi="Times New Roman"/>
          <w:sz w:val="24"/>
          <w:szCs w:val="24"/>
          <w:highlight w:val="none"/>
        </w:rPr>
        <w:t>饮用水水源保护区范围内，故项目的建设与</w:t>
      </w:r>
      <w:r>
        <w:rPr>
          <w:rFonts w:hint="eastAsia" w:ascii="Times New Roman" w:hAnsi="Times New Roman"/>
          <w:sz w:val="24"/>
          <w:szCs w:val="24"/>
          <w:highlight w:val="none"/>
          <w:lang w:eastAsia="zh-CN"/>
        </w:rPr>
        <w:t>铜钟镇</w:t>
      </w:r>
      <w:r>
        <w:rPr>
          <w:rFonts w:ascii="Times New Roman" w:hAnsi="Times New Roman"/>
          <w:sz w:val="24"/>
          <w:szCs w:val="24"/>
          <w:highlight w:val="none"/>
        </w:rPr>
        <w:t>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（3）《正阳县人民政府关于印发正阳县畜禽养殖禁养区划分调整方案的通知》</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highlight w:val="none"/>
        </w:rPr>
      </w:pPr>
      <w:r>
        <w:rPr>
          <w:rFonts w:ascii="Times New Roman" w:hAnsi="Times New Roman"/>
          <w:sz w:val="24"/>
          <w:szCs w:val="24"/>
          <w:highlight w:val="none"/>
        </w:rPr>
        <w:t>对照《正阳县人民政府办公室关于印发正阳县畜禽禁养区限养区和适养区划分方案的通知》本项目不在本项目不在禁养区、限养区范围内，正阳县畜牧局关于本项目不在禁养区、限养区的证明见附件</w:t>
      </w:r>
      <w:r>
        <w:rPr>
          <w:rFonts w:hint="eastAsia"/>
          <w:sz w:val="24"/>
          <w:szCs w:val="24"/>
          <w:highlight w:val="none"/>
          <w:lang w:eastAsia="zh-CN"/>
        </w:rPr>
        <w:t>五</w:t>
      </w:r>
      <w:r>
        <w:rPr>
          <w:rFonts w:ascii="Times New Roman" w:hAnsi="Times New Roman"/>
          <w:sz w:val="24"/>
          <w:szCs w:val="24"/>
          <w:highlight w:val="none"/>
        </w:rPr>
        <w:t>。</w:t>
      </w:r>
    </w:p>
    <w:p>
      <w:pPr>
        <w:pStyle w:val="41"/>
        <w:numPr>
          <w:ilvl w:val="0"/>
          <w:numId w:val="1"/>
        </w:numPr>
        <w:rPr>
          <w:rFonts w:cs="Times New Roman"/>
          <w:highlight w:val="none"/>
        </w:rPr>
      </w:pPr>
      <w:r>
        <w:rPr>
          <w:rFonts w:cs="Times New Roman"/>
          <w:highlight w:val="none"/>
        </w:rPr>
        <w:t>关注的主要环境问题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cs="Times New Roman"/>
          <w:highlight w:val="none"/>
        </w:rPr>
        <w:t>1、</w:t>
      </w:r>
      <w:r>
        <w:rPr>
          <w:rFonts w:ascii="Times New Roman" w:hAnsi="Times New Roman"/>
          <w:sz w:val="24"/>
          <w:highlight w:val="none"/>
        </w:rPr>
        <w:t>环境空气：重点关注项目建设产生的恶臭对区域环境空气质量以及敏感点的影响；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2、</w:t>
      </w:r>
      <w:r>
        <w:rPr>
          <w:rFonts w:ascii="Times New Roman" w:hAnsi="Times New Roman"/>
          <w:sz w:val="24"/>
          <w:highlight w:val="none"/>
        </w:rPr>
        <w:t>水环境：重点关注项目废水收集、处理措施以及完全综合利用的可行性；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3、</w:t>
      </w:r>
      <w:r>
        <w:rPr>
          <w:rFonts w:ascii="Times New Roman" w:hAnsi="Times New Roman"/>
          <w:sz w:val="24"/>
          <w:highlight w:val="none"/>
        </w:rPr>
        <w:t>声环境：重点关注项目实施后高噪声设备对区域声环境的影响；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sz w:val="24"/>
          <w:highlight w:val="none"/>
          <w:lang w:val="en-US" w:eastAsia="zh-CN"/>
        </w:rPr>
        <w:t>4、</w:t>
      </w:r>
      <w:r>
        <w:rPr>
          <w:rFonts w:ascii="Times New Roman" w:hAnsi="Times New Roman"/>
          <w:sz w:val="24"/>
          <w:highlight w:val="none"/>
        </w:rPr>
        <w:t>固体废物：重点关注病死猪、胎盘胎衣及医疗垃圾的收集、暂存、处置措施的合理性，防止二次污染。</w:t>
      </w:r>
    </w:p>
    <w:p>
      <w:pPr>
        <w:pStyle w:val="41"/>
        <w:numPr>
          <w:ilvl w:val="0"/>
          <w:numId w:val="1"/>
        </w:numPr>
        <w:rPr>
          <w:rFonts w:cs="Times New Roman"/>
          <w:highlight w:val="none"/>
        </w:rPr>
      </w:pPr>
      <w:r>
        <w:rPr>
          <w:rFonts w:cs="Times New Roman"/>
          <w:highlight w:val="none"/>
        </w:rPr>
        <w:t>环境影响评价结论</w:t>
      </w:r>
    </w:p>
    <w:p>
      <w:pPr>
        <w:ind w:firstLine="480"/>
        <w:rPr>
          <w:rFonts w:hint="eastAsia"/>
          <w:highlight w:val="none"/>
        </w:rPr>
      </w:pPr>
      <w:r>
        <w:rPr>
          <w:rFonts w:hint="eastAsia"/>
          <w:highlight w:val="none"/>
        </w:rPr>
        <w:t>本项目符合国家产业政策，选址符合正阳县城市总体发展规划（2011-2030），符合正阳县畜禽养殖禁养区限养区划定方案，不在正阳县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pPr>
        <w:ind w:firstLine="480"/>
        <w:rPr>
          <w:rFonts w:hint="eastAsia"/>
          <w:highlight w:val="none"/>
        </w:rPr>
      </w:pPr>
      <w:r>
        <w:rPr>
          <w:rFonts w:hint="eastAsia"/>
          <w:highlight w:val="none"/>
        </w:rPr>
        <w:t>综上所述，拟建工程的建设是评价区域整体环境可以承纳的，具备环境可行性，从环保角度，该项目的建设可行。</w:t>
      </w:r>
    </w:p>
    <w:p>
      <w:pPr>
        <w:pStyle w:val="5"/>
        <w:spacing w:before="0" w:beforeLines="0" w:after="0" w:afterLines="0"/>
        <w:jc w:val="both"/>
        <w:rPr>
          <w:rFonts w:cs="Times New Roman"/>
          <w:highlight w:val="none"/>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spacing w:before="0" w:beforeLines="0" w:after="0" w:afterLines="0"/>
        <w:rPr>
          <w:rFonts w:cs="Times New Roman"/>
          <w:highlight w:val="none"/>
        </w:rPr>
      </w:pPr>
      <w:bookmarkStart w:id="1" w:name="_Toc23285"/>
      <w:r>
        <w:rPr>
          <w:rFonts w:cs="Times New Roman"/>
          <w:highlight w:val="none"/>
        </w:rPr>
        <w:t>1总则</w:t>
      </w:r>
      <w:bookmarkEnd w:id="1"/>
    </w:p>
    <w:p>
      <w:pPr>
        <w:pStyle w:val="6"/>
        <w:spacing w:beforeLines="0"/>
        <w:rPr>
          <w:rFonts w:cs="Times New Roman"/>
          <w:highlight w:val="none"/>
        </w:rPr>
      </w:pPr>
      <w:bookmarkStart w:id="2" w:name="_Toc8996"/>
      <w:r>
        <w:rPr>
          <w:rFonts w:cs="Times New Roman"/>
          <w:highlight w:val="none"/>
        </w:rPr>
        <w:t>1.1评价目的及评价原则</w:t>
      </w:r>
      <w:bookmarkEnd w:id="2"/>
    </w:p>
    <w:p>
      <w:pPr>
        <w:pStyle w:val="7"/>
        <w:spacing w:before="66"/>
        <w:ind w:firstLine="482"/>
        <w:rPr>
          <w:rFonts w:cs="Times New Roman"/>
          <w:highlight w:val="none"/>
        </w:rPr>
      </w:pPr>
      <w:r>
        <w:rPr>
          <w:rFonts w:cs="Times New Roman"/>
          <w:highlight w:val="none"/>
        </w:rPr>
        <w:t>1.1.1评价目的</w:t>
      </w:r>
    </w:p>
    <w:p>
      <w:pPr>
        <w:ind w:firstLine="480"/>
        <w:rPr>
          <w:rFonts w:cs="Times New Roman"/>
          <w:highlight w:val="none"/>
        </w:rPr>
      </w:pPr>
      <w:r>
        <w:rPr>
          <w:rFonts w:cs="Times New Roman"/>
          <w:highlight w:val="none"/>
        </w:rPr>
        <w:t>通过工程分析，了解、掌握工程实施及运行过程中排污环节、对环境产生破坏、影响的方式，以及对环境影响程度，制定针对性的环境污染防治对策措施，从环保角度，明确项目建设的合理性及可行性，为决策部门、下阶段设计生产提供科学依据。</w:t>
      </w:r>
    </w:p>
    <w:p>
      <w:pPr>
        <w:pStyle w:val="7"/>
        <w:spacing w:before="66"/>
        <w:ind w:firstLine="482"/>
        <w:rPr>
          <w:rFonts w:cs="Times New Roman"/>
          <w:highlight w:val="none"/>
        </w:rPr>
      </w:pPr>
      <w:r>
        <w:rPr>
          <w:rFonts w:cs="Times New Roman"/>
          <w:highlight w:val="none"/>
        </w:rPr>
        <w:t>1.1.2评价原则</w:t>
      </w:r>
    </w:p>
    <w:p>
      <w:pPr>
        <w:ind w:firstLine="480"/>
        <w:rPr>
          <w:highlight w:val="none"/>
        </w:rPr>
      </w:pPr>
      <w:r>
        <w:rPr>
          <w:highlight w:val="none"/>
        </w:rPr>
        <w:t>（1）以各项环境保护法规、技术规范、环境保护标准和项目所在区域的环境功能区划为依据，指导评价工作。</w:t>
      </w:r>
    </w:p>
    <w:p>
      <w:pPr>
        <w:ind w:firstLine="480"/>
        <w:rPr>
          <w:highlight w:val="none"/>
        </w:rPr>
      </w:pPr>
      <w:r>
        <w:rPr>
          <w:highlight w:val="none"/>
        </w:rPr>
        <w:t>（2）根据项目对环境污染的特点，以工程分析为基础，弄清排污特征、排放点、排放量。对环保措施进行分析、评价，并根据分析情况，按照环境保护的要求，提出环保建议。</w:t>
      </w:r>
    </w:p>
    <w:p>
      <w:pPr>
        <w:ind w:firstLine="480"/>
        <w:rPr>
          <w:highlight w:val="none"/>
        </w:rPr>
      </w:pPr>
      <w:r>
        <w:rPr>
          <w:highlight w:val="none"/>
        </w:rPr>
        <w:t>（3）根据当地自然和社会经济环境特征，结合本项目的污染现状和环境质量状况，本着</w:t>
      </w:r>
      <w:r>
        <w:rPr>
          <w:rFonts w:hint="eastAsia"/>
          <w:highlight w:val="none"/>
        </w:rPr>
        <w:t>“</w:t>
      </w:r>
      <w:r>
        <w:rPr>
          <w:highlight w:val="none"/>
        </w:rPr>
        <w:t>科学、客观、公正</w:t>
      </w:r>
      <w:r>
        <w:rPr>
          <w:rFonts w:hint="eastAsia"/>
          <w:highlight w:val="none"/>
        </w:rPr>
        <w:t>”</w:t>
      </w:r>
      <w:r>
        <w:rPr>
          <w:highlight w:val="none"/>
        </w:rPr>
        <w:t>的原则，论述项目建设的可行性。</w:t>
      </w:r>
    </w:p>
    <w:p>
      <w:pPr>
        <w:ind w:firstLine="480"/>
        <w:rPr>
          <w:highlight w:val="none"/>
        </w:rPr>
      </w:pPr>
      <w:r>
        <w:rPr>
          <w:highlight w:val="none"/>
        </w:rPr>
        <w:t>（4）评价遵循</w:t>
      </w:r>
      <w:r>
        <w:rPr>
          <w:rFonts w:hint="eastAsia"/>
          <w:highlight w:val="none"/>
        </w:rPr>
        <w:t>“</w:t>
      </w:r>
      <w:r>
        <w:rPr>
          <w:highlight w:val="none"/>
        </w:rPr>
        <w:t>简便、经济、实用、可靠</w:t>
      </w:r>
      <w:r>
        <w:rPr>
          <w:rFonts w:hint="eastAsia"/>
          <w:highlight w:val="none"/>
        </w:rPr>
        <w:t>”</w:t>
      </w:r>
      <w:r>
        <w:rPr>
          <w:highlight w:val="none"/>
        </w:rPr>
        <w:t>的原则，评价内容中强调实用性。</w:t>
      </w:r>
    </w:p>
    <w:p>
      <w:pPr>
        <w:ind w:firstLine="480"/>
        <w:rPr>
          <w:highlight w:val="none"/>
        </w:rPr>
      </w:pPr>
      <w:r>
        <w:rPr>
          <w:highlight w:val="none"/>
        </w:rPr>
        <w:t>（5）贯彻社会效益、经济效益、环境效益统一的原则，从经济发展和保护环境的目的出发，提出可行的污染防治对策和建议，指导项目设计，使本项目做到社会效益、经济效益和环境效益的统一。促使企业实现可持续发展，使周围环境得到保护。</w:t>
      </w:r>
    </w:p>
    <w:p>
      <w:pPr>
        <w:pStyle w:val="6"/>
        <w:spacing w:beforeLines="0"/>
        <w:rPr>
          <w:rFonts w:cs="Times New Roman"/>
          <w:highlight w:val="none"/>
        </w:rPr>
      </w:pPr>
      <w:bookmarkStart w:id="3" w:name="_Toc18574"/>
      <w:r>
        <w:rPr>
          <w:rFonts w:cs="Times New Roman"/>
          <w:highlight w:val="none"/>
        </w:rPr>
        <w:t>1.2编制依据</w:t>
      </w:r>
      <w:bookmarkEnd w:id="3"/>
    </w:p>
    <w:p>
      <w:pPr>
        <w:pStyle w:val="7"/>
        <w:spacing w:before="66"/>
        <w:ind w:firstLine="482"/>
        <w:rPr>
          <w:rFonts w:cs="Times New Roman"/>
          <w:highlight w:val="none"/>
        </w:rPr>
      </w:pPr>
      <w:r>
        <w:rPr>
          <w:rFonts w:cs="Times New Roman"/>
          <w:highlight w:val="none"/>
        </w:rPr>
        <w:t>1.2.1</w:t>
      </w:r>
      <w:r>
        <w:rPr>
          <w:rFonts w:hint="eastAsia" w:cs="Times New Roman"/>
          <w:highlight w:val="none"/>
        </w:rPr>
        <w:t>环境保护法律</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（1）《中华人民共和国环境保护法》，2015年1月1日；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（2）《中华人民共和国环境影响评价法》（2016年修订，2016年9月1日施行日）；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（3）《建设项目环境保护管理条例》682号国务院令，2017年10月1日；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（4）《中华人民共和国水污染防治法》（2017年修订，2018年1月1日起实施）；</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（5）《中华人民共和国水土保持法》，2011年3月1日；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（6）《中华人民共和国大气污染防治法》（2016年1月1日施行）；</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（7）《中华人民共和国环境噪声污染防治法》，2018年12月29日修正；</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（8）《中华人民共和国固体废物污染环境防治法（2015年修正）》，2016年11月7日；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（9）《中华人民共和国土地管理法》（2004年8月28日修订）；</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（10）《基本农田保护条例》（2018最新版）；</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（11）《国家危险废物名录》（2016年6月14日）；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（12）《国家环境保护</w:t>
      </w:r>
      <w:r>
        <w:rPr>
          <w:rFonts w:hint="eastAsia" w:asciiTheme="minorEastAsia" w:hAnsiTheme="minorEastAsia" w:eastAsiaTheme="minorEastAsia" w:cstheme="minorEastAsia"/>
          <w:bCs/>
          <w:sz w:val="24"/>
          <w:szCs w:val="24"/>
          <w:highlight w:val="none"/>
        </w:rPr>
        <w:t>“十三五”</w:t>
      </w:r>
      <w:r>
        <w:rPr>
          <w:rFonts w:ascii="Times New Roman" w:hAnsi="Times New Roman"/>
          <w:bCs/>
          <w:sz w:val="24"/>
          <w:szCs w:val="24"/>
          <w:highlight w:val="none"/>
        </w:rPr>
        <w:t>规划》（国发[2017]42号）；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bCs/>
          <w:sz w:val="24"/>
          <w:szCs w:val="24"/>
          <w:highlight w:val="none"/>
        </w:rPr>
        <w:t>（13）《国务院关于环境保护若干问题的决定》（1996年</w:t>
      </w:r>
      <w:r>
        <w:rPr>
          <w:rFonts w:ascii="Times New Roman" w:hAnsi="Times New Roman"/>
          <w:sz w:val="24"/>
          <w:szCs w:val="24"/>
          <w:highlight w:val="none"/>
        </w:rPr>
        <w:t>8月3日）；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bCs/>
          <w:sz w:val="24"/>
          <w:szCs w:val="24"/>
          <w:highlight w:val="none"/>
        </w:rPr>
        <w:t>（14）《关于落实科学发展观加</w:t>
      </w:r>
      <w:r>
        <w:rPr>
          <w:rFonts w:ascii="Times New Roman" w:hAnsi="Times New Roman"/>
          <w:sz w:val="24"/>
          <w:szCs w:val="24"/>
          <w:highlight w:val="none"/>
        </w:rPr>
        <w:t>强环境保护的决定》（国发[2005]39号，2005年12月3日）；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（15）《关于进一步加强建设项目环境保护管理工作的通知》（国家环保总局，</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环发[2001]19号）；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（16）《关于进一步加强环境影响评价管理防范环境风险的通知》（环发[2012]77号）；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（17）《关于切实加强风险防范严格环境影响评价管理的通知》（环发[2012]98号）；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（18）《环境影响评价公众参与办法》（生态环境部令 第4号）；</w:t>
      </w:r>
    </w:p>
    <w:p>
      <w:pPr>
        <w:keepNext w:val="0"/>
        <w:keepLines w:val="0"/>
        <w:pageBreakBefore w:val="0"/>
        <w:widowControl/>
        <w:tabs>
          <w:tab w:val="left" w:pos="1080"/>
        </w:tabs>
        <w:kinsoku/>
        <w:wordWrap/>
        <w:overflowPunct/>
        <w:topLinePunct/>
        <w:autoSpaceDE/>
        <w:autoSpaceDN/>
        <w:bidi w:val="0"/>
        <w:adjustRightInd/>
        <w:snapToGrid/>
        <w:spacing w:line="360" w:lineRule="auto"/>
        <w:ind w:left="0" w:leftChars="0"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（19）《全国草食畜牧业发展规划(2016-2020年)》（农牧发[2016]12号）；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（20）《农业部关于加快推进畜禽标准化规模养殖的意见》（农牧发[2010]6号）；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（21）《畜禽养殖业污染防治技术政策》（环发[2010]151号）；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（22）《</w:t>
      </w:r>
      <w:r>
        <w:rPr>
          <w:rFonts w:ascii="Times New Roman" w:hAnsi="Times New Roman"/>
          <w:bCs/>
          <w:sz w:val="24"/>
          <w:szCs w:val="24"/>
          <w:highlight w:val="none"/>
        </w:rPr>
        <w:t>畜禽规模养殖污染防治条例</w:t>
      </w:r>
      <w:r>
        <w:rPr>
          <w:rFonts w:ascii="Times New Roman" w:hAnsi="Times New Roman"/>
          <w:sz w:val="24"/>
          <w:szCs w:val="24"/>
          <w:highlight w:val="none"/>
        </w:rPr>
        <w:t>》（国务院令第643号，2014年1月1日）；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（23）</w:t>
      </w:r>
      <w:r>
        <w:rPr>
          <w:rFonts w:hint="default" w:ascii="Times New Roman" w:hAnsi="Times New Roman" w:cs="Times New Roman"/>
          <w:bCs/>
          <w:sz w:val="24"/>
          <w:szCs w:val="24"/>
          <w:highlight w:val="none"/>
        </w:rPr>
        <w:t>《河南省减少污染物排放条例》</w:t>
      </w:r>
      <w:r>
        <w:rPr>
          <w:rFonts w:hint="default" w:ascii="Times New Roman" w:hAnsi="Times New Roman" w:cs="Times New Roman"/>
          <w:sz w:val="24"/>
          <w:szCs w:val="24"/>
          <w:highlight w:val="none"/>
        </w:rPr>
        <w:t>（2003.9）；</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sz w:val="24"/>
          <w:szCs w:val="24"/>
          <w:highlight w:val="none"/>
        </w:rPr>
        <w:t>（24</w:t>
      </w:r>
      <w:r>
        <w:rPr>
          <w:rFonts w:hint="default" w:ascii="Times New Roman" w:hAnsi="Times New Roman" w:cs="Times New Roman" w:eastAsiaTheme="minorEastAsia"/>
          <w:sz w:val="24"/>
          <w:szCs w:val="24"/>
          <w:highlight w:val="none"/>
        </w:rPr>
        <w:t>）《河南省建设项目环境管理条例》（2006.12.1）；</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（25）《河南省水污染防治条例》（河南省人民政府，2010.3.1）；</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（26）</w:t>
      </w:r>
      <w:r>
        <w:rPr>
          <w:rFonts w:hint="default" w:ascii="Times New Roman" w:hAnsi="Times New Roman" w:cs="Times New Roman" w:eastAsiaTheme="minorEastAsia"/>
          <w:color w:val="000000"/>
          <w:sz w:val="24"/>
          <w:szCs w:val="24"/>
          <w:highlight w:val="none"/>
        </w:rPr>
        <w:t>《国家环境保护</w:t>
      </w:r>
      <w:r>
        <w:rPr>
          <w:rFonts w:hint="eastAsia" w:asciiTheme="minorEastAsia" w:hAnsiTheme="minorEastAsia" w:eastAsiaTheme="minorEastAsia" w:cstheme="minorEastAsia"/>
          <w:color w:val="000000"/>
          <w:sz w:val="24"/>
          <w:szCs w:val="24"/>
          <w:highlight w:val="none"/>
        </w:rPr>
        <w:t>“十三五”规划</w:t>
      </w:r>
      <w:r>
        <w:rPr>
          <w:rFonts w:hint="default" w:ascii="Times New Roman" w:hAnsi="Times New Roman" w:cs="Times New Roman" w:eastAsiaTheme="minorEastAsia"/>
          <w:color w:val="000000"/>
          <w:sz w:val="24"/>
          <w:szCs w:val="24"/>
          <w:highlight w:val="none"/>
        </w:rPr>
        <w:t>》（环科技[2017]49号）</w:t>
      </w:r>
      <w:r>
        <w:rPr>
          <w:rFonts w:hint="default" w:ascii="Times New Roman" w:hAnsi="Times New Roman" w:cs="Times New Roman" w:eastAsiaTheme="minorEastAsia"/>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（27）《河南省现代畜牧产业发展规划》（豫政[2010]20号）；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color w:val="000000"/>
          <w:sz w:val="24"/>
          <w:szCs w:val="24"/>
          <w:highlight w:val="none"/>
        </w:rPr>
        <w:t>（28）《河南省畜牧业</w:t>
      </w:r>
      <w:r>
        <w:rPr>
          <w:rFonts w:hint="eastAsia" w:asciiTheme="minorEastAsia" w:hAnsiTheme="minorEastAsia" w:eastAsiaTheme="minorEastAsia" w:cstheme="minorEastAsia"/>
          <w:color w:val="000000"/>
          <w:sz w:val="24"/>
          <w:szCs w:val="24"/>
          <w:highlight w:val="none"/>
        </w:rPr>
        <w:t>“十三五”发展</w:t>
      </w:r>
      <w:r>
        <w:rPr>
          <w:rFonts w:hint="default" w:ascii="Times New Roman" w:hAnsi="Times New Roman" w:cs="Times New Roman" w:eastAsiaTheme="minorEastAsia"/>
          <w:color w:val="000000"/>
          <w:sz w:val="24"/>
          <w:szCs w:val="24"/>
          <w:highlight w:val="none"/>
        </w:rPr>
        <w:t>规划》（豫牧[2016]105号）；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sz w:val="24"/>
          <w:szCs w:val="24"/>
          <w:highlight w:val="none"/>
        </w:rPr>
      </w:pPr>
      <w:r>
        <w:rPr>
          <w:rFonts w:hint="default" w:ascii="Times New Roman" w:hAnsi="Times New Roman" w:cs="Times New Roman" w:eastAsiaTheme="minorEastAsia"/>
          <w:sz w:val="24"/>
          <w:szCs w:val="24"/>
          <w:highlight w:val="none"/>
        </w:rPr>
        <w:t>（29）</w:t>
      </w:r>
      <w:r>
        <w:rPr>
          <w:rFonts w:hint="eastAsia" w:asciiTheme="minorEastAsia" w:hAnsiTheme="minorEastAsia" w:eastAsiaTheme="minorEastAsia" w:cstheme="minorEastAsia"/>
          <w:sz w:val="24"/>
          <w:szCs w:val="24"/>
          <w:highlight w:val="none"/>
        </w:rPr>
        <w:t>《关于加强环评管理防范环境风险的通知》（豫</w:t>
      </w:r>
      <w:r>
        <w:rPr>
          <w:rFonts w:hint="eastAsia" w:asciiTheme="minorEastAsia" w:hAnsiTheme="minorEastAsia" w:eastAsiaTheme="minorEastAsia" w:cstheme="minorEastAsia"/>
          <w:bCs/>
          <w:sz w:val="24"/>
          <w:highlight w:val="none"/>
        </w:rPr>
        <w:t>环文</w:t>
      </w:r>
      <w:r>
        <w:rPr>
          <w:rFonts w:hint="default" w:ascii="Times New Roman" w:hAnsi="Times New Roman" w:cs="Times New Roman" w:eastAsiaTheme="minorEastAsia"/>
          <w:sz w:val="24"/>
          <w:szCs w:val="24"/>
          <w:highlight w:val="none"/>
        </w:rPr>
        <w:t>[2012]159</w:t>
      </w:r>
      <w:r>
        <w:rPr>
          <w:rFonts w:hint="eastAsia" w:asciiTheme="minorEastAsia" w:hAnsiTheme="minorEastAsia" w:eastAsiaTheme="minorEastAsia" w:cstheme="minorEastAsia"/>
          <w:sz w:val="24"/>
          <w:szCs w:val="24"/>
          <w:highlight w:val="none"/>
        </w:rPr>
        <w:t>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sz w:val="24"/>
          <w:highlight w:val="none"/>
        </w:rPr>
      </w:pPr>
      <w:r>
        <w:rPr>
          <w:rFonts w:hint="default" w:ascii="Times New Roman" w:hAnsi="Times New Roman" w:cs="Times New Roman" w:eastAsiaTheme="minorEastAsia"/>
          <w:sz w:val="24"/>
          <w:szCs w:val="24"/>
          <w:highlight w:val="none"/>
        </w:rPr>
        <w:t>（30）</w:t>
      </w:r>
      <w:r>
        <w:rPr>
          <w:rFonts w:hint="default" w:ascii="Times New Roman" w:hAnsi="Times New Roman" w:cs="Times New Roman" w:eastAsiaTheme="minorEastAsia"/>
          <w:bCs/>
          <w:sz w:val="24"/>
          <w:highlight w:val="none"/>
        </w:rPr>
        <w:t>《关于印发2014年河南省畜禽养殖总量减排实施方案的通知》（豫环文</w:t>
      </w:r>
      <w:r>
        <w:rPr>
          <w:rFonts w:hint="default" w:ascii="Times New Roman" w:hAnsi="Times New Roman" w:cs="Times New Roman" w:eastAsiaTheme="minorEastAsia"/>
          <w:sz w:val="24"/>
          <w:szCs w:val="24"/>
          <w:highlight w:val="none"/>
        </w:rPr>
        <w:t>[2014]</w:t>
      </w:r>
      <w:r>
        <w:rPr>
          <w:rFonts w:hint="default" w:ascii="Times New Roman" w:hAnsi="Times New Roman" w:cs="Times New Roman" w:eastAsiaTheme="minorEastAsia"/>
          <w:bCs/>
          <w:sz w:val="24"/>
          <w:highlight w:val="none"/>
        </w:rPr>
        <w:t>111号）；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（31）《河南省2019年大气污染防治攻坚战实施方案》（豫环攻坚办〔2019〕25号）；</w:t>
      </w:r>
    </w:p>
    <w:p>
      <w:pPr>
        <w:keepNext w:val="0"/>
        <w:keepLines w:val="0"/>
        <w:pageBreakBefore w:val="0"/>
        <w:widowControl/>
        <w:kinsoku/>
        <w:wordWrap/>
        <w:overflowPunct/>
        <w:topLinePunct/>
        <w:autoSpaceDE/>
        <w:autoSpaceDN/>
        <w:bidi w:val="0"/>
        <w:adjustRightInd/>
        <w:snapToGrid/>
        <w:spacing w:line="360" w:lineRule="auto"/>
        <w:ind w:left="0" w:leftChars="0"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（32）《驻马店市2018年度大气污染防治攻坚战实施方案》（驻政办〔2018〕15号）；</w:t>
      </w:r>
    </w:p>
    <w:p>
      <w:pPr>
        <w:keepNext w:val="0"/>
        <w:keepLines w:val="0"/>
        <w:pageBreakBefore w:val="0"/>
        <w:widowControl/>
        <w:kinsoku/>
        <w:wordWrap/>
        <w:overflowPunct/>
        <w:topLinePunct/>
        <w:autoSpaceDE/>
        <w:autoSpaceDN/>
        <w:bidi w:val="0"/>
        <w:adjustRightInd/>
        <w:snapToGrid/>
        <w:spacing w:line="360" w:lineRule="auto"/>
        <w:ind w:left="0" w:leftChars="0"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（33）《正阳县城市总体发展规划》（2011-2030）；</w:t>
      </w:r>
    </w:p>
    <w:p>
      <w:pPr>
        <w:keepNext w:val="0"/>
        <w:keepLines w:val="0"/>
        <w:pageBreakBefore w:val="0"/>
        <w:widowControl/>
        <w:kinsoku/>
        <w:wordWrap/>
        <w:overflowPunct/>
        <w:topLinePunct/>
        <w:autoSpaceDE/>
        <w:autoSpaceDN/>
        <w:bidi w:val="0"/>
        <w:adjustRightInd/>
        <w:snapToGrid/>
        <w:spacing w:line="360" w:lineRule="auto"/>
        <w:ind w:left="0" w:leftChars="0"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（34）《正阳县环境保护</w:t>
      </w:r>
      <w:r>
        <w:rPr>
          <w:rFonts w:hint="eastAsia" w:asciiTheme="minorEastAsia" w:hAnsiTheme="minorEastAsia" w:eastAsiaTheme="minorEastAsia" w:cstheme="minorEastAsia"/>
          <w:color w:val="000000"/>
          <w:sz w:val="24"/>
          <w:szCs w:val="24"/>
          <w:highlight w:val="none"/>
        </w:rPr>
        <w:t>“十三五”规</w:t>
      </w:r>
      <w:r>
        <w:rPr>
          <w:rFonts w:ascii="Times New Roman" w:hAnsi="Times New Roman"/>
          <w:color w:val="000000"/>
          <w:sz w:val="24"/>
          <w:szCs w:val="24"/>
          <w:highlight w:val="none"/>
        </w:rPr>
        <w:t>划》；</w:t>
      </w:r>
    </w:p>
    <w:p>
      <w:pPr>
        <w:keepNext w:val="0"/>
        <w:keepLines w:val="0"/>
        <w:pageBreakBefore w:val="0"/>
        <w:widowControl/>
        <w:kinsoku/>
        <w:wordWrap/>
        <w:overflowPunct/>
        <w:topLinePunct/>
        <w:autoSpaceDE/>
        <w:autoSpaceDN/>
        <w:bidi w:val="0"/>
        <w:adjustRightInd/>
        <w:snapToGrid/>
        <w:spacing w:line="360" w:lineRule="auto"/>
        <w:ind w:left="0" w:leftChars="0" w:firstLine="480" w:firstLineChars="200"/>
        <w:textAlignment w:val="auto"/>
        <w:rPr>
          <w:rFonts w:ascii="Times New Roman" w:hAnsi="Times New Roman"/>
          <w:b/>
          <w:color w:val="000000"/>
          <w:sz w:val="24"/>
          <w:szCs w:val="24"/>
          <w:highlight w:val="none"/>
        </w:rPr>
      </w:pPr>
      <w:r>
        <w:rPr>
          <w:rFonts w:ascii="Times New Roman" w:hAnsi="Times New Roman"/>
          <w:color w:val="000000"/>
          <w:sz w:val="24"/>
          <w:szCs w:val="24"/>
          <w:highlight w:val="none"/>
        </w:rPr>
        <w:t>（35）《正阳县</w:t>
      </w:r>
      <w:r>
        <w:rPr>
          <w:rFonts w:hint="eastAsia" w:asciiTheme="minorEastAsia" w:hAnsiTheme="minorEastAsia" w:eastAsiaTheme="minorEastAsia" w:cstheme="minorEastAsia"/>
          <w:color w:val="000000"/>
          <w:sz w:val="24"/>
          <w:szCs w:val="24"/>
          <w:highlight w:val="none"/>
        </w:rPr>
        <w:t>“十三五”畜牧业</w:t>
      </w:r>
      <w:r>
        <w:rPr>
          <w:rFonts w:ascii="Times New Roman" w:hAnsi="Times New Roman"/>
          <w:color w:val="000000"/>
          <w:sz w:val="24"/>
          <w:szCs w:val="24"/>
          <w:highlight w:val="none"/>
        </w:rPr>
        <w:t>发展规划》；</w:t>
      </w:r>
    </w:p>
    <w:p>
      <w:pPr>
        <w:keepNext w:val="0"/>
        <w:keepLines w:val="0"/>
        <w:pageBreakBefore w:val="0"/>
        <w:widowControl/>
        <w:kinsoku/>
        <w:wordWrap/>
        <w:overflowPunct/>
        <w:topLinePunct/>
        <w:autoSpaceDE/>
        <w:autoSpaceDN/>
        <w:bidi w:val="0"/>
        <w:adjustRightInd/>
        <w:snapToGrid/>
        <w:spacing w:line="360" w:lineRule="auto"/>
        <w:ind w:left="0" w:leftChars="0"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（36）《河南省正阳县集中式饮用水水源地保护区划》；</w:t>
      </w:r>
    </w:p>
    <w:p>
      <w:pPr>
        <w:keepNext w:val="0"/>
        <w:keepLines w:val="0"/>
        <w:pageBreakBefore w:val="0"/>
        <w:widowControl/>
        <w:kinsoku/>
        <w:wordWrap/>
        <w:overflowPunct/>
        <w:topLinePunct/>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sz w:val="24"/>
          <w:szCs w:val="24"/>
          <w:highlight w:val="none"/>
          <w:lang w:eastAsia="zh-CN"/>
        </w:rPr>
      </w:pPr>
      <w:r>
        <w:rPr>
          <w:rFonts w:ascii="Times New Roman" w:hAnsi="Times New Roman"/>
          <w:color w:val="000000"/>
          <w:sz w:val="24"/>
          <w:szCs w:val="24"/>
          <w:highlight w:val="none"/>
        </w:rPr>
        <w:t>（38）《正阳县人民政府关于印发正阳县畜禽养殖禁养区划分调整方案的通知》</w:t>
      </w:r>
      <w:r>
        <w:rPr>
          <w:rFonts w:hint="eastAsia" w:ascii="Times New Roman" w:hAnsi="Times New Roman"/>
          <w:color w:val="000000"/>
          <w:sz w:val="24"/>
          <w:szCs w:val="24"/>
          <w:highlight w:val="none"/>
          <w:lang w:eastAsia="zh-CN"/>
        </w:rPr>
        <w:t>。</w:t>
      </w:r>
    </w:p>
    <w:p>
      <w:pPr>
        <w:pStyle w:val="7"/>
        <w:tabs>
          <w:tab w:val="left" w:pos="5327"/>
          <w:tab w:val="left" w:pos="6326"/>
          <w:tab w:val="left" w:pos="7230"/>
          <w:tab w:val="left" w:pos="9301"/>
        </w:tabs>
        <w:spacing w:before="66"/>
        <w:ind w:firstLine="482"/>
        <w:rPr>
          <w:rFonts w:cs="Times New Roman"/>
          <w:highlight w:val="none"/>
        </w:rPr>
      </w:pPr>
      <w:r>
        <w:rPr>
          <w:rFonts w:cs="Times New Roman"/>
          <w:highlight w:val="none"/>
        </w:rPr>
        <w:t>1.2.</w:t>
      </w:r>
      <w:r>
        <w:rPr>
          <w:rFonts w:hint="eastAsia" w:cs="Times New Roman"/>
          <w:highlight w:val="none"/>
          <w:lang w:val="en-US" w:eastAsia="zh-CN"/>
        </w:rPr>
        <w:t>2行业标准与</w:t>
      </w:r>
      <w:r>
        <w:rPr>
          <w:rFonts w:cs="Times New Roman"/>
          <w:highlight w:val="none"/>
        </w:rPr>
        <w:t>技术规范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（1）《环境影响评价技术导则—总纲》（HJ2.1-2016）；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（2）《环境影响评价技术导则—大气环境》（HJ2.2-2018）；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（3）《环境影响评价技术导则—地表水环境》（HJ2.3-2018）；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（4）《环境影响评价技术导则—声环境》（HJ2.4-2009）；</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（5）《环境影响评价技术导则—地下水环境》（HJ610-2016）；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（6）《环境影响评价技术导则—生态影响》（HJ19-2011）；</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（7）《地下水环境监测技术规范》（HJ/T164-2004）；</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（8）《地表水和污水监测技术规范》（HJ/T91-2002）；</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（9）《建设项目环境影响评价分类管理名录》（2018年修正版)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（10）《建设项目环境风险评价技术导则》（HJ169-2018）；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（11）《畜禽养殖业污染防治技术规范》（HJ/T81-2001）；</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（12）《畜禽养殖业污染治理工程技术规范》（HJ497-2009）；</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（13）《畜禽粪便无害化处理技术规范》（NY/T1168-2006）；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（14）《畜禽场环境污染控制技术规范》（NY/T1169-2006）；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（15）《规模化畜禽养殖场沼气工程设计规范》（NY/T1222-2006）；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（16）《畜禽养殖场污染防治最佳可行技术指南（试行）》（HJ-BAT-10）；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（17）《畜禽粪便还田技术规范》（GB/T25246-2010）。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（18）《畜禽养殖产地环境评价规范》（HJ 568—2010）。</w:t>
      </w:r>
    </w:p>
    <w:p>
      <w:pPr>
        <w:pStyle w:val="7"/>
        <w:tabs>
          <w:tab w:val="left" w:pos="5327"/>
          <w:tab w:val="left" w:pos="6326"/>
          <w:tab w:val="left" w:pos="7230"/>
          <w:tab w:val="left" w:pos="9301"/>
        </w:tabs>
        <w:spacing w:before="66"/>
        <w:ind w:firstLine="482"/>
        <w:rPr>
          <w:rFonts w:cs="Times New Roman"/>
          <w:highlight w:val="none"/>
        </w:rPr>
      </w:pPr>
      <w:r>
        <w:rPr>
          <w:rFonts w:cs="Times New Roman"/>
          <w:highlight w:val="none"/>
        </w:rPr>
        <w:t>1.2.</w:t>
      </w:r>
      <w:r>
        <w:rPr>
          <w:rFonts w:hint="eastAsia" w:cs="Times New Roman"/>
          <w:highlight w:val="none"/>
          <w:lang w:val="en-US" w:eastAsia="zh-CN"/>
        </w:rPr>
        <w:t>3</w:t>
      </w:r>
      <w:r>
        <w:rPr>
          <w:rFonts w:cs="Times New Roman"/>
          <w:highlight w:val="none"/>
        </w:rPr>
        <w:t>相关文件及资料</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（1）本项目环评工作委托书；</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（2）《循环经济发展战略及近期行动计划》（国发〔2013〕5号）；</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（3）《国务院关于印发水污染防治行动计划的通知》(国发〔2015〕17号)；</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（4）《国务院关于印发大气污染防治行动计划的通知》（国发〔2013〕37号）；</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highlight w:val="none"/>
        </w:rPr>
        <w:sectPr>
          <w:footerReference r:id="rId10"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ascii="Times New Roman" w:hAnsi="Times New Roman"/>
          <w:color w:val="000000"/>
          <w:sz w:val="24"/>
          <w:szCs w:val="24"/>
          <w:highlight w:val="none"/>
        </w:rPr>
        <w:t>（5）与项目有关的其他资料和文件</w:t>
      </w:r>
      <w:r>
        <w:rPr>
          <w:rFonts w:hint="eastAsia"/>
          <w:highlight w:val="none"/>
        </w:rPr>
        <w:t>。</w:t>
      </w:r>
    </w:p>
    <w:p>
      <w:pPr>
        <w:pStyle w:val="6"/>
        <w:spacing w:before="132"/>
        <w:rPr>
          <w:rFonts w:cs="Times New Roman"/>
          <w:highlight w:val="none"/>
        </w:rPr>
      </w:pPr>
      <w:bookmarkStart w:id="4" w:name="_Toc3230"/>
      <w:r>
        <w:rPr>
          <w:rFonts w:cs="Times New Roman"/>
          <w:highlight w:val="none"/>
        </w:rPr>
        <w:t>1.3评价时段</w:t>
      </w:r>
      <w:bookmarkEnd w:id="4"/>
    </w:p>
    <w:p>
      <w:pPr>
        <w:ind w:firstLine="480"/>
        <w:rPr>
          <w:rFonts w:cs="Times New Roman"/>
          <w:highlight w:val="none"/>
        </w:rPr>
      </w:pPr>
      <w:r>
        <w:rPr>
          <w:rFonts w:cs="Times New Roman"/>
          <w:highlight w:val="none"/>
        </w:rPr>
        <w:t>根据项目工程特点，确定本项目评价时段分为</w:t>
      </w:r>
      <w:r>
        <w:rPr>
          <w:rFonts w:hint="eastAsia" w:cs="Times New Roman"/>
          <w:highlight w:val="none"/>
        </w:rPr>
        <w:t>施工期、</w:t>
      </w:r>
      <w:r>
        <w:rPr>
          <w:rFonts w:cs="Times New Roman"/>
          <w:highlight w:val="none"/>
        </w:rPr>
        <w:t>营运期</w:t>
      </w:r>
      <w:r>
        <w:rPr>
          <w:rFonts w:hint="eastAsia" w:cs="Times New Roman"/>
          <w:highlight w:val="none"/>
        </w:rPr>
        <w:t>三</w:t>
      </w:r>
      <w:r>
        <w:rPr>
          <w:rFonts w:cs="Times New Roman"/>
          <w:highlight w:val="none"/>
        </w:rPr>
        <w:t>个时段。</w:t>
      </w:r>
    </w:p>
    <w:p>
      <w:pPr>
        <w:pStyle w:val="6"/>
        <w:spacing w:before="132"/>
        <w:rPr>
          <w:highlight w:val="none"/>
        </w:rPr>
      </w:pPr>
      <w:bookmarkStart w:id="5" w:name="_Toc22770"/>
      <w:r>
        <w:rPr>
          <w:highlight w:val="none"/>
        </w:rPr>
        <w:t>1.4评价因子及识别</w:t>
      </w:r>
      <w:bookmarkEnd w:id="5"/>
    </w:p>
    <w:p>
      <w:pPr>
        <w:pStyle w:val="7"/>
        <w:spacing w:before="66"/>
        <w:ind w:firstLine="482"/>
        <w:rPr>
          <w:rFonts w:cs="Times New Roman"/>
          <w:highlight w:val="none"/>
        </w:rPr>
      </w:pPr>
      <w:r>
        <w:rPr>
          <w:rFonts w:cs="Times New Roman"/>
          <w:highlight w:val="none"/>
        </w:rPr>
        <w:t>1.4.1环境影响要素识别</w:t>
      </w:r>
    </w:p>
    <w:p>
      <w:pPr>
        <w:ind w:firstLine="480"/>
        <w:rPr>
          <w:rFonts w:cs="Times New Roman"/>
          <w:highlight w:val="none"/>
        </w:rPr>
      </w:pPr>
      <w:r>
        <w:rPr>
          <w:rFonts w:cs="Times New Roman"/>
          <w:highlight w:val="none"/>
        </w:rPr>
        <w:t>根据工程特点、环境特征以及工程对环境影响的性质与程度，对工程的环境影响要素进行识别，识别过程见表1.4-1。</w:t>
      </w:r>
    </w:p>
    <w:p>
      <w:pPr>
        <w:pStyle w:val="40"/>
        <w:rPr>
          <w:highlight w:val="none"/>
        </w:rPr>
      </w:pPr>
      <w:r>
        <w:rPr>
          <w:highlight w:val="none"/>
        </w:rPr>
        <w:t>表1.4-1工程环境要素识别</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34"/>
        <w:gridCol w:w="1245"/>
        <w:gridCol w:w="686"/>
        <w:gridCol w:w="822"/>
        <w:gridCol w:w="918"/>
        <w:gridCol w:w="661"/>
        <w:gridCol w:w="667"/>
        <w:gridCol w:w="1098"/>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阶段</w:t>
            </w:r>
          </w:p>
        </w:tc>
        <w:tc>
          <w:tcPr>
            <w:tcW w:w="986" w:type="pct"/>
            <w:gridSpan w:val="2"/>
            <w:vMerge w:val="restar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污染因素</w:t>
            </w:r>
          </w:p>
        </w:tc>
        <w:tc>
          <w:tcPr>
            <w:tcW w:w="3531" w:type="pct"/>
            <w:gridSpan w:val="7"/>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jc w:val="center"/>
              <w:rPr>
                <w:rFonts w:ascii="Times New Roman" w:hAnsi="Times New Roman"/>
                <w:b/>
                <w:sz w:val="21"/>
                <w:szCs w:val="21"/>
                <w:highlight w:val="none"/>
              </w:rPr>
            </w:pPr>
          </w:p>
        </w:tc>
        <w:tc>
          <w:tcPr>
            <w:tcW w:w="986" w:type="pct"/>
            <w:gridSpan w:val="2"/>
            <w:vMerge w:val="continue"/>
            <w:noWrap w:val="0"/>
            <w:vAlign w:val="center"/>
          </w:tcPr>
          <w:p>
            <w:pPr>
              <w:spacing w:line="240" w:lineRule="exact"/>
              <w:ind w:left="0" w:leftChars="0" w:firstLine="0" w:firstLineChars="0"/>
              <w:jc w:val="center"/>
              <w:rPr>
                <w:rFonts w:ascii="Times New Roman" w:hAnsi="Times New Roman"/>
                <w:b/>
                <w:sz w:val="21"/>
                <w:szCs w:val="21"/>
                <w:highlight w:val="none"/>
              </w:rPr>
            </w:pPr>
          </w:p>
        </w:tc>
        <w:tc>
          <w:tcPr>
            <w:tcW w:w="403"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大气</w:t>
            </w:r>
          </w:p>
        </w:tc>
        <w:tc>
          <w:tcPr>
            <w:tcW w:w="483"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地表水</w:t>
            </w:r>
          </w:p>
        </w:tc>
        <w:tc>
          <w:tcPr>
            <w:tcW w:w="539"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地下水</w:t>
            </w:r>
          </w:p>
        </w:tc>
        <w:tc>
          <w:tcPr>
            <w:tcW w:w="388"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声</w:t>
            </w:r>
          </w:p>
        </w:tc>
        <w:tc>
          <w:tcPr>
            <w:tcW w:w="392"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生态</w:t>
            </w:r>
          </w:p>
        </w:tc>
        <w:tc>
          <w:tcPr>
            <w:tcW w:w="645"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水土流失</w:t>
            </w:r>
          </w:p>
        </w:tc>
        <w:tc>
          <w:tcPr>
            <w:tcW w:w="677" w:type="pct"/>
            <w:noWrap w:val="0"/>
            <w:vAlign w:val="center"/>
          </w:tcPr>
          <w:p>
            <w:pPr>
              <w:spacing w:line="240" w:lineRule="exact"/>
              <w:ind w:left="0" w:leftChars="0" w:firstLine="0" w:firstLineChars="0"/>
              <w:jc w:val="center"/>
              <w:rPr>
                <w:rFonts w:ascii="Times New Roman" w:hAnsi="Times New Roman"/>
                <w:b/>
                <w:sz w:val="21"/>
                <w:szCs w:val="21"/>
                <w:highlight w:val="none"/>
              </w:rPr>
            </w:pPr>
            <w:r>
              <w:rPr>
                <w:rFonts w:ascii="Times New Roman" w:hAnsi="Times New Roman"/>
                <w:b/>
                <w:sz w:val="21"/>
                <w:szCs w:val="21"/>
                <w:highlight w:val="none"/>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施工噪声</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扬尘</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施工废水</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路管工程</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运营期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工程废水</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生产恶臭</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生产噪声</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固废综合利用</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施肥管网</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土壤</w:t>
            </w:r>
          </w:p>
        </w:tc>
        <w:tc>
          <w:tcPr>
            <w:tcW w:w="40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000" w:type="pct"/>
            <w:gridSpan w:val="10"/>
            <w:noWrap w:val="0"/>
            <w:vAlign w:val="center"/>
          </w:tcPr>
          <w:p>
            <w:pPr>
              <w:spacing w:line="240" w:lineRule="exact"/>
              <w:ind w:left="0" w:leftChars="0" w:firstLine="0" w:firstLineChars="0"/>
              <w:jc w:val="center"/>
              <w:rPr>
                <w:rFonts w:ascii="Times New Roman" w:hAnsi="Times New Roman"/>
                <w:b w:val="0"/>
                <w:bCs/>
                <w:sz w:val="21"/>
                <w:szCs w:val="21"/>
                <w:highlight w:val="none"/>
              </w:rPr>
            </w:pPr>
            <w:r>
              <w:rPr>
                <w:rFonts w:ascii="Times New Roman" w:hAnsi="Times New Roman"/>
                <w:b w:val="0"/>
                <w:bCs/>
                <w:sz w:val="21"/>
                <w:szCs w:val="21"/>
                <w:highlight w:val="none"/>
              </w:rPr>
              <w:t>◆有影响，▲有轻微影响，△可能有影响，○没有影响，S短期影响，L长期影响</w:t>
            </w:r>
          </w:p>
        </w:tc>
      </w:tr>
    </w:tbl>
    <w:p>
      <w:pPr>
        <w:pStyle w:val="7"/>
        <w:spacing w:before="66"/>
        <w:ind w:firstLine="482"/>
        <w:rPr>
          <w:rFonts w:cs="Times New Roman"/>
          <w:highlight w:val="none"/>
        </w:rPr>
      </w:pPr>
      <w:r>
        <w:rPr>
          <w:rFonts w:cs="Times New Roman"/>
          <w:highlight w:val="none"/>
        </w:rPr>
        <w:t>1.4.2评价因子的筛选</w:t>
      </w:r>
    </w:p>
    <w:p>
      <w:pPr>
        <w:ind w:firstLine="480"/>
        <w:rPr>
          <w:rFonts w:cs="Times New Roman"/>
          <w:highlight w:val="none"/>
        </w:rPr>
      </w:pPr>
      <w:r>
        <w:rPr>
          <w:rFonts w:cs="Times New Roman"/>
          <w:highlight w:val="none"/>
        </w:rPr>
        <w:t>根据当地环境特征和工程排污性质确定本项目评价因子见表1.</w:t>
      </w:r>
      <w:r>
        <w:rPr>
          <w:rFonts w:hint="eastAsia" w:cs="Times New Roman"/>
          <w:highlight w:val="none"/>
        </w:rPr>
        <w:t>4</w:t>
      </w:r>
      <w:r>
        <w:rPr>
          <w:rFonts w:cs="Times New Roman"/>
          <w:highlight w:val="none"/>
        </w:rPr>
        <w:t>-2：</w:t>
      </w:r>
    </w:p>
    <w:p>
      <w:pPr>
        <w:pStyle w:val="40"/>
        <w:rPr>
          <w:rFonts w:cs="Times New Roman"/>
          <w:highlight w:val="none"/>
        </w:rPr>
      </w:pPr>
      <w:r>
        <w:rPr>
          <w:rFonts w:cs="Times New Roman"/>
          <w:highlight w:val="none"/>
        </w:rPr>
        <w:t>表1.4-2评价因子的确定</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155"/>
        <w:gridCol w:w="4857"/>
        <w:gridCol w:w="1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序号</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项目</w:t>
            </w:r>
          </w:p>
        </w:tc>
        <w:tc>
          <w:tcPr>
            <w:tcW w:w="2852" w:type="pct"/>
            <w:vAlign w:val="center"/>
          </w:tcPr>
          <w:p>
            <w:pPr>
              <w:pStyle w:val="42"/>
              <w:spacing w:line="240" w:lineRule="auto"/>
              <w:ind w:firstLine="420"/>
              <w:jc w:val="center"/>
              <w:rPr>
                <w:kern w:val="2"/>
                <w:highlight w:val="none"/>
              </w:rPr>
            </w:pPr>
            <w:r>
              <w:rPr>
                <w:kern w:val="2"/>
                <w:highlight w:val="none"/>
              </w:rPr>
              <w:t>现状评价因子</w:t>
            </w:r>
          </w:p>
        </w:tc>
        <w:tc>
          <w:tcPr>
            <w:tcW w:w="1060" w:type="pct"/>
            <w:vAlign w:val="center"/>
          </w:tcPr>
          <w:p>
            <w:pPr>
              <w:pStyle w:val="42"/>
              <w:spacing w:line="240" w:lineRule="auto"/>
              <w:ind w:firstLine="0" w:firstLineChars="0"/>
              <w:jc w:val="center"/>
              <w:rPr>
                <w:kern w:val="2"/>
                <w:highlight w:val="none"/>
              </w:rPr>
            </w:pPr>
            <w:r>
              <w:rPr>
                <w:kern w:val="2"/>
                <w:highlight w:val="none"/>
              </w:rPr>
              <w:t>预测评价因子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1</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大气环境</w:t>
            </w:r>
          </w:p>
        </w:tc>
        <w:tc>
          <w:tcPr>
            <w:tcW w:w="2852" w:type="pct"/>
            <w:vAlign w:val="center"/>
          </w:tcPr>
          <w:p>
            <w:pPr>
              <w:pStyle w:val="42"/>
              <w:spacing w:line="240" w:lineRule="auto"/>
              <w:ind w:firstLine="420"/>
              <w:jc w:val="center"/>
              <w:rPr>
                <w:kern w:val="2"/>
                <w:highlight w:val="none"/>
              </w:rPr>
            </w:pPr>
            <w:r>
              <w:rPr>
                <w:rFonts w:ascii="Times New Roman" w:hAnsi="Times New Roman"/>
                <w:sz w:val="21"/>
                <w:highlight w:val="none"/>
              </w:rPr>
              <w:t>H</w:t>
            </w:r>
            <w:r>
              <w:rPr>
                <w:rFonts w:ascii="Times New Roman" w:hAnsi="Times New Roman"/>
                <w:sz w:val="21"/>
                <w:highlight w:val="none"/>
                <w:vertAlign w:val="subscript"/>
              </w:rPr>
              <w:t>2</w:t>
            </w:r>
            <w:r>
              <w:rPr>
                <w:rFonts w:ascii="Times New Roman" w:hAnsi="Times New Roman"/>
                <w:sz w:val="21"/>
                <w:highlight w:val="none"/>
              </w:rPr>
              <w:t>S、NH</w:t>
            </w:r>
            <w:r>
              <w:rPr>
                <w:rFonts w:ascii="Times New Roman" w:hAnsi="Times New Roman"/>
                <w:sz w:val="21"/>
                <w:highlight w:val="none"/>
                <w:vertAlign w:val="subscript"/>
              </w:rPr>
              <w:t>3</w:t>
            </w:r>
            <w:r>
              <w:rPr>
                <w:rFonts w:ascii="Times New Roman" w:hAnsi="Times New Roman" w:eastAsia="黑体"/>
                <w:sz w:val="21"/>
                <w:highlight w:val="none"/>
              </w:rPr>
              <w:t>、</w:t>
            </w:r>
            <w:r>
              <w:rPr>
                <w:rFonts w:ascii="Times New Roman" w:hAnsi="Times New Roman"/>
                <w:sz w:val="21"/>
                <w:highlight w:val="none"/>
              </w:rPr>
              <w:t>SO</w:t>
            </w:r>
            <w:r>
              <w:rPr>
                <w:rFonts w:ascii="Times New Roman" w:hAnsi="Times New Roman"/>
                <w:sz w:val="21"/>
                <w:highlight w:val="none"/>
                <w:vertAlign w:val="subscript"/>
              </w:rPr>
              <w:t>2</w:t>
            </w:r>
            <w:r>
              <w:rPr>
                <w:rFonts w:ascii="Times New Roman" w:hAnsi="Times New Roman"/>
                <w:sz w:val="21"/>
                <w:highlight w:val="none"/>
              </w:rPr>
              <w:t>、NO</w:t>
            </w:r>
            <w:r>
              <w:rPr>
                <w:rFonts w:ascii="Times New Roman" w:hAnsi="Times New Roman"/>
                <w:sz w:val="21"/>
                <w:highlight w:val="none"/>
                <w:vertAlign w:val="subscript"/>
              </w:rPr>
              <w:t>2</w:t>
            </w:r>
            <w:r>
              <w:rPr>
                <w:rFonts w:ascii="Times New Roman" w:hAnsi="Times New Roman"/>
                <w:sz w:val="21"/>
                <w:highlight w:val="none"/>
              </w:rPr>
              <w:t>、</w:t>
            </w:r>
            <w:r>
              <w:rPr>
                <w:rFonts w:ascii="Times New Roman" w:hAnsi="Times New Roman"/>
                <w:sz w:val="21"/>
                <w:szCs w:val="24"/>
                <w:highlight w:val="none"/>
              </w:rPr>
              <w:t>PM</w:t>
            </w:r>
            <w:r>
              <w:rPr>
                <w:rFonts w:ascii="Times New Roman" w:hAnsi="Times New Roman"/>
                <w:sz w:val="21"/>
                <w:szCs w:val="24"/>
                <w:highlight w:val="none"/>
                <w:vertAlign w:val="subscript"/>
              </w:rPr>
              <w:t>10</w:t>
            </w:r>
          </w:p>
        </w:tc>
        <w:tc>
          <w:tcPr>
            <w:tcW w:w="1060" w:type="pct"/>
            <w:vAlign w:val="center"/>
          </w:tcPr>
          <w:p>
            <w:pPr>
              <w:pStyle w:val="42"/>
              <w:spacing w:line="240" w:lineRule="auto"/>
              <w:ind w:firstLine="0" w:firstLineChars="0"/>
              <w:jc w:val="center"/>
              <w:rPr>
                <w:rFonts w:hint="eastAsia" w:eastAsia="宋体"/>
                <w:kern w:val="2"/>
                <w:highlight w:val="none"/>
                <w:lang w:eastAsia="zh-CN"/>
              </w:rPr>
            </w:pPr>
            <w:r>
              <w:rPr>
                <w:rFonts w:ascii="Times New Roman" w:hAnsi="Times New Roman"/>
                <w:sz w:val="21"/>
                <w:highlight w:val="none"/>
              </w:rPr>
              <w:t>H</w:t>
            </w:r>
            <w:r>
              <w:rPr>
                <w:rFonts w:ascii="Times New Roman" w:hAnsi="Times New Roman"/>
                <w:sz w:val="21"/>
                <w:highlight w:val="none"/>
                <w:vertAlign w:val="subscript"/>
              </w:rPr>
              <w:t>2</w:t>
            </w:r>
            <w:r>
              <w:rPr>
                <w:rFonts w:ascii="Times New Roman" w:hAnsi="Times New Roman"/>
                <w:sz w:val="21"/>
                <w:highlight w:val="none"/>
              </w:rPr>
              <w:t>S、NH</w:t>
            </w:r>
            <w:r>
              <w:rPr>
                <w:rFonts w:ascii="Times New Roman" w:hAnsi="Times New Roman"/>
                <w:sz w:val="21"/>
                <w:highlight w:val="none"/>
                <w:vertAlign w:val="subscript"/>
              </w:rPr>
              <w:t>3</w:t>
            </w:r>
            <w:r>
              <w:rPr>
                <w:rFonts w:hint="eastAsia"/>
                <w:sz w:val="21"/>
                <w:highlight w:val="none"/>
                <w:vertAlign w:val="baseline"/>
                <w:lang w:eastAsia="zh-CN"/>
              </w:rPr>
              <w:t>、</w:t>
            </w:r>
            <w:r>
              <w:rPr>
                <w:rFonts w:ascii="Times New Roman" w:hAnsi="Times New Roman" w:eastAsia="宋体" w:cs="Times New Roman"/>
                <w:szCs w:val="21"/>
                <w:highlight w:val="none"/>
              </w:rPr>
              <w:t>SO</w:t>
            </w:r>
            <w:r>
              <w:rPr>
                <w:rFonts w:ascii="Times New Roman" w:hAnsi="Times New Roman" w:eastAsia="宋体" w:cs="Times New Roman"/>
                <w:szCs w:val="21"/>
                <w:highlight w:val="none"/>
                <w:vertAlign w:val="subscript"/>
              </w:rPr>
              <w:t>2</w:t>
            </w:r>
            <w:r>
              <w:rPr>
                <w:rFonts w:ascii="Times New Roman" w:hAnsi="Times New Roman" w:eastAsia="宋体" w:cs="Times New Roman"/>
                <w:szCs w:val="21"/>
                <w:highlight w:val="none"/>
              </w:rPr>
              <w:t>、NO</w:t>
            </w:r>
            <w:r>
              <w:rPr>
                <w:rFonts w:ascii="Times New Roman" w:hAnsi="Times New Roman" w:eastAsia="宋体" w:cs="Times New Roman"/>
                <w:szCs w:val="21"/>
                <w:highlight w:val="none"/>
                <w:vertAlign w:val="subscript"/>
              </w:rPr>
              <w:t>X</w:t>
            </w:r>
            <w:r>
              <w:rPr>
                <w:rFonts w:ascii="Times New Roman" w:hAnsi="Times New Roman" w:eastAsia="宋体" w:cs="Times New Roman"/>
                <w:szCs w:val="21"/>
                <w:highlight w:val="none"/>
              </w:rPr>
              <w:t>、PM</w:t>
            </w:r>
            <w:r>
              <w:rPr>
                <w:rFonts w:ascii="Times New Roman" w:hAnsi="Times New Roman" w:eastAsia="宋体" w:cs="Times New Roman"/>
                <w:szCs w:val="21"/>
                <w:highlight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2</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地表水环境</w:t>
            </w:r>
          </w:p>
        </w:tc>
        <w:tc>
          <w:tcPr>
            <w:tcW w:w="2852" w:type="pct"/>
            <w:vAlign w:val="center"/>
          </w:tcPr>
          <w:p>
            <w:pPr>
              <w:pStyle w:val="42"/>
              <w:spacing w:line="240" w:lineRule="auto"/>
              <w:ind w:firstLine="420"/>
              <w:jc w:val="center"/>
              <w:rPr>
                <w:kern w:val="2"/>
                <w:highlight w:val="none"/>
              </w:rPr>
            </w:pPr>
            <w:r>
              <w:rPr>
                <w:rFonts w:ascii="Times New Roman" w:hAnsi="Times New Roman"/>
                <w:sz w:val="21"/>
                <w:szCs w:val="21"/>
                <w:highlight w:val="none"/>
              </w:rPr>
              <w:t>PH、COD、BOD</w:t>
            </w:r>
            <w:r>
              <w:rPr>
                <w:rFonts w:ascii="Times New Roman" w:hAnsi="Times New Roman"/>
                <w:sz w:val="21"/>
                <w:szCs w:val="21"/>
                <w:highlight w:val="none"/>
                <w:vertAlign w:val="subscript"/>
              </w:rPr>
              <w:t>5</w:t>
            </w:r>
            <w:r>
              <w:rPr>
                <w:rFonts w:ascii="Times New Roman" w:hAnsi="Times New Roman"/>
                <w:sz w:val="21"/>
                <w:szCs w:val="21"/>
                <w:highlight w:val="none"/>
              </w:rPr>
              <w:t>、NH</w:t>
            </w:r>
            <w:r>
              <w:rPr>
                <w:rFonts w:ascii="Times New Roman" w:hAnsi="Times New Roman"/>
                <w:sz w:val="21"/>
                <w:szCs w:val="21"/>
                <w:highlight w:val="none"/>
                <w:vertAlign w:val="subscript"/>
              </w:rPr>
              <w:t>3</w:t>
            </w:r>
            <w:r>
              <w:rPr>
                <w:rFonts w:ascii="Times New Roman" w:hAnsi="Times New Roman"/>
                <w:sz w:val="21"/>
                <w:szCs w:val="21"/>
                <w:highlight w:val="none"/>
              </w:rPr>
              <w:t>-N、总磷、粪大肠菌群</w:t>
            </w:r>
          </w:p>
        </w:tc>
        <w:tc>
          <w:tcPr>
            <w:tcW w:w="1060" w:type="pct"/>
            <w:vAlign w:val="center"/>
          </w:tcPr>
          <w:p>
            <w:pPr>
              <w:pStyle w:val="42"/>
              <w:spacing w:line="240" w:lineRule="auto"/>
              <w:ind w:firstLine="0" w:firstLineChars="0"/>
              <w:jc w:val="center"/>
              <w:rPr>
                <w:kern w:val="2"/>
                <w:highlight w:val="none"/>
              </w:rPr>
            </w:pPr>
            <w:r>
              <w:rPr>
                <w:rFonts w:hint="eastAsia"/>
                <w:kern w:val="2"/>
                <w:highlight w:val="none"/>
              </w:rPr>
              <w:t>COD、SS、氨氮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3</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地下水环境</w:t>
            </w:r>
          </w:p>
        </w:tc>
        <w:tc>
          <w:tcPr>
            <w:tcW w:w="2852" w:type="pct"/>
            <w:vAlign w:val="center"/>
          </w:tcPr>
          <w:p>
            <w:pPr>
              <w:pStyle w:val="42"/>
              <w:spacing w:line="240" w:lineRule="auto"/>
              <w:ind w:firstLine="420"/>
              <w:jc w:val="center"/>
              <w:rPr>
                <w:rFonts w:hint="eastAsia" w:eastAsia="宋体"/>
                <w:kern w:val="2"/>
                <w:highlight w:val="none"/>
                <w:vertAlign w:val="superscript"/>
                <w:lang w:eastAsia="zh-CN"/>
              </w:rPr>
            </w:pPr>
            <w:r>
              <w:rPr>
                <w:rFonts w:ascii="Times New Roman" w:hAnsi="Times New Roman"/>
                <w:sz w:val="21"/>
                <w:szCs w:val="21"/>
                <w:highlight w:val="none"/>
              </w:rPr>
              <w:t>K</w:t>
            </w:r>
            <w:r>
              <w:rPr>
                <w:rFonts w:ascii="Times New Roman" w:hAnsi="Times New Roman"/>
                <w:sz w:val="21"/>
                <w:szCs w:val="21"/>
                <w:highlight w:val="none"/>
                <w:vertAlign w:val="superscript"/>
              </w:rPr>
              <w:t>+</w:t>
            </w:r>
            <w:r>
              <w:rPr>
                <w:rFonts w:ascii="Times New Roman" w:hAnsi="Times New Roman"/>
                <w:sz w:val="21"/>
                <w:szCs w:val="21"/>
                <w:highlight w:val="none"/>
              </w:rPr>
              <w:t>、Na</w:t>
            </w:r>
            <w:r>
              <w:rPr>
                <w:rFonts w:ascii="Times New Roman" w:hAnsi="Times New Roman"/>
                <w:sz w:val="21"/>
                <w:szCs w:val="21"/>
                <w:highlight w:val="none"/>
                <w:vertAlign w:val="superscript"/>
              </w:rPr>
              <w:t>+</w:t>
            </w:r>
            <w:r>
              <w:rPr>
                <w:rFonts w:ascii="Times New Roman" w:hAnsi="Times New Roman"/>
                <w:sz w:val="21"/>
                <w:szCs w:val="21"/>
                <w:highlight w:val="none"/>
              </w:rPr>
              <w:t>、Ca</w:t>
            </w:r>
            <w:r>
              <w:rPr>
                <w:rFonts w:ascii="Times New Roman" w:hAnsi="Times New Roman"/>
                <w:sz w:val="21"/>
                <w:szCs w:val="21"/>
                <w:highlight w:val="none"/>
                <w:vertAlign w:val="superscript"/>
              </w:rPr>
              <w:t>2+</w:t>
            </w:r>
            <w:r>
              <w:rPr>
                <w:rFonts w:ascii="Times New Roman" w:hAnsi="Times New Roman"/>
                <w:sz w:val="21"/>
                <w:szCs w:val="21"/>
                <w:highlight w:val="none"/>
              </w:rPr>
              <w:t>、Mg</w:t>
            </w:r>
            <w:r>
              <w:rPr>
                <w:rFonts w:ascii="Times New Roman" w:hAnsi="Times New Roman"/>
                <w:sz w:val="21"/>
                <w:szCs w:val="21"/>
                <w:highlight w:val="none"/>
                <w:vertAlign w:val="superscript"/>
              </w:rPr>
              <w:t>2+</w:t>
            </w:r>
            <w:r>
              <w:rPr>
                <w:rFonts w:ascii="Times New Roman" w:hAnsi="Times New Roman"/>
                <w:sz w:val="21"/>
                <w:szCs w:val="21"/>
                <w:highlight w:val="none"/>
              </w:rPr>
              <w:t>、CO</w:t>
            </w:r>
            <w:r>
              <w:rPr>
                <w:rFonts w:ascii="Times New Roman" w:hAnsi="Times New Roman"/>
                <w:sz w:val="21"/>
                <w:szCs w:val="21"/>
                <w:highlight w:val="none"/>
                <w:vertAlign w:val="subscript"/>
              </w:rPr>
              <w:t>3</w:t>
            </w:r>
            <w:r>
              <w:rPr>
                <w:rFonts w:ascii="Times New Roman" w:hAnsi="Times New Roman"/>
                <w:sz w:val="21"/>
                <w:szCs w:val="21"/>
                <w:highlight w:val="none"/>
                <w:vertAlign w:val="superscript"/>
              </w:rPr>
              <w:t>2—</w:t>
            </w:r>
            <w:r>
              <w:rPr>
                <w:rFonts w:ascii="Times New Roman" w:hAnsi="Times New Roman"/>
                <w:sz w:val="21"/>
                <w:szCs w:val="21"/>
                <w:highlight w:val="none"/>
              </w:rPr>
              <w:t>、PH、总硬度、氨氮、硝酸盐、亚硝酸盐、总大肠菌群、铅、镉、铁、锰</w:t>
            </w:r>
            <w:r>
              <w:rPr>
                <w:rFonts w:hint="eastAsia" w:ascii="Times New Roman" w:hAnsi="Times New Roman"/>
                <w:sz w:val="21"/>
                <w:szCs w:val="21"/>
                <w:highlight w:val="none"/>
                <w:lang w:eastAsia="zh-CN"/>
              </w:rPr>
              <w:t>、水位</w:t>
            </w:r>
          </w:p>
        </w:tc>
        <w:tc>
          <w:tcPr>
            <w:tcW w:w="1060" w:type="pct"/>
            <w:vAlign w:val="center"/>
          </w:tcPr>
          <w:p>
            <w:pPr>
              <w:pStyle w:val="42"/>
              <w:spacing w:line="240" w:lineRule="auto"/>
              <w:ind w:firstLine="0" w:firstLineChars="0"/>
              <w:jc w:val="center"/>
              <w:rPr>
                <w:kern w:val="2"/>
                <w:highlight w:val="none"/>
              </w:rPr>
            </w:pPr>
            <w:r>
              <w:rPr>
                <w:rFonts w:hint="eastAsia"/>
                <w:kern w:val="2"/>
                <w:highlight w:val="none"/>
              </w:rPr>
              <w:t>水位、氨氮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kern w:val="2"/>
                <w:highlight w:val="none"/>
              </w:rPr>
              <w:t>4</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声环境</w:t>
            </w:r>
          </w:p>
        </w:tc>
        <w:tc>
          <w:tcPr>
            <w:tcW w:w="2852" w:type="pct"/>
            <w:vAlign w:val="center"/>
          </w:tcPr>
          <w:p>
            <w:pPr>
              <w:pStyle w:val="42"/>
              <w:spacing w:line="240" w:lineRule="auto"/>
              <w:ind w:firstLine="420"/>
              <w:jc w:val="center"/>
              <w:rPr>
                <w:kern w:val="2"/>
                <w:highlight w:val="none"/>
              </w:rPr>
            </w:pPr>
            <w:r>
              <w:rPr>
                <w:kern w:val="2"/>
                <w:highlight w:val="none"/>
              </w:rPr>
              <w:t>连续等效</w:t>
            </w:r>
            <w:r>
              <w:rPr>
                <w:rFonts w:hint="eastAsia"/>
                <w:kern w:val="2"/>
                <w:highlight w:val="none"/>
              </w:rPr>
              <w:t>A</w:t>
            </w:r>
            <w:r>
              <w:rPr>
                <w:kern w:val="2"/>
                <w:highlight w:val="none"/>
              </w:rPr>
              <w:t>声级</w:t>
            </w:r>
          </w:p>
        </w:tc>
        <w:tc>
          <w:tcPr>
            <w:tcW w:w="1060" w:type="pct"/>
            <w:vAlign w:val="center"/>
          </w:tcPr>
          <w:p>
            <w:pPr>
              <w:pStyle w:val="42"/>
              <w:spacing w:line="240" w:lineRule="auto"/>
              <w:ind w:firstLine="0" w:firstLineChars="0"/>
              <w:jc w:val="center"/>
              <w:rPr>
                <w:kern w:val="2"/>
                <w:highlight w:val="none"/>
              </w:rPr>
            </w:pPr>
            <w:r>
              <w:rPr>
                <w:kern w:val="2"/>
                <w:highlight w:val="none"/>
              </w:rPr>
              <w:t>连续等效</w:t>
            </w:r>
            <w:r>
              <w:rPr>
                <w:rFonts w:hint="eastAsia"/>
                <w:kern w:val="2"/>
                <w:highlight w:val="none"/>
              </w:rPr>
              <w:t>A</w:t>
            </w:r>
            <w:r>
              <w:rPr>
                <w:kern w:val="2"/>
                <w:highlight w:val="none"/>
              </w:rPr>
              <w:t>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kern w:val="2"/>
                <w:highlight w:val="none"/>
              </w:rPr>
            </w:pPr>
            <w:r>
              <w:rPr>
                <w:rFonts w:hint="eastAsia"/>
                <w:kern w:val="2"/>
                <w:highlight w:val="none"/>
              </w:rPr>
              <w:t>5</w:t>
            </w:r>
          </w:p>
        </w:tc>
        <w:tc>
          <w:tcPr>
            <w:tcW w:w="678" w:type="pct"/>
            <w:vAlign w:val="center"/>
          </w:tcPr>
          <w:p>
            <w:pPr>
              <w:pStyle w:val="42"/>
              <w:spacing w:line="240" w:lineRule="auto"/>
              <w:ind w:firstLine="0" w:firstLineChars="0"/>
              <w:jc w:val="center"/>
              <w:rPr>
                <w:rFonts w:hint="eastAsia"/>
                <w:kern w:val="2"/>
                <w:highlight w:val="none"/>
              </w:rPr>
            </w:pPr>
            <w:r>
              <w:rPr>
                <w:rFonts w:hint="eastAsia"/>
                <w:kern w:val="2"/>
                <w:highlight w:val="none"/>
              </w:rPr>
              <w:t>土壤</w:t>
            </w:r>
          </w:p>
        </w:tc>
        <w:tc>
          <w:tcPr>
            <w:tcW w:w="2852" w:type="pct"/>
            <w:vAlign w:val="center"/>
          </w:tcPr>
          <w:p>
            <w:pPr>
              <w:pStyle w:val="42"/>
              <w:spacing w:line="240" w:lineRule="auto"/>
              <w:ind w:firstLine="420"/>
              <w:jc w:val="center"/>
              <w:rPr>
                <w:kern w:val="2"/>
                <w:highlight w:val="none"/>
              </w:rPr>
            </w:pPr>
            <w:r>
              <w:rPr>
                <w:rFonts w:ascii="Times New Roman" w:hAnsi="Times New Roman"/>
                <w:sz w:val="21"/>
                <w:szCs w:val="21"/>
                <w:highlight w:val="none"/>
              </w:rPr>
              <w:t>PH、铜、砷、锌、铅、汞、铬</w:t>
            </w:r>
          </w:p>
        </w:tc>
        <w:tc>
          <w:tcPr>
            <w:tcW w:w="1060" w:type="pct"/>
            <w:vAlign w:val="center"/>
          </w:tcPr>
          <w:p>
            <w:pPr>
              <w:pStyle w:val="42"/>
              <w:spacing w:line="240" w:lineRule="auto"/>
              <w:ind w:firstLine="0" w:firstLineChars="0"/>
              <w:jc w:val="center"/>
              <w:rPr>
                <w:rFonts w:hint="eastAsia" w:eastAsia="宋体"/>
                <w:kern w:val="2"/>
                <w:highlight w:val="none"/>
                <w:lang w:eastAsia="zh-CN"/>
              </w:rPr>
            </w:pPr>
            <w:r>
              <w:rPr>
                <w:rFonts w:hint="eastAsia"/>
                <w:kern w:val="2"/>
                <w:highlight w:val="none"/>
                <w:lang w:val="en-US" w:eastAsia="zh-CN"/>
              </w:rPr>
              <w:t>/</w:t>
            </w:r>
          </w:p>
        </w:tc>
      </w:tr>
    </w:tbl>
    <w:p>
      <w:pPr>
        <w:pStyle w:val="6"/>
        <w:spacing w:before="132"/>
        <w:rPr>
          <w:rFonts w:cs="Times New Roman"/>
          <w:highlight w:val="none"/>
        </w:rPr>
      </w:pPr>
      <w:bookmarkStart w:id="6" w:name="_Toc18970"/>
      <w:r>
        <w:rPr>
          <w:rFonts w:cs="Times New Roman"/>
          <w:highlight w:val="none"/>
        </w:rPr>
        <w:t>1.5评价重点</w:t>
      </w:r>
      <w:bookmarkEnd w:id="6"/>
    </w:p>
    <w:p>
      <w:pPr>
        <w:ind w:firstLine="480"/>
        <w:rPr>
          <w:rFonts w:cs="Times New Roman"/>
          <w:highlight w:val="none"/>
        </w:rPr>
      </w:pPr>
      <w:r>
        <w:rPr>
          <w:rFonts w:cs="Times New Roman"/>
          <w:highlight w:val="none"/>
        </w:rPr>
        <w:t>本评价以工程分析、环境质量现状、环境影响预测评价、污染防治措施分析、风险分析为工作重点。</w:t>
      </w:r>
    </w:p>
    <w:p>
      <w:pPr>
        <w:pStyle w:val="6"/>
        <w:spacing w:beforeLines="0"/>
        <w:rPr>
          <w:rFonts w:cs="Times New Roman"/>
          <w:highlight w:val="none"/>
        </w:rPr>
      </w:pPr>
      <w:bookmarkStart w:id="7" w:name="_Toc21800"/>
      <w:r>
        <w:rPr>
          <w:rFonts w:cs="Times New Roman"/>
          <w:highlight w:val="none"/>
        </w:rPr>
        <w:t>1.6评价标准</w:t>
      </w:r>
      <w:bookmarkEnd w:id="7"/>
    </w:p>
    <w:p>
      <w:pPr>
        <w:ind w:firstLine="480"/>
        <w:rPr>
          <w:rFonts w:cs="Times New Roman"/>
          <w:highlight w:val="none"/>
        </w:rPr>
      </w:pPr>
      <w:r>
        <w:rPr>
          <w:rFonts w:cs="Times New Roman"/>
          <w:highlight w:val="none"/>
        </w:rPr>
        <w:t>经</w:t>
      </w:r>
      <w:r>
        <w:rPr>
          <w:rFonts w:hint="eastAsia" w:cs="Times New Roman"/>
          <w:highlight w:val="none"/>
          <w:lang w:eastAsia="zh-CN"/>
        </w:rPr>
        <w:t>正阳县</w:t>
      </w:r>
      <w:r>
        <w:rPr>
          <w:rFonts w:cs="Times New Roman"/>
          <w:highlight w:val="none"/>
        </w:rPr>
        <w:t>环境保护局确认，本次评价执行以下标准：</w:t>
      </w:r>
    </w:p>
    <w:p>
      <w:pPr>
        <w:pStyle w:val="7"/>
        <w:spacing w:before="66"/>
        <w:ind w:firstLine="482"/>
        <w:rPr>
          <w:rFonts w:cs="Times New Roman"/>
          <w:highlight w:val="none"/>
        </w:rPr>
      </w:pPr>
      <w:r>
        <w:rPr>
          <w:rFonts w:cs="Times New Roman"/>
          <w:highlight w:val="none"/>
        </w:rPr>
        <w:t>1.</w:t>
      </w:r>
      <w:r>
        <w:rPr>
          <w:rFonts w:hint="eastAsia" w:cs="Times New Roman"/>
          <w:highlight w:val="none"/>
        </w:rPr>
        <w:t>6.</w:t>
      </w:r>
      <w:r>
        <w:rPr>
          <w:rFonts w:cs="Times New Roman"/>
          <w:highlight w:val="none"/>
        </w:rPr>
        <w:t>1环境质量标准</w:t>
      </w:r>
    </w:p>
    <w:p>
      <w:pPr>
        <w:numPr>
          <w:ilvl w:val="0"/>
          <w:numId w:val="3"/>
        </w:numPr>
        <w:ind w:firstLine="480"/>
        <w:rPr>
          <w:rFonts w:cs="Times New Roman"/>
          <w:highlight w:val="none"/>
        </w:rPr>
      </w:pPr>
      <w:r>
        <w:rPr>
          <w:rFonts w:cs="Times New Roman"/>
          <w:highlight w:val="none"/>
        </w:rPr>
        <w:t>环境空气</w:t>
      </w:r>
    </w:p>
    <w:p>
      <w:pPr>
        <w:ind w:firstLine="480"/>
        <w:rPr>
          <w:rFonts w:cs="Times New Roman"/>
          <w:highlight w:val="none"/>
        </w:rPr>
      </w:pPr>
      <w:r>
        <w:rPr>
          <w:rFonts w:hint="eastAsia"/>
          <w:highlight w:val="none"/>
        </w:rPr>
        <w:t>环境空气执行《环境空气质量标准》（GB3095-2012）二级标准；其中恶臭气体（H</w:t>
      </w:r>
      <w:r>
        <w:rPr>
          <w:rFonts w:hint="eastAsia"/>
          <w:highlight w:val="none"/>
          <w:vertAlign w:val="subscript"/>
        </w:rPr>
        <w:t>2</w:t>
      </w:r>
      <w:r>
        <w:rPr>
          <w:rFonts w:hint="eastAsia"/>
          <w:highlight w:val="none"/>
        </w:rPr>
        <w:t>S、NH</w:t>
      </w:r>
      <w:r>
        <w:rPr>
          <w:rFonts w:hint="eastAsia"/>
          <w:highlight w:val="none"/>
          <w:vertAlign w:val="subscript"/>
        </w:rPr>
        <w:t>3</w:t>
      </w:r>
      <w:r>
        <w:rPr>
          <w:rFonts w:hint="eastAsia"/>
          <w:highlight w:val="none"/>
        </w:rPr>
        <w:t>）执行《环境影响评价技术导则 大气环境（HJ2.2-2018）》中附录D中有害物质的最高允许浓度</w:t>
      </w:r>
      <w:r>
        <w:rPr>
          <w:rFonts w:cs="Times New Roman"/>
          <w:highlight w:val="none"/>
        </w:rPr>
        <w:t>。标准值见表1.</w:t>
      </w:r>
      <w:r>
        <w:rPr>
          <w:rFonts w:hint="eastAsia" w:cs="Times New Roman"/>
          <w:highlight w:val="none"/>
        </w:rPr>
        <w:t>6</w:t>
      </w:r>
      <w:r>
        <w:rPr>
          <w:rFonts w:cs="Times New Roman"/>
          <w:highlight w:val="none"/>
        </w:rPr>
        <w:t>-1。</w:t>
      </w: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-1环境空气质量执行标准</w:t>
      </w:r>
    </w:p>
    <w:tbl>
      <w:tblPr>
        <w:tblStyle w:val="24"/>
        <w:tblW w:w="851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02"/>
        <w:gridCol w:w="991"/>
        <w:gridCol w:w="991"/>
        <w:gridCol w:w="993"/>
        <w:gridCol w:w="44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restart"/>
            <w:tcBorders>
              <w:left w:val="single" w:color="000000" w:sz="12" w:space="0"/>
            </w:tcBorders>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物质名称</w:t>
            </w:r>
          </w:p>
        </w:tc>
        <w:tc>
          <w:tcPr>
            <w:tcW w:w="2975" w:type="dxa"/>
            <w:gridSpan w:val="3"/>
            <w:shd w:val="clear" w:color="auto" w:fill="auto"/>
            <w:vAlign w:val="center"/>
          </w:tcPr>
          <w:p>
            <w:pPr>
              <w:spacing w:line="240" w:lineRule="auto"/>
              <w:ind w:firstLine="482" w:firstLineChars="0"/>
              <w:jc w:val="center"/>
              <w:rPr>
                <w:rFonts w:cs="Times New Roman"/>
                <w:b/>
                <w:sz w:val="21"/>
                <w:szCs w:val="21"/>
                <w:highlight w:val="none"/>
              </w:rPr>
            </w:pPr>
            <w:r>
              <w:rPr>
                <w:rFonts w:cs="Times New Roman"/>
                <w:b/>
                <w:sz w:val="21"/>
                <w:szCs w:val="21"/>
                <w:highlight w:val="none"/>
              </w:rPr>
              <w:t xml:space="preserve">浓度限值 </w:t>
            </w:r>
            <w:r>
              <w:rPr>
                <w:b/>
                <w:sz w:val="21"/>
                <w:szCs w:val="21"/>
                <w:highlight w:val="none"/>
              </w:rPr>
              <w:t>µ</w:t>
            </w:r>
            <w:r>
              <w:rPr>
                <w:rFonts w:cs="Times New Roman"/>
                <w:b/>
                <w:sz w:val="21"/>
                <w:szCs w:val="21"/>
                <w:highlight w:val="none"/>
              </w:rPr>
              <w:t>g/m</w:t>
            </w:r>
            <w:r>
              <w:rPr>
                <w:rFonts w:cs="Times New Roman"/>
                <w:b/>
                <w:sz w:val="21"/>
                <w:szCs w:val="21"/>
                <w:highlight w:val="none"/>
                <w:vertAlign w:val="superscript"/>
              </w:rPr>
              <w:t>3</w:t>
            </w:r>
          </w:p>
        </w:tc>
        <w:tc>
          <w:tcPr>
            <w:tcW w:w="4439" w:type="dxa"/>
            <w:vMerge w:val="restart"/>
            <w:tcBorders>
              <w:right w:val="single" w:color="000000" w:sz="12" w:space="0"/>
            </w:tcBorders>
            <w:shd w:val="clear" w:color="auto" w:fill="auto"/>
            <w:vAlign w:val="center"/>
          </w:tcPr>
          <w:p>
            <w:pPr>
              <w:spacing w:line="240" w:lineRule="auto"/>
              <w:ind w:firstLine="482" w:firstLineChars="0"/>
              <w:jc w:val="center"/>
              <w:rPr>
                <w:rFonts w:cs="Times New Roman"/>
                <w:b/>
                <w:sz w:val="21"/>
                <w:szCs w:val="21"/>
                <w:highlight w:val="none"/>
              </w:rPr>
            </w:pPr>
            <w:r>
              <w:rPr>
                <w:rFonts w:cs="Times New Roman"/>
                <w:b/>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continue"/>
            <w:tcBorders>
              <w:left w:val="single" w:color="000000" w:sz="12" w:space="0"/>
            </w:tcBorders>
            <w:shd w:val="clear" w:color="auto" w:fill="auto"/>
            <w:vAlign w:val="center"/>
          </w:tcPr>
          <w:p>
            <w:pPr>
              <w:spacing w:line="240" w:lineRule="auto"/>
              <w:ind w:firstLine="482" w:firstLineChars="0"/>
              <w:jc w:val="center"/>
              <w:rPr>
                <w:rFonts w:cs="Times New Roman"/>
                <w:b/>
                <w:sz w:val="21"/>
                <w:szCs w:val="21"/>
                <w:highlight w:val="none"/>
              </w:rPr>
            </w:pPr>
          </w:p>
        </w:tc>
        <w:tc>
          <w:tcPr>
            <w:tcW w:w="991"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小时</w:t>
            </w:r>
          </w:p>
        </w:tc>
        <w:tc>
          <w:tcPr>
            <w:tcW w:w="991"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日平均</w:t>
            </w:r>
          </w:p>
        </w:tc>
        <w:tc>
          <w:tcPr>
            <w:tcW w:w="993" w:type="dxa"/>
            <w:shd w:val="clear" w:color="auto" w:fill="auto"/>
            <w:vAlign w:val="center"/>
          </w:tcPr>
          <w:p>
            <w:pPr>
              <w:spacing w:line="240" w:lineRule="auto"/>
              <w:ind w:firstLine="0" w:firstLineChars="0"/>
              <w:jc w:val="center"/>
              <w:rPr>
                <w:rFonts w:cs="Times New Roman"/>
                <w:b/>
                <w:sz w:val="21"/>
                <w:szCs w:val="21"/>
                <w:highlight w:val="none"/>
              </w:rPr>
            </w:pPr>
            <w:r>
              <w:rPr>
                <w:rFonts w:cs="Times New Roman"/>
                <w:b/>
                <w:sz w:val="21"/>
                <w:szCs w:val="21"/>
                <w:highlight w:val="none"/>
              </w:rPr>
              <w:t>年平均</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cs="Times New Roman"/>
                <w:sz w:val="21"/>
                <w:szCs w:val="21"/>
                <w:highlight w:val="none"/>
                <w:vertAlign w:val="subscript"/>
              </w:rPr>
              <w:t>10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w:t>
            </w:r>
            <w:r>
              <w:rPr>
                <w:rFonts w:hint="eastAsia" w:cs="Times New Roman"/>
                <w:sz w:val="21"/>
                <w:szCs w:val="21"/>
                <w:highlight w:val="none"/>
              </w:rPr>
              <w:t>0</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《环境空气质量标准(GB3095-2012)（二级）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PM</w:t>
            </w:r>
            <w:r>
              <w:rPr>
                <w:rFonts w:hint="eastAsia" w:cs="Times New Roman"/>
                <w:sz w:val="21"/>
                <w:szCs w:val="21"/>
                <w:highlight w:val="none"/>
                <w:vertAlign w:val="subscript"/>
              </w:rPr>
              <w:t>2.5</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75</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35</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SO</w:t>
            </w:r>
            <w:r>
              <w:rPr>
                <w:rFonts w:cs="Times New Roman"/>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w:t>
            </w:r>
            <w:r>
              <w:rPr>
                <w:rFonts w:hint="eastAsia" w:cs="Times New Roman"/>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w:t>
            </w:r>
            <w:r>
              <w:rPr>
                <w:rFonts w:hint="eastAsia" w:cs="Times New Roman"/>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NO</w:t>
            </w:r>
            <w:r>
              <w:rPr>
                <w:rFonts w:cs="Times New Roman"/>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w:t>
            </w:r>
            <w:r>
              <w:rPr>
                <w:rFonts w:hint="eastAsia" w:cs="Times New Roman"/>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w:t>
            </w:r>
            <w:r>
              <w:rPr>
                <w:rFonts w:hint="eastAsia" w:cs="Times New Roman"/>
                <w:sz w:val="21"/>
                <w:szCs w:val="21"/>
                <w:highlight w:val="none"/>
              </w:rPr>
              <w:t>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r>
              <w:rPr>
                <w:rFonts w:hint="eastAsia" w:cs="Times New Roman"/>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CO</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10000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4000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O</w:t>
            </w:r>
            <w:r>
              <w:rPr>
                <w:rFonts w:hint="eastAsia" w:cs="Times New Roman"/>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200</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160(8小时）</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TSP</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991"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300</w:t>
            </w:r>
          </w:p>
        </w:tc>
        <w:tc>
          <w:tcPr>
            <w:tcW w:w="993" w:type="dxa"/>
            <w:shd w:val="clear" w:color="auto" w:fill="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120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NOx</w:t>
            </w:r>
          </w:p>
        </w:tc>
        <w:tc>
          <w:tcPr>
            <w:tcW w:w="991"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991"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993" w:type="dxa"/>
            <w:shd w:val="clear" w:color="auto" w:fill="auto"/>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H</w:t>
            </w:r>
            <w:r>
              <w:rPr>
                <w:rFonts w:hint="eastAsia" w:cs="Times New Roman"/>
                <w:sz w:val="21"/>
                <w:szCs w:val="21"/>
                <w:highlight w:val="none"/>
                <w:vertAlign w:val="subscript"/>
              </w:rPr>
              <w:t>2</w:t>
            </w:r>
            <w:r>
              <w:rPr>
                <w:rFonts w:hint="eastAsia" w:cs="Times New Roman"/>
                <w:sz w:val="21"/>
                <w:szCs w:val="21"/>
                <w:highlight w:val="none"/>
              </w:rPr>
              <w:t>S</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lang w:val="en-US" w:eastAsia="zh-CN"/>
              </w:rPr>
              <w:t>10</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《环境影响评级技术导则大气环境》（HJ 2.2-2018）附录D中空气质量浓度限值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NH</w:t>
            </w:r>
            <w:r>
              <w:rPr>
                <w:rFonts w:hint="eastAsia" w:cs="Times New Roman"/>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hint="eastAsia" w:eastAsia="宋体" w:cs="Times New Roman"/>
                <w:sz w:val="21"/>
                <w:szCs w:val="21"/>
                <w:highlight w:val="none"/>
                <w:u w:val="none"/>
                <w:lang w:eastAsia="zh-CN"/>
              </w:rPr>
            </w:pPr>
            <w:r>
              <w:rPr>
                <w:rFonts w:hint="eastAsia" w:cs="Times New Roman"/>
                <w:sz w:val="21"/>
                <w:szCs w:val="21"/>
                <w:highlight w:val="none"/>
                <w:u w:val="none"/>
              </w:rPr>
              <w:t>200</w:t>
            </w:r>
          </w:p>
        </w:tc>
        <w:tc>
          <w:tcPr>
            <w:tcW w:w="991"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sz w:val="21"/>
                <w:szCs w:val="21"/>
                <w:highlight w:val="none"/>
                <w:u w:val="none"/>
              </w:rPr>
            </w:pPr>
            <w:r>
              <w:rPr>
                <w:rFonts w:hint="eastAsia" w:cs="Times New Roman"/>
                <w:sz w:val="21"/>
                <w:szCs w:val="21"/>
                <w:highlight w:val="none"/>
                <w:u w:val="none"/>
              </w:rPr>
              <w:t>/</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sz w:val="21"/>
                <w:szCs w:val="21"/>
                <w:highlight w:val="none"/>
                <w:u w:val="none"/>
              </w:rPr>
            </w:pPr>
          </w:p>
        </w:tc>
      </w:tr>
    </w:tbl>
    <w:p>
      <w:pPr>
        <w:numPr>
          <w:ilvl w:val="0"/>
          <w:numId w:val="3"/>
        </w:numPr>
        <w:ind w:firstLine="464"/>
        <w:rPr>
          <w:rFonts w:cs="Times New Roman"/>
          <w:spacing w:val="-4"/>
          <w:highlight w:val="none"/>
        </w:rPr>
      </w:pPr>
      <w:r>
        <w:rPr>
          <w:rFonts w:cs="Times New Roman"/>
          <w:spacing w:val="-4"/>
          <w:highlight w:val="none"/>
        </w:rPr>
        <w:t>地表水</w:t>
      </w:r>
    </w:p>
    <w:p>
      <w:pPr>
        <w:pStyle w:val="10"/>
        <w:rPr>
          <w:rFonts w:cs="Times New Roman"/>
          <w:highlight w:val="none"/>
        </w:rPr>
      </w:pPr>
      <w:r>
        <w:rPr>
          <w:rFonts w:hint="eastAsia"/>
          <w:highlight w:val="none"/>
        </w:rPr>
        <w:t>地表水环境执行《地表水环境质量标准》（GB3838-2002）Ⅲ类标准</w:t>
      </w:r>
      <w:r>
        <w:rPr>
          <w:rFonts w:cs="Times New Roman"/>
          <w:highlight w:val="none"/>
        </w:rPr>
        <w:t>。标准值见表1.</w:t>
      </w:r>
      <w:r>
        <w:rPr>
          <w:rFonts w:hint="eastAsia" w:cs="Times New Roman"/>
          <w:highlight w:val="none"/>
        </w:rPr>
        <w:t>6</w:t>
      </w:r>
      <w:r>
        <w:rPr>
          <w:rFonts w:cs="Times New Roman"/>
          <w:highlight w:val="none"/>
        </w:rPr>
        <w:t>-2。</w:t>
      </w:r>
    </w:p>
    <w:p>
      <w:pPr>
        <w:pStyle w:val="40"/>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-2地表水环境质量执行标准单位：mg/L</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4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2"/>
              <w:jc w:val="center"/>
              <w:rPr>
                <w:b/>
                <w:bCs/>
                <w:sz w:val="21"/>
                <w:szCs w:val="21"/>
                <w:highlight w:val="none"/>
              </w:rPr>
            </w:pPr>
            <w:r>
              <w:rPr>
                <w:b/>
                <w:bCs/>
                <w:sz w:val="21"/>
                <w:szCs w:val="21"/>
                <w:highlight w:val="none"/>
              </w:rPr>
              <w:t>分析项目</w:t>
            </w:r>
          </w:p>
        </w:tc>
        <w:tc>
          <w:tcPr>
            <w:tcW w:w="2621" w:type="pct"/>
            <w:vAlign w:val="center"/>
          </w:tcPr>
          <w:p>
            <w:pPr>
              <w:snapToGrid w:val="0"/>
              <w:spacing w:line="240" w:lineRule="auto"/>
              <w:ind w:left="102" w:right="153" w:firstLine="422"/>
              <w:jc w:val="center"/>
              <w:rPr>
                <w:b/>
                <w:bCs/>
                <w:sz w:val="21"/>
                <w:szCs w:val="21"/>
                <w:highlight w:val="none"/>
              </w:rPr>
            </w:pPr>
            <w:r>
              <w:rPr>
                <w:b/>
                <w:bCs/>
                <w:sz w:val="21"/>
                <w:szCs w:val="21"/>
                <w:highlight w:val="none"/>
              </w:rPr>
              <w:t>国家标准（GB3838-2002）Ⅲ类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sz w:val="21"/>
                <w:szCs w:val="21"/>
                <w:highlight w:val="none"/>
              </w:rPr>
              <w:t>PH</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kern w:val="13"/>
                <w:sz w:val="21"/>
                <w:szCs w:val="21"/>
                <w:highlight w:val="none"/>
              </w:rPr>
              <w:t>NH</w:t>
            </w:r>
            <w:r>
              <w:rPr>
                <w:kern w:val="13"/>
                <w:sz w:val="21"/>
                <w:szCs w:val="21"/>
                <w:highlight w:val="none"/>
                <w:vertAlign w:val="subscript"/>
              </w:rPr>
              <w:t>3</w:t>
            </w:r>
            <w:r>
              <w:rPr>
                <w:kern w:val="13"/>
                <w:sz w:val="21"/>
                <w:szCs w:val="21"/>
                <w:highlight w:val="none"/>
              </w:rPr>
              <w:t>-N</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sz w:val="21"/>
                <w:szCs w:val="21"/>
                <w:highlight w:val="none"/>
              </w:rPr>
              <w:t>BOD</w:t>
            </w:r>
            <w:r>
              <w:rPr>
                <w:sz w:val="21"/>
                <w:szCs w:val="21"/>
                <w:highlight w:val="none"/>
                <w:vertAlign w:val="subscript"/>
              </w:rPr>
              <w:t>5</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kern w:val="13"/>
                <w:sz w:val="21"/>
                <w:szCs w:val="21"/>
                <w:highlight w:val="none"/>
              </w:rPr>
              <w:t>COD</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rFonts w:hint="eastAsia"/>
                <w:sz w:val="21"/>
                <w:szCs w:val="21"/>
                <w:highlight w:val="none"/>
              </w:rPr>
              <w:t>总氮</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sz w:val="21"/>
                <w:szCs w:val="21"/>
                <w:highlight w:val="none"/>
              </w:rPr>
            </w:pPr>
            <w:r>
              <w:rPr>
                <w:rFonts w:hint="eastAsia"/>
                <w:sz w:val="21"/>
                <w:szCs w:val="21"/>
                <w:highlight w:val="none"/>
              </w:rPr>
              <w:t>总磷</w:t>
            </w:r>
          </w:p>
        </w:tc>
        <w:tc>
          <w:tcPr>
            <w:tcW w:w="2621" w:type="pct"/>
            <w:vAlign w:val="center"/>
          </w:tcPr>
          <w:p>
            <w:pPr>
              <w:snapToGrid w:val="0"/>
              <w:spacing w:line="240" w:lineRule="auto"/>
              <w:ind w:left="102" w:right="153" w:firstLine="420"/>
              <w:jc w:val="center"/>
              <w:rPr>
                <w:sz w:val="21"/>
                <w:szCs w:val="21"/>
                <w:highlight w:val="none"/>
              </w:rPr>
            </w:pPr>
            <w:r>
              <w:rPr>
                <w:sz w:val="21"/>
                <w:szCs w:val="21"/>
                <w:highlight w:val="none"/>
              </w:rPr>
              <w:t>≤</w:t>
            </w:r>
            <w:r>
              <w:rPr>
                <w:rFonts w:hint="eastAsia"/>
                <w:kern w:val="0"/>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pacing w:line="320" w:lineRule="exact"/>
              <w:ind w:firstLine="420" w:firstLineChars="200"/>
              <w:jc w:val="center"/>
              <w:rPr>
                <w:sz w:val="21"/>
                <w:szCs w:val="21"/>
                <w:highlight w:val="none"/>
              </w:rPr>
            </w:pPr>
            <w:r>
              <w:rPr>
                <w:rFonts w:ascii="Times New Roman" w:hAnsi="Times New Roman"/>
                <w:sz w:val="21"/>
                <w:highlight w:val="none"/>
              </w:rPr>
              <w:t>粪大肠菌群</w:t>
            </w:r>
          </w:p>
        </w:tc>
        <w:tc>
          <w:tcPr>
            <w:tcW w:w="2621" w:type="pct"/>
            <w:vAlign w:val="center"/>
          </w:tcPr>
          <w:p>
            <w:pPr>
              <w:spacing w:line="320" w:lineRule="exact"/>
              <w:ind w:firstLine="420" w:firstLineChars="200"/>
              <w:jc w:val="center"/>
              <w:rPr>
                <w:sz w:val="21"/>
                <w:szCs w:val="21"/>
                <w:highlight w:val="none"/>
              </w:rPr>
            </w:pPr>
            <w:r>
              <w:rPr>
                <w:rFonts w:hint="eastAsia" w:ascii="Times New Roman" w:hAnsi="Times New Roman"/>
                <w:sz w:val="21"/>
                <w:highlight w:val="none"/>
              </w:rPr>
              <w:t>10000</w:t>
            </w:r>
            <w:r>
              <w:rPr>
                <w:rFonts w:ascii="Times New Roman" w:hAnsi="Times New Roman"/>
                <w:sz w:val="21"/>
                <w:highlight w:val="none"/>
              </w:rPr>
              <w:t>个/L</w:t>
            </w:r>
          </w:p>
        </w:tc>
      </w:tr>
    </w:tbl>
    <w:p>
      <w:pPr>
        <w:numPr>
          <w:ilvl w:val="0"/>
          <w:numId w:val="3"/>
        </w:numPr>
        <w:ind w:firstLine="480"/>
        <w:rPr>
          <w:rFonts w:cs="Times New Roman"/>
          <w:highlight w:val="none"/>
        </w:rPr>
      </w:pPr>
      <w:r>
        <w:rPr>
          <w:rFonts w:cs="Times New Roman"/>
          <w:highlight w:val="none"/>
        </w:rPr>
        <w:t>地下水</w:t>
      </w:r>
    </w:p>
    <w:p>
      <w:pPr>
        <w:tabs>
          <w:tab w:val="left" w:pos="7440"/>
        </w:tabs>
        <w:ind w:firstLine="480"/>
        <w:rPr>
          <w:rFonts w:cs="Times New Roman"/>
          <w:highlight w:val="none"/>
        </w:rPr>
      </w:pPr>
      <w:r>
        <w:rPr>
          <w:rFonts w:cs="Times New Roman"/>
          <w:highlight w:val="none"/>
        </w:rPr>
        <w:t>执行《地下水质量标准》</w:t>
      </w:r>
      <w:r>
        <w:rPr>
          <w:rFonts w:hint="eastAsia"/>
          <w:highlight w:val="none"/>
        </w:rPr>
        <w:t>（GB/T 14848-2017）</w:t>
      </w:r>
      <w:r>
        <w:rPr>
          <w:rFonts w:cs="Times New Roman"/>
          <w:highlight w:val="none"/>
        </w:rPr>
        <w:t>Ⅲ类标准。标准值见表1.</w:t>
      </w:r>
      <w:r>
        <w:rPr>
          <w:rFonts w:hint="eastAsia" w:cs="Times New Roman"/>
          <w:highlight w:val="none"/>
        </w:rPr>
        <w:t>6</w:t>
      </w:r>
      <w:r>
        <w:rPr>
          <w:rFonts w:cs="Times New Roman"/>
          <w:highlight w:val="none"/>
        </w:rPr>
        <w:t>-3。</w:t>
      </w: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-3</w:t>
      </w:r>
      <w:r>
        <w:rPr>
          <w:rFonts w:hint="eastAsia" w:cs="Times New Roman"/>
          <w:highlight w:val="none"/>
        </w:rPr>
        <w:t>地下水</w:t>
      </w:r>
      <w:r>
        <w:rPr>
          <w:rFonts w:cs="Times New Roman"/>
          <w:highlight w:val="none"/>
        </w:rPr>
        <w:t>质量执行标准单位：mg/m</w:t>
      </w:r>
      <w:r>
        <w:rPr>
          <w:rFonts w:cs="Times New Roman"/>
          <w:highlight w:val="none"/>
          <w:vertAlign w:val="superscript"/>
        </w:rPr>
        <w:t>3</w:t>
      </w:r>
      <w:r>
        <w:rPr>
          <w:rFonts w:hint="eastAsia" w:cs="Times New Roman"/>
          <w:highlight w:val="none"/>
        </w:rPr>
        <w:t>，</w:t>
      </w:r>
      <w:r>
        <w:rPr>
          <w:rFonts w:hint="eastAsia"/>
          <w:szCs w:val="21"/>
          <w:highlight w:val="none"/>
        </w:rPr>
        <w:t>p</w:t>
      </w:r>
      <w:r>
        <w:rPr>
          <w:szCs w:val="21"/>
          <w:highlight w:val="none"/>
        </w:rPr>
        <w:t>H</w:t>
      </w:r>
      <w:r>
        <w:rPr>
          <w:rFonts w:hint="eastAsia"/>
          <w:szCs w:val="21"/>
          <w:highlight w:val="none"/>
        </w:rPr>
        <w:t>无量纲</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638"/>
        <w:gridCol w:w="3903"/>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top w:val="single" w:color="000000" w:sz="12" w:space="0"/>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序号</w:t>
            </w:r>
          </w:p>
        </w:tc>
        <w:tc>
          <w:tcPr>
            <w:tcW w:w="2343" w:type="pct"/>
            <w:tcBorders>
              <w:top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项目</w:t>
            </w:r>
          </w:p>
        </w:tc>
        <w:tc>
          <w:tcPr>
            <w:tcW w:w="1673" w:type="pct"/>
            <w:tcBorders>
              <w:top w:val="single" w:color="000000" w:sz="12" w:space="0"/>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1</w:t>
            </w:r>
          </w:p>
        </w:tc>
        <w:tc>
          <w:tcPr>
            <w:tcW w:w="2343" w:type="pct"/>
            <w:vAlign w:val="center"/>
          </w:tcPr>
          <w:p>
            <w:pPr>
              <w:autoSpaceDN w:val="0"/>
              <w:spacing w:line="120" w:lineRule="atLeast"/>
              <w:ind w:firstLine="0" w:firstLineChars="0"/>
              <w:jc w:val="center"/>
              <w:textAlignment w:val="center"/>
              <w:rPr>
                <w:sz w:val="21"/>
                <w:highlight w:val="none"/>
              </w:rPr>
            </w:pPr>
            <w:r>
              <w:rPr>
                <w:sz w:val="21"/>
                <w:highlight w:val="none"/>
              </w:rPr>
              <w:t>pH</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sz w:val="21"/>
                <w:highlight w:val="none"/>
              </w:rPr>
              <w:t>6.5-8.5</w:t>
            </w:r>
            <w:r>
              <w:rPr>
                <w:rFonts w:hint="eastAsia"/>
                <w:sz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2</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总硬度</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sz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3</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氨氮</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sz w:val="21"/>
                <w:highlight w:val="none"/>
              </w:rPr>
              <w:t>0.</w:t>
            </w:r>
            <w:r>
              <w:rPr>
                <w:rFonts w:hint="eastAsia"/>
                <w:sz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4</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sz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5</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亚硝酸盐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6</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铅</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7</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铁</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8</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锰</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sz w:val="21"/>
                <w:highlight w:val="none"/>
              </w:rPr>
            </w:pPr>
            <w:r>
              <w:rPr>
                <w:sz w:val="21"/>
                <w:highlight w:val="none"/>
              </w:rPr>
              <w:t>9</w:t>
            </w:r>
          </w:p>
        </w:tc>
        <w:tc>
          <w:tcPr>
            <w:tcW w:w="2343" w:type="pct"/>
            <w:vAlign w:val="center"/>
          </w:tcPr>
          <w:p>
            <w:pPr>
              <w:autoSpaceDN w:val="0"/>
              <w:spacing w:line="120" w:lineRule="atLeast"/>
              <w:ind w:firstLine="0" w:firstLineChars="0"/>
              <w:jc w:val="center"/>
              <w:textAlignment w:val="center"/>
              <w:rPr>
                <w:sz w:val="21"/>
                <w:highlight w:val="none"/>
              </w:rPr>
            </w:pPr>
            <w:r>
              <w:rPr>
                <w:rFonts w:hint="eastAsia"/>
                <w:sz w:val="21"/>
                <w:highlight w:val="none"/>
              </w:rPr>
              <w:t>镉</w:t>
            </w:r>
          </w:p>
        </w:tc>
        <w:tc>
          <w:tcPr>
            <w:tcW w:w="1673" w:type="pct"/>
            <w:tcBorders>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bottom w:val="single" w:color="000000" w:sz="12" w:space="0"/>
            </w:tcBorders>
            <w:vAlign w:val="center"/>
          </w:tcPr>
          <w:p>
            <w:pPr>
              <w:autoSpaceDN w:val="0"/>
              <w:spacing w:line="120" w:lineRule="atLeast"/>
              <w:ind w:firstLine="0" w:firstLineChars="0"/>
              <w:jc w:val="center"/>
              <w:textAlignment w:val="center"/>
              <w:rPr>
                <w:sz w:val="21"/>
                <w:highlight w:val="none"/>
              </w:rPr>
            </w:pPr>
            <w:r>
              <w:rPr>
                <w:sz w:val="21"/>
                <w:highlight w:val="none"/>
              </w:rPr>
              <w:t>10</w:t>
            </w:r>
          </w:p>
        </w:tc>
        <w:tc>
          <w:tcPr>
            <w:tcW w:w="2343" w:type="pct"/>
            <w:tcBorders>
              <w:bottom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总大肠菌群</w:t>
            </w:r>
            <w:r>
              <w:rPr>
                <w:sz w:val="21"/>
                <w:highlight w:val="none"/>
              </w:rPr>
              <w:t>(MNP/100ml)</w:t>
            </w:r>
          </w:p>
        </w:tc>
        <w:tc>
          <w:tcPr>
            <w:tcW w:w="1673" w:type="pct"/>
            <w:tcBorders>
              <w:bottom w:val="single" w:color="000000" w:sz="12" w:space="0"/>
              <w:right w:val="single" w:color="000000" w:sz="12" w:space="0"/>
            </w:tcBorders>
            <w:vAlign w:val="center"/>
          </w:tcPr>
          <w:p>
            <w:pPr>
              <w:autoSpaceDN w:val="0"/>
              <w:spacing w:line="120" w:lineRule="atLeast"/>
              <w:ind w:firstLine="0" w:firstLineChars="0"/>
              <w:jc w:val="center"/>
              <w:textAlignment w:val="center"/>
              <w:rPr>
                <w:sz w:val="21"/>
                <w:highlight w:val="none"/>
              </w:rPr>
            </w:pPr>
            <w:r>
              <w:rPr>
                <w:rFonts w:hint="eastAsia"/>
                <w:sz w:val="21"/>
                <w:highlight w:val="none"/>
              </w:rPr>
              <w:t>3</w:t>
            </w:r>
          </w:p>
        </w:tc>
      </w:tr>
    </w:tbl>
    <w:p>
      <w:pPr>
        <w:numPr>
          <w:ilvl w:val="0"/>
          <w:numId w:val="3"/>
        </w:numPr>
        <w:ind w:firstLine="480"/>
        <w:rPr>
          <w:rFonts w:cs="Times New Roman"/>
          <w:highlight w:val="none"/>
        </w:rPr>
      </w:pPr>
      <w:r>
        <w:rPr>
          <w:rFonts w:cs="Times New Roman"/>
          <w:highlight w:val="none"/>
        </w:rPr>
        <w:t>声环境</w:t>
      </w:r>
    </w:p>
    <w:p>
      <w:pPr>
        <w:ind w:firstLine="480"/>
        <w:rPr>
          <w:rFonts w:cs="Times New Roman"/>
          <w:highlight w:val="none"/>
        </w:rPr>
      </w:pPr>
      <w:r>
        <w:rPr>
          <w:rFonts w:cs="Times New Roman"/>
          <w:highlight w:val="none"/>
        </w:rPr>
        <w:t>执行《声环境质量标准》（GB3096-2008）中</w:t>
      </w:r>
      <w:r>
        <w:rPr>
          <w:rFonts w:hint="eastAsia" w:cs="Times New Roman"/>
          <w:highlight w:val="none"/>
          <w:lang w:val="en-US" w:eastAsia="zh-CN"/>
        </w:rPr>
        <w:t>2</w:t>
      </w:r>
      <w:r>
        <w:rPr>
          <w:rFonts w:cs="Times New Roman"/>
          <w:highlight w:val="none"/>
        </w:rPr>
        <w:t>类标准。标准值见表1.</w:t>
      </w:r>
      <w:r>
        <w:rPr>
          <w:rFonts w:hint="eastAsia" w:cs="Times New Roman"/>
          <w:highlight w:val="none"/>
        </w:rPr>
        <w:t>6</w:t>
      </w:r>
      <w:r>
        <w:rPr>
          <w:rFonts w:cs="Times New Roman"/>
          <w:highlight w:val="none"/>
        </w:rPr>
        <w:t>-4。</w:t>
      </w:r>
    </w:p>
    <w:p>
      <w:pPr>
        <w:pStyle w:val="40"/>
        <w:rPr>
          <w:rFonts w:cs="Times New Roman"/>
          <w:highlight w:val="none"/>
        </w:rPr>
      </w:pPr>
      <w:r>
        <w:rPr>
          <w:rFonts w:cs="Times New Roman"/>
          <w:highlight w:val="none"/>
        </w:rPr>
        <w:t>表1.</w:t>
      </w:r>
      <w:r>
        <w:rPr>
          <w:rFonts w:hint="eastAsia" w:cs="Times New Roman"/>
          <w:highlight w:val="none"/>
        </w:rPr>
        <w:t>6</w:t>
      </w:r>
      <w:r>
        <w:rPr>
          <w:rFonts w:cs="Times New Roman"/>
          <w:highlight w:val="none"/>
        </w:rPr>
        <w:t>-4声环境质量执行标准</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32"/>
        <w:gridCol w:w="930"/>
        <w:gridCol w:w="2122"/>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957" w:type="pct"/>
            <w:vMerge w:val="restar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执行标准</w:t>
            </w:r>
          </w:p>
        </w:tc>
        <w:tc>
          <w:tcPr>
            <w:tcW w:w="546" w:type="pct"/>
            <w:vMerge w:val="restar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类别</w:t>
            </w:r>
          </w:p>
        </w:tc>
        <w:tc>
          <w:tcPr>
            <w:tcW w:w="2496" w:type="pct"/>
            <w:gridSpan w:val="2"/>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Merge w:val="continue"/>
            <w:vAlign w:val="center"/>
          </w:tcPr>
          <w:p>
            <w:pPr>
              <w:autoSpaceDN w:val="0"/>
              <w:spacing w:line="120" w:lineRule="atLeast"/>
              <w:ind w:firstLine="0" w:firstLineChars="0"/>
              <w:jc w:val="center"/>
              <w:textAlignment w:val="center"/>
              <w:rPr>
                <w:rFonts w:hint="eastAsia"/>
                <w:sz w:val="21"/>
                <w:highlight w:val="none"/>
              </w:rPr>
            </w:pPr>
          </w:p>
        </w:tc>
        <w:tc>
          <w:tcPr>
            <w:tcW w:w="546" w:type="pct"/>
            <w:vMerge w:val="continue"/>
            <w:vAlign w:val="center"/>
          </w:tcPr>
          <w:p>
            <w:pPr>
              <w:autoSpaceDN w:val="0"/>
              <w:spacing w:line="120" w:lineRule="atLeast"/>
              <w:ind w:firstLine="0" w:firstLineChars="0"/>
              <w:jc w:val="center"/>
              <w:textAlignment w:val="center"/>
              <w:rPr>
                <w:rFonts w:hint="eastAsia"/>
                <w:sz w:val="21"/>
                <w:highlight w:val="none"/>
              </w:rPr>
            </w:pPr>
          </w:p>
        </w:tc>
        <w:tc>
          <w:tcPr>
            <w:tcW w:w="1246"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昼间</w:t>
            </w:r>
          </w:p>
        </w:tc>
        <w:tc>
          <w:tcPr>
            <w:tcW w:w="1250"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rPr>
              <w:t>《声环境质量标准》GB3096-2008）</w:t>
            </w:r>
          </w:p>
        </w:tc>
        <w:tc>
          <w:tcPr>
            <w:tcW w:w="546" w:type="pct"/>
            <w:vAlign w:val="center"/>
          </w:tcPr>
          <w:p>
            <w:pPr>
              <w:autoSpaceDN w:val="0"/>
              <w:spacing w:line="120" w:lineRule="atLeast"/>
              <w:ind w:firstLine="0" w:firstLineChars="0"/>
              <w:jc w:val="center"/>
              <w:textAlignment w:val="center"/>
              <w:rPr>
                <w:rFonts w:hint="eastAsia"/>
                <w:sz w:val="21"/>
                <w:highlight w:val="none"/>
              </w:rPr>
            </w:pPr>
            <w:r>
              <w:rPr>
                <w:rFonts w:hint="eastAsia"/>
                <w:sz w:val="21"/>
                <w:highlight w:val="none"/>
                <w:lang w:val="en-US" w:eastAsia="zh-CN"/>
              </w:rPr>
              <w:t>2</w:t>
            </w:r>
            <w:r>
              <w:rPr>
                <w:rFonts w:hint="eastAsia"/>
                <w:sz w:val="21"/>
                <w:highlight w:val="none"/>
              </w:rPr>
              <w:t>类</w:t>
            </w:r>
          </w:p>
        </w:tc>
        <w:tc>
          <w:tcPr>
            <w:tcW w:w="1246" w:type="pct"/>
            <w:vAlign w:val="center"/>
          </w:tcPr>
          <w:p>
            <w:pPr>
              <w:autoSpaceDN w:val="0"/>
              <w:spacing w:line="120" w:lineRule="atLeast"/>
              <w:ind w:firstLine="0" w:firstLineChars="0"/>
              <w:jc w:val="center"/>
              <w:textAlignment w:val="center"/>
              <w:rPr>
                <w:rFonts w:hint="eastAsia"/>
                <w:sz w:val="21"/>
                <w:highlight w:val="none"/>
                <w:lang w:eastAsia="zh-CN"/>
              </w:rPr>
            </w:pPr>
            <w:r>
              <w:rPr>
                <w:rFonts w:hint="eastAsia"/>
                <w:sz w:val="21"/>
                <w:highlight w:val="none"/>
              </w:rPr>
              <w:t>6</w:t>
            </w:r>
            <w:r>
              <w:rPr>
                <w:rFonts w:hint="eastAsia"/>
                <w:sz w:val="21"/>
                <w:highlight w:val="none"/>
                <w:lang w:val="en-US" w:eastAsia="zh-CN"/>
              </w:rPr>
              <w:t>0</w:t>
            </w:r>
          </w:p>
        </w:tc>
        <w:tc>
          <w:tcPr>
            <w:tcW w:w="1250" w:type="pct"/>
            <w:vAlign w:val="center"/>
          </w:tcPr>
          <w:p>
            <w:pPr>
              <w:autoSpaceDN w:val="0"/>
              <w:spacing w:line="120" w:lineRule="atLeast"/>
              <w:ind w:firstLine="0" w:firstLineChars="0"/>
              <w:jc w:val="center"/>
              <w:textAlignment w:val="center"/>
              <w:rPr>
                <w:rFonts w:hint="eastAsia"/>
                <w:sz w:val="21"/>
                <w:highlight w:val="none"/>
                <w:lang w:eastAsia="zh-CN"/>
              </w:rPr>
            </w:pPr>
            <w:r>
              <w:rPr>
                <w:rFonts w:hint="eastAsia"/>
                <w:sz w:val="21"/>
                <w:highlight w:val="none"/>
              </w:rPr>
              <w:t>5</w:t>
            </w:r>
            <w:r>
              <w:rPr>
                <w:rFonts w:hint="eastAsia"/>
                <w:sz w:val="21"/>
                <w:highlight w:val="none"/>
                <w:lang w:val="en-US" w:eastAsia="zh-CN"/>
              </w:rPr>
              <w:t>0</w:t>
            </w:r>
          </w:p>
        </w:tc>
      </w:tr>
    </w:tbl>
    <w:p>
      <w:pPr>
        <w:numPr>
          <w:ilvl w:val="0"/>
          <w:numId w:val="3"/>
        </w:numPr>
        <w:ind w:firstLine="480" w:firstLineChars="0"/>
        <w:rPr>
          <w:rFonts w:cs="Times New Roman"/>
          <w:highlight w:val="none"/>
        </w:rPr>
      </w:pPr>
      <w:r>
        <w:rPr>
          <w:rFonts w:hint="eastAsia" w:cs="Times New Roman"/>
          <w:highlight w:val="none"/>
        </w:rPr>
        <w:t>土壤</w:t>
      </w:r>
    </w:p>
    <w:p>
      <w:pPr>
        <w:pStyle w:val="10"/>
        <w:rPr>
          <w:rFonts w:cs="Times New Roman"/>
          <w:highlight w:val="none"/>
        </w:rPr>
      </w:pPr>
      <w:r>
        <w:rPr>
          <w:rFonts w:hint="eastAsia"/>
          <w:highlight w:val="none"/>
        </w:rPr>
        <w:t>土壤环境执行《土壤环境质量农用地土壤污染风险管控标准》（GB15618-2018）二级标准</w:t>
      </w:r>
      <w:r>
        <w:rPr>
          <w:rFonts w:hint="eastAsia"/>
          <w:highlight w:val="none"/>
          <w:lang w:eastAsia="zh-CN"/>
        </w:rPr>
        <w:t>。</w:t>
      </w:r>
      <w:r>
        <w:rPr>
          <w:rFonts w:cs="Times New Roman"/>
          <w:highlight w:val="none"/>
        </w:rPr>
        <w:t>标准值见表1.</w:t>
      </w:r>
      <w:r>
        <w:rPr>
          <w:rFonts w:hint="eastAsia" w:cs="Times New Roman"/>
          <w:highlight w:val="none"/>
        </w:rPr>
        <w:t>6</w:t>
      </w:r>
      <w:r>
        <w:rPr>
          <w:rFonts w:cs="Times New Roman"/>
          <w:highlight w:val="none"/>
        </w:rPr>
        <w:t>-</w:t>
      </w:r>
      <w:r>
        <w:rPr>
          <w:rFonts w:hint="eastAsia" w:cs="Times New Roman"/>
          <w:highlight w:val="none"/>
        </w:rPr>
        <w:t>5</w:t>
      </w:r>
      <w:r>
        <w:rPr>
          <w:rFonts w:cs="Times New Roman"/>
          <w:highlight w:val="none"/>
        </w:rPr>
        <w:t>。</w:t>
      </w:r>
    </w:p>
    <w:p>
      <w:pPr>
        <w:pStyle w:val="40"/>
        <w:rPr>
          <w:highlight w:val="none"/>
        </w:rPr>
      </w:pPr>
      <w:r>
        <w:rPr>
          <w:rFonts w:hint="eastAsia"/>
          <w:highlight w:val="none"/>
        </w:rPr>
        <w:t>表1.6-5土壤评价标准（单位：mg/kg）</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182"/>
        <w:gridCol w:w="544"/>
        <w:gridCol w:w="751"/>
        <w:gridCol w:w="531"/>
        <w:gridCol w:w="531"/>
        <w:gridCol w:w="531"/>
        <w:gridCol w:w="479"/>
        <w:gridCol w:w="426"/>
        <w:gridCol w:w="531"/>
        <w:gridCol w:w="531"/>
        <w:gridCol w:w="47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pPr>
              <w:spacing w:line="240" w:lineRule="auto"/>
              <w:ind w:firstLine="0" w:firstLineChars="0"/>
              <w:jc w:val="center"/>
              <w:rPr>
                <w:rFonts w:cs="Times New Roman"/>
                <w:sz w:val="21"/>
                <w:szCs w:val="21"/>
                <w:highlight w:val="none"/>
              </w:rPr>
            </w:pPr>
            <w:r>
              <w:rPr>
                <w:rFonts w:hint="eastAsia" w:cs="Times New Roman"/>
                <w:b/>
                <w:sz w:val="21"/>
                <w:szCs w:val="21"/>
                <w:highlight w:val="none"/>
              </w:rPr>
              <w:t>评价因子</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pH 值</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铜</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锌</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铅</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镉</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砷</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镍</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铬</w:t>
            </w:r>
          </w:p>
        </w:tc>
        <w:tc>
          <w:tcPr>
            <w:tcW w:w="0" w:type="auto"/>
            <w:vAlign w:val="center"/>
          </w:tcPr>
          <w:p>
            <w:pPr>
              <w:spacing w:line="120" w:lineRule="atLeast"/>
              <w:ind w:firstLine="0" w:firstLineChars="0"/>
              <w:jc w:val="center"/>
              <w:rPr>
                <w:rFonts w:cs="Times New Roman"/>
                <w:sz w:val="21"/>
                <w:szCs w:val="21"/>
                <w:highlight w:val="none"/>
              </w:rPr>
            </w:pPr>
            <w:r>
              <w:rPr>
                <w:rFonts w:cs="Times New Roman"/>
                <w:sz w:val="21"/>
                <w:szCs w:val="21"/>
                <w:highlight w:val="none"/>
              </w:rPr>
              <w:t>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spacing w:line="240" w:lineRule="auto"/>
              <w:ind w:firstLine="0" w:firstLineChars="0"/>
              <w:jc w:val="center"/>
              <w:rPr>
                <w:rFonts w:cs="Times New Roman"/>
                <w:b/>
                <w:sz w:val="21"/>
                <w:szCs w:val="21"/>
                <w:highlight w:val="none"/>
              </w:rPr>
            </w:pPr>
            <w:r>
              <w:rPr>
                <w:rFonts w:hint="eastAsia" w:cs="Times New Roman"/>
                <w:sz w:val="21"/>
                <w:szCs w:val="21"/>
                <w:highlight w:val="none"/>
              </w:rPr>
              <w:t>《土壤环境质量农用地土壤污染风险管控标准》（GB15618-2018）</w:t>
            </w:r>
          </w:p>
        </w:tc>
        <w:tc>
          <w:tcPr>
            <w:tcW w:w="0" w:type="auto"/>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筛选值</w:t>
            </w:r>
          </w:p>
        </w:tc>
        <w:tc>
          <w:tcPr>
            <w:tcW w:w="0" w:type="auto"/>
            <w:vAlign w:val="center"/>
          </w:tcPr>
          <w:p>
            <w:pPr>
              <w:spacing w:line="120" w:lineRule="atLeast"/>
              <w:ind w:firstLine="0" w:firstLineChars="0"/>
              <w:jc w:val="center"/>
              <w:rPr>
                <w:rFonts w:cs="Times New Roman"/>
                <w:sz w:val="21"/>
                <w:szCs w:val="21"/>
                <w:highlight w:val="none"/>
              </w:rPr>
            </w:pPr>
            <w:r>
              <w:rPr>
                <w:rFonts w:hint="eastAsia" w:cs="Times New Roman"/>
                <w:sz w:val="21"/>
                <w:szCs w:val="21"/>
                <w:highlight w:val="none"/>
              </w:rPr>
              <w:t>6.5＜PH≤7.5</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00</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120</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0.3</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30</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00</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200</w:t>
            </w:r>
          </w:p>
        </w:tc>
        <w:tc>
          <w:tcPr>
            <w:tcW w:w="0" w:type="auto"/>
            <w:vAlign w:val="center"/>
          </w:tcPr>
          <w:p>
            <w:pPr>
              <w:spacing w:line="12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2.4</w:t>
            </w:r>
          </w:p>
        </w:tc>
      </w:tr>
    </w:tbl>
    <w:p>
      <w:pPr>
        <w:pStyle w:val="7"/>
        <w:spacing w:before="66"/>
        <w:ind w:firstLine="482"/>
        <w:rPr>
          <w:rFonts w:cs="Times New Roman"/>
          <w:highlight w:val="none"/>
        </w:rPr>
      </w:pPr>
      <w:r>
        <w:rPr>
          <w:rFonts w:cs="Times New Roman"/>
          <w:highlight w:val="none"/>
        </w:rPr>
        <w:t>1.</w:t>
      </w:r>
      <w:r>
        <w:rPr>
          <w:rFonts w:hint="eastAsia" w:cs="Times New Roman"/>
          <w:highlight w:val="none"/>
        </w:rPr>
        <w:t>6.</w:t>
      </w:r>
      <w:r>
        <w:rPr>
          <w:rFonts w:cs="Times New Roman"/>
          <w:highlight w:val="none"/>
        </w:rPr>
        <w:t>2污染物排放标准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sz w:val="24"/>
          <w:szCs w:val="24"/>
          <w:highlight w:val="none"/>
        </w:rPr>
      </w:pPr>
      <w:r>
        <w:rPr>
          <w:rFonts w:ascii="Times New Roman" w:hAnsi="Times New Roman"/>
          <w:sz w:val="24"/>
          <w:szCs w:val="24"/>
          <w:highlight w:val="none"/>
        </w:rPr>
        <w:t>本项目废水全部资源化利用，不设废水排污口，废水执行</w:t>
      </w:r>
      <w:r>
        <w:rPr>
          <w:rFonts w:hint="eastAsia" w:asciiTheme="minorEastAsia" w:hAnsiTheme="minorEastAsia" w:eastAsiaTheme="minorEastAsia" w:cstheme="minorEastAsia"/>
          <w:sz w:val="24"/>
          <w:szCs w:val="24"/>
          <w:highlight w:val="none"/>
        </w:rPr>
        <w:t>“零排放”</w:t>
      </w:r>
      <w:r>
        <w:rPr>
          <w:rFonts w:ascii="Times New Roman" w:hAnsi="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cs="Times New Roman"/>
          <w:sz w:val="24"/>
          <w:szCs w:val="24"/>
          <w:highlight w:val="none"/>
        </w:rPr>
      </w:pPr>
      <w:r>
        <w:rPr>
          <w:rFonts w:ascii="Times New Roman" w:hAnsi="Times New Roman"/>
          <w:sz w:val="24"/>
          <w:szCs w:val="24"/>
          <w:highlight w:val="none"/>
        </w:rPr>
        <w:t>本项目大气污染因子（NH</w:t>
      </w:r>
      <w:r>
        <w:rPr>
          <w:rFonts w:ascii="Times New Roman" w:hAnsi="Times New Roman"/>
          <w:sz w:val="24"/>
          <w:szCs w:val="24"/>
          <w:highlight w:val="none"/>
          <w:vertAlign w:val="subscript"/>
        </w:rPr>
        <w:t>3</w:t>
      </w:r>
      <w:r>
        <w:rPr>
          <w:rFonts w:ascii="Times New Roman" w:hAnsi="Times New Roman"/>
          <w:sz w:val="24"/>
          <w:szCs w:val="24"/>
          <w:highlight w:val="none"/>
        </w:rPr>
        <w:t>、H</w:t>
      </w:r>
      <w:r>
        <w:rPr>
          <w:rFonts w:ascii="Times New Roman" w:hAnsi="Times New Roman"/>
          <w:sz w:val="24"/>
          <w:szCs w:val="24"/>
          <w:highlight w:val="none"/>
          <w:vertAlign w:val="subscript"/>
        </w:rPr>
        <w:t>2</w:t>
      </w:r>
      <w:r>
        <w:rPr>
          <w:rFonts w:ascii="Times New Roman" w:hAnsi="Times New Roman"/>
          <w:sz w:val="24"/>
          <w:szCs w:val="24"/>
          <w:highlight w:val="none"/>
        </w:rPr>
        <w:t>S）执行《恶臭污染物排放标准》（GB14554-93）中表1标准，臭气排放浓度执行《畜禽养殖业污染物排放标准》（GB18596-2001）表7集约化畜禽养殖业恶臭污染物排放标准施工期噪声执行《建筑施工场界环境噪声排放标准》（GB12523-2011）</w:t>
      </w:r>
      <w:r>
        <w:rPr>
          <w:rFonts w:hint="eastAsia" w:ascii="Times New Roman" w:hAnsi="Times New Roman"/>
          <w:sz w:val="24"/>
          <w:szCs w:val="24"/>
          <w:highlight w:val="none"/>
          <w:lang w:eastAsia="zh-CN"/>
        </w:rPr>
        <w:t>。</w:t>
      </w:r>
      <w:r>
        <w:rPr>
          <w:rFonts w:hint="eastAsia" w:ascii="Times New Roman" w:hAnsi="Times New Roman" w:cs="Times New Roman"/>
          <w:sz w:val="24"/>
          <w:szCs w:val="24"/>
          <w:highlight w:val="none"/>
        </w:rPr>
        <w:t>饲料加工粉尘排放《大气污染物综合排放标准》（GB16297-1996）表2中二级排放标准；锅炉燃烧废气执行《锅炉大气污染物排放标准》（GB13271-2014）表3中大气污染物特别排放限值中燃气锅炉标准；食堂油烟执行河南省《餐饮业油烟污染物放标准》(DB41/1604-2018)。</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sz w:val="24"/>
          <w:szCs w:val="24"/>
          <w:highlight w:val="none"/>
        </w:rPr>
      </w:pPr>
      <w:r>
        <w:rPr>
          <w:rFonts w:hint="eastAsia" w:ascii="Times New Roman" w:hAnsi="Times New Roman"/>
          <w:sz w:val="24"/>
          <w:szCs w:val="24"/>
          <w:highlight w:val="none"/>
        </w:rPr>
        <w:t>本项目施工期噪声执行《建筑施工场界环境噪声排放标准》（GB12523-2011），</w:t>
      </w:r>
      <w:r>
        <w:rPr>
          <w:rFonts w:ascii="Times New Roman" w:hAnsi="Times New Roman"/>
          <w:sz w:val="24"/>
          <w:szCs w:val="24"/>
          <w:highlight w:val="none"/>
        </w:rPr>
        <w:t>运营期场界噪声采用《工业企业厂界环境噪声排放标准》（GB12348-2008）中2类标准。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b/>
          <w:bCs/>
          <w:sz w:val="21"/>
          <w:szCs w:val="21"/>
          <w:highlight w:val="none"/>
        </w:rPr>
      </w:pPr>
      <w:r>
        <w:rPr>
          <w:rFonts w:ascii="Times New Roman" w:hAnsi="Times New Roman"/>
          <w:sz w:val="24"/>
          <w:szCs w:val="24"/>
          <w:highlight w:val="none"/>
        </w:rPr>
        <w:t>粪便排放执行《畜禽养殖业污染物排放标准》（GB18596-2001）表6畜禽养殖业废渣无害化环境标准，危险废物执行《危险废物贮存污染物控制标准》（GB18597-2001）（2013年修订）</w:t>
      </w:r>
      <w:r>
        <w:rPr>
          <w:rFonts w:hint="eastAsia" w:ascii="Times New Roman" w:hAnsi="Times New Roman"/>
          <w:sz w:val="24"/>
          <w:szCs w:val="24"/>
          <w:highlight w:val="none"/>
          <w:lang w:eastAsia="zh-CN"/>
        </w:rPr>
        <w:t>，</w:t>
      </w:r>
      <w:r>
        <w:rPr>
          <w:rFonts w:ascii="Times New Roman" w:hAnsi="Times New Roman"/>
          <w:sz w:val="24"/>
          <w:szCs w:val="24"/>
          <w:highlight w:val="none"/>
        </w:rPr>
        <w:t>其他一般固废执行《一般工业固体废物贮存处置场污染控制标准》（GB18599-2001）（2013年修改版）。</w:t>
      </w:r>
    </w:p>
    <w:p>
      <w:pPr>
        <w:pStyle w:val="40"/>
        <w:rPr>
          <w:rFonts w:hint="eastAsia"/>
          <w:highlight w:val="none"/>
          <w:lang w:eastAsia="zh-CN"/>
        </w:rPr>
      </w:pPr>
      <w:r>
        <w:rPr>
          <w:highlight w:val="none"/>
        </w:rPr>
        <w:t>表1.</w:t>
      </w:r>
      <w:r>
        <w:rPr>
          <w:rFonts w:hint="eastAsia"/>
          <w:highlight w:val="none"/>
        </w:rPr>
        <w:t>6</w:t>
      </w:r>
      <w:r>
        <w:rPr>
          <w:highlight w:val="none"/>
        </w:rPr>
        <w:t>-</w:t>
      </w:r>
      <w:r>
        <w:rPr>
          <w:rFonts w:hint="eastAsia"/>
          <w:highlight w:val="none"/>
          <w:lang w:val="en-US" w:eastAsia="zh-CN"/>
        </w:rPr>
        <w:t>6</w:t>
      </w:r>
      <w:r>
        <w:rPr>
          <w:rFonts w:hint="eastAsia"/>
          <w:highlight w:val="none"/>
          <w:lang w:eastAsia="zh-CN"/>
        </w:rPr>
        <w:t>污染物</w:t>
      </w:r>
      <w:r>
        <w:rPr>
          <w:highlight w:val="none"/>
        </w:rPr>
        <w:t>排放标准</w:t>
      </w:r>
      <w:r>
        <w:rPr>
          <w:rFonts w:hint="eastAsia"/>
          <w:highlight w:val="none"/>
          <w:lang w:eastAsia="zh-CN"/>
        </w:rPr>
        <w:t>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47"/>
        <w:gridCol w:w="1553"/>
        <w:gridCol w:w="1769"/>
        <w:gridCol w:w="731"/>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690"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w:t>
            </w:r>
          </w:p>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类型</w:t>
            </w:r>
          </w:p>
        </w:tc>
        <w:tc>
          <w:tcPr>
            <w:tcW w:w="2447"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标准名称</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污染因子</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废气</w:t>
            </w: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《恶臭污染物排放标准》（GB14554-93）表1</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p>
        </w:tc>
        <w:tc>
          <w:tcPr>
            <w:tcW w:w="2500" w:type="dxa"/>
            <w:gridSpan w:val="2"/>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厂界标准值</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vertAlign w:val="baseline"/>
              </w:rPr>
              <w:t>H</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S</w:t>
            </w:r>
          </w:p>
        </w:tc>
        <w:tc>
          <w:tcPr>
            <w:tcW w:w="2500" w:type="dxa"/>
            <w:gridSpan w:val="2"/>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0.06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《大气污染物综合排放标准》（GB16297-1996）表2二级</w:t>
            </w:r>
          </w:p>
        </w:tc>
        <w:tc>
          <w:tcPr>
            <w:tcW w:w="1553" w:type="dxa"/>
            <w:noWrap w:val="0"/>
            <w:vAlign w:val="center"/>
          </w:tcPr>
          <w:p>
            <w:pPr>
              <w:spacing w:line="240" w:lineRule="auto"/>
              <w:ind w:firstLine="0" w:firstLineChars="0"/>
              <w:jc w:val="center"/>
              <w:rPr>
                <w:rFonts w:hint="default" w:ascii="Times New Roman" w:hAnsi="Times New Roman" w:cs="Times New Roman"/>
                <w:b/>
                <w:bCs/>
                <w:sz w:val="21"/>
                <w:szCs w:val="21"/>
                <w:highlight w:val="none"/>
                <w:vertAlign w:val="baseline"/>
              </w:rPr>
            </w:pPr>
            <w:r>
              <w:rPr>
                <w:rFonts w:hint="default" w:ascii="Times New Roman" w:hAnsi="Times New Roman" w:cs="Times New Roman"/>
                <w:sz w:val="21"/>
                <w:szCs w:val="21"/>
                <w:highlight w:val="none"/>
                <w:vertAlign w:val="baseline"/>
              </w:rPr>
              <w:t>颗粒物</w:t>
            </w:r>
          </w:p>
        </w:tc>
        <w:tc>
          <w:tcPr>
            <w:tcW w:w="3826" w:type="dxa"/>
            <w:gridSpan w:val="3"/>
            <w:noWrap w:val="0"/>
            <w:vAlign w:val="center"/>
          </w:tcPr>
          <w:p>
            <w:pPr>
              <w:spacing w:line="240" w:lineRule="auto"/>
              <w:ind w:firstLine="0" w:firstLineChars="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有组织：120</w:t>
            </w:r>
            <w:r>
              <w:rPr>
                <w:rFonts w:hint="default" w:ascii="Times New Roman" w:hAnsi="Times New Roman" w:cs="Times New Roman"/>
                <w:sz w:val="21"/>
                <w:szCs w:val="21"/>
                <w:highlight w:val="none"/>
                <w:vertAlign w:val="baseline"/>
              </w:rPr>
              <w:t>mg/Nm</w:t>
            </w:r>
            <w:r>
              <w:rPr>
                <w:rFonts w:hint="default" w:ascii="Times New Roman" w:hAnsi="Times New Roman" w:cs="Times New Roman"/>
                <w:sz w:val="21"/>
                <w:szCs w:val="21"/>
                <w:highlight w:val="none"/>
                <w:vertAlign w:val="superscript"/>
              </w:rPr>
              <w:t>3</w:t>
            </w:r>
            <w:r>
              <w:rPr>
                <w:rFonts w:hint="eastAsia" w:ascii="Times New Roman" w:hAnsi="Times New Roman" w:cs="Times New Roman"/>
                <w:sz w:val="21"/>
                <w:szCs w:val="21"/>
                <w:highlight w:val="none"/>
                <w:vertAlign w:val="baseline"/>
                <w:lang w:eastAsia="zh-CN"/>
              </w:rPr>
              <w:t>、</w:t>
            </w:r>
            <w:r>
              <w:rPr>
                <w:rFonts w:hint="eastAsia" w:ascii="Times New Roman" w:hAnsi="Times New Roman" w:cs="Times New Roman"/>
                <w:sz w:val="21"/>
                <w:szCs w:val="21"/>
                <w:highlight w:val="none"/>
                <w:vertAlign w:val="baseline"/>
                <w:lang w:val="en-US" w:eastAsia="zh-CN"/>
              </w:rPr>
              <w:t>3.5kg/h(15m)</w:t>
            </w:r>
          </w:p>
          <w:p>
            <w:pPr>
              <w:spacing w:line="240" w:lineRule="auto"/>
              <w:ind w:firstLine="0" w:firstLineChars="0"/>
              <w:jc w:val="center"/>
              <w:rPr>
                <w:rFonts w:hint="default" w:ascii="Times New Roman" w:hAnsi="Times New Roman" w:cs="Times New Roman"/>
                <w:sz w:val="21"/>
                <w:szCs w:val="21"/>
                <w:highlight w:val="none"/>
                <w:vertAlign w:val="baseline"/>
              </w:rPr>
            </w:pPr>
            <w:r>
              <w:rPr>
                <w:rFonts w:hint="eastAsia" w:ascii="Times New Roman" w:hAnsi="Times New Roman" w:cs="Times New Roman"/>
                <w:sz w:val="21"/>
                <w:szCs w:val="21"/>
                <w:highlight w:val="none"/>
                <w:vertAlign w:val="baseline"/>
                <w:lang w:val="en-US" w:eastAsia="zh-CN"/>
              </w:rPr>
              <w:t>无组织：</w:t>
            </w:r>
            <w:r>
              <w:rPr>
                <w:rFonts w:hint="default" w:ascii="Times New Roman" w:hAnsi="Times New Roman" w:cs="Times New Roman"/>
                <w:sz w:val="21"/>
                <w:szCs w:val="21"/>
                <w:highlight w:val="none"/>
                <w:vertAlign w:val="baseline"/>
              </w:rPr>
              <w:t>周界外浓度监控点：1.0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3826" w:type="dxa"/>
            <w:gridSpan w:val="3"/>
            <w:noWrap w:val="0"/>
            <w:vAlign w:val="center"/>
          </w:tcPr>
          <w:p>
            <w:pPr>
              <w:snapToGrid w:val="0"/>
              <w:spacing w:line="360" w:lineRule="exact"/>
              <w:jc w:val="center"/>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pacing w:val="-4"/>
                <w:sz w:val="21"/>
                <w:szCs w:val="21"/>
                <w:highlight w:val="none"/>
                <w:lang w:val="en-US" w:eastAsia="zh-CN"/>
              </w:rPr>
              <w:t>有组织：550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vertAlign w:val="baseline"/>
                <w:lang w:eastAsia="zh-CN"/>
              </w:rPr>
              <w:t>、</w:t>
            </w:r>
            <w:r>
              <w:rPr>
                <w:rFonts w:hint="eastAsia" w:ascii="Times New Roman" w:hAnsi="Times New Roman"/>
                <w:color w:val="auto"/>
                <w:sz w:val="21"/>
                <w:szCs w:val="21"/>
                <w:highlight w:val="none"/>
                <w:vertAlign w:val="baseline"/>
                <w:lang w:val="en-US" w:eastAsia="zh-CN"/>
              </w:rPr>
              <w:t>2.6kg/h(15m)</w:t>
            </w:r>
          </w:p>
          <w:p>
            <w:pPr>
              <w:snapToGrid w:val="0"/>
              <w:spacing w:line="360" w:lineRule="exact"/>
              <w:ind w:firstLine="420" w:firstLineChars="20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无组织：</w:t>
            </w:r>
            <w:r>
              <w:rPr>
                <w:bCs/>
                <w:color w:val="auto"/>
                <w:sz w:val="21"/>
                <w:szCs w:val="21"/>
                <w:highlight w:val="none"/>
              </w:rPr>
              <w:t>周界外浓度监控点：</w:t>
            </w:r>
            <w:r>
              <w:rPr>
                <w:rFonts w:hint="eastAsia"/>
                <w:bCs/>
                <w:color w:val="auto"/>
                <w:sz w:val="21"/>
                <w:szCs w:val="21"/>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X</w:t>
            </w:r>
          </w:p>
        </w:tc>
        <w:tc>
          <w:tcPr>
            <w:tcW w:w="3826" w:type="dxa"/>
            <w:gridSpan w:val="3"/>
            <w:noWrap w:val="0"/>
            <w:vAlign w:val="center"/>
          </w:tcPr>
          <w:p>
            <w:pPr>
              <w:snapToGrid w:val="0"/>
              <w:spacing w:line="360" w:lineRule="exact"/>
              <w:jc w:val="center"/>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pacing w:val="-4"/>
                <w:sz w:val="21"/>
                <w:szCs w:val="21"/>
                <w:highlight w:val="none"/>
                <w:lang w:val="en-US" w:eastAsia="zh-CN"/>
              </w:rPr>
              <w:t>有组织：240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vertAlign w:val="baseline"/>
                <w:lang w:eastAsia="zh-CN"/>
              </w:rPr>
              <w:t>、</w:t>
            </w:r>
            <w:r>
              <w:rPr>
                <w:rFonts w:hint="eastAsia" w:ascii="Times New Roman" w:hAnsi="Times New Roman"/>
                <w:color w:val="auto"/>
                <w:sz w:val="21"/>
                <w:szCs w:val="21"/>
                <w:highlight w:val="none"/>
                <w:vertAlign w:val="baseline"/>
                <w:lang w:val="en-US" w:eastAsia="zh-CN"/>
              </w:rPr>
              <w:t>0.77kg/h(15m)</w:t>
            </w:r>
          </w:p>
          <w:p>
            <w:pPr>
              <w:snapToGrid w:val="0"/>
              <w:spacing w:line="360" w:lineRule="exact"/>
              <w:ind w:firstLine="420" w:firstLineChars="200"/>
              <w:jc w:val="center"/>
              <w:rPr>
                <w:rFonts w:hint="eastAsia" w:ascii="Times New Roman" w:hAnsi="Times New Roman" w:cs="Times New Roman"/>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无组织：</w:t>
            </w:r>
            <w:r>
              <w:rPr>
                <w:bCs/>
                <w:color w:val="auto"/>
                <w:sz w:val="21"/>
                <w:szCs w:val="21"/>
                <w:highlight w:val="none"/>
              </w:rPr>
              <w:t>周界外浓度监控点：</w:t>
            </w:r>
            <w:r>
              <w:rPr>
                <w:rFonts w:hint="eastAsia"/>
                <w:bCs/>
                <w:color w:val="auto"/>
                <w:sz w:val="21"/>
                <w:szCs w:val="21"/>
                <w:highlight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《畜禽养殖业污染物排放标准》（GB18596-2001）</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臭气浓度</w:t>
            </w:r>
          </w:p>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（无量纲）</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河南省《餐饮业油烟污染物放标准》(DB41/1604-2018)</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食堂油烟</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 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《锅炉大气污染物排放标准》（GB13271-2014）</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5</w:t>
            </w:r>
            <w:r>
              <w:rPr>
                <w:rFonts w:hint="default" w:ascii="Times New Roman" w:hAnsi="Times New Roman" w:cs="Times New Roman"/>
                <w:sz w:val="21"/>
                <w:szCs w:val="21"/>
                <w:highlight w:val="none"/>
              </w:rPr>
              <w:t>0mg/m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NO</w:t>
            </w:r>
            <w:r>
              <w:rPr>
                <w:rFonts w:hint="eastAsia" w:cs="Times New Roman"/>
                <w:sz w:val="21"/>
                <w:szCs w:val="21"/>
                <w:highlight w:val="none"/>
                <w:lang w:val="en-US" w:eastAsia="zh-CN"/>
              </w:rPr>
              <w:t>x</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200mg/m</w:t>
            </w:r>
            <w:r>
              <w:rPr>
                <w:rFonts w:hint="default"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河南省生态环境厅《关于印发河南省工业大气污染防治6个专项方案的通知》（豫环文[2019]84号）中排放限值</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10mg/m</w:t>
            </w:r>
            <w:r>
              <w:rPr>
                <w:rFonts w:hint="eastAsia"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eastAsia"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X</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30mg/m</w:t>
            </w:r>
            <w:r>
              <w:rPr>
                <w:rFonts w:hint="eastAsia"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颗粒物</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5mg/m</w:t>
            </w:r>
            <w:r>
              <w:rPr>
                <w:rFonts w:hint="eastAsia" w:ascii="Times New Roman" w:hAnsi="Times New Roman" w:cs="Times New Roman"/>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w:t>
            </w: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《建筑施工场界环境噪声排放标准》（GB12523-2011）</w:t>
            </w:r>
          </w:p>
        </w:tc>
        <w:tc>
          <w:tcPr>
            <w:tcW w:w="1553"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《工业企业厂界环境噪声排放标准》（GB12348-2008）</w:t>
            </w:r>
          </w:p>
        </w:tc>
        <w:tc>
          <w:tcPr>
            <w:tcW w:w="1553"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功能类别</w:t>
            </w:r>
          </w:p>
        </w:tc>
        <w:tc>
          <w:tcPr>
            <w:tcW w:w="73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昼间</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2类</w:t>
            </w:r>
          </w:p>
        </w:tc>
        <w:tc>
          <w:tcPr>
            <w:tcW w:w="731"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60</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固废</w:t>
            </w:r>
          </w:p>
        </w:tc>
        <w:tc>
          <w:tcPr>
            <w:tcW w:w="2447" w:type="dxa"/>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《畜禽养殖业污染物排放标准》（GB18596-2001）</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蛔虫卵</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粪大肠菌群数</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≤105个/kg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《危险废物贮存污染物控制标准》（GB18597-2001）（2013年修订）</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2447"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《一般工业固体废物贮存处置场污染控制标准》（GB18599-2001）（2013年修改版）</w:t>
            </w:r>
          </w:p>
        </w:tc>
        <w:tc>
          <w:tcPr>
            <w:tcW w:w="1553" w:type="dxa"/>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pStyle w:val="6"/>
        <w:spacing w:beforeLines="0"/>
        <w:rPr>
          <w:rFonts w:cs="Times New Roman"/>
          <w:highlight w:val="none"/>
        </w:rPr>
      </w:pPr>
      <w:bookmarkStart w:id="8" w:name="_Toc13726"/>
      <w:r>
        <w:rPr>
          <w:rFonts w:cs="Times New Roman"/>
          <w:highlight w:val="none"/>
        </w:rPr>
        <w:t>1.</w:t>
      </w:r>
      <w:r>
        <w:rPr>
          <w:rFonts w:hint="eastAsia" w:cs="Times New Roman"/>
          <w:highlight w:val="none"/>
        </w:rPr>
        <w:t>7</w:t>
      </w:r>
      <w:r>
        <w:rPr>
          <w:rFonts w:cs="Times New Roman"/>
          <w:highlight w:val="none"/>
        </w:rPr>
        <w:t>评价等级与范围</w:t>
      </w:r>
      <w:bookmarkEnd w:id="8"/>
    </w:p>
    <w:p>
      <w:pPr>
        <w:pStyle w:val="7"/>
        <w:spacing w:before="66"/>
        <w:ind w:firstLine="482"/>
        <w:rPr>
          <w:highlight w:val="none"/>
        </w:rPr>
      </w:pPr>
      <w:r>
        <w:rPr>
          <w:highlight w:val="none"/>
        </w:rPr>
        <w:t>1.</w:t>
      </w:r>
      <w:r>
        <w:rPr>
          <w:rFonts w:hint="eastAsia"/>
          <w:highlight w:val="none"/>
        </w:rPr>
        <w:t>7.</w:t>
      </w:r>
      <w:r>
        <w:rPr>
          <w:highlight w:val="none"/>
        </w:rPr>
        <w:t>1环境空气</w:t>
      </w:r>
    </w:p>
    <w:p>
      <w:pPr>
        <w:ind w:firstLine="480"/>
        <w:rPr>
          <w:highlight w:val="none"/>
        </w:rPr>
      </w:pPr>
      <w:r>
        <w:rPr>
          <w:rFonts w:hint="eastAsia"/>
          <w:highlight w:val="none"/>
        </w:rPr>
        <w:t>（1）评价等级</w:t>
      </w:r>
    </w:p>
    <w:p>
      <w:pPr>
        <w:ind w:firstLine="480"/>
        <w:rPr>
          <w:highlight w:val="none"/>
        </w:rPr>
      </w:pPr>
      <w:r>
        <w:rPr>
          <w:highlight w:val="none"/>
        </w:rPr>
        <w:t>项目大气污染源主要为</w:t>
      </w:r>
      <w:r>
        <w:rPr>
          <w:rFonts w:hint="eastAsia"/>
          <w:highlight w:val="none"/>
        </w:rPr>
        <w:t>喷漆废气中产生的有机废气及焊接、抛丸工序产生的颗粒物，</w:t>
      </w:r>
      <w:r>
        <w:rPr>
          <w:rFonts w:hint="eastAsia" w:cs="Times New Roman"/>
          <w:highlight w:val="none"/>
        </w:rPr>
        <w:t>根据</w:t>
      </w:r>
      <w:r>
        <w:rPr>
          <w:rFonts w:cs="Times New Roman"/>
          <w:highlight w:val="none"/>
        </w:rPr>
        <w:t>《环境影响评价技术导则</w:t>
      </w:r>
      <w:r>
        <w:rPr>
          <w:rFonts w:hint="eastAsia" w:cs="Times New Roman"/>
          <w:highlight w:val="none"/>
        </w:rPr>
        <w:t>——</w:t>
      </w:r>
      <w:r>
        <w:rPr>
          <w:rFonts w:cs="Times New Roman"/>
          <w:highlight w:val="none"/>
        </w:rPr>
        <w:t>大气环境》（HJ2.2-20</w:t>
      </w:r>
      <w:r>
        <w:rPr>
          <w:rFonts w:hint="eastAsia" w:cs="Times New Roman"/>
          <w:highlight w:val="none"/>
        </w:rPr>
        <w:t>1</w:t>
      </w:r>
      <w:r>
        <w:rPr>
          <w:rFonts w:cs="Times New Roman"/>
          <w:highlight w:val="none"/>
        </w:rPr>
        <w:t>8）要求，</w:t>
      </w:r>
      <w:r>
        <w:rPr>
          <w:rFonts w:hint="eastAsia"/>
          <w:highlight w:val="none"/>
        </w:rPr>
        <w:t>通过</w:t>
      </w:r>
      <w:r>
        <w:rPr>
          <w:highlight w:val="none"/>
        </w:rPr>
        <w:t>计算污染物的最大地面</w:t>
      </w:r>
      <w:r>
        <w:rPr>
          <w:rFonts w:hint="eastAsia"/>
          <w:highlight w:val="none"/>
        </w:rPr>
        <w:t>空气质量</w:t>
      </w:r>
      <w:r>
        <w:rPr>
          <w:highlight w:val="none"/>
        </w:rPr>
        <w:t>浓度占标率</w:t>
      </w:r>
      <w:r>
        <w:rPr>
          <w:rFonts w:hint="eastAsia"/>
          <w:highlight w:val="none"/>
        </w:rPr>
        <w:t>Pi（第i个污染物），及第i个污染物的地面空气质量浓度达标准限值</w:t>
      </w:r>
      <w:r>
        <w:rPr>
          <w:highlight w:val="none"/>
        </w:rPr>
        <w:t>10%</w:t>
      </w:r>
      <w:r>
        <w:rPr>
          <w:rFonts w:hint="eastAsia"/>
          <w:highlight w:val="none"/>
        </w:rPr>
        <w:t>时</w:t>
      </w:r>
      <w:r>
        <w:rPr>
          <w:highlight w:val="none"/>
        </w:rPr>
        <w:t>对应的</w:t>
      </w:r>
      <w:r>
        <w:rPr>
          <w:rFonts w:hint="eastAsia"/>
          <w:highlight w:val="none"/>
        </w:rPr>
        <w:t>最远</w:t>
      </w:r>
      <w:r>
        <w:rPr>
          <w:highlight w:val="none"/>
        </w:rPr>
        <w:t>距离D10%。其中</w:t>
      </w:r>
      <w:r>
        <w:rPr>
          <w:rFonts w:hint="eastAsia"/>
          <w:highlight w:val="none"/>
        </w:rPr>
        <w:t>Pi</w:t>
      </w:r>
      <w:r>
        <w:rPr>
          <w:highlight w:val="none"/>
        </w:rPr>
        <w:t>定义为：</w:t>
      </w:r>
    </w:p>
    <w:p>
      <w:pPr>
        <w:snapToGrid w:val="0"/>
        <w:ind w:firstLine="480"/>
        <w:rPr>
          <w:rFonts w:cs="Times New Roman"/>
          <w:highlight w:val="none"/>
        </w:rPr>
      </w:pPr>
      <w:r>
        <w:rPr>
          <w:highlight w:val="none"/>
        </w:rPr>
        <w:pict>
          <v:shape id="Picture 396" o:spid="_x0000_s2050" o:spt="75" type="#_x0000_t75" style="position:absolute;left:0pt;margin-left:34.35pt;margin-top:3.05pt;height:42.5pt;width:100.9pt;z-index:251683840;mso-width-relative:page;mso-height-relative:page;" o:ole="t" filled="f" o:preferrelative="t" stroked="f" coordsize="21600,21600">
            <v:path/>
            <v:fill on="f" focussize="0,0"/>
            <v:stroke on="f" joinstyle="miter"/>
            <v:imagedata r:id="rId14" o:title=""/>
            <o:lock v:ext="edit" aspectratio="t"/>
          </v:shape>
          <o:OLEObject Type="Embed" ProgID="Equation.3" ShapeID="Picture 396" DrawAspect="Content" ObjectID="_1468075725" r:id="rId13">
            <o:LockedField>false</o:LockedField>
          </o:OLEObject>
        </w:pict>
      </w:r>
    </w:p>
    <w:p>
      <w:pPr>
        <w:snapToGrid w:val="0"/>
        <w:ind w:firstLine="480"/>
        <w:rPr>
          <w:rFonts w:cs="Times New Roman"/>
          <w:highlight w:val="none"/>
        </w:rPr>
      </w:pPr>
    </w:p>
    <w:p>
      <w:pPr>
        <w:snapToGrid w:val="0"/>
        <w:ind w:firstLine="480"/>
        <w:rPr>
          <w:rFonts w:cs="Times New Roman"/>
          <w:szCs w:val="28"/>
          <w:highlight w:val="none"/>
        </w:rPr>
      </w:pPr>
      <w:r>
        <w:rPr>
          <w:rFonts w:cs="Times New Roman"/>
          <w:szCs w:val="28"/>
          <w:highlight w:val="none"/>
        </w:rPr>
        <w:t>式中：</w:t>
      </w:r>
    </w:p>
    <w:p>
      <w:pPr>
        <w:snapToGrid w:val="0"/>
        <w:ind w:firstLine="960" w:firstLineChars="400"/>
        <w:rPr>
          <w:rFonts w:cs="Times New Roman"/>
          <w:szCs w:val="28"/>
          <w:highlight w:val="none"/>
        </w:rPr>
      </w:pPr>
      <w:r>
        <w:rPr>
          <w:rFonts w:cs="Times New Roman"/>
          <w:highlight w:val="none"/>
        </w:rPr>
        <w:pict>
          <v:shape id="Picture 395" o:spid="_x0000_s2051" o:spt="75" type="#_x0000_t75" style="position:absolute;left:0pt;margin-left:35.9pt;margin-top:1pt;height:18pt;width:12.45pt;z-index:251682816;mso-width-relative:page;mso-height-relative:page;" o:ole="t" filled="f" o:preferrelative="t" stroked="f" coordsize="21600,21600">
            <v:path/>
            <v:fill on="f" focussize="0,0"/>
            <v:stroke on="f" joinstyle="miter"/>
            <v:imagedata r:id="rId16" o:title=""/>
            <o:lock v:ext="edit" aspectratio="t"/>
          </v:shape>
          <o:OLEObject Type="Embed" ProgID="Equation.3" ShapeID="Picture 395" DrawAspect="Content" ObjectID="_1468075726" r:id="rId15">
            <o:LockedField>false</o:LockedField>
          </o:OLEObject>
        </w:pict>
      </w:r>
      <w:r>
        <w:rPr>
          <w:rFonts w:cs="Times New Roman"/>
          <w:szCs w:val="28"/>
          <w:highlight w:val="none"/>
        </w:rPr>
        <w:t>——</w:t>
      </w:r>
      <w:r>
        <w:rPr>
          <w:rFonts w:hint="eastAsia" w:cs="Times New Roman"/>
          <w:szCs w:val="28"/>
          <w:highlight w:val="none"/>
        </w:rPr>
        <w:t>第i个污染物的最大地面空气质量浓度</w:t>
      </w:r>
      <w:r>
        <w:rPr>
          <w:rFonts w:cs="Times New Roman"/>
          <w:szCs w:val="28"/>
          <w:highlight w:val="none"/>
        </w:rPr>
        <w:t>占标率</w:t>
      </w:r>
      <w:r>
        <w:rPr>
          <w:rFonts w:hint="eastAsia" w:cs="Times New Roman"/>
          <w:szCs w:val="28"/>
          <w:highlight w:val="none"/>
        </w:rPr>
        <w:t>，%</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Picture 397" o:spid="_x0000_s2052" o:spt="75" type="#_x0000_t75" style="position:absolute;left:0pt;margin-left:33.7pt;margin-top:2.1pt;height:18pt;width:14.5pt;z-index:251684864;mso-width-relative:page;mso-height-relative:page;" o:ole="t" filled="f" o:preferrelative="t" stroked="f" coordsize="21600,21600">
            <v:path/>
            <v:fill on="f" focussize="0,0"/>
            <v:stroke on="f" joinstyle="miter"/>
            <v:imagedata r:id="rId18" o:title=""/>
            <o:lock v:ext="edit" aspectratio="t"/>
          </v:shape>
          <o:OLEObject Type="Embed" ProgID="Equation.3" ShapeID="Picture 397" DrawAspect="Content" ObjectID="_1468075727" r:id="rId17">
            <o:LockedField>false</o:LockedField>
          </o:OLEObject>
        </w:pict>
      </w:r>
      <w:r>
        <w:rPr>
          <w:rFonts w:cs="Times New Roman"/>
          <w:szCs w:val="28"/>
          <w:highlight w:val="none"/>
        </w:rPr>
        <w:t>——</w:t>
      </w:r>
      <w:r>
        <w:rPr>
          <w:rFonts w:hint="eastAsia" w:cs="Times New Roman"/>
          <w:szCs w:val="28"/>
          <w:highlight w:val="none"/>
        </w:rPr>
        <w:t>采用估算模型计算出的第i个污染物的最大1h地面空气质量浓度</w:t>
      </w:r>
      <w:r>
        <w:rPr>
          <w:rFonts w:cs="Times New Roman"/>
          <w:szCs w:val="28"/>
          <w:highlight w:val="none"/>
        </w:rPr>
        <w:t>，</w:t>
      </w:r>
      <w:r>
        <w:rPr>
          <w:rFonts w:hint="eastAsia" w:cs="Times New Roman"/>
          <w:szCs w:val="28"/>
          <w:highlight w:val="none"/>
        </w:rPr>
        <w:t>µg/m</w:t>
      </w:r>
      <w:r>
        <w:rPr>
          <w:rFonts w:hint="eastAsia" w:cs="Times New Roman"/>
          <w:szCs w:val="28"/>
          <w:highlight w:val="none"/>
          <w:vertAlign w:val="superscript"/>
        </w:rPr>
        <w:t>3</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Picture 398" o:spid="_x0000_s2053" o:spt="75" type="#_x0000_t75" style="position:absolute;left:0pt;margin-left:31.1pt;margin-top:2.55pt;height:18pt;width:19.75pt;z-index:251685888;mso-width-relative:page;mso-height-relative:page;" o:ole="t" filled="f" o:preferrelative="t" stroked="f" coordsize="21600,21600">
            <v:path/>
            <v:fill on="f" focussize="0,0"/>
            <v:stroke on="f" joinstyle="miter"/>
            <v:imagedata r:id="rId20" o:title=""/>
            <o:lock v:ext="edit" aspectratio="t"/>
          </v:shape>
          <o:OLEObject Type="Embed" ProgID="Equation.3" ShapeID="Picture 398" DrawAspect="Content" ObjectID="_1468075728" r:id="rId19">
            <o:LockedField>false</o:LockedField>
          </o:OLEObject>
        </w:pict>
      </w:r>
      <w:r>
        <w:rPr>
          <w:rFonts w:cs="Times New Roman"/>
          <w:szCs w:val="28"/>
          <w:highlight w:val="none"/>
        </w:rPr>
        <w:t>——</w:t>
      </w:r>
      <w:r>
        <w:rPr>
          <w:rFonts w:hint="eastAsia" w:cs="Times New Roman"/>
          <w:szCs w:val="28"/>
          <w:highlight w:val="none"/>
        </w:rPr>
        <w:t>第i个污染物的</w:t>
      </w:r>
      <w:r>
        <w:rPr>
          <w:rFonts w:cs="Times New Roman"/>
          <w:szCs w:val="28"/>
          <w:highlight w:val="none"/>
        </w:rPr>
        <w:t>环境空气质量</w:t>
      </w:r>
      <w:r>
        <w:rPr>
          <w:rFonts w:hint="eastAsia" w:cs="Times New Roman"/>
          <w:szCs w:val="28"/>
          <w:highlight w:val="none"/>
        </w:rPr>
        <w:t>浓度</w:t>
      </w:r>
      <w:r>
        <w:rPr>
          <w:rFonts w:cs="Times New Roman"/>
          <w:szCs w:val="28"/>
          <w:highlight w:val="none"/>
        </w:rPr>
        <w:t>标准，</w:t>
      </w:r>
      <w:r>
        <w:rPr>
          <w:rFonts w:hint="eastAsia" w:cs="Times New Roman"/>
          <w:szCs w:val="28"/>
          <w:highlight w:val="none"/>
        </w:rPr>
        <w:t>µg/m</w:t>
      </w:r>
      <w:r>
        <w:rPr>
          <w:rFonts w:hint="eastAsia" w:cs="Times New Roman"/>
          <w:szCs w:val="28"/>
          <w:highlight w:val="none"/>
          <w:vertAlign w:val="superscript"/>
        </w:rPr>
        <w:t>3</w:t>
      </w:r>
      <w:r>
        <w:rPr>
          <w:rFonts w:cs="Times New Roman"/>
          <w:szCs w:val="28"/>
          <w:highlight w:val="none"/>
        </w:rPr>
        <w:t>。</w:t>
      </w:r>
    </w:p>
    <w:p>
      <w:pPr>
        <w:ind w:firstLine="480"/>
        <w:rPr>
          <w:highlight w:val="none"/>
        </w:rPr>
      </w:pPr>
      <w:r>
        <w:rPr>
          <w:highlight w:val="none"/>
        </w:rPr>
        <w:t>按照《环境影响评价技术导则</w:t>
      </w:r>
      <w:r>
        <w:rPr>
          <w:rFonts w:hint="eastAsia"/>
          <w:highlight w:val="none"/>
        </w:rPr>
        <w:t>——</w:t>
      </w:r>
      <w:r>
        <w:rPr>
          <w:highlight w:val="none"/>
        </w:rPr>
        <w:t>大气环境》（HJ2.2-20</w:t>
      </w:r>
      <w:r>
        <w:rPr>
          <w:rFonts w:hint="eastAsia"/>
          <w:highlight w:val="none"/>
        </w:rPr>
        <w:t>1</w:t>
      </w:r>
      <w:r>
        <w:rPr>
          <w:highlight w:val="none"/>
        </w:rPr>
        <w:t>8），经初步工程分析结果，采用</w:t>
      </w:r>
      <w:r>
        <w:rPr>
          <w:rFonts w:hint="eastAsia"/>
          <w:highlight w:val="none"/>
        </w:rPr>
        <w:t>《环境影响评价技术导则 大气环境》（HJ2.2-2018）附录A推荐模型中的估算模式AERSCREEN</w:t>
      </w:r>
      <w:r>
        <w:rPr>
          <w:highlight w:val="none"/>
        </w:rPr>
        <w:t>分别计算</w:t>
      </w:r>
      <w:r>
        <w:rPr>
          <w:rFonts w:hint="eastAsia"/>
          <w:highlight w:val="none"/>
        </w:rPr>
        <w:t>PM</w:t>
      </w:r>
      <w:r>
        <w:rPr>
          <w:rFonts w:hint="eastAsia"/>
          <w:highlight w:val="none"/>
          <w:vertAlign w:val="subscript"/>
        </w:rPr>
        <w:t>10</w:t>
      </w:r>
      <w:r>
        <w:rPr>
          <w:highlight w:val="none"/>
        </w:rPr>
        <w:t>、</w:t>
      </w:r>
      <w:r>
        <w:rPr>
          <w:rFonts w:hint="eastAsia"/>
          <w:highlight w:val="none"/>
          <w:lang w:val="en-US" w:eastAsia="zh-CN"/>
        </w:rPr>
        <w:t>SO</w:t>
      </w:r>
      <w:r>
        <w:rPr>
          <w:rFonts w:hint="eastAsia"/>
          <w:highlight w:val="none"/>
          <w:vertAlign w:val="subscript"/>
          <w:lang w:val="en-US" w:eastAsia="zh-CN"/>
        </w:rPr>
        <w:t>2</w:t>
      </w:r>
      <w:r>
        <w:rPr>
          <w:rFonts w:hint="eastAsia"/>
          <w:highlight w:val="none"/>
          <w:lang w:val="en-US" w:eastAsia="zh-CN"/>
        </w:rPr>
        <w:t>、NO</w:t>
      </w:r>
      <w:r>
        <w:rPr>
          <w:rFonts w:hint="eastAsia"/>
          <w:highlight w:val="none"/>
          <w:vertAlign w:val="subscript"/>
          <w:lang w:val="en-US" w:eastAsia="zh-CN"/>
        </w:rPr>
        <w:t>X</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S、NH</w:t>
      </w:r>
      <w:r>
        <w:rPr>
          <w:rFonts w:hint="eastAsia"/>
          <w:highlight w:val="none"/>
          <w:vertAlign w:val="subscript"/>
          <w:lang w:val="en-US" w:eastAsia="zh-CN"/>
        </w:rPr>
        <w:t>3</w:t>
      </w:r>
      <w:r>
        <w:rPr>
          <w:highlight w:val="none"/>
        </w:rPr>
        <w:t>最大地面</w:t>
      </w:r>
      <w:r>
        <w:rPr>
          <w:rFonts w:hint="eastAsia"/>
          <w:highlight w:val="none"/>
        </w:rPr>
        <w:t>空气质量</w:t>
      </w:r>
      <w:r>
        <w:rPr>
          <w:highlight w:val="none"/>
        </w:rPr>
        <w:t>浓度。计算结果见表1.</w:t>
      </w:r>
      <w:r>
        <w:rPr>
          <w:rFonts w:hint="eastAsia"/>
          <w:highlight w:val="none"/>
        </w:rPr>
        <w:t>7</w:t>
      </w:r>
      <w:r>
        <w:rPr>
          <w:highlight w:val="none"/>
        </w:rPr>
        <w:t>-</w:t>
      </w:r>
      <w:r>
        <w:rPr>
          <w:rFonts w:hint="eastAsia"/>
          <w:highlight w:val="none"/>
        </w:rPr>
        <w:t>1。</w:t>
      </w:r>
    </w:p>
    <w:p>
      <w:pPr>
        <w:pStyle w:val="22"/>
        <w:rPr>
          <w:rFonts w:hint="eastAsia"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1</w:t>
      </w:r>
      <w:r>
        <w:rPr>
          <w:rFonts w:cs="Times New Roman"/>
          <w:highlight w:val="none"/>
        </w:rPr>
        <w:t>主要污染物最大地面浓度</w:t>
      </w:r>
      <w:r>
        <w:rPr>
          <w:rFonts w:hint="eastAsia" w:cs="Times New Roman"/>
          <w:highlight w:val="none"/>
        </w:rPr>
        <w:t>及</w:t>
      </w:r>
      <w:r>
        <w:rPr>
          <w:rFonts w:cs="Times New Roman"/>
          <w:highlight w:val="none"/>
        </w:rPr>
        <w:t>占标</w:t>
      </w:r>
      <w:r>
        <w:rPr>
          <w:rFonts w:hint="eastAsia" w:cs="Times New Roman"/>
          <w:highlight w:val="none"/>
        </w:rPr>
        <w:t>率</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744"/>
        <w:gridCol w:w="2293"/>
        <w:gridCol w:w="1592"/>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污染源</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346"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最大地面质量浓度（mg/m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935"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占标率（Pmax）</w:t>
            </w:r>
          </w:p>
        </w:tc>
        <w:tc>
          <w:tcPr>
            <w:tcW w:w="1039"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最大落地浓度距离（m）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0.00197</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0.44</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0.00197</w:t>
            </w:r>
          </w:p>
        </w:tc>
        <w:tc>
          <w:tcPr>
            <w:tcW w:w="1592"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0.44</w:t>
            </w:r>
          </w:p>
        </w:tc>
        <w:tc>
          <w:tcPr>
            <w:tcW w:w="1770"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0.00048</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0.11</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0.000137</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0.03</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0.00123</w:t>
            </w:r>
          </w:p>
        </w:tc>
        <w:tc>
          <w:tcPr>
            <w:tcW w:w="1592"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0.27</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0.0268</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5.96</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7#排气筒</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0.000543</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0.12</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eastAsia"/>
                <w:sz w:val="21"/>
                <w:szCs w:val="21"/>
                <w:highlight w:val="none"/>
                <w:lang w:val="en-US" w:eastAsia="zh-CN"/>
              </w:rPr>
            </w:pPr>
            <w:r>
              <w:rPr>
                <w:rFonts w:hint="default"/>
                <w:sz w:val="21"/>
                <w:szCs w:val="21"/>
                <w:highlight w:val="none"/>
                <w:lang w:val="en-US" w:eastAsia="zh-CN"/>
              </w:rPr>
              <w:t>SO</w:t>
            </w:r>
            <w:r>
              <w:rPr>
                <w:rFonts w:hint="default"/>
                <w:sz w:val="21"/>
                <w:szCs w:val="21"/>
                <w:highlight w:val="none"/>
                <w:vertAlign w:val="subscript"/>
                <w:lang w:val="en-US" w:eastAsia="zh-CN"/>
              </w:rPr>
              <w:t>2</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0.0004</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0.08</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eastAsia"/>
                <w:sz w:val="21"/>
                <w:szCs w:val="21"/>
                <w:highlight w:val="none"/>
                <w:lang w:val="en-US" w:eastAsia="zh-CN"/>
              </w:rPr>
            </w:pPr>
            <w:r>
              <w:rPr>
                <w:rFonts w:hint="default"/>
                <w:sz w:val="21"/>
                <w:szCs w:val="21"/>
                <w:highlight w:val="none"/>
                <w:lang w:val="en-US" w:eastAsia="zh-CN"/>
              </w:rPr>
              <w:t>NO</w:t>
            </w:r>
            <w:r>
              <w:rPr>
                <w:rFonts w:hint="default"/>
                <w:sz w:val="21"/>
                <w:szCs w:val="21"/>
                <w:highlight w:val="none"/>
                <w:vertAlign w:val="subscript"/>
                <w:lang w:val="en-US" w:eastAsia="zh-CN"/>
              </w:rPr>
              <w:t>X</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0.0036</w:t>
            </w:r>
          </w:p>
        </w:tc>
        <w:tc>
          <w:tcPr>
            <w:tcW w:w="1592"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1.44</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1024"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无组织PM</w:t>
            </w:r>
            <w:r>
              <w:rPr>
                <w:rFonts w:hint="eastAsia"/>
                <w:sz w:val="21"/>
                <w:szCs w:val="21"/>
                <w:highlight w:val="none"/>
                <w:vertAlign w:val="subscript"/>
                <w:lang w:val="en-US" w:eastAsia="zh-CN"/>
              </w:rPr>
              <w:t>10</w:t>
            </w:r>
          </w:p>
        </w:tc>
        <w:tc>
          <w:tcPr>
            <w:tcW w:w="1346" w:type="pct"/>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0.00493</w:t>
            </w:r>
          </w:p>
        </w:tc>
        <w:tc>
          <w:tcPr>
            <w:tcW w:w="935" w:type="pct"/>
            <w:vAlign w:val="center"/>
          </w:tcPr>
          <w:p>
            <w:pPr>
              <w:ind w:firstLine="0" w:firstLineChars="0"/>
              <w:jc w:val="center"/>
              <w:rPr>
                <w:rFonts w:hint="default"/>
                <w:sz w:val="21"/>
                <w:szCs w:val="21"/>
                <w:highlight w:val="none"/>
                <w:lang w:val="en-US" w:eastAsia="zh-CN"/>
              </w:rPr>
            </w:pPr>
            <w:r>
              <w:rPr>
                <w:rFonts w:hint="eastAsia"/>
                <w:sz w:val="21"/>
                <w:szCs w:val="21"/>
                <w:highlight w:val="none"/>
                <w:lang w:val="en-US" w:eastAsia="zh-CN"/>
              </w:rPr>
              <w:t>1.17</w:t>
            </w:r>
          </w:p>
        </w:tc>
        <w:tc>
          <w:tcPr>
            <w:tcW w:w="1039" w:type="pct"/>
            <w:vAlign w:val="center"/>
          </w:tcPr>
          <w:p>
            <w:pPr>
              <w:ind w:firstLine="0" w:firstLineChars="0"/>
              <w:jc w:val="center"/>
              <w:rPr>
                <w:rFonts w:hint="default"/>
                <w:sz w:val="21"/>
                <w:szCs w:val="21"/>
                <w:highlight w:val="none"/>
                <w:lang w:val="en-US" w:eastAsia="zh-CN"/>
              </w:rPr>
            </w:pPr>
            <w:r>
              <w:rPr>
                <w:rFonts w:hint="eastAsia"/>
                <w:sz w:val="21"/>
                <w:szCs w:val="21"/>
                <w:highlight w:val="none"/>
                <w:lang w:val="en-US" w:eastAsia="zh-CN"/>
              </w:rPr>
              <w:t>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default"/>
                <w:sz w:val="21"/>
                <w:szCs w:val="21"/>
                <w:highlight w:val="none"/>
                <w:lang w:val="en-US" w:eastAsia="zh-CN"/>
              </w:rPr>
            </w:pPr>
            <w:r>
              <w:rPr>
                <w:rFonts w:hint="eastAsia"/>
                <w:sz w:val="21"/>
                <w:szCs w:val="21"/>
                <w:highlight w:val="none"/>
                <w:lang w:val="en-US" w:eastAsia="zh-CN"/>
              </w:rPr>
              <w:t>无组织NH</w:t>
            </w:r>
            <w:r>
              <w:rPr>
                <w:rFonts w:hint="eastAsia"/>
                <w:sz w:val="21"/>
                <w:szCs w:val="21"/>
                <w:highlight w:val="none"/>
                <w:vertAlign w:val="subscript"/>
                <w:lang w:val="en-US" w:eastAsia="zh-CN"/>
              </w:rPr>
              <w:t>3</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0.01184</w:t>
            </w:r>
          </w:p>
        </w:tc>
        <w:tc>
          <w:tcPr>
            <w:tcW w:w="1592"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5.92</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sz w:val="21"/>
                <w:szCs w:val="21"/>
                <w:highlight w:val="none"/>
                <w:lang w:val="en-US" w:eastAsia="zh-CN"/>
              </w:rPr>
            </w:pPr>
          </w:p>
        </w:tc>
        <w:tc>
          <w:tcPr>
            <w:tcW w:w="1024" w:type="pct"/>
            <w:vAlign w:val="center"/>
          </w:tcPr>
          <w:p>
            <w:pPr>
              <w:ind w:firstLine="0" w:firstLineChars="0"/>
              <w:jc w:val="center"/>
              <w:rPr>
                <w:rFonts w:hint="default"/>
                <w:sz w:val="21"/>
                <w:szCs w:val="21"/>
                <w:highlight w:val="none"/>
                <w:lang w:val="en-US" w:eastAsia="zh-CN"/>
              </w:rPr>
            </w:pPr>
            <w:r>
              <w:rPr>
                <w:rFonts w:hint="eastAsia"/>
                <w:sz w:val="21"/>
                <w:szCs w:val="21"/>
                <w:highlight w:val="none"/>
                <w:lang w:val="en-US" w:eastAsia="zh-CN"/>
              </w:rPr>
              <w:t>无组织H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2293"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0.0008867</w:t>
            </w:r>
          </w:p>
        </w:tc>
        <w:tc>
          <w:tcPr>
            <w:tcW w:w="1592"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8.87</w:t>
            </w:r>
          </w:p>
        </w:tc>
        <w:tc>
          <w:tcPr>
            <w:tcW w:w="1770" w:type="dxa"/>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712</w:t>
            </w:r>
          </w:p>
        </w:tc>
      </w:tr>
    </w:tbl>
    <w:p>
      <w:pPr>
        <w:pStyle w:val="10"/>
        <w:snapToGrid w:val="0"/>
        <w:ind w:firstLine="480"/>
        <w:rPr>
          <w:rFonts w:cs="Times New Roman"/>
          <w:highlight w:val="none"/>
        </w:rPr>
      </w:pPr>
      <w:r>
        <w:rPr>
          <w:rFonts w:cs="Times New Roman"/>
          <w:highlight w:val="none"/>
        </w:rPr>
        <w:t>按照《环境影响评价技术导则</w:t>
      </w:r>
      <w:r>
        <w:rPr>
          <w:rFonts w:hint="eastAsia" w:cs="Times New Roman"/>
          <w:highlight w:val="none"/>
        </w:rPr>
        <w:t>——</w:t>
      </w:r>
      <w:r>
        <w:rPr>
          <w:rFonts w:cs="Times New Roman"/>
          <w:highlight w:val="none"/>
        </w:rPr>
        <w:t>大气环境》（HJ2.2-20</w:t>
      </w:r>
      <w:r>
        <w:rPr>
          <w:rFonts w:hint="eastAsia" w:cs="Times New Roman"/>
          <w:highlight w:val="none"/>
        </w:rPr>
        <w:t>1</w:t>
      </w:r>
      <w:r>
        <w:rPr>
          <w:rFonts w:cs="Times New Roman"/>
          <w:highlight w:val="none"/>
        </w:rPr>
        <w:t>8）</w:t>
      </w:r>
      <w:r>
        <w:rPr>
          <w:rFonts w:hint="eastAsia" w:cs="Times New Roman"/>
          <w:highlight w:val="none"/>
        </w:rPr>
        <w:t>，</w:t>
      </w:r>
      <w:r>
        <w:rPr>
          <w:rFonts w:cs="Times New Roman"/>
          <w:highlight w:val="none"/>
        </w:rPr>
        <w:t>大气环境影响评价工作等级判断如下表1.</w:t>
      </w:r>
      <w:r>
        <w:rPr>
          <w:rFonts w:hint="eastAsia" w:cs="Times New Roman"/>
          <w:highlight w:val="none"/>
        </w:rPr>
        <w:t>7</w:t>
      </w:r>
      <w:r>
        <w:rPr>
          <w:rFonts w:cs="Times New Roman"/>
          <w:highlight w:val="none"/>
        </w:rPr>
        <w:t>-</w:t>
      </w:r>
      <w:r>
        <w:rPr>
          <w:rFonts w:hint="eastAsia" w:cs="Times New Roman"/>
          <w:highlight w:val="none"/>
        </w:rPr>
        <w:t>2</w:t>
      </w:r>
      <w:r>
        <w:rPr>
          <w:rFonts w:cs="Times New Roman"/>
          <w:highlight w:val="none"/>
        </w:rPr>
        <w:t>所示：</w:t>
      </w:r>
    </w:p>
    <w:p>
      <w:pPr>
        <w:pStyle w:val="22"/>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2</w:t>
      </w:r>
      <w:r>
        <w:rPr>
          <w:rFonts w:cs="Times New Roman"/>
          <w:highlight w:val="none"/>
        </w:rPr>
        <w:t>大气环境影响评价等级</w:t>
      </w:r>
    </w:p>
    <w:tbl>
      <w:tblPr>
        <w:tblStyle w:val="24"/>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5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评价工作等级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二级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Pmax＜1%</w:t>
            </w:r>
          </w:p>
        </w:tc>
      </w:tr>
    </w:tbl>
    <w:p>
      <w:pPr>
        <w:ind w:firstLine="480"/>
        <w:rPr>
          <w:rFonts w:cs="Times New Roman"/>
          <w:highlight w:val="none"/>
        </w:rPr>
      </w:pPr>
      <w:r>
        <w:rPr>
          <w:rFonts w:cs="Times New Roman"/>
          <w:highlight w:val="none"/>
        </w:rPr>
        <w:t>根据表1.7-1主要污染物最大地面质量浓度及占标率，结合表1.7-2大气环境影响评价等级判定依据，确定拟建工程大气环境评价等级为</w:t>
      </w:r>
      <w:r>
        <w:rPr>
          <w:rFonts w:hint="eastAsia" w:cs="Times New Roman"/>
          <w:highlight w:val="none"/>
        </w:rPr>
        <w:t>二</w:t>
      </w:r>
      <w:r>
        <w:rPr>
          <w:rFonts w:cs="Times New Roman"/>
          <w:highlight w:val="none"/>
        </w:rPr>
        <w:t>级。</w:t>
      </w:r>
    </w:p>
    <w:p>
      <w:pPr>
        <w:ind w:firstLine="480"/>
        <w:rPr>
          <w:rFonts w:cs="Times New Roman"/>
          <w:szCs w:val="18"/>
          <w:highlight w:val="none"/>
        </w:rPr>
      </w:pPr>
      <w:r>
        <w:rPr>
          <w:rFonts w:hint="eastAsia" w:cs="Times New Roman"/>
          <w:szCs w:val="18"/>
          <w:highlight w:val="none"/>
        </w:rPr>
        <w:t>（2）评价范围</w:t>
      </w:r>
    </w:p>
    <w:p>
      <w:pPr>
        <w:ind w:firstLine="480"/>
        <w:rPr>
          <w:rFonts w:cs="Times New Roman"/>
          <w:highlight w:val="none"/>
        </w:rPr>
      </w:pPr>
      <w:r>
        <w:rPr>
          <w:rFonts w:hint="eastAsia" w:cs="Times New Roman"/>
          <w:szCs w:val="18"/>
          <w:highlight w:val="none"/>
        </w:rPr>
        <w:t>根据《环境影响评价技术导则——大气环境》（HJ2.2-2018），本项目大气环境评价等级为二级，故二级评价项目大气环境影响评价范围为以场区中心点为中点，边长为5km的正方形区域范围内。</w:t>
      </w:r>
    </w:p>
    <w:p>
      <w:pPr>
        <w:pStyle w:val="7"/>
        <w:spacing w:before="66"/>
        <w:ind w:firstLine="482"/>
        <w:rPr>
          <w:highlight w:val="none"/>
        </w:rPr>
      </w:pPr>
      <w:r>
        <w:rPr>
          <w:highlight w:val="none"/>
        </w:rPr>
        <w:t>1.</w:t>
      </w:r>
      <w:r>
        <w:rPr>
          <w:rFonts w:hint="eastAsia"/>
          <w:highlight w:val="none"/>
        </w:rPr>
        <w:t>7.</w:t>
      </w:r>
      <w:r>
        <w:rPr>
          <w:highlight w:val="none"/>
        </w:rPr>
        <w:t>2地表水</w:t>
      </w:r>
    </w:p>
    <w:p>
      <w:pPr>
        <w:ind w:firstLine="480"/>
        <w:rPr>
          <w:rFonts w:cs="Times New Roman"/>
          <w:highlight w:val="none"/>
        </w:rPr>
      </w:pPr>
      <w:r>
        <w:rPr>
          <w:rFonts w:hint="eastAsia" w:cs="Times New Roman"/>
          <w:highlight w:val="none"/>
        </w:rPr>
        <w:t>（1）评价等级</w:t>
      </w:r>
    </w:p>
    <w:p>
      <w:pPr>
        <w:spacing w:line="520" w:lineRule="exact"/>
        <w:ind w:firstLine="480" w:firstLineChars="200"/>
        <w:rPr>
          <w:rFonts w:ascii="Times New Roman" w:hAnsi="Times New Roman"/>
          <w:sz w:val="24"/>
          <w:szCs w:val="24"/>
          <w:highlight w:val="none"/>
        </w:rPr>
      </w:pPr>
      <w:r>
        <w:rPr>
          <w:rFonts w:hint="eastAsia" w:cs="Times New Roman"/>
          <w:highlight w:val="none"/>
        </w:rPr>
        <w:t>拟建项目所产生的废水主要污染物为COD、BOD</w:t>
      </w:r>
      <w:r>
        <w:rPr>
          <w:rFonts w:hint="eastAsia" w:cs="Times New Roman"/>
          <w:highlight w:val="none"/>
          <w:vertAlign w:val="subscript"/>
        </w:rPr>
        <w:t>5</w:t>
      </w:r>
      <w:r>
        <w:rPr>
          <w:rFonts w:hint="eastAsia" w:cs="Times New Roman"/>
          <w:highlight w:val="none"/>
        </w:rPr>
        <w:t>、NH</w:t>
      </w:r>
      <w:r>
        <w:rPr>
          <w:rFonts w:hint="eastAsia" w:cs="Times New Roman"/>
          <w:highlight w:val="none"/>
          <w:vertAlign w:val="subscript"/>
        </w:rPr>
        <w:t>3</w:t>
      </w:r>
      <w:r>
        <w:rPr>
          <w:rFonts w:hint="eastAsia" w:cs="Times New Roman"/>
          <w:highlight w:val="none"/>
        </w:rPr>
        <w:t>-N</w:t>
      </w:r>
      <w:r>
        <w:rPr>
          <w:rFonts w:hint="eastAsia" w:cs="Times New Roman"/>
          <w:highlight w:val="none"/>
          <w:lang w:eastAsia="zh-CN"/>
        </w:rPr>
        <w:t>、</w:t>
      </w:r>
      <w:r>
        <w:rPr>
          <w:rFonts w:hint="eastAsia" w:cs="Times New Roman"/>
          <w:highlight w:val="none"/>
          <w:lang w:val="en-US" w:eastAsia="zh-CN"/>
        </w:rPr>
        <w:t>SS</w:t>
      </w:r>
      <w:r>
        <w:rPr>
          <w:rFonts w:hint="eastAsia" w:cs="Times New Roman"/>
          <w:highlight w:val="none"/>
        </w:rPr>
        <w:t>等，全部实现综合利用，无废水外排。根据《环境影响评价技术导则—地表水环境》（HJ2.3-2018）表1中所列出的地面水环境影响评价分级判据标准</w:t>
      </w:r>
      <w:r>
        <w:rPr>
          <w:rFonts w:hint="eastAsia" w:cs="Times New Roman"/>
          <w:highlight w:val="none"/>
          <w:lang w:eastAsia="zh-CN"/>
        </w:rPr>
        <w:t>，</w:t>
      </w:r>
      <w:r>
        <w:rPr>
          <w:rFonts w:ascii="Times New Roman" w:hAnsi="Times New Roman"/>
          <w:sz w:val="24"/>
          <w:szCs w:val="24"/>
          <w:highlight w:val="none"/>
        </w:rPr>
        <w:t>，本项目地面水环境影响评价工作等级确定因素见</w:t>
      </w:r>
      <w:r>
        <w:rPr>
          <w:rFonts w:hint="eastAsia" w:ascii="Times New Roman" w:hAnsi="Times New Roman"/>
          <w:sz w:val="24"/>
          <w:szCs w:val="24"/>
          <w:highlight w:val="none"/>
          <w:lang w:eastAsia="zh-CN"/>
        </w:rPr>
        <w:t>表</w:t>
      </w:r>
      <w:r>
        <w:rPr>
          <w:rFonts w:hint="eastAsia" w:ascii="Times New Roman" w:hAnsi="Times New Roman"/>
          <w:sz w:val="24"/>
          <w:szCs w:val="24"/>
          <w:highlight w:val="none"/>
          <w:lang w:val="en-US" w:eastAsia="zh-CN"/>
        </w:rPr>
        <w:t>1.7-3</w:t>
      </w:r>
      <w:r>
        <w:rPr>
          <w:rFonts w:ascii="Times New Roman" w:hAnsi="Times New Roman"/>
          <w:sz w:val="24"/>
          <w:szCs w:val="24"/>
          <w:highlight w:val="none"/>
        </w:rPr>
        <w:t>。</w:t>
      </w:r>
    </w:p>
    <w:p>
      <w:pPr>
        <w:pStyle w:val="22"/>
        <w:rPr>
          <w:rFonts w:cs="Times New Roman"/>
          <w:highlight w:val="none"/>
        </w:rPr>
      </w:pPr>
      <w:bookmarkStart w:id="9" w:name="_Ref478120750"/>
      <w:r>
        <w:rPr>
          <w:rFonts w:cs="Times New Roman"/>
          <w:highlight w:val="none"/>
        </w:rPr>
        <w:t xml:space="preserve">表 </w:t>
      </w:r>
      <w:bookmarkEnd w:id="9"/>
      <w:r>
        <w:rPr>
          <w:rFonts w:cs="Times New Roman"/>
          <w:highlight w:val="none"/>
        </w:rPr>
        <w:t>1</w:t>
      </w:r>
      <w:r>
        <w:rPr>
          <w:rFonts w:hint="eastAsia" w:cs="Times New Roman"/>
          <w:highlight w:val="none"/>
          <w:lang w:val="en-US" w:eastAsia="zh-CN"/>
        </w:rPr>
        <w:t>.7</w:t>
      </w:r>
      <w:r>
        <w:rPr>
          <w:rFonts w:cs="Times New Roman"/>
          <w:highlight w:val="none"/>
        </w:rPr>
        <w:t>-</w:t>
      </w:r>
      <w:r>
        <w:rPr>
          <w:rFonts w:hint="eastAsia" w:cs="Times New Roman"/>
          <w:highlight w:val="none"/>
          <w:lang w:val="en-US" w:eastAsia="zh-CN"/>
        </w:rPr>
        <w:t>3</w:t>
      </w:r>
      <w:r>
        <w:rPr>
          <w:rFonts w:cs="Times New Roman"/>
          <w:highlight w:val="none"/>
        </w:rPr>
        <w:t xml:space="preserve"> 地表水环境评价工作等级判定表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3413"/>
        <w:gridCol w:w="3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restar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判定等级</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continue"/>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排放方式</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废水排放量Q/（m</w:t>
            </w:r>
            <w:r>
              <w:rPr>
                <w:rFonts w:hint="eastAsia"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/d）；</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二级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三级A</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三级B</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本项目</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有废水产生，但综合利用，不排放到外环境，按三级B评价</w:t>
            </w:r>
          </w:p>
        </w:tc>
      </w:tr>
    </w:tbl>
    <w:p>
      <w:pPr>
        <w:ind w:firstLine="480"/>
        <w:rPr>
          <w:rFonts w:cs="Times New Roman"/>
          <w:highlight w:val="none"/>
        </w:rPr>
      </w:pPr>
      <w:r>
        <w:rPr>
          <w:rFonts w:hint="eastAsia" w:cs="Times New Roman"/>
          <w:highlight w:val="none"/>
          <w:lang w:eastAsia="zh-CN"/>
        </w:rPr>
        <w:t>由上表可知本项目为间接排放，</w:t>
      </w:r>
      <w:r>
        <w:rPr>
          <w:rFonts w:hint="eastAsia" w:cs="Times New Roman"/>
          <w:highlight w:val="none"/>
        </w:rPr>
        <w:t>评价等级为三级B。重点针对污水处理综合利用的措施、途径及利用的可行性进行分析。</w:t>
      </w:r>
    </w:p>
    <w:p>
      <w:pPr>
        <w:pStyle w:val="7"/>
        <w:spacing w:before="66"/>
        <w:ind w:firstLine="482"/>
        <w:rPr>
          <w:highlight w:val="none"/>
        </w:rPr>
      </w:pPr>
      <w:r>
        <w:rPr>
          <w:highlight w:val="none"/>
        </w:rPr>
        <w:t>1.</w:t>
      </w:r>
      <w:r>
        <w:rPr>
          <w:rFonts w:hint="eastAsia"/>
          <w:highlight w:val="none"/>
        </w:rPr>
        <w:t>7.</w:t>
      </w:r>
      <w:r>
        <w:rPr>
          <w:highlight w:val="none"/>
        </w:rPr>
        <w:t>3地下水</w:t>
      </w:r>
    </w:p>
    <w:p>
      <w:pPr>
        <w:ind w:firstLine="480"/>
        <w:rPr>
          <w:rFonts w:cs="Times New Roman"/>
          <w:highlight w:val="none"/>
        </w:rPr>
      </w:pPr>
      <w:r>
        <w:rPr>
          <w:rFonts w:hint="eastAsia" w:cs="Times New Roman"/>
          <w:highlight w:val="none"/>
        </w:rPr>
        <w:t>（1）评价等级</w:t>
      </w:r>
    </w:p>
    <w:p>
      <w:pPr>
        <w:ind w:firstLine="480"/>
        <w:rPr>
          <w:rFonts w:cs="Times New Roman"/>
          <w:highlight w:val="none"/>
        </w:rPr>
      </w:pPr>
      <w:r>
        <w:rPr>
          <w:rFonts w:cs="Times New Roman"/>
          <w:highlight w:val="none"/>
        </w:rPr>
        <w:t>根据《环境影响评价技术导则</w:t>
      </w:r>
      <w:r>
        <w:rPr>
          <w:rFonts w:hint="eastAsia" w:cs="Times New Roman"/>
          <w:highlight w:val="none"/>
        </w:rPr>
        <w:t>——</w:t>
      </w:r>
      <w:r>
        <w:rPr>
          <w:rFonts w:cs="Times New Roman"/>
          <w:highlight w:val="none"/>
        </w:rPr>
        <w:t>地下水环境》</w:t>
      </w:r>
      <w:r>
        <w:rPr>
          <w:rFonts w:hint="eastAsia" w:ascii="宋体" w:hAnsi="宋体" w:cs="宋体"/>
          <w:highlight w:val="none"/>
        </w:rPr>
        <w:t>(</w:t>
      </w:r>
      <w:r>
        <w:rPr>
          <w:rFonts w:cs="Times New Roman"/>
          <w:highlight w:val="none"/>
        </w:rPr>
        <w:t>HJ610-2016</w:t>
      </w:r>
      <w:r>
        <w:rPr>
          <w:rFonts w:hint="eastAsia" w:cs="Times New Roman"/>
          <w:highlight w:val="none"/>
        </w:rPr>
        <w:t>）地下水环境影响评价工作分级的规定，地下水评价工作等级的划分应依据建设项目行业分类和地下水环境敏感程度分级进行判定，可划分为一、二、三级。</w:t>
      </w:r>
    </w:p>
    <w:p>
      <w:pPr>
        <w:ind w:firstLine="480"/>
        <w:rPr>
          <w:rFonts w:cs="Times New Roman"/>
          <w:highlight w:val="none"/>
        </w:rPr>
      </w:pPr>
      <w:r>
        <w:rPr>
          <w:rFonts w:hint="eastAsia" w:cs="Times New Roman"/>
          <w:highlight w:val="none"/>
        </w:rPr>
        <w:t>根据《环境影响评价技术导则 地下水环境》（HJ610-2016）附录A确定的本项目所属的地下水环境影响评价项目类别为Ⅲ类。</w:t>
      </w:r>
    </w:p>
    <w:p>
      <w:pPr>
        <w:ind w:firstLine="480"/>
        <w:rPr>
          <w:rFonts w:cs="Times New Roman"/>
          <w:highlight w:val="none"/>
        </w:rPr>
      </w:pPr>
      <w:r>
        <w:rPr>
          <w:rFonts w:hint="eastAsia" w:cs="Times New Roman"/>
          <w:highlight w:val="none"/>
        </w:rPr>
        <w:t>项目所在地地下水环境敏感程度分级表见表1.7-4。</w:t>
      </w:r>
    </w:p>
    <w:p>
      <w:pPr>
        <w:pStyle w:val="22"/>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-4</w:t>
      </w:r>
      <w:r>
        <w:rPr>
          <w:rFonts w:hint="eastAsia" w:cs="Times New Roman"/>
          <w:highlight w:val="none"/>
          <w:lang w:val="en-US" w:eastAsia="zh-CN"/>
        </w:rPr>
        <w:t xml:space="preserve"> </w:t>
      </w:r>
      <w:r>
        <w:rPr>
          <w:rFonts w:cs="Times New Roman"/>
          <w:highlight w:val="none"/>
        </w:rPr>
        <w:t>项目地下水环境评价等级判定表</w:t>
      </w:r>
    </w:p>
    <w:tbl>
      <w:tblPr>
        <w:tblStyle w:val="24"/>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69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敏感程度</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中式饮用水水源（包括已建成的在用、备用、应急水源，在建和规划的饮用水水源）准保护区；除集中式饮用水水源以外的国家或地方政府设定的地下水环境相关的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较敏感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中式饮用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不敏感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5" w:type="dxa"/>
            <w:gridSpan w:val="2"/>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注：a“环境敏感区”是指《建设项目环境影响评价分类管理名录》中所界定的涉及地下水的环境敏感区。</w:t>
            </w:r>
          </w:p>
        </w:tc>
      </w:tr>
    </w:tbl>
    <w:p>
      <w:pPr>
        <w:ind w:firstLine="480"/>
        <w:rPr>
          <w:rFonts w:hint="eastAsia" w:cs="Times New Roman"/>
          <w:highlight w:val="none"/>
        </w:rPr>
      </w:pPr>
      <w:r>
        <w:rPr>
          <w:rFonts w:hint="eastAsia" w:cs="Times New Roman"/>
          <w:highlight w:val="none"/>
        </w:rPr>
        <w:t>根据表1.7-4，</w:t>
      </w:r>
      <w:r>
        <w:rPr>
          <w:rFonts w:hint="eastAsia" w:cs="Times New Roman"/>
          <w:highlight w:val="none"/>
          <w:lang w:eastAsia="zh-CN"/>
        </w:rPr>
        <w:t>本项目</w:t>
      </w:r>
      <w:r>
        <w:rPr>
          <w:rFonts w:hint="eastAsia" w:cs="Times New Roman"/>
          <w:highlight w:val="none"/>
        </w:rPr>
        <w:t>不在正阳县集中饮用水源地一级保护区、二级保护区范围内，不属于热水、矿泉水、温泉等特殊地下水源保护区，亦非正阳县地下水集中饮用水源地主要补给区和径流区。同时项目场地距离最近分散居民饮用水源为</w:t>
      </w:r>
      <w:r>
        <w:rPr>
          <w:rFonts w:hint="eastAsia" w:cs="Times New Roman"/>
          <w:highlight w:val="none"/>
          <w:lang w:eastAsia="zh-CN"/>
        </w:rPr>
        <w:t>北</w:t>
      </w:r>
      <w:r>
        <w:rPr>
          <w:rFonts w:hint="eastAsia" w:cs="Times New Roman"/>
          <w:highlight w:val="none"/>
        </w:rPr>
        <w:t>侧2</w:t>
      </w:r>
      <w:r>
        <w:rPr>
          <w:rFonts w:hint="eastAsia" w:cs="Times New Roman"/>
          <w:highlight w:val="none"/>
          <w:lang w:val="en-US" w:eastAsia="zh-CN"/>
        </w:rPr>
        <w:t>50</w:t>
      </w:r>
      <w:r>
        <w:rPr>
          <w:rFonts w:hint="eastAsia" w:cs="Times New Roman"/>
          <w:highlight w:val="none"/>
        </w:rPr>
        <w:t>m处崔塘村村民自备水井，项目场地地下水敏感程度为较敏感。依据建设项目类别和地下水敏感程度，地下水环境影响评价工作等级为三级。</w:t>
      </w:r>
    </w:p>
    <w:p>
      <w:pPr>
        <w:ind w:firstLine="480"/>
        <w:rPr>
          <w:rFonts w:cs="Times New Roman"/>
          <w:highlight w:val="none"/>
        </w:rPr>
      </w:pPr>
      <w:r>
        <w:rPr>
          <w:rFonts w:hint="eastAsia" w:cs="Times New Roman"/>
          <w:highlight w:val="none"/>
        </w:rPr>
        <w:t>根据《环境影响评价技术导则—地下水环境》（HJ610-2016）规定，判定本项目地下水评价工作等级为三级，详见表1.7-5。</w:t>
      </w:r>
    </w:p>
    <w:p>
      <w:pPr>
        <w:pStyle w:val="22"/>
        <w:rPr>
          <w:rFonts w:cs="Times New Roman"/>
          <w:highlight w:val="none"/>
        </w:rPr>
      </w:pPr>
      <w:r>
        <w:rPr>
          <w:rFonts w:cs="Times New Roman"/>
          <w:highlight w:val="none"/>
        </w:rPr>
        <w:t>表1.</w:t>
      </w:r>
      <w:r>
        <w:rPr>
          <w:rFonts w:hint="eastAsia" w:cs="Times New Roman"/>
          <w:highlight w:val="none"/>
        </w:rPr>
        <w:t>7</w:t>
      </w:r>
      <w:r>
        <w:rPr>
          <w:rFonts w:cs="Times New Roman"/>
          <w:highlight w:val="none"/>
        </w:rPr>
        <w:t>-</w:t>
      </w:r>
      <w:r>
        <w:rPr>
          <w:rFonts w:hint="eastAsia" w:cs="Times New Roman"/>
          <w:highlight w:val="none"/>
        </w:rPr>
        <w:t>5</w:t>
      </w:r>
      <w:r>
        <w:rPr>
          <w:rFonts w:hint="eastAsia" w:cs="Times New Roman"/>
          <w:highlight w:val="none"/>
          <w:lang w:val="en-US" w:eastAsia="zh-CN"/>
        </w:rPr>
        <w:t xml:space="preserve"> </w:t>
      </w:r>
      <w:r>
        <w:rPr>
          <w:rFonts w:cs="Times New Roman"/>
          <w:highlight w:val="none"/>
        </w:rPr>
        <w:t>项目地下水环境评价等级判定表</w:t>
      </w:r>
    </w:p>
    <w:tbl>
      <w:tblPr>
        <w:tblStyle w:val="24"/>
        <w:tblW w:w="82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07"/>
        <w:gridCol w:w="2144"/>
        <w:gridCol w:w="1943"/>
        <w:gridCol w:w="19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single" w:color="000000" w:sz="4" w:space="0"/>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项目类别</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环境敏感程度</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III类项目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较敏感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7F7F7F" w:themeFill="text1" w:themeFillTint="7F"/>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bl>
    <w:p>
      <w:pPr>
        <w:numPr>
          <w:ilvl w:val="0"/>
          <w:numId w:val="4"/>
        </w:numPr>
        <w:ind w:firstLine="480"/>
        <w:rPr>
          <w:highlight w:val="none"/>
        </w:rPr>
      </w:pPr>
      <w:r>
        <w:rPr>
          <w:rFonts w:hint="eastAsia"/>
          <w:highlight w:val="none"/>
        </w:rPr>
        <w:t>评价范围</w:t>
      </w:r>
    </w:p>
    <w:p>
      <w:pPr>
        <w:ind w:firstLine="480"/>
        <w:contextualSpacing/>
        <w:rPr>
          <w:rFonts w:cs="Times New Roman"/>
          <w:highlight w:val="none"/>
        </w:rPr>
      </w:pPr>
      <w:r>
        <w:rPr>
          <w:rFonts w:hint="eastAsia" w:cs="Times New Roman"/>
          <w:highlight w:val="none"/>
        </w:rPr>
        <w:t>根据</w:t>
      </w:r>
      <w:r>
        <w:rPr>
          <w:rFonts w:cs="Times New Roman"/>
          <w:highlight w:val="none"/>
        </w:rPr>
        <w:t>《环境影响评价技术导则地下水环境》</w:t>
      </w:r>
      <w:r>
        <w:rPr>
          <w:rFonts w:hint="eastAsia" w:cs="Times New Roman"/>
          <w:highlight w:val="none"/>
        </w:rPr>
        <w:t>（HJ610-2016）8.2.2.1节规定“建设项目（除线性工程外）地下水环境影响现状调查评价范围可采用公式计算法、查表法和自定义法确定。当建设项目所在地水文地质条件相对简单，且所掌握的资料能够满足公式计算法的要求时，应采用公式计算法确定；当不满足公式计算法的要求时，可采用查表法确定，当计算或查表法超出所处水文地质单元边界时，应以所处水文地质单元边界为宜”。</w:t>
      </w:r>
    </w:p>
    <w:p>
      <w:pPr>
        <w:ind w:firstLine="480"/>
        <w:contextualSpacing/>
        <w:rPr>
          <w:rFonts w:cs="Times New Roman"/>
          <w:highlight w:val="none"/>
        </w:rPr>
      </w:pPr>
      <w:r>
        <w:rPr>
          <w:rFonts w:hint="eastAsia" w:cs="Times New Roman"/>
          <w:highlight w:val="none"/>
        </w:rPr>
        <w:t>本项目所掌握的资料不能满足公式计算法的要求，不宜采用公式计算法，本项目采用查表法确定地下水调查评价范围，故本项目地下水调查范围确定如下：</w:t>
      </w:r>
    </w:p>
    <w:p>
      <w:pPr>
        <w:ind w:firstLine="480"/>
        <w:contextualSpacing/>
        <w:rPr>
          <w:rFonts w:cs="Times New Roman"/>
          <w:highlight w:val="none"/>
        </w:rPr>
      </w:pPr>
      <w:r>
        <w:rPr>
          <w:rFonts w:hint="eastAsia" w:cs="Times New Roman"/>
          <w:highlight w:val="none"/>
        </w:rPr>
        <w:t>项目所在区域≤6km</w:t>
      </w:r>
      <w:r>
        <w:rPr>
          <w:rFonts w:hint="eastAsia" w:cs="Times New Roman"/>
          <w:highlight w:val="none"/>
          <w:vertAlign w:val="superscript"/>
        </w:rPr>
        <w:t>2</w:t>
      </w:r>
      <w:r>
        <w:rPr>
          <w:rFonts w:hint="eastAsia" w:cs="Times New Roman"/>
          <w:highlight w:val="none"/>
        </w:rPr>
        <w:t>的范围。</w:t>
      </w:r>
    </w:p>
    <w:p>
      <w:pPr>
        <w:pStyle w:val="7"/>
        <w:spacing w:before="66"/>
        <w:ind w:firstLine="482"/>
        <w:rPr>
          <w:highlight w:val="none"/>
        </w:rPr>
      </w:pPr>
      <w:r>
        <w:rPr>
          <w:highlight w:val="none"/>
        </w:rPr>
        <w:t>1.</w:t>
      </w:r>
      <w:r>
        <w:rPr>
          <w:rFonts w:hint="eastAsia"/>
          <w:highlight w:val="none"/>
        </w:rPr>
        <w:t>7.</w:t>
      </w:r>
      <w:r>
        <w:rPr>
          <w:highlight w:val="none"/>
        </w:rPr>
        <w:t>4声环境</w:t>
      </w:r>
      <w:r>
        <w:rPr>
          <w:rFonts w:hint="eastAsia"/>
          <w:highlight w:val="none"/>
        </w:rPr>
        <w:t xml:space="preserve">   </w:t>
      </w:r>
    </w:p>
    <w:p>
      <w:pPr>
        <w:ind w:firstLine="480"/>
        <w:rPr>
          <w:rFonts w:cs="Times New Roman"/>
          <w:szCs w:val="18"/>
          <w:highlight w:val="none"/>
        </w:rPr>
      </w:pPr>
      <w:r>
        <w:rPr>
          <w:rFonts w:hint="eastAsia" w:cs="Times New Roman"/>
          <w:szCs w:val="18"/>
          <w:highlight w:val="none"/>
        </w:rPr>
        <w:t>（1）评价等级</w:t>
      </w:r>
    </w:p>
    <w:p>
      <w:pPr>
        <w:ind w:firstLine="480"/>
        <w:rPr>
          <w:rFonts w:cs="Times New Roman"/>
          <w:szCs w:val="18"/>
          <w:highlight w:val="none"/>
        </w:rPr>
      </w:pPr>
      <w:r>
        <w:rPr>
          <w:rFonts w:cs="Times New Roman"/>
          <w:szCs w:val="18"/>
          <w:highlight w:val="none"/>
        </w:rPr>
        <w:t>评价范围内敏感目标噪声级增高量在</w:t>
      </w:r>
      <w:r>
        <w:rPr>
          <w:rFonts w:hint="eastAsia" w:ascii="宋体" w:hAnsi="宋体" w:eastAsia="宋体" w:cs="宋体"/>
          <w:szCs w:val="18"/>
          <w:highlight w:val="none"/>
        </w:rPr>
        <w:t>&lt;</w:t>
      </w:r>
      <w:r>
        <w:rPr>
          <w:rFonts w:cs="Times New Roman"/>
          <w:szCs w:val="18"/>
          <w:highlight w:val="none"/>
        </w:rPr>
        <w:t>3dB</w:t>
      </w:r>
      <w:r>
        <w:rPr>
          <w:rFonts w:hint="eastAsia" w:asciiTheme="minorEastAsia" w:hAnsiTheme="minorEastAsia" w:eastAsiaTheme="minorEastAsia" w:cstheme="minorEastAsia"/>
          <w:szCs w:val="18"/>
          <w:highlight w:val="none"/>
          <w:lang w:eastAsia="zh-CN"/>
        </w:rPr>
        <w:t>（</w:t>
      </w:r>
      <w:r>
        <w:rPr>
          <w:rFonts w:hint="default" w:ascii="Times New Roman" w:hAnsi="Times New Roman" w:cs="Times New Roman" w:eastAsiaTheme="minorEastAsia"/>
          <w:szCs w:val="18"/>
          <w:highlight w:val="none"/>
          <w:lang w:val="en-US" w:eastAsia="zh-CN"/>
        </w:rPr>
        <w:t>A</w:t>
      </w:r>
      <w:r>
        <w:rPr>
          <w:rFonts w:hint="eastAsia" w:asciiTheme="minorEastAsia" w:hAnsiTheme="minorEastAsia" w:eastAsiaTheme="minorEastAsia" w:cstheme="minorEastAsia"/>
          <w:szCs w:val="18"/>
          <w:highlight w:val="none"/>
          <w:lang w:eastAsia="zh-CN"/>
        </w:rPr>
        <w:t>）</w:t>
      </w:r>
      <w:r>
        <w:rPr>
          <w:rFonts w:hint="eastAsia" w:cs="Times New Roman"/>
          <w:szCs w:val="18"/>
          <w:highlight w:val="none"/>
          <w:lang w:eastAsia="zh-CN"/>
        </w:rPr>
        <w:t>，</w:t>
      </w:r>
      <w:r>
        <w:rPr>
          <w:rFonts w:cs="Times New Roman"/>
          <w:szCs w:val="18"/>
          <w:highlight w:val="none"/>
        </w:rPr>
        <w:t>项目位于声环境功能</w:t>
      </w:r>
      <w:r>
        <w:rPr>
          <w:rFonts w:hint="eastAsia" w:cs="Times New Roman"/>
          <w:szCs w:val="18"/>
          <w:highlight w:val="none"/>
          <w:lang w:val="en-US" w:eastAsia="zh-CN"/>
        </w:rPr>
        <w:t>2</w:t>
      </w:r>
      <w:r>
        <w:rPr>
          <w:rFonts w:cs="Times New Roman"/>
          <w:szCs w:val="18"/>
          <w:highlight w:val="none"/>
        </w:rPr>
        <w:t>类区，根据《环境影响评价技术导则</w:t>
      </w:r>
      <w:r>
        <w:rPr>
          <w:rFonts w:hint="eastAsia" w:cs="Times New Roman"/>
          <w:szCs w:val="18"/>
          <w:highlight w:val="none"/>
        </w:rPr>
        <w:t>—</w:t>
      </w:r>
      <w:r>
        <w:rPr>
          <w:rFonts w:cs="Times New Roman"/>
          <w:szCs w:val="18"/>
          <w:highlight w:val="none"/>
        </w:rPr>
        <w:t>声环境》（HJ2.4－2009），声环境评价工作等级</w:t>
      </w:r>
      <w:r>
        <w:rPr>
          <w:rFonts w:hint="eastAsia" w:cs="Times New Roman"/>
          <w:szCs w:val="18"/>
          <w:highlight w:val="none"/>
          <w:lang w:eastAsia="zh-CN"/>
        </w:rPr>
        <w:t>二</w:t>
      </w:r>
      <w:r>
        <w:rPr>
          <w:rFonts w:cs="Times New Roman"/>
          <w:szCs w:val="18"/>
          <w:highlight w:val="none"/>
        </w:rPr>
        <w:t>级。</w:t>
      </w:r>
    </w:p>
    <w:p>
      <w:pPr>
        <w:ind w:firstLine="480"/>
        <w:rPr>
          <w:rFonts w:cs="Times New Roman"/>
          <w:szCs w:val="18"/>
          <w:highlight w:val="none"/>
        </w:rPr>
      </w:pPr>
      <w:r>
        <w:rPr>
          <w:rFonts w:hint="eastAsia" w:cs="Times New Roman"/>
          <w:szCs w:val="18"/>
          <w:highlight w:val="none"/>
        </w:rPr>
        <w:t>（2）评价范围</w:t>
      </w:r>
    </w:p>
    <w:p>
      <w:pPr>
        <w:ind w:firstLine="480"/>
        <w:rPr>
          <w:rFonts w:hint="eastAsia" w:cs="Times New Roman"/>
          <w:szCs w:val="18"/>
          <w:highlight w:val="none"/>
        </w:rPr>
      </w:pPr>
      <w:r>
        <w:rPr>
          <w:rFonts w:hint="eastAsia" w:cs="Times New Roman"/>
          <w:szCs w:val="18"/>
          <w:highlight w:val="none"/>
        </w:rPr>
        <w:t>本项目声环境评价范围为厂界</w:t>
      </w:r>
      <w:r>
        <w:rPr>
          <w:rFonts w:cs="Times New Roman"/>
          <w:szCs w:val="18"/>
          <w:highlight w:val="none"/>
        </w:rPr>
        <w:t>200m范围</w:t>
      </w:r>
      <w:r>
        <w:rPr>
          <w:rFonts w:hint="eastAsia" w:cs="Times New Roman"/>
          <w:szCs w:val="18"/>
          <w:highlight w:val="none"/>
        </w:rPr>
        <w:t>内区域。</w:t>
      </w:r>
    </w:p>
    <w:p>
      <w:pPr>
        <w:pStyle w:val="7"/>
        <w:spacing w:before="66"/>
        <w:ind w:firstLine="482"/>
        <w:rPr>
          <w:highlight w:val="none"/>
        </w:rPr>
      </w:pPr>
      <w:r>
        <w:rPr>
          <w:highlight w:val="none"/>
        </w:rPr>
        <w:t>1.</w:t>
      </w:r>
      <w:r>
        <w:rPr>
          <w:rFonts w:hint="eastAsia"/>
          <w:highlight w:val="none"/>
        </w:rPr>
        <w:t>7.</w:t>
      </w:r>
      <w:r>
        <w:rPr>
          <w:rFonts w:hint="eastAsia"/>
          <w:highlight w:val="none"/>
          <w:lang w:val="en-US" w:eastAsia="zh-CN"/>
        </w:rPr>
        <w:t>5</w:t>
      </w:r>
      <w:r>
        <w:rPr>
          <w:rFonts w:hint="eastAsia"/>
          <w:highlight w:val="none"/>
        </w:rPr>
        <w:t>土壤</w:t>
      </w:r>
      <w:r>
        <w:rPr>
          <w:highlight w:val="none"/>
        </w:rPr>
        <w:t>环境</w:t>
      </w:r>
      <w:r>
        <w:rPr>
          <w:rFonts w:hint="eastAsia"/>
          <w:highlight w:val="none"/>
        </w:rPr>
        <w:t xml:space="preserve">   </w:t>
      </w:r>
    </w:p>
    <w:p>
      <w:pPr>
        <w:ind w:firstLine="480"/>
        <w:rPr>
          <w:rFonts w:cs="Times New Roman"/>
          <w:szCs w:val="18"/>
          <w:highlight w:val="none"/>
        </w:rPr>
      </w:pPr>
      <w:r>
        <w:rPr>
          <w:rFonts w:hint="eastAsia" w:cs="Times New Roman"/>
          <w:szCs w:val="18"/>
          <w:highlight w:val="none"/>
        </w:rPr>
        <w:t>（1）评价等级</w:t>
      </w:r>
    </w:p>
    <w:p>
      <w:pPr>
        <w:ind w:firstLine="480"/>
        <w:rPr>
          <w:rFonts w:hint="eastAsia" w:eastAsia="宋体" w:cs="Times New Roman"/>
          <w:szCs w:val="18"/>
          <w:highlight w:val="none"/>
          <w:lang w:eastAsia="zh-CN"/>
        </w:rPr>
      </w:pPr>
      <w:r>
        <w:rPr>
          <w:rFonts w:cs="Times New Roman"/>
          <w:szCs w:val="18"/>
          <w:highlight w:val="none"/>
        </w:rPr>
        <w:t>本项目位于驻马店市</w:t>
      </w:r>
      <w:r>
        <w:rPr>
          <w:rFonts w:hint="eastAsia" w:cs="Times New Roman"/>
          <w:szCs w:val="18"/>
          <w:highlight w:val="none"/>
        </w:rPr>
        <w:t>正阳县铜钟镇崔塘村</w:t>
      </w:r>
      <w:r>
        <w:rPr>
          <w:rFonts w:cs="Times New Roman"/>
          <w:szCs w:val="18"/>
          <w:highlight w:val="none"/>
        </w:rPr>
        <w:t>，项目属于污染影响型项目，项目所在区土壤环境敏感程度为敏感，本项目占地面积</w:t>
      </w:r>
      <w:r>
        <w:rPr>
          <w:rFonts w:hint="eastAsia" w:cs="Times New Roman"/>
          <w:szCs w:val="18"/>
          <w:highlight w:val="none"/>
          <w:lang w:val="en-US" w:eastAsia="zh-CN"/>
        </w:rPr>
        <w:t>362</w:t>
      </w:r>
      <w:r>
        <w:rPr>
          <w:rFonts w:hint="eastAsia" w:cs="Times New Roman"/>
          <w:szCs w:val="18"/>
          <w:highlight w:val="none"/>
        </w:rPr>
        <w:t>亩，占地规模为中型</w:t>
      </w:r>
      <w:r>
        <w:rPr>
          <w:rFonts w:hint="eastAsia" w:cs="Times New Roman"/>
          <w:szCs w:val="18"/>
          <w:highlight w:val="none"/>
          <w:lang w:eastAsia="zh-CN"/>
        </w:rPr>
        <w:t>。</w:t>
      </w:r>
      <w:r>
        <w:rPr>
          <w:rFonts w:cs="Times New Roman"/>
          <w:szCs w:val="18"/>
          <w:highlight w:val="none"/>
        </w:rPr>
        <w:t>根据《环境影响评价技术导则 土壤环境》（HJ964-2018），项目属于附录A中农林牧渔业中的年出栏生猪</w:t>
      </w:r>
      <w:r>
        <w:rPr>
          <w:rFonts w:hint="eastAsia" w:cs="Times New Roman"/>
          <w:szCs w:val="18"/>
          <w:highlight w:val="none"/>
        </w:rPr>
        <w:t>15万头</w:t>
      </w:r>
      <w:r>
        <w:rPr>
          <w:rFonts w:cs="Times New Roman"/>
          <w:szCs w:val="18"/>
          <w:highlight w:val="none"/>
        </w:rPr>
        <w:t>及以上的畜禽养殖场或养殖小区项目，为附录中规定的土壤评价II类项目。</w:t>
      </w:r>
      <w:r>
        <w:rPr>
          <w:rFonts w:hint="eastAsia" w:cs="Times New Roman"/>
          <w:szCs w:val="18"/>
          <w:highlight w:val="none"/>
          <w:lang w:eastAsia="zh-CN"/>
        </w:rPr>
        <w:t>项目周边存在居民区等土壤环境敏感目标。综合分析</w:t>
      </w:r>
      <w:r>
        <w:rPr>
          <w:rFonts w:hint="eastAsia" w:cs="Times New Roman"/>
          <w:szCs w:val="18"/>
          <w:highlight w:val="none"/>
        </w:rPr>
        <w:t>本项目土壤环境影响评价等级为二级</w:t>
      </w:r>
      <w:r>
        <w:rPr>
          <w:rFonts w:hint="eastAsia" w:cs="Times New Roman"/>
          <w:szCs w:val="18"/>
          <w:highlight w:val="none"/>
          <w:lang w:eastAsia="zh-CN"/>
        </w:rPr>
        <w:t>。</w:t>
      </w:r>
    </w:p>
    <w:p>
      <w:pPr>
        <w:ind w:firstLine="480"/>
        <w:rPr>
          <w:rFonts w:cs="Times New Roman"/>
          <w:szCs w:val="18"/>
          <w:highlight w:val="none"/>
        </w:rPr>
      </w:pPr>
      <w:r>
        <w:rPr>
          <w:rFonts w:hint="eastAsia" w:cs="Times New Roman"/>
          <w:szCs w:val="18"/>
          <w:highlight w:val="none"/>
        </w:rPr>
        <w:t>（2）评价范围</w:t>
      </w:r>
    </w:p>
    <w:p>
      <w:pPr>
        <w:ind w:firstLine="480"/>
        <w:rPr>
          <w:rFonts w:hint="eastAsia" w:cs="Times New Roman"/>
          <w:szCs w:val="18"/>
          <w:highlight w:val="none"/>
        </w:rPr>
      </w:pPr>
      <w:r>
        <w:rPr>
          <w:rFonts w:hint="eastAsia" w:cs="Times New Roman"/>
          <w:szCs w:val="18"/>
          <w:highlight w:val="none"/>
        </w:rPr>
        <w:t>本项目</w:t>
      </w:r>
      <w:r>
        <w:rPr>
          <w:rFonts w:hint="eastAsia" w:cs="Times New Roman"/>
          <w:szCs w:val="18"/>
          <w:highlight w:val="none"/>
          <w:lang w:eastAsia="zh-CN"/>
        </w:rPr>
        <w:t>土壤</w:t>
      </w:r>
      <w:r>
        <w:rPr>
          <w:rFonts w:hint="eastAsia" w:cs="Times New Roman"/>
          <w:szCs w:val="18"/>
          <w:highlight w:val="none"/>
        </w:rPr>
        <w:t>环境评价范围为项目区及消纳地外延伸200m区域。</w:t>
      </w:r>
    </w:p>
    <w:p>
      <w:pPr>
        <w:pStyle w:val="7"/>
        <w:spacing w:before="66"/>
        <w:ind w:firstLine="482"/>
        <w:rPr>
          <w:highlight w:val="none"/>
        </w:rPr>
      </w:pPr>
      <w:r>
        <w:rPr>
          <w:highlight w:val="none"/>
        </w:rPr>
        <w:t>1.</w:t>
      </w:r>
      <w:r>
        <w:rPr>
          <w:rFonts w:hint="eastAsia"/>
          <w:highlight w:val="none"/>
        </w:rPr>
        <w:t>7.6环境风险</w:t>
      </w:r>
    </w:p>
    <w:p>
      <w:pPr>
        <w:numPr>
          <w:ilvl w:val="0"/>
          <w:numId w:val="5"/>
        </w:numPr>
        <w:ind w:firstLine="480"/>
        <w:rPr>
          <w:rFonts w:cs="Times New Roman"/>
          <w:highlight w:val="none"/>
        </w:rPr>
      </w:pPr>
      <w:r>
        <w:rPr>
          <w:rFonts w:hint="eastAsia" w:cs="Times New Roman"/>
          <w:highlight w:val="none"/>
        </w:rPr>
        <w:t>评价等级</w:t>
      </w:r>
    </w:p>
    <w:p>
      <w:pPr>
        <w:ind w:firstLine="480"/>
        <w:contextualSpacing/>
        <w:rPr>
          <w:rFonts w:cs="Times New Roman"/>
          <w:highlight w:val="none"/>
        </w:rPr>
      </w:pPr>
      <w:r>
        <w:rPr>
          <w:rFonts w:hint="eastAsia" w:cs="Times New Roman"/>
          <w:highlight w:val="none"/>
        </w:rPr>
        <w:t>根据《建设项目环境风险评价技术导则》（HJ/T169－2018）附录B及附录C，本项目大气环境风险潜势为Ⅱ；地表水环境风险潜势为III；地下水环境风险潜势为III。根据《建设项目环境风险评价技术导则》（HJ169-2018）评价工作等级划分表确定本项目大气环境风险评价等级为三级；地表水环境风险评价等级为</w:t>
      </w:r>
      <w:r>
        <w:rPr>
          <w:rFonts w:hint="eastAsia" w:cs="Times New Roman"/>
          <w:highlight w:val="none"/>
          <w:lang w:eastAsia="zh-CN"/>
        </w:rPr>
        <w:t>二</w:t>
      </w:r>
      <w:r>
        <w:rPr>
          <w:rFonts w:hint="eastAsia" w:cs="Times New Roman"/>
          <w:highlight w:val="none"/>
        </w:rPr>
        <w:t>级；地下水环境风险评价等级为二级。本项目环境风险评价等级为二级评价。</w:t>
      </w:r>
    </w:p>
    <w:p>
      <w:pPr>
        <w:numPr>
          <w:ilvl w:val="0"/>
          <w:numId w:val="5"/>
        </w:numPr>
        <w:ind w:firstLine="480"/>
        <w:contextualSpacing/>
        <w:rPr>
          <w:rFonts w:cs="Times New Roman"/>
          <w:highlight w:val="none"/>
        </w:rPr>
      </w:pPr>
      <w:r>
        <w:rPr>
          <w:rFonts w:hint="eastAsia" w:cs="Times New Roman"/>
          <w:highlight w:val="none"/>
        </w:rPr>
        <w:t>评价范围</w:t>
      </w:r>
    </w:p>
    <w:p>
      <w:pPr>
        <w:ind w:firstLine="480"/>
        <w:rPr>
          <w:rFonts w:hint="eastAsia"/>
          <w:highlight w:val="none"/>
        </w:rPr>
      </w:pPr>
      <w:r>
        <w:rPr>
          <w:rFonts w:hint="eastAsia" w:cs="Times New Roman"/>
          <w:highlight w:val="none"/>
        </w:rPr>
        <w:t>根据本项目实际情况，环境风险评价范围为项目收集池及LNG储罐为中心的半径5km圆形合围的区域</w:t>
      </w:r>
      <w:r>
        <w:rPr>
          <w:rFonts w:hint="eastAsia"/>
          <w:highlight w:val="none"/>
        </w:rPr>
        <w:t>。</w:t>
      </w:r>
    </w:p>
    <w:p>
      <w:pPr>
        <w:pStyle w:val="7"/>
        <w:spacing w:before="66"/>
        <w:ind w:firstLine="482"/>
        <w:rPr>
          <w:rFonts w:hint="eastAsia"/>
          <w:highlight w:val="none"/>
        </w:rPr>
      </w:pPr>
      <w:r>
        <w:rPr>
          <w:highlight w:val="none"/>
        </w:rPr>
        <w:t>1.</w:t>
      </w:r>
      <w:r>
        <w:rPr>
          <w:rFonts w:hint="eastAsia"/>
          <w:highlight w:val="none"/>
        </w:rPr>
        <w:t>7.</w:t>
      </w:r>
      <w:r>
        <w:rPr>
          <w:rFonts w:hint="eastAsia"/>
          <w:highlight w:val="none"/>
          <w:lang w:val="en-US" w:eastAsia="zh-CN"/>
        </w:rPr>
        <w:t>7</w:t>
      </w:r>
      <w:r>
        <w:rPr>
          <w:rFonts w:hint="eastAsia"/>
          <w:highlight w:val="none"/>
        </w:rPr>
        <w:t>生态环境</w:t>
      </w:r>
    </w:p>
    <w:p>
      <w:pPr>
        <w:spacing w:line="520" w:lineRule="exact"/>
        <w:ind w:firstLine="480" w:firstLineChars="200"/>
        <w:rPr>
          <w:rFonts w:ascii="Times New Roman" w:hAnsi="Times New Roman"/>
          <w:sz w:val="24"/>
          <w:szCs w:val="24"/>
          <w:highlight w:val="none"/>
        </w:rPr>
      </w:pPr>
      <w:r>
        <w:rPr>
          <w:rFonts w:ascii="Times New Roman" w:hAnsi="Times New Roman"/>
          <w:sz w:val="24"/>
          <w:szCs w:val="24"/>
          <w:highlight w:val="none"/>
        </w:rPr>
        <w:t>场址所在地为一般农田，</w:t>
      </w:r>
      <w:r>
        <w:rPr>
          <w:rFonts w:ascii="Times New Roman" w:hAnsi="Times New Roman"/>
          <w:sz w:val="24"/>
          <w:highlight w:val="none"/>
        </w:rPr>
        <w:t>不涉及基本农田。</w:t>
      </w:r>
      <w:r>
        <w:rPr>
          <w:rFonts w:ascii="Times New Roman" w:hAnsi="Times New Roman"/>
          <w:sz w:val="24"/>
          <w:szCs w:val="24"/>
          <w:highlight w:val="none"/>
        </w:rPr>
        <w:t>不属于生态敏感区，项目占地</w:t>
      </w:r>
      <w:r>
        <w:rPr>
          <w:rFonts w:hint="eastAsia" w:ascii="Times New Roman" w:hAnsi="Times New Roman"/>
          <w:sz w:val="24"/>
          <w:szCs w:val="24"/>
          <w:highlight w:val="none"/>
          <w:lang w:val="en-US" w:eastAsia="zh-CN"/>
        </w:rPr>
        <w:t>362</w:t>
      </w:r>
      <w:r>
        <w:rPr>
          <w:rFonts w:ascii="Times New Roman" w:hAnsi="Times New Roman"/>
          <w:sz w:val="24"/>
          <w:szCs w:val="24"/>
          <w:highlight w:val="none"/>
        </w:rPr>
        <w:t>亩，根据《环境影响评价技术导则—生态影响》（HJ19-2011），结合项目特点及现场调查，区域内无特殊生态敏感区和重要生态敏感区，因此生态影响评价工作等级为三级，对区域生态环境的影响主要集中在施工期。</w:t>
      </w:r>
    </w:p>
    <w:p>
      <w:pPr>
        <w:pStyle w:val="22"/>
        <w:rPr>
          <w:rFonts w:cs="Times New Roman"/>
          <w:highlight w:val="none"/>
        </w:rPr>
      </w:pPr>
      <w:r>
        <w:rPr>
          <w:rFonts w:cs="Times New Roman"/>
          <w:highlight w:val="none"/>
        </w:rPr>
        <w:t>表1</w:t>
      </w:r>
      <w:r>
        <w:rPr>
          <w:rFonts w:hint="eastAsia" w:cs="Times New Roman"/>
          <w:highlight w:val="none"/>
          <w:lang w:val="en-US" w:eastAsia="zh-CN"/>
        </w:rPr>
        <w:t>.7</w:t>
      </w:r>
      <w:r>
        <w:rPr>
          <w:rFonts w:cs="Times New Roman"/>
          <w:highlight w:val="none"/>
        </w:rPr>
        <w:t>-</w:t>
      </w:r>
      <w:r>
        <w:rPr>
          <w:rFonts w:hint="eastAsia" w:cs="Times New Roman"/>
          <w:highlight w:val="none"/>
          <w:lang w:val="en-US" w:eastAsia="zh-CN"/>
        </w:rPr>
        <w:t>6</w:t>
      </w:r>
      <w:r>
        <w:rPr>
          <w:rFonts w:cs="Times New Roman"/>
          <w:highlight w:val="none"/>
        </w:rPr>
        <w:t xml:space="preserve"> </w:t>
      </w:r>
      <w:r>
        <w:rPr>
          <w:rFonts w:hint="eastAsia" w:cs="Times New Roman"/>
          <w:highlight w:val="none"/>
          <w:lang w:val="en-US" w:eastAsia="zh-CN"/>
        </w:rPr>
        <w:t xml:space="preserve"> </w:t>
      </w:r>
      <w:r>
        <w:rPr>
          <w:rFonts w:cs="Times New Roman"/>
          <w:highlight w:val="none"/>
        </w:rPr>
        <w:t>生态影响评价工作等级划分表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2101"/>
        <w:gridCol w:w="2923"/>
        <w:gridCol w:w="1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restart"/>
            <w:noWrap w:val="0"/>
            <w:vAlign w:val="center"/>
          </w:tcPr>
          <w:p>
            <w:pPr>
              <w:pStyle w:val="42"/>
              <w:ind w:left="0" w:leftChars="0" w:firstLine="0" w:firstLineChars="0"/>
              <w:jc w:val="center"/>
              <w:rPr>
                <w:kern w:val="2"/>
                <w:highlight w:val="none"/>
              </w:rPr>
            </w:pPr>
            <w:r>
              <w:rPr>
                <w:kern w:val="2"/>
                <w:highlight w:val="none"/>
              </w:rPr>
              <w:t>影响区域生态敏感性</w:t>
            </w:r>
          </w:p>
        </w:tc>
        <w:tc>
          <w:tcPr>
            <w:tcW w:w="0" w:type="auto"/>
            <w:gridSpan w:val="3"/>
            <w:noWrap w:val="0"/>
            <w:vAlign w:val="center"/>
          </w:tcPr>
          <w:p>
            <w:pPr>
              <w:pStyle w:val="42"/>
              <w:ind w:left="0" w:leftChars="0" w:firstLine="0" w:firstLineChars="0"/>
              <w:jc w:val="center"/>
              <w:rPr>
                <w:kern w:val="2"/>
                <w:highlight w:val="none"/>
              </w:rPr>
            </w:pPr>
            <w:r>
              <w:rPr>
                <w:kern w:val="2"/>
                <w:highlight w:val="none"/>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continue"/>
            <w:noWrap w:val="0"/>
            <w:vAlign w:val="center"/>
          </w:tcPr>
          <w:p>
            <w:pPr>
              <w:pStyle w:val="42"/>
              <w:ind w:firstLine="420"/>
              <w:jc w:val="center"/>
              <w:rPr>
                <w:kern w:val="2"/>
                <w:highlight w:val="none"/>
              </w:rPr>
            </w:pPr>
          </w:p>
        </w:tc>
        <w:tc>
          <w:tcPr>
            <w:tcW w:w="0" w:type="auto"/>
            <w:noWrap w:val="0"/>
            <w:vAlign w:val="center"/>
          </w:tcPr>
          <w:p>
            <w:pPr>
              <w:pStyle w:val="42"/>
              <w:ind w:left="0" w:leftChars="0" w:firstLine="0" w:firstLineChars="0"/>
              <w:jc w:val="center"/>
              <w:rPr>
                <w:kern w:val="2"/>
                <w:highlight w:val="none"/>
              </w:rPr>
            </w:pPr>
            <w:r>
              <w:rPr>
                <w:kern w:val="2"/>
                <w:highlight w:val="none"/>
              </w:rPr>
              <w:t>面积≥20km</w:t>
            </w:r>
            <w:r>
              <w:rPr>
                <w:kern w:val="2"/>
                <w:highlight w:val="none"/>
                <w:vertAlign w:val="superscript"/>
              </w:rPr>
              <w:t>2</w:t>
            </w:r>
            <w:r>
              <w:rPr>
                <w:kern w:val="2"/>
                <w:highlight w:val="none"/>
              </w:rPr>
              <w:t>或长度≥100km</w:t>
            </w:r>
          </w:p>
        </w:tc>
        <w:tc>
          <w:tcPr>
            <w:tcW w:w="0" w:type="auto"/>
            <w:noWrap w:val="0"/>
            <w:vAlign w:val="center"/>
          </w:tcPr>
          <w:p>
            <w:pPr>
              <w:pStyle w:val="42"/>
              <w:ind w:left="0" w:leftChars="0" w:firstLine="0" w:firstLineChars="0"/>
              <w:jc w:val="center"/>
              <w:rPr>
                <w:kern w:val="2"/>
                <w:highlight w:val="none"/>
              </w:rPr>
            </w:pPr>
            <w:r>
              <w:rPr>
                <w:kern w:val="2"/>
                <w:highlight w:val="none"/>
              </w:rPr>
              <w:t>面积2km</w:t>
            </w:r>
            <w:r>
              <w:rPr>
                <w:kern w:val="2"/>
                <w:highlight w:val="none"/>
                <w:vertAlign w:val="superscript"/>
              </w:rPr>
              <w:t>2</w:t>
            </w:r>
            <w:r>
              <w:rPr>
                <w:kern w:val="2"/>
                <w:highlight w:val="none"/>
              </w:rPr>
              <w:t>～20km</w:t>
            </w:r>
            <w:r>
              <w:rPr>
                <w:kern w:val="2"/>
                <w:highlight w:val="none"/>
                <w:vertAlign w:val="superscript"/>
              </w:rPr>
              <w:t>2</w:t>
            </w:r>
            <w:r>
              <w:rPr>
                <w:kern w:val="2"/>
                <w:highlight w:val="none"/>
              </w:rPr>
              <w:t>或长度50km～100km</w:t>
            </w:r>
          </w:p>
        </w:tc>
        <w:tc>
          <w:tcPr>
            <w:tcW w:w="0" w:type="auto"/>
            <w:noWrap w:val="0"/>
            <w:vAlign w:val="center"/>
          </w:tcPr>
          <w:p>
            <w:pPr>
              <w:pStyle w:val="42"/>
              <w:ind w:left="0" w:leftChars="0" w:firstLine="0" w:firstLineChars="0"/>
              <w:jc w:val="center"/>
              <w:rPr>
                <w:kern w:val="2"/>
                <w:highlight w:val="none"/>
              </w:rPr>
            </w:pPr>
            <w:r>
              <w:rPr>
                <w:kern w:val="2"/>
                <w:highlight w:val="none"/>
              </w:rPr>
              <w:t>面积≤2km</w:t>
            </w:r>
            <w:r>
              <w:rPr>
                <w:kern w:val="2"/>
                <w:highlight w:val="none"/>
                <w:vertAlign w:val="superscript"/>
              </w:rPr>
              <w:t>2</w:t>
            </w:r>
            <w:r>
              <w:rPr>
                <w:kern w:val="2"/>
                <w:highlight w:val="none"/>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pStyle w:val="42"/>
              <w:ind w:left="0" w:leftChars="0" w:firstLine="0" w:firstLineChars="0"/>
              <w:jc w:val="center"/>
              <w:rPr>
                <w:kern w:val="2"/>
                <w:highlight w:val="none"/>
              </w:rPr>
            </w:pPr>
            <w:r>
              <w:rPr>
                <w:kern w:val="2"/>
                <w:highlight w:val="none"/>
              </w:rPr>
              <w:t>特殊生态敏感区</w:t>
            </w:r>
          </w:p>
        </w:tc>
        <w:tc>
          <w:tcPr>
            <w:tcW w:w="0" w:type="auto"/>
            <w:noWrap w:val="0"/>
            <w:vAlign w:val="center"/>
          </w:tcPr>
          <w:p>
            <w:pPr>
              <w:pStyle w:val="42"/>
              <w:ind w:left="0" w:leftChars="0" w:firstLine="0" w:firstLineChars="0"/>
              <w:jc w:val="center"/>
              <w:rPr>
                <w:kern w:val="2"/>
                <w:highlight w:val="none"/>
              </w:rPr>
            </w:pPr>
            <w:r>
              <w:rPr>
                <w:kern w:val="2"/>
                <w:highlight w:val="none"/>
              </w:rPr>
              <w:t>一级</w:t>
            </w:r>
          </w:p>
        </w:tc>
        <w:tc>
          <w:tcPr>
            <w:tcW w:w="0" w:type="auto"/>
            <w:noWrap w:val="0"/>
            <w:vAlign w:val="center"/>
          </w:tcPr>
          <w:p>
            <w:pPr>
              <w:pStyle w:val="42"/>
              <w:ind w:left="0" w:leftChars="0" w:firstLine="0" w:firstLineChars="0"/>
              <w:jc w:val="center"/>
              <w:rPr>
                <w:kern w:val="2"/>
                <w:highlight w:val="none"/>
              </w:rPr>
            </w:pPr>
            <w:r>
              <w:rPr>
                <w:kern w:val="2"/>
                <w:highlight w:val="none"/>
              </w:rPr>
              <w:t>一级</w:t>
            </w:r>
          </w:p>
        </w:tc>
        <w:tc>
          <w:tcPr>
            <w:tcW w:w="0" w:type="auto"/>
            <w:noWrap w:val="0"/>
            <w:vAlign w:val="center"/>
          </w:tcPr>
          <w:p>
            <w:pPr>
              <w:pStyle w:val="42"/>
              <w:ind w:left="0" w:leftChars="0" w:firstLine="0" w:firstLineChars="0"/>
              <w:jc w:val="center"/>
              <w:rPr>
                <w:kern w:val="2"/>
                <w:highlight w:val="none"/>
              </w:rPr>
            </w:pPr>
            <w:r>
              <w:rPr>
                <w:kern w:val="2"/>
                <w:highlight w:val="none"/>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pStyle w:val="42"/>
              <w:ind w:left="0" w:leftChars="0" w:firstLine="0" w:firstLineChars="0"/>
              <w:jc w:val="center"/>
              <w:rPr>
                <w:kern w:val="2"/>
                <w:highlight w:val="none"/>
              </w:rPr>
            </w:pPr>
            <w:r>
              <w:rPr>
                <w:kern w:val="2"/>
                <w:highlight w:val="none"/>
              </w:rPr>
              <w:t>重要生态敏感区</w:t>
            </w:r>
          </w:p>
        </w:tc>
        <w:tc>
          <w:tcPr>
            <w:tcW w:w="0" w:type="auto"/>
            <w:noWrap w:val="0"/>
            <w:vAlign w:val="center"/>
          </w:tcPr>
          <w:p>
            <w:pPr>
              <w:pStyle w:val="42"/>
              <w:ind w:left="0" w:leftChars="0" w:firstLine="0" w:firstLineChars="0"/>
              <w:jc w:val="center"/>
              <w:rPr>
                <w:kern w:val="2"/>
                <w:highlight w:val="none"/>
              </w:rPr>
            </w:pPr>
            <w:r>
              <w:rPr>
                <w:kern w:val="2"/>
                <w:highlight w:val="none"/>
              </w:rPr>
              <w:t>一级</w:t>
            </w:r>
          </w:p>
        </w:tc>
        <w:tc>
          <w:tcPr>
            <w:tcW w:w="0" w:type="auto"/>
            <w:noWrap w:val="0"/>
            <w:vAlign w:val="center"/>
          </w:tcPr>
          <w:p>
            <w:pPr>
              <w:pStyle w:val="42"/>
              <w:ind w:left="0" w:leftChars="0" w:firstLine="0" w:firstLineChars="0"/>
              <w:jc w:val="center"/>
              <w:rPr>
                <w:kern w:val="2"/>
                <w:highlight w:val="none"/>
              </w:rPr>
            </w:pPr>
            <w:r>
              <w:rPr>
                <w:kern w:val="2"/>
                <w:highlight w:val="none"/>
              </w:rPr>
              <w:t>二级</w:t>
            </w:r>
          </w:p>
        </w:tc>
        <w:tc>
          <w:tcPr>
            <w:tcW w:w="0" w:type="auto"/>
            <w:noWrap w:val="0"/>
            <w:vAlign w:val="center"/>
          </w:tcPr>
          <w:p>
            <w:pPr>
              <w:pStyle w:val="42"/>
              <w:ind w:left="0" w:leftChars="0" w:firstLine="0" w:firstLineChars="0"/>
              <w:jc w:val="center"/>
              <w:rPr>
                <w:kern w:val="2"/>
                <w:highlight w:val="none"/>
              </w:rPr>
            </w:pPr>
            <w:r>
              <w:rPr>
                <w:kern w:val="2"/>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shd w:val="clear" w:color="auto" w:fill="auto"/>
            <w:noWrap w:val="0"/>
            <w:vAlign w:val="center"/>
          </w:tcPr>
          <w:p>
            <w:pPr>
              <w:pStyle w:val="42"/>
              <w:ind w:left="0" w:leftChars="0" w:firstLine="0" w:firstLineChars="0"/>
              <w:jc w:val="center"/>
              <w:rPr>
                <w:kern w:val="2"/>
                <w:highlight w:val="none"/>
              </w:rPr>
            </w:pPr>
            <w:r>
              <w:rPr>
                <w:kern w:val="2"/>
                <w:highlight w:val="none"/>
              </w:rPr>
              <w:t>一般区域</w:t>
            </w:r>
          </w:p>
        </w:tc>
        <w:tc>
          <w:tcPr>
            <w:tcW w:w="0" w:type="auto"/>
            <w:shd w:val="clear" w:color="auto" w:fill="auto"/>
            <w:noWrap w:val="0"/>
            <w:vAlign w:val="center"/>
          </w:tcPr>
          <w:p>
            <w:pPr>
              <w:pStyle w:val="42"/>
              <w:ind w:left="0" w:leftChars="0" w:firstLine="0" w:firstLineChars="0"/>
              <w:jc w:val="center"/>
              <w:rPr>
                <w:kern w:val="2"/>
                <w:highlight w:val="none"/>
              </w:rPr>
            </w:pPr>
            <w:r>
              <w:rPr>
                <w:kern w:val="2"/>
                <w:highlight w:val="none"/>
              </w:rPr>
              <w:t>二级</w:t>
            </w:r>
          </w:p>
        </w:tc>
        <w:tc>
          <w:tcPr>
            <w:tcW w:w="0" w:type="auto"/>
            <w:shd w:val="clear" w:color="auto" w:fill="A5A5A5" w:themeFill="accent3"/>
            <w:noWrap w:val="0"/>
            <w:vAlign w:val="center"/>
          </w:tcPr>
          <w:p>
            <w:pPr>
              <w:pStyle w:val="42"/>
              <w:ind w:left="0" w:leftChars="0" w:firstLine="0" w:firstLineChars="0"/>
              <w:jc w:val="center"/>
              <w:rPr>
                <w:kern w:val="2"/>
                <w:highlight w:val="none"/>
              </w:rPr>
            </w:pPr>
            <w:r>
              <w:rPr>
                <w:kern w:val="2"/>
                <w:highlight w:val="none"/>
              </w:rPr>
              <w:t>三级</w:t>
            </w:r>
          </w:p>
        </w:tc>
        <w:tc>
          <w:tcPr>
            <w:tcW w:w="0" w:type="auto"/>
            <w:shd w:val="clear" w:color="auto" w:fill="auto"/>
            <w:noWrap w:val="0"/>
            <w:vAlign w:val="center"/>
          </w:tcPr>
          <w:p>
            <w:pPr>
              <w:pStyle w:val="42"/>
              <w:ind w:left="0" w:leftChars="0" w:firstLine="0" w:firstLineChars="0"/>
              <w:jc w:val="center"/>
              <w:rPr>
                <w:kern w:val="2"/>
                <w:highlight w:val="none"/>
              </w:rPr>
            </w:pPr>
            <w:r>
              <w:rPr>
                <w:kern w:val="2"/>
                <w:highlight w:val="none"/>
              </w:rPr>
              <w:t>三级</w:t>
            </w:r>
          </w:p>
        </w:tc>
      </w:tr>
    </w:tbl>
    <w:p>
      <w:pPr>
        <w:pStyle w:val="6"/>
        <w:spacing w:beforeLines="0"/>
        <w:rPr>
          <w:rFonts w:cs="Times New Roman"/>
          <w:highlight w:val="none"/>
        </w:rPr>
      </w:pPr>
      <w:bookmarkStart w:id="10" w:name="_Toc30670"/>
      <w:r>
        <w:rPr>
          <w:rFonts w:cs="Times New Roman"/>
          <w:highlight w:val="none"/>
        </w:rPr>
        <w:t>1.8环境保护目标</w:t>
      </w:r>
      <w:bookmarkEnd w:id="10"/>
    </w:p>
    <w:p>
      <w:pPr>
        <w:ind w:firstLine="480"/>
        <w:rPr>
          <w:rFonts w:cs="Times New Roman"/>
          <w:highlight w:val="none"/>
        </w:rPr>
      </w:pPr>
      <w:r>
        <w:rPr>
          <w:rFonts w:cs="Times New Roman"/>
          <w:highlight w:val="none"/>
        </w:rPr>
        <w:t>根据调查，</w:t>
      </w:r>
      <w:r>
        <w:rPr>
          <w:rFonts w:hint="eastAsia" w:cs="Times New Roman"/>
          <w:highlight w:val="none"/>
        </w:rPr>
        <w:t>项目所在地</w:t>
      </w:r>
      <w:r>
        <w:rPr>
          <w:rFonts w:cs="Times New Roman"/>
          <w:highlight w:val="none"/>
        </w:rPr>
        <w:t>范围内无重点保护文物和珍稀动植物。</w:t>
      </w:r>
    </w:p>
    <w:p>
      <w:pPr>
        <w:ind w:firstLine="480"/>
        <w:rPr>
          <w:rFonts w:cs="Times New Roman"/>
          <w:highlight w:val="none"/>
        </w:rPr>
      </w:pPr>
      <w:r>
        <w:rPr>
          <w:rFonts w:cs="Times New Roman"/>
          <w:highlight w:val="none"/>
        </w:rPr>
        <w:t>本评价根据工程特点和周围居民分布、污染特征、区域常年主导风向，确定本项目环境保护目标见表1.8-1。</w:t>
      </w:r>
    </w:p>
    <w:p>
      <w:pPr>
        <w:pStyle w:val="22"/>
        <w:rPr>
          <w:rFonts w:cs="Times New Roman"/>
          <w:highlight w:val="none"/>
        </w:rPr>
      </w:pPr>
      <w:r>
        <w:rPr>
          <w:rFonts w:cs="Times New Roman"/>
          <w:highlight w:val="none"/>
        </w:rPr>
        <w:t>表1.8-1</w:t>
      </w:r>
      <w:r>
        <w:rPr>
          <w:rFonts w:hint="eastAsia" w:cs="Times New Roman"/>
          <w:highlight w:val="none"/>
          <w:lang w:val="en-US" w:eastAsia="zh-CN"/>
        </w:rPr>
        <w:t xml:space="preserve"> </w:t>
      </w:r>
      <w:r>
        <w:rPr>
          <w:rFonts w:cs="Times New Roman"/>
          <w:highlight w:val="none"/>
        </w:rPr>
        <w:t>主要环境保护目标与敏感点</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06"/>
        <w:gridCol w:w="1185"/>
        <w:gridCol w:w="1095"/>
        <w:gridCol w:w="1410"/>
        <w:gridCol w:w="1290"/>
        <w:gridCol w:w="765"/>
        <w:gridCol w:w="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名称</w:t>
            </w:r>
          </w:p>
        </w:tc>
        <w:tc>
          <w:tcPr>
            <w:tcW w:w="1404" w:type="pct"/>
            <w:gridSpan w:val="2"/>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坐标</w:t>
            </w:r>
          </w:p>
        </w:tc>
        <w:tc>
          <w:tcPr>
            <w:tcW w:w="643" w:type="pct"/>
            <w:vMerge w:val="restart"/>
            <w:vAlign w:val="center"/>
          </w:tcPr>
          <w:p>
            <w:pPr>
              <w:pStyle w:val="42"/>
              <w:spacing w:line="240" w:lineRule="auto"/>
              <w:ind w:left="0" w:leftChars="0" w:firstLine="0" w:firstLineChars="0"/>
              <w:jc w:val="center"/>
              <w:rPr>
                <w:kern w:val="2"/>
                <w:highlight w:val="none"/>
              </w:rPr>
            </w:pPr>
            <w:r>
              <w:rPr>
                <w:kern w:val="2"/>
                <w:highlight w:val="none"/>
              </w:rPr>
              <w:t>保护</w:t>
            </w:r>
            <w:r>
              <w:rPr>
                <w:rFonts w:hint="eastAsia"/>
                <w:kern w:val="2"/>
                <w:highlight w:val="none"/>
              </w:rPr>
              <w:t>对象</w:t>
            </w:r>
          </w:p>
        </w:tc>
        <w:tc>
          <w:tcPr>
            <w:tcW w:w="828"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保护内容</w:t>
            </w:r>
          </w:p>
        </w:tc>
        <w:tc>
          <w:tcPr>
            <w:tcW w:w="757"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环境功能区</w:t>
            </w:r>
          </w:p>
        </w:tc>
        <w:tc>
          <w:tcPr>
            <w:tcW w:w="449" w:type="pct"/>
            <w:vMerge w:val="restart"/>
            <w:vAlign w:val="center"/>
          </w:tcPr>
          <w:p>
            <w:pPr>
              <w:pStyle w:val="42"/>
              <w:spacing w:line="240" w:lineRule="auto"/>
              <w:ind w:left="0" w:leftChars="0" w:firstLine="0" w:firstLineChars="0"/>
              <w:jc w:val="center"/>
              <w:rPr>
                <w:kern w:val="2"/>
                <w:highlight w:val="none"/>
              </w:rPr>
            </w:pPr>
            <w:r>
              <w:rPr>
                <w:kern w:val="2"/>
                <w:highlight w:val="none"/>
              </w:rPr>
              <w:t>相对</w:t>
            </w:r>
            <w:r>
              <w:rPr>
                <w:rFonts w:hint="eastAsia"/>
                <w:kern w:val="2"/>
                <w:highlight w:val="none"/>
              </w:rPr>
              <w:t>厂址</w:t>
            </w:r>
            <w:r>
              <w:rPr>
                <w:kern w:val="2"/>
                <w:highlight w:val="none"/>
              </w:rPr>
              <w:t>方位</w:t>
            </w:r>
          </w:p>
        </w:tc>
        <w:tc>
          <w:tcPr>
            <w:tcW w:w="539"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8" w:type="pct"/>
            <w:vMerge w:val="continue"/>
            <w:vAlign w:val="center"/>
          </w:tcPr>
          <w:p>
            <w:pPr>
              <w:pStyle w:val="42"/>
              <w:spacing w:line="240" w:lineRule="auto"/>
              <w:ind w:left="0" w:leftChars="0" w:firstLine="0" w:firstLineChars="0"/>
              <w:jc w:val="center"/>
              <w:rPr>
                <w:highlight w:val="none"/>
              </w:rPr>
            </w:pPr>
          </w:p>
        </w:tc>
        <w:tc>
          <w:tcPr>
            <w:tcW w:w="708"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经度</w:t>
            </w:r>
          </w:p>
        </w:tc>
        <w:tc>
          <w:tcPr>
            <w:tcW w:w="695"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纬度</w:t>
            </w:r>
          </w:p>
        </w:tc>
        <w:tc>
          <w:tcPr>
            <w:tcW w:w="643" w:type="pct"/>
            <w:vMerge w:val="continue"/>
            <w:vAlign w:val="center"/>
          </w:tcPr>
          <w:p>
            <w:pPr>
              <w:pStyle w:val="42"/>
              <w:spacing w:line="240" w:lineRule="auto"/>
              <w:ind w:left="0" w:leftChars="0" w:firstLine="0" w:firstLineChars="0"/>
              <w:jc w:val="center"/>
              <w:rPr>
                <w:rFonts w:hint="eastAsia"/>
                <w:kern w:val="2"/>
                <w:highlight w:val="none"/>
              </w:rPr>
            </w:pPr>
          </w:p>
        </w:tc>
        <w:tc>
          <w:tcPr>
            <w:tcW w:w="828" w:type="pct"/>
            <w:vMerge w:val="continue"/>
            <w:vAlign w:val="center"/>
          </w:tcPr>
          <w:p>
            <w:pPr>
              <w:pStyle w:val="42"/>
              <w:spacing w:line="240" w:lineRule="auto"/>
              <w:ind w:left="0" w:leftChars="0" w:firstLine="0" w:firstLineChars="0"/>
              <w:jc w:val="center"/>
              <w:rPr>
                <w:rFonts w:hint="eastAsia"/>
                <w:kern w:val="2"/>
                <w:highlight w:val="none"/>
              </w:rPr>
            </w:pP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Merge w:val="continue"/>
            <w:vAlign w:val="center"/>
          </w:tcPr>
          <w:p>
            <w:pPr>
              <w:pStyle w:val="42"/>
              <w:spacing w:line="240" w:lineRule="auto"/>
              <w:ind w:left="0" w:leftChars="0" w:firstLine="0" w:firstLineChars="0"/>
              <w:jc w:val="center"/>
              <w:rPr>
                <w:rFonts w:hint="eastAsia"/>
                <w:kern w:val="2"/>
                <w:highlight w:val="none"/>
              </w:rPr>
            </w:pPr>
          </w:p>
        </w:tc>
        <w:tc>
          <w:tcPr>
            <w:tcW w:w="539" w:type="pct"/>
            <w:vMerge w:val="continue"/>
            <w:vAlign w:val="center"/>
          </w:tcPr>
          <w:p>
            <w:pPr>
              <w:pStyle w:val="42"/>
              <w:spacing w:line="240" w:lineRule="auto"/>
              <w:ind w:left="0" w:leftChars="0" w:firstLine="0" w:firstLineChars="0"/>
              <w:jc w:val="center"/>
              <w:rPr>
                <w:rFonts w:hint="eastAsia"/>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restart"/>
            <w:vAlign w:val="center"/>
          </w:tcPr>
          <w:p>
            <w:pPr>
              <w:pStyle w:val="42"/>
              <w:spacing w:line="240" w:lineRule="auto"/>
              <w:ind w:left="0" w:leftChars="0" w:firstLine="0" w:firstLineChars="0"/>
              <w:jc w:val="center"/>
              <w:rPr>
                <w:kern w:val="2"/>
                <w:highlight w:val="none"/>
              </w:rPr>
            </w:pPr>
            <w:r>
              <w:rPr>
                <w:kern w:val="2"/>
                <w:highlight w:val="none"/>
              </w:rPr>
              <w:t>空气</w:t>
            </w:r>
          </w:p>
          <w:p>
            <w:pPr>
              <w:pStyle w:val="42"/>
              <w:spacing w:line="240" w:lineRule="auto"/>
              <w:ind w:left="0" w:leftChars="0" w:firstLine="0" w:firstLineChars="0"/>
              <w:jc w:val="center"/>
              <w:rPr>
                <w:kern w:val="2"/>
                <w:highlight w:val="none"/>
              </w:rPr>
            </w:pPr>
            <w:r>
              <w:rPr>
                <w:kern w:val="2"/>
                <w:highlight w:val="none"/>
              </w:rPr>
              <w:t>环境</w:t>
            </w: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114.488826</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32.415038</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崔塘村</w:t>
            </w:r>
          </w:p>
        </w:tc>
        <w:tc>
          <w:tcPr>
            <w:tcW w:w="828"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757" w:type="pct"/>
            <w:vMerge w:val="restar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《环境空气质量标准》（GB3095-2012）</w:t>
            </w:r>
          </w:p>
          <w:p>
            <w:pPr>
              <w:pStyle w:val="42"/>
              <w:spacing w:line="240" w:lineRule="auto"/>
              <w:ind w:left="0" w:leftChars="0" w:firstLine="0" w:firstLineChars="0"/>
              <w:jc w:val="center"/>
              <w:rPr>
                <w:rFonts w:hint="eastAsia"/>
                <w:kern w:val="2"/>
                <w:highlight w:val="none"/>
              </w:rPr>
            </w:pPr>
            <w:r>
              <w:rPr>
                <w:rFonts w:hint="eastAsia"/>
                <w:kern w:val="2"/>
                <w:highlight w:val="none"/>
              </w:rPr>
              <w:t>二类功能区</w:t>
            </w: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rFonts w:hint="eastAsia"/>
                <w:kern w:val="2"/>
                <w:highlight w:val="none"/>
              </w:rPr>
            </w:pP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kern w:val="2"/>
                <w:highlight w:val="none"/>
              </w:rPr>
            </w:pPr>
            <w:r>
              <w:rPr>
                <w:rFonts w:hint="eastAsia"/>
                <w:kern w:val="2"/>
                <w:highlight w:val="none"/>
              </w:rPr>
              <w:t>N</w:t>
            </w:r>
          </w:p>
        </w:tc>
        <w:tc>
          <w:tcPr>
            <w:tcW w:w="539" w:type="pct"/>
            <w:vAlign w:val="center"/>
          </w:tcPr>
          <w:p>
            <w:pPr>
              <w:pStyle w:val="42"/>
              <w:spacing w:line="240" w:lineRule="auto"/>
              <w:ind w:left="0" w:leftChars="0" w:firstLine="0" w:firstLineChars="0"/>
              <w:jc w:val="center"/>
              <w:rPr>
                <w:kern w:val="2"/>
                <w:highlight w:val="none"/>
              </w:rPr>
            </w:pPr>
            <w:r>
              <w:rPr>
                <w:rFonts w:hint="eastAsia"/>
                <w:kern w:val="2"/>
                <w:highlight w:val="none"/>
              </w:rPr>
              <w:t>2</w:t>
            </w:r>
            <w:r>
              <w:rPr>
                <w:rFonts w:hint="eastAsia"/>
                <w:kern w:val="2"/>
                <w:highlight w:val="none"/>
                <w:lang w:val="en-US" w:eastAsia="zh-CN"/>
              </w:rPr>
              <w:t>5</w:t>
            </w:r>
            <w:r>
              <w:rPr>
                <w:rFonts w:hint="eastAsia"/>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114.483653</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32.420829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小王庄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w:t>
            </w:r>
            <w:r>
              <w:rPr>
                <w:rFonts w:hint="eastAsia"/>
                <w:kern w:val="2"/>
                <w:highlight w:val="none"/>
                <w:lang w:val="en-US" w:eastAsia="zh-CN"/>
              </w:rPr>
              <w:t>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830m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114.482763</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32.432245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小汤庄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44户，</w:t>
            </w:r>
            <w:r>
              <w:rPr>
                <w:rFonts w:hint="eastAsia"/>
                <w:kern w:val="2"/>
                <w:highlight w:val="none"/>
              </w:rPr>
              <w:t>约</w:t>
            </w:r>
            <w:r>
              <w:rPr>
                <w:rFonts w:hint="eastAsia"/>
                <w:kern w:val="2"/>
                <w:highlight w:val="none"/>
                <w:lang w:val="en-US" w:eastAsia="zh-CN"/>
              </w:rPr>
              <w:t>220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1924m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114.465350</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32.420379</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小张庄</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70户，</w:t>
            </w:r>
            <w:r>
              <w:rPr>
                <w:rFonts w:hint="eastAsia"/>
                <w:kern w:val="2"/>
                <w:highlight w:val="none"/>
              </w:rPr>
              <w:t>约</w:t>
            </w:r>
            <w:r>
              <w:rPr>
                <w:rFonts w:hint="eastAsia"/>
                <w:kern w:val="2"/>
                <w:highlight w:val="none"/>
                <w:lang w:val="en-US" w:eastAsia="zh-CN"/>
              </w:rPr>
              <w:t>350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1522m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114.461938</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32.421430</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大李庄村</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1824m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114.473579</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32.429069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小万庄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1881m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114.474094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32.433146</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大昊庄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2311m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114.481659</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32.411161</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黎刘庄</w:t>
            </w:r>
          </w:p>
        </w:tc>
        <w:tc>
          <w:tcPr>
            <w:tcW w:w="828"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230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114.475694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32.411233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大汪庄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约1</w:t>
            </w:r>
            <w:r>
              <w:rPr>
                <w:rFonts w:hint="eastAsia"/>
                <w:kern w:val="2"/>
                <w:highlight w:val="none"/>
                <w:lang w:val="en-US" w:eastAsia="zh-CN"/>
              </w:rPr>
              <w:t>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818</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114.472046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32.410291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上张庄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约50人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w:t>
            </w:r>
            <w:r>
              <w:rPr>
                <w:rFonts w:hint="eastAsia"/>
                <w:kern w:val="2"/>
                <w:highlight w:val="none"/>
              </w:rPr>
              <w:t>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114.484234</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32.403625</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东侯庄</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S</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540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114.483857</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32.394914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小马庄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1740m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114.485402</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32.392618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梁庄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14户，</w:t>
            </w:r>
            <w:r>
              <w:rPr>
                <w:rFonts w:hint="eastAsia"/>
                <w:kern w:val="2"/>
                <w:highlight w:val="none"/>
              </w:rPr>
              <w:t>约</w:t>
            </w:r>
            <w:r>
              <w:rPr>
                <w:rFonts w:hint="eastAsia"/>
                <w:kern w:val="2"/>
                <w:highlight w:val="none"/>
                <w:lang w:val="en-US" w:eastAsia="zh-CN"/>
              </w:rPr>
              <w:t>70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114.479716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32.399785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陶庄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114.460887</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32.412139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汤陈庄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1687m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114.466294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32.404714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冯李庄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1421m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114.460500</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32.403770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王庄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1943m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114.494534</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32.406125</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刘小庄</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40户，</w:t>
            </w:r>
            <w:r>
              <w:rPr>
                <w:rFonts w:hint="eastAsia"/>
                <w:kern w:val="2"/>
                <w:highlight w:val="none"/>
              </w:rPr>
              <w:t>约1</w:t>
            </w:r>
            <w:r>
              <w:rPr>
                <w:rFonts w:hint="eastAsia"/>
                <w:kern w:val="2"/>
                <w:highlight w:val="none"/>
                <w:lang w:val="en-US" w:eastAsia="zh-CN"/>
              </w:rPr>
              <w:t>5</w:t>
            </w:r>
            <w:r>
              <w:rPr>
                <w:rFonts w:hint="eastAsia"/>
                <w:kern w:val="2"/>
                <w:highlight w:val="none"/>
              </w:rPr>
              <w:t>0人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rPr>
              <w:t>4</w:t>
            </w:r>
            <w:r>
              <w:rPr>
                <w:rFonts w:hint="eastAsia"/>
                <w:kern w:val="2"/>
                <w:highlight w:val="none"/>
                <w:lang w:val="en-US" w:eastAsia="zh-CN"/>
              </w:rPr>
              <w:t>00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114.498096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32.402538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西刘庄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945</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114.496421</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32.404645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小孙庄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114.491314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32.398894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李杨庄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35户，</w:t>
            </w:r>
            <w:r>
              <w:rPr>
                <w:rFonts w:hint="eastAsia"/>
                <w:kern w:val="2"/>
                <w:highlight w:val="none"/>
              </w:rPr>
              <w:t>约</w:t>
            </w:r>
            <w:r>
              <w:rPr>
                <w:rFonts w:hint="eastAsia"/>
                <w:kern w:val="2"/>
                <w:highlight w:val="none"/>
                <w:lang w:val="en-US" w:eastAsia="zh-CN"/>
              </w:rPr>
              <w:t>175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1496m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114.501259</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32.405127</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北孙庄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23户，</w:t>
            </w:r>
            <w:r>
              <w:rPr>
                <w:rFonts w:hint="eastAsia"/>
                <w:kern w:val="2"/>
                <w:highlight w:val="none"/>
              </w:rPr>
              <w:t>约</w:t>
            </w:r>
            <w:r>
              <w:rPr>
                <w:rFonts w:hint="eastAsia"/>
                <w:kern w:val="2"/>
                <w:highlight w:val="none"/>
                <w:lang w:val="en-US" w:eastAsia="zh-CN"/>
              </w:rPr>
              <w:t>115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1456m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114.500744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32.396630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潘刘庄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2064m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114.509585</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32.401651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小李村</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70户，</w:t>
            </w:r>
            <w:r>
              <w:rPr>
                <w:rFonts w:hint="eastAsia"/>
                <w:kern w:val="2"/>
                <w:highlight w:val="none"/>
              </w:rPr>
              <w:t>约</w:t>
            </w:r>
            <w:r>
              <w:rPr>
                <w:rFonts w:hint="eastAsia"/>
                <w:kern w:val="2"/>
                <w:highlight w:val="none"/>
                <w:lang w:val="en-US" w:eastAsia="zh-CN"/>
              </w:rPr>
              <w:t>350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114.469041</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32.391668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柏王村</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2336m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114.495606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32.416450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任庄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32户，</w:t>
            </w:r>
            <w:r>
              <w:rPr>
                <w:rFonts w:hint="eastAsia"/>
                <w:kern w:val="2"/>
                <w:highlight w:val="none"/>
              </w:rPr>
              <w:t>约</w:t>
            </w:r>
            <w:r>
              <w:rPr>
                <w:rFonts w:hint="eastAsia"/>
                <w:kern w:val="2"/>
                <w:highlight w:val="none"/>
                <w:lang w:val="en-US" w:eastAsia="zh-CN"/>
              </w:rPr>
              <w:t>128</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427</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114.501399</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32.421902</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铜钟镇</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2400户，</w:t>
            </w:r>
            <w:r>
              <w:rPr>
                <w:rFonts w:hint="eastAsia"/>
                <w:kern w:val="2"/>
                <w:highlight w:val="none"/>
              </w:rPr>
              <w:t>约</w:t>
            </w:r>
            <w:r>
              <w:rPr>
                <w:rFonts w:hint="eastAsia"/>
                <w:kern w:val="2"/>
                <w:highlight w:val="none"/>
                <w:lang w:val="en-US" w:eastAsia="zh-CN"/>
              </w:rPr>
              <w:t>1.2万</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1510m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114.505390</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32.421060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铜钟镇中心小学</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学校，</w:t>
            </w:r>
            <w:r>
              <w:rPr>
                <w:rFonts w:hint="eastAsia"/>
                <w:kern w:val="2"/>
                <w:highlight w:val="none"/>
              </w:rPr>
              <w:t>约</w:t>
            </w:r>
            <w:r>
              <w:rPr>
                <w:rFonts w:hint="eastAsia"/>
                <w:kern w:val="2"/>
                <w:highlight w:val="none"/>
                <w:lang w:val="en-US" w:eastAsia="zh-CN"/>
              </w:rPr>
              <w:t>3000</w:t>
            </w:r>
            <w:r>
              <w:rPr>
                <w:rFonts w:hint="eastAsia"/>
                <w:kern w:val="2"/>
                <w:highlight w:val="none"/>
              </w:rPr>
              <w:t>人</w:t>
            </w:r>
          </w:p>
        </w:tc>
        <w:tc>
          <w:tcPr>
            <w:tcW w:w="75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1792m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地表水</w:t>
            </w:r>
            <w:r>
              <w:rPr>
                <w:kern w:val="2"/>
                <w:highlight w:val="none"/>
              </w:rPr>
              <w:t>环境</w:t>
            </w: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114.490542</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32.438511</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清水河</w:t>
            </w:r>
          </w:p>
        </w:tc>
        <w:tc>
          <w:tcPr>
            <w:tcW w:w="828" w:type="pct"/>
            <w:vAlign w:val="center"/>
          </w:tcPr>
          <w:p>
            <w:pPr>
              <w:pStyle w:val="42"/>
              <w:spacing w:line="240" w:lineRule="auto"/>
              <w:ind w:left="0" w:leftChars="0" w:firstLine="0" w:firstLineChars="0"/>
              <w:jc w:val="center"/>
              <w:rPr>
                <w:rFonts w:hint="eastAsia"/>
                <w:kern w:val="2"/>
                <w:highlight w:val="none"/>
              </w:rPr>
            </w:pPr>
            <w:r>
              <w:rPr>
                <w:kern w:val="2"/>
                <w:highlight w:val="none"/>
              </w:rPr>
              <w:t>小河</w:t>
            </w:r>
          </w:p>
        </w:tc>
        <w:tc>
          <w:tcPr>
            <w:tcW w:w="757" w:type="pct"/>
            <w:vAlign w:val="center"/>
          </w:tcPr>
          <w:p>
            <w:pPr>
              <w:pStyle w:val="42"/>
              <w:spacing w:line="240" w:lineRule="auto"/>
              <w:ind w:left="0" w:leftChars="0" w:firstLine="0" w:firstLineChars="0"/>
              <w:jc w:val="center"/>
              <w:rPr>
                <w:kern w:val="2"/>
                <w:highlight w:val="none"/>
              </w:rPr>
            </w:pPr>
            <w:r>
              <w:rPr>
                <w:rFonts w:hint="eastAsia"/>
                <w:kern w:val="2"/>
                <w:highlight w:val="none"/>
              </w:rPr>
              <w:t>《地表水环境质量标准》(GB3838-2002)Ⅲ类功能区</w:t>
            </w: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285</w:t>
            </w:r>
            <w:r>
              <w:rPr>
                <w:rFonts w:hint="eastAsia"/>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地下水环境</w:t>
            </w:r>
          </w:p>
        </w:tc>
        <w:tc>
          <w:tcPr>
            <w:tcW w:w="2875" w:type="pct"/>
            <w:gridSpan w:val="4"/>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场区下游村庄地下水、配套沼液消纳地附近村庄地下水</w:t>
            </w:r>
          </w:p>
        </w:tc>
        <w:tc>
          <w:tcPr>
            <w:tcW w:w="757" w:type="pct"/>
            <w:vAlign w:val="center"/>
          </w:tcPr>
          <w:p>
            <w:pPr>
              <w:pStyle w:val="42"/>
              <w:spacing w:line="240" w:lineRule="auto"/>
              <w:ind w:left="0" w:leftChars="0" w:firstLine="0" w:firstLineChars="0"/>
              <w:jc w:val="center"/>
              <w:rPr>
                <w:kern w:val="2"/>
                <w:highlight w:val="none"/>
              </w:rPr>
            </w:pPr>
            <w:r>
              <w:rPr>
                <w:rFonts w:hint="eastAsia"/>
                <w:kern w:val="2"/>
                <w:highlight w:val="none"/>
              </w:rPr>
              <w:t>《地下水质量标准》（GB/T 14848-2017）Ⅲ类功能区</w:t>
            </w: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378" w:type="pct"/>
            <w:vMerge w:val="restart"/>
            <w:vAlign w:val="center"/>
          </w:tcPr>
          <w:p>
            <w:pPr>
              <w:pStyle w:val="42"/>
              <w:spacing w:line="240" w:lineRule="auto"/>
              <w:ind w:left="0" w:leftChars="0" w:firstLine="0" w:firstLineChars="0"/>
              <w:jc w:val="center"/>
              <w:rPr>
                <w:kern w:val="2"/>
                <w:highlight w:val="none"/>
              </w:rPr>
            </w:pPr>
            <w:r>
              <w:rPr>
                <w:kern w:val="2"/>
                <w:highlight w:val="none"/>
              </w:rPr>
              <w:t>声环境</w:t>
            </w: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114.488826</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32.415038</w:t>
            </w:r>
          </w:p>
        </w:tc>
        <w:tc>
          <w:tcPr>
            <w:tcW w:w="643"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崔塘村</w:t>
            </w:r>
          </w:p>
        </w:tc>
        <w:tc>
          <w:tcPr>
            <w:tcW w:w="828" w:type="pct"/>
            <w:vAlign w:val="center"/>
          </w:tcPr>
          <w:p>
            <w:pPr>
              <w:pStyle w:val="42"/>
              <w:spacing w:line="240" w:lineRule="auto"/>
              <w:ind w:left="0" w:leftChars="0" w:firstLine="0" w:firstLineChars="0"/>
              <w:jc w:val="center"/>
              <w:rPr>
                <w:kern w:val="2"/>
                <w:highlight w:val="none"/>
              </w:rPr>
            </w:pP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757"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《声环境质量标准》（GB3096-2008）2</w:t>
            </w:r>
            <w:r>
              <w:rPr>
                <w:kern w:val="2"/>
                <w:highlight w:val="none"/>
              </w:rPr>
              <w:t>类</w:t>
            </w:r>
            <w:r>
              <w:rPr>
                <w:rFonts w:hint="eastAsia"/>
                <w:kern w:val="2"/>
                <w:highlight w:val="none"/>
              </w:rPr>
              <w:t>功能区</w:t>
            </w:r>
          </w:p>
        </w:tc>
        <w:tc>
          <w:tcPr>
            <w:tcW w:w="449" w:type="pct"/>
            <w:vAlign w:val="center"/>
          </w:tcPr>
          <w:p>
            <w:pPr>
              <w:pStyle w:val="42"/>
              <w:spacing w:line="240" w:lineRule="auto"/>
              <w:ind w:left="0" w:leftChars="0" w:firstLine="0" w:firstLineChars="0"/>
              <w:jc w:val="center"/>
              <w:rPr>
                <w:kern w:val="2"/>
                <w:highlight w:val="none"/>
              </w:rPr>
            </w:pPr>
            <w:r>
              <w:rPr>
                <w:rFonts w:hint="eastAsia"/>
                <w:kern w:val="2"/>
                <w:highlight w:val="none"/>
              </w:rPr>
              <w:t>N</w:t>
            </w:r>
          </w:p>
        </w:tc>
        <w:tc>
          <w:tcPr>
            <w:tcW w:w="539" w:type="pct"/>
            <w:vAlign w:val="center"/>
          </w:tcPr>
          <w:p>
            <w:pPr>
              <w:pStyle w:val="42"/>
              <w:spacing w:line="240" w:lineRule="auto"/>
              <w:ind w:left="0" w:leftChars="0" w:firstLine="0" w:firstLineChars="0"/>
              <w:jc w:val="center"/>
              <w:rPr>
                <w:kern w:val="2"/>
                <w:highlight w:val="none"/>
              </w:rPr>
            </w:pPr>
            <w:r>
              <w:rPr>
                <w:rFonts w:hint="eastAsia"/>
                <w:kern w:val="2"/>
                <w:highlight w:val="none"/>
              </w:rPr>
              <w:t>2</w:t>
            </w:r>
            <w:r>
              <w:rPr>
                <w:rFonts w:hint="eastAsia"/>
                <w:kern w:val="2"/>
                <w:highlight w:val="none"/>
                <w:lang w:val="en-US" w:eastAsia="zh-CN"/>
              </w:rPr>
              <w:t>5</w:t>
            </w:r>
            <w:r>
              <w:rPr>
                <w:rFonts w:hint="eastAsia"/>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114.481659</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32.411161</w:t>
            </w:r>
          </w:p>
        </w:tc>
        <w:tc>
          <w:tcPr>
            <w:tcW w:w="643"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eastAsia="zh-CN"/>
              </w:rPr>
              <w:t>黎刘庄</w:t>
            </w:r>
          </w:p>
        </w:tc>
        <w:tc>
          <w:tcPr>
            <w:tcW w:w="82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约100人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230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土壤</w:t>
            </w:r>
          </w:p>
        </w:tc>
        <w:tc>
          <w:tcPr>
            <w:tcW w:w="2875" w:type="pct"/>
            <w:gridSpan w:val="4"/>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配套沼液消纳地附近土壤环境</w:t>
            </w:r>
          </w:p>
        </w:tc>
        <w:tc>
          <w:tcPr>
            <w:tcW w:w="757"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《土壤环境质量农用地土壤污染风险管控标准》（GB15618-2018）</w:t>
            </w: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bl>
    <w:p>
      <w:pPr>
        <w:pStyle w:val="6"/>
        <w:spacing w:beforeLines="0"/>
        <w:rPr>
          <w:rFonts w:cs="Times New Roman"/>
          <w:highlight w:val="none"/>
        </w:rPr>
      </w:pPr>
      <w:bookmarkStart w:id="11" w:name="_Toc3384"/>
      <w:r>
        <w:rPr>
          <w:rFonts w:cs="Times New Roman"/>
          <w:highlight w:val="none"/>
        </w:rPr>
        <w:t>1.9</w:t>
      </w:r>
      <w:r>
        <w:rPr>
          <w:highlight w:val="none"/>
        </w:rPr>
        <w:t>政策符合性分析</w:t>
      </w:r>
      <w:bookmarkEnd w:id="11"/>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b/>
          <w:bCs/>
          <w:highlight w:val="none"/>
        </w:rPr>
      </w:pPr>
      <w:r>
        <w:rPr>
          <w:rFonts w:hint="eastAsia"/>
          <w:b/>
          <w:bCs/>
          <w:highlight w:val="none"/>
        </w:rPr>
        <w:t>（1）</w:t>
      </w:r>
      <w:r>
        <w:rPr>
          <w:b/>
          <w:bCs/>
          <w:highlight w:val="none"/>
        </w:rPr>
        <w:t>与</w:t>
      </w:r>
      <w:r>
        <w:rPr>
          <w:rFonts w:hint="eastAsia"/>
          <w:b/>
          <w:bCs/>
          <w:highlight w:val="none"/>
        </w:rPr>
        <w:t>正阳县饮用水水源地保护区划相符性分析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根据《河南省人民政府办公厅关于印发河南省县级集中式饮用水水源保护区划的通知》（豫政办〔2013〕107号）相关内容，正阳县集中式饮用水水源保护区划分情况如下：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lang w:val="en-US" w:eastAsia="zh-CN"/>
        </w:rPr>
        <w:t>A、</w:t>
      </w:r>
      <w:r>
        <w:rPr>
          <w:rFonts w:hint="eastAsia"/>
          <w:highlight w:val="none"/>
        </w:rPr>
        <w:t>正阳县城区地下水井群(老城区1～12号、新城区13号</w:t>
      </w:r>
      <w:r>
        <w:rPr>
          <w:rFonts w:hint="eastAsia"/>
          <w:highlight w:val="none"/>
          <w:lang w:eastAsia="zh-CN"/>
        </w:rPr>
        <w:t>，</w:t>
      </w:r>
      <w:r>
        <w:rPr>
          <w:rFonts w:hint="eastAsia"/>
          <w:highlight w:val="none"/>
        </w:rPr>
        <w:t>共13眼井)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一级保护区范围</w:t>
      </w:r>
      <w:r>
        <w:rPr>
          <w:rFonts w:hint="eastAsia"/>
          <w:highlight w:val="none"/>
          <w:lang w:eastAsia="zh-CN"/>
        </w:rPr>
        <w:t>：</w:t>
      </w:r>
      <w:r>
        <w:rPr>
          <w:rFonts w:hint="eastAsia"/>
          <w:highlight w:val="none"/>
        </w:rPr>
        <w:t>取水井外围30米的区域。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本项目位于正阳县铜钟镇</w:t>
      </w:r>
      <w:r>
        <w:rPr>
          <w:rFonts w:hint="eastAsia"/>
          <w:highlight w:val="none"/>
          <w:lang w:eastAsia="zh-CN"/>
        </w:rPr>
        <w:t>崔塘村</w:t>
      </w:r>
      <w:r>
        <w:rPr>
          <w:rFonts w:hint="eastAsia"/>
          <w:highlight w:val="none"/>
        </w:rPr>
        <w:t>，距离县城规划区约</w:t>
      </w:r>
      <w:r>
        <w:rPr>
          <w:rFonts w:hint="eastAsia"/>
          <w:highlight w:val="none"/>
          <w:lang w:val="en-US" w:eastAsia="zh-CN"/>
        </w:rPr>
        <w:t>22.7</w:t>
      </w:r>
      <w:r>
        <w:rPr>
          <w:rFonts w:hint="eastAsia"/>
          <w:highlight w:val="none"/>
        </w:rPr>
        <w:t>km，不在正阳县饮用水水源保护区范围内，故项目的建设与正阳县饮用水水源地保护区划是相符的。</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b/>
          <w:bCs/>
          <w:highlight w:val="none"/>
        </w:rPr>
      </w:pPr>
      <w:r>
        <w:rPr>
          <w:rFonts w:hint="eastAsia"/>
          <w:b/>
          <w:bCs/>
          <w:highlight w:val="none"/>
          <w:lang w:eastAsia="zh-CN"/>
        </w:rPr>
        <w:t>（</w:t>
      </w:r>
      <w:r>
        <w:rPr>
          <w:rFonts w:hint="eastAsia"/>
          <w:b/>
          <w:bCs/>
          <w:highlight w:val="none"/>
          <w:lang w:val="en-US" w:eastAsia="zh-CN"/>
        </w:rPr>
        <w:t>2</w:t>
      </w:r>
      <w:r>
        <w:rPr>
          <w:rFonts w:hint="eastAsia"/>
          <w:b/>
          <w:bCs/>
          <w:highlight w:val="none"/>
          <w:lang w:eastAsia="zh-CN"/>
        </w:rPr>
        <w:t>）</w:t>
      </w:r>
      <w:r>
        <w:rPr>
          <w:rFonts w:hint="eastAsia"/>
          <w:b/>
          <w:bCs/>
          <w:highlight w:val="none"/>
        </w:rPr>
        <w:t>与正阳县乡镇饮用水水源地保护区划相符性分析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根据《河南省乡镇集中式饮用水水源保护区划》（豫政办〔2016〕23号）划分的结果，正阳县乡镇级集中式饮用水水源保护区划分情况如下：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正阳县</w:t>
      </w:r>
      <w:r>
        <w:rPr>
          <w:rFonts w:hint="eastAsia"/>
          <w:highlight w:val="none"/>
          <w:lang w:eastAsia="zh-CN"/>
        </w:rPr>
        <w:t>铜钟</w:t>
      </w:r>
      <w:r>
        <w:rPr>
          <w:rFonts w:hint="eastAsia"/>
          <w:highlight w:val="none"/>
        </w:rPr>
        <w:t>镇地下水井(共</w:t>
      </w:r>
      <w:r>
        <w:rPr>
          <w:rFonts w:hint="eastAsia"/>
          <w:highlight w:val="none"/>
          <w:lang w:val="en-US" w:eastAsia="zh-CN"/>
        </w:rPr>
        <w:t>1</w:t>
      </w:r>
      <w:r>
        <w:rPr>
          <w:rFonts w:hint="eastAsia"/>
          <w:highlight w:val="none"/>
        </w:rPr>
        <w:t>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lang w:val="en-US" w:eastAsia="zh-CN"/>
        </w:rPr>
        <w:t>B、</w:t>
      </w:r>
      <w:r>
        <w:rPr>
          <w:rFonts w:hint="eastAsia"/>
          <w:highlight w:val="none"/>
        </w:rPr>
        <w:t>一级保护区范围</w:t>
      </w:r>
      <w:r>
        <w:rPr>
          <w:rFonts w:hint="eastAsia"/>
          <w:highlight w:val="none"/>
          <w:lang w:eastAsia="zh-CN"/>
        </w:rPr>
        <w:t>：</w:t>
      </w:r>
      <w:r>
        <w:rPr>
          <w:rFonts w:hint="eastAsia"/>
          <w:highlight w:val="none"/>
        </w:rPr>
        <w:t>取水井外围30米的区域。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本项目位于正阳县</w:t>
      </w:r>
      <w:r>
        <w:rPr>
          <w:rFonts w:hint="eastAsia"/>
          <w:highlight w:val="none"/>
          <w:lang w:eastAsia="zh-CN"/>
        </w:rPr>
        <w:t>铜钟镇崔塘村</w:t>
      </w:r>
      <w:r>
        <w:rPr>
          <w:rFonts w:hint="eastAsia"/>
          <w:highlight w:val="none"/>
        </w:rPr>
        <w:t>，距离正阳县</w:t>
      </w:r>
      <w:r>
        <w:rPr>
          <w:rFonts w:hint="eastAsia"/>
          <w:highlight w:val="none"/>
          <w:lang w:eastAsia="zh-CN"/>
        </w:rPr>
        <w:t>铜钟</w:t>
      </w:r>
      <w:r>
        <w:rPr>
          <w:rFonts w:hint="eastAsia"/>
          <w:highlight w:val="none"/>
        </w:rPr>
        <w:t>镇地下水井</w:t>
      </w:r>
      <w:r>
        <w:rPr>
          <w:rFonts w:hint="eastAsia"/>
          <w:highlight w:val="none"/>
          <w:lang w:val="en-US" w:eastAsia="zh-CN"/>
        </w:rPr>
        <w:t>1.3</w:t>
      </w:r>
      <w:r>
        <w:rPr>
          <w:rFonts w:hint="eastAsia"/>
          <w:highlight w:val="none"/>
        </w:rPr>
        <w:t>km</w:t>
      </w:r>
      <w:r>
        <w:rPr>
          <w:rFonts w:hint="eastAsia"/>
          <w:highlight w:val="none"/>
          <w:lang w:eastAsia="zh-CN"/>
        </w:rPr>
        <w:t>，</w:t>
      </w:r>
      <w:r>
        <w:rPr>
          <w:rFonts w:hint="eastAsia"/>
          <w:highlight w:val="none"/>
        </w:rPr>
        <w:t>本项目不在其一级保护范围。</w:t>
      </w:r>
    </w:p>
    <w:p>
      <w:pPr>
        <w:pStyle w:val="10"/>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textAlignment w:val="auto"/>
        <w:rPr>
          <w:rFonts w:hint="eastAsia"/>
          <w:b/>
          <w:bCs/>
          <w:highlight w:val="none"/>
        </w:rPr>
      </w:pPr>
      <w:r>
        <w:rPr>
          <w:rFonts w:hint="eastAsia"/>
          <w:b/>
          <w:bCs/>
          <w:highlight w:val="none"/>
        </w:rPr>
        <w:t>与正阳县畜禽养殖禁养区划定方案相符性分析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本项目位于正阳县</w:t>
      </w:r>
      <w:r>
        <w:rPr>
          <w:rFonts w:hint="eastAsia" w:ascii="Times New Roman" w:hAnsi="Times New Roman"/>
          <w:sz w:val="24"/>
          <w:highlight w:val="none"/>
          <w:lang w:eastAsia="zh-CN"/>
        </w:rPr>
        <w:t>铜钟镇</w:t>
      </w:r>
      <w:r>
        <w:rPr>
          <w:rFonts w:hint="eastAsia"/>
          <w:sz w:val="24"/>
          <w:highlight w:val="none"/>
          <w:lang w:eastAsia="zh-CN"/>
        </w:rPr>
        <w:t>崔塘村</w:t>
      </w:r>
      <w:r>
        <w:rPr>
          <w:rFonts w:ascii="Times New Roman" w:hAnsi="Times New Roman"/>
          <w:sz w:val="24"/>
          <w:highlight w:val="none"/>
        </w:rPr>
        <w:t>，场区四周均为农耕地，根据现场勘踏，经与《正阳县畜禽养殖禁养区限养区划分方案》、《正阳县畜禽养殖禁养区划定调整实施方案》（上政〔2020〕2号）比对可知，距离最近的村庄为项目</w:t>
      </w:r>
      <w:r>
        <w:rPr>
          <w:rFonts w:ascii="Times New Roman" w:hAnsi="Times New Roman"/>
          <w:bCs/>
          <w:color w:val="000000"/>
          <w:sz w:val="24"/>
          <w:highlight w:val="none"/>
        </w:rPr>
        <w:t>西</w:t>
      </w:r>
      <w:r>
        <w:rPr>
          <w:rFonts w:ascii="Times New Roman" w:hAnsi="Times New Roman"/>
          <w:bCs/>
          <w:color w:val="000000"/>
          <w:sz w:val="24"/>
          <w:highlight w:val="none"/>
          <w:lang w:val="zh-CN"/>
        </w:rPr>
        <w:t>侧</w:t>
      </w:r>
      <w:r>
        <w:rPr>
          <w:rFonts w:hint="eastAsia" w:ascii="Times New Roman" w:hAnsi="Times New Roman"/>
          <w:bCs/>
          <w:color w:val="000000"/>
          <w:sz w:val="24"/>
          <w:highlight w:val="none"/>
          <w:lang w:val="en-US" w:eastAsia="zh-CN"/>
        </w:rPr>
        <w:t>230</w:t>
      </w:r>
      <w:r>
        <w:rPr>
          <w:rFonts w:ascii="Times New Roman" w:hAnsi="Times New Roman"/>
          <w:bCs/>
          <w:color w:val="000000"/>
          <w:sz w:val="24"/>
          <w:highlight w:val="none"/>
        </w:rPr>
        <w:t>m</w:t>
      </w:r>
      <w:r>
        <w:rPr>
          <w:rFonts w:ascii="Times New Roman" w:hAnsi="Times New Roman"/>
          <w:bCs/>
          <w:color w:val="000000"/>
          <w:sz w:val="24"/>
          <w:highlight w:val="none"/>
          <w:lang w:val="zh-CN"/>
        </w:rPr>
        <w:t>处的</w:t>
      </w:r>
      <w:r>
        <w:rPr>
          <w:rFonts w:hint="eastAsia" w:ascii="Times New Roman" w:hAnsi="Times New Roman"/>
          <w:bCs/>
          <w:color w:val="000000"/>
          <w:sz w:val="24"/>
          <w:highlight w:val="none"/>
          <w:lang w:eastAsia="zh-CN"/>
        </w:rPr>
        <w:t>黎刘庄</w:t>
      </w:r>
      <w:r>
        <w:rPr>
          <w:rFonts w:ascii="Times New Roman" w:hAnsi="Times New Roman"/>
          <w:sz w:val="24"/>
          <w:highlight w:val="none"/>
        </w:rPr>
        <w:t>，不在正阳县划定的禁养区范围内，正阳县畜牧局关于本项目不在禁养区、限养区的证明见附件</w:t>
      </w:r>
      <w:r>
        <w:rPr>
          <w:rFonts w:hint="eastAsia"/>
          <w:sz w:val="24"/>
          <w:highlight w:val="none"/>
          <w:lang w:eastAsia="zh-CN"/>
        </w:rPr>
        <w:t>五</w:t>
      </w:r>
      <w:r>
        <w:rPr>
          <w:rFonts w:ascii="Times New Roman" w:hAnsi="Times New Roman"/>
          <w:sz w:val="24"/>
          <w:highlight w:val="none"/>
        </w:rPr>
        <w:t>，因此项目建设符合选址要求。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本项目与正阳县畜禽养殖禁养区划分方案对比分析见下表。</w:t>
      </w:r>
    </w:p>
    <w:p>
      <w:pPr>
        <w:pStyle w:val="22"/>
        <w:rPr>
          <w:rFonts w:cs="Times New Roman"/>
          <w:highlight w:val="none"/>
        </w:rPr>
      </w:pPr>
      <w:r>
        <w:rPr>
          <w:rFonts w:cs="Times New Roman"/>
          <w:highlight w:val="none"/>
        </w:rPr>
        <w:t>表1</w:t>
      </w:r>
      <w:r>
        <w:rPr>
          <w:rFonts w:hint="eastAsia" w:cs="Times New Roman"/>
          <w:highlight w:val="none"/>
          <w:lang w:val="en-US" w:eastAsia="zh-CN"/>
        </w:rPr>
        <w:t>.9</w:t>
      </w:r>
      <w:r>
        <w:rPr>
          <w:rFonts w:cs="Times New Roman"/>
          <w:highlight w:val="none"/>
        </w:rPr>
        <w:t>-1 与正阳县畜禽养殖禁养区划分方案对比分析一览表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86"/>
        <w:gridCol w:w="3541"/>
        <w:gridCol w:w="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16"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划分方案</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w:t>
            </w:r>
          </w:p>
        </w:tc>
        <w:tc>
          <w:tcPr>
            <w:tcW w:w="40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2516"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（一）饮用水水源一级保护区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val="en-US" w:eastAsia="zh-CN"/>
              </w:rPr>
              <w:t>1、</w:t>
            </w:r>
            <w:r>
              <w:rPr>
                <w:rFonts w:ascii="Times New Roman" w:hAnsi="Times New Roman"/>
                <w:bCs/>
                <w:sz w:val="21"/>
                <w:szCs w:val="21"/>
                <w:highlight w:val="none"/>
              </w:rPr>
              <w:t>县级集中式饮用水水源保护区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w:t>
            </w:r>
            <w:r>
              <w:rPr>
                <w:rFonts w:hint="eastAsia"/>
                <w:bCs/>
                <w:sz w:val="21"/>
                <w:szCs w:val="21"/>
                <w:highlight w:val="none"/>
                <w:lang w:val="en-US" w:eastAsia="zh-CN"/>
              </w:rPr>
              <w:t>1</w:t>
            </w:r>
            <w:r>
              <w:rPr>
                <w:rFonts w:hint="eastAsia"/>
                <w:bCs/>
                <w:sz w:val="21"/>
                <w:szCs w:val="21"/>
                <w:highlight w:val="none"/>
                <w:lang w:eastAsia="zh-CN"/>
              </w:rPr>
              <w:t>）</w:t>
            </w:r>
            <w:r>
              <w:rPr>
                <w:rFonts w:ascii="Times New Roman" w:hAnsi="Times New Roman"/>
                <w:bCs/>
                <w:sz w:val="21"/>
                <w:szCs w:val="21"/>
                <w:highlight w:val="none"/>
              </w:rPr>
              <w:t>正阳县城区地下水井群(老城区1～12号、新城区13号</w:t>
            </w:r>
            <w:r>
              <w:rPr>
                <w:rFonts w:hint="eastAsia" w:ascii="Times New Roman" w:hAnsi="Times New Roman"/>
                <w:bCs/>
                <w:sz w:val="21"/>
                <w:szCs w:val="21"/>
                <w:highlight w:val="none"/>
                <w:lang w:eastAsia="zh-CN"/>
              </w:rPr>
              <w:t>，</w:t>
            </w:r>
            <w:r>
              <w:rPr>
                <w:rFonts w:ascii="Times New Roman" w:hAnsi="Times New Roman"/>
                <w:bCs/>
                <w:sz w:val="21"/>
                <w:szCs w:val="21"/>
                <w:highlight w:val="none"/>
              </w:rPr>
              <w:t>共13眼井)一级保护区范围</w:t>
            </w:r>
            <w:r>
              <w:rPr>
                <w:rFonts w:hint="eastAsia"/>
                <w:bCs/>
                <w:sz w:val="21"/>
                <w:szCs w:val="21"/>
                <w:highlight w:val="none"/>
                <w:lang w:eastAsia="zh-CN"/>
              </w:rPr>
              <w:t>：</w:t>
            </w:r>
            <w:r>
              <w:rPr>
                <w:rFonts w:ascii="Times New Roman" w:hAnsi="Times New Roman"/>
                <w:bCs/>
                <w:sz w:val="21"/>
                <w:szCs w:val="21"/>
                <w:highlight w:val="none"/>
              </w:rPr>
              <w:t>取水井外围30米的区域。</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val="en-US" w:eastAsia="zh-CN"/>
              </w:rPr>
              <w:t>2、</w:t>
            </w:r>
            <w:r>
              <w:rPr>
                <w:rFonts w:ascii="Times New Roman" w:hAnsi="Times New Roman"/>
                <w:bCs/>
                <w:sz w:val="21"/>
                <w:szCs w:val="21"/>
                <w:highlight w:val="none"/>
              </w:rPr>
              <w:t>乡镇集中式饮用水水源保护区</w:t>
            </w:r>
          </w:p>
          <w:p>
            <w:pPr>
              <w:spacing w:line="240" w:lineRule="auto"/>
              <w:ind w:left="0" w:leftChars="0" w:firstLine="0" w:firstLineChars="0"/>
              <w:jc w:val="center"/>
              <w:rPr>
                <w:rFonts w:ascii="Times New Roman" w:hAnsi="Times New Roman"/>
                <w:bCs/>
                <w:sz w:val="21"/>
                <w:szCs w:val="21"/>
                <w:highlight w:val="none"/>
              </w:rPr>
            </w:pPr>
            <w:r>
              <w:rPr>
                <w:rFonts w:hint="eastAsia"/>
                <w:bCs/>
                <w:sz w:val="21"/>
                <w:szCs w:val="21"/>
                <w:highlight w:val="none"/>
                <w:lang w:eastAsia="zh-CN"/>
              </w:rPr>
              <w:t>（</w:t>
            </w:r>
            <w:r>
              <w:rPr>
                <w:rFonts w:hint="eastAsia"/>
                <w:bCs/>
                <w:sz w:val="21"/>
                <w:szCs w:val="21"/>
                <w:highlight w:val="none"/>
                <w:lang w:val="en-US" w:eastAsia="zh-CN"/>
              </w:rPr>
              <w:t>2</w:t>
            </w:r>
            <w:r>
              <w:rPr>
                <w:rFonts w:hint="eastAsia"/>
                <w:bCs/>
                <w:sz w:val="21"/>
                <w:szCs w:val="21"/>
                <w:highlight w:val="none"/>
                <w:lang w:eastAsia="zh-CN"/>
              </w:rPr>
              <w:t>）</w:t>
            </w:r>
            <w:r>
              <w:rPr>
                <w:rFonts w:ascii="Times New Roman" w:hAnsi="Times New Roman"/>
                <w:bCs/>
                <w:sz w:val="21"/>
                <w:szCs w:val="21"/>
                <w:highlight w:val="none"/>
              </w:rPr>
              <w:t>正阳县</w:t>
            </w:r>
            <w:r>
              <w:rPr>
                <w:rFonts w:hint="eastAsia" w:ascii="Times New Roman" w:hAnsi="Times New Roman"/>
                <w:bCs/>
                <w:sz w:val="21"/>
                <w:szCs w:val="21"/>
                <w:highlight w:val="none"/>
              </w:rPr>
              <w:t>铜钟镇</w:t>
            </w:r>
            <w:r>
              <w:rPr>
                <w:rFonts w:ascii="Times New Roman" w:hAnsi="Times New Roman"/>
                <w:bCs/>
                <w:sz w:val="21"/>
                <w:szCs w:val="21"/>
                <w:highlight w:val="none"/>
              </w:rPr>
              <w:t>地下水井(共</w:t>
            </w:r>
            <w:r>
              <w:rPr>
                <w:rFonts w:hint="eastAsia"/>
                <w:bCs/>
                <w:sz w:val="21"/>
                <w:szCs w:val="21"/>
                <w:highlight w:val="none"/>
                <w:lang w:val="en-US" w:eastAsia="zh-CN"/>
              </w:rPr>
              <w:t>1</w:t>
            </w:r>
            <w:r>
              <w:rPr>
                <w:rFonts w:ascii="Times New Roman" w:hAnsi="Times New Roman"/>
                <w:bCs/>
                <w:sz w:val="21"/>
                <w:szCs w:val="21"/>
                <w:highlight w:val="none"/>
              </w:rPr>
              <w:t>眼井)一级保护区范围</w:t>
            </w:r>
            <w:r>
              <w:rPr>
                <w:rFonts w:hint="eastAsia"/>
                <w:bCs/>
                <w:sz w:val="21"/>
                <w:szCs w:val="21"/>
                <w:highlight w:val="none"/>
                <w:lang w:eastAsia="zh-CN"/>
              </w:rPr>
              <w:t>：</w:t>
            </w:r>
            <w:r>
              <w:rPr>
                <w:rFonts w:ascii="Times New Roman" w:hAnsi="Times New Roman"/>
                <w:bCs/>
                <w:sz w:val="21"/>
                <w:szCs w:val="21"/>
                <w:highlight w:val="none"/>
              </w:rPr>
              <w:t>取水井外围30米的区域。</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本项目位于正阳县</w:t>
            </w:r>
            <w:r>
              <w:rPr>
                <w:rFonts w:hint="eastAsia" w:ascii="Times New Roman" w:hAnsi="Times New Roman"/>
                <w:bCs/>
                <w:sz w:val="21"/>
                <w:szCs w:val="21"/>
                <w:highlight w:val="none"/>
                <w:lang w:eastAsia="zh-CN"/>
              </w:rPr>
              <w:t>铜钟镇</w:t>
            </w:r>
            <w:r>
              <w:rPr>
                <w:rFonts w:hint="eastAsia"/>
                <w:bCs/>
                <w:sz w:val="21"/>
                <w:szCs w:val="21"/>
                <w:highlight w:val="none"/>
                <w:lang w:eastAsia="zh-CN"/>
              </w:rPr>
              <w:t>崔塘村</w:t>
            </w:r>
            <w:r>
              <w:rPr>
                <w:rFonts w:ascii="Times New Roman" w:hAnsi="Times New Roman"/>
                <w:bCs/>
                <w:sz w:val="21"/>
                <w:szCs w:val="21"/>
                <w:highlight w:val="none"/>
              </w:rPr>
              <w:t>，距县城规划区约</w:t>
            </w:r>
            <w:r>
              <w:rPr>
                <w:rFonts w:hint="eastAsia" w:ascii="Times New Roman" w:hAnsi="Times New Roman"/>
                <w:bCs/>
                <w:sz w:val="21"/>
                <w:szCs w:val="21"/>
                <w:highlight w:val="none"/>
                <w:lang w:val="en-US" w:eastAsia="zh-CN"/>
              </w:rPr>
              <w:t>22.7</w:t>
            </w:r>
            <w:r>
              <w:rPr>
                <w:rFonts w:ascii="Times New Roman" w:hAnsi="Times New Roman"/>
                <w:bCs/>
                <w:sz w:val="21"/>
                <w:szCs w:val="21"/>
                <w:highlight w:val="none"/>
              </w:rPr>
              <w:t>km，不在其禁养区范围</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本项目距离</w:t>
            </w:r>
            <w:r>
              <w:rPr>
                <w:rFonts w:hint="eastAsia" w:ascii="Times New Roman" w:hAnsi="Times New Roman"/>
                <w:bCs/>
                <w:sz w:val="21"/>
                <w:szCs w:val="21"/>
                <w:highlight w:val="none"/>
              </w:rPr>
              <w:t>正阳县铜钟镇地下水井1.3km</w:t>
            </w:r>
            <w:r>
              <w:rPr>
                <w:rFonts w:ascii="Times New Roman" w:hAnsi="Times New Roman"/>
                <w:bCs/>
                <w:sz w:val="21"/>
                <w:szCs w:val="21"/>
                <w:highlight w:val="none"/>
              </w:rPr>
              <w:t>，本项目不在其一级保护范围，本项目不在禁养区范围</w:t>
            </w:r>
          </w:p>
          <w:p>
            <w:pPr>
              <w:spacing w:line="240" w:lineRule="auto"/>
              <w:ind w:left="0" w:leftChars="0" w:firstLine="0" w:firstLineChars="0"/>
              <w:jc w:val="center"/>
              <w:rPr>
                <w:rFonts w:ascii="Times New Roman" w:hAnsi="Times New Roman"/>
                <w:bCs/>
                <w:sz w:val="21"/>
                <w:szCs w:val="21"/>
                <w:highlight w:val="none"/>
                <w:lang w:val="en-US" w:eastAsia="zh-CN"/>
              </w:rPr>
            </w:pPr>
          </w:p>
        </w:tc>
        <w:tc>
          <w:tcPr>
            <w:tcW w:w="40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不在禁养区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6"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1、县城建成区。即：学北路一花都大道一正阳大道一正花大道一鲁花大道（外延4 0 0米）一中心街一公明路一翰林路（外延4 0 0米）一慎水大道一慎东路一学</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北路区域范围内；</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2、镇区建成区。</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本项目位于正阳县</w:t>
            </w:r>
            <w:r>
              <w:rPr>
                <w:rFonts w:hint="eastAsia" w:ascii="Times New Roman" w:hAnsi="Times New Roman"/>
                <w:bCs/>
                <w:sz w:val="21"/>
                <w:szCs w:val="21"/>
                <w:highlight w:val="none"/>
                <w:lang w:eastAsia="zh-CN"/>
              </w:rPr>
              <w:t>铜钟镇</w:t>
            </w:r>
            <w:r>
              <w:rPr>
                <w:rFonts w:hint="eastAsia"/>
                <w:bCs/>
                <w:sz w:val="21"/>
                <w:szCs w:val="21"/>
                <w:highlight w:val="none"/>
                <w:lang w:eastAsia="zh-CN"/>
              </w:rPr>
              <w:t>崔塘村</w:t>
            </w:r>
            <w:r>
              <w:rPr>
                <w:rFonts w:ascii="Times New Roman" w:hAnsi="Times New Roman"/>
                <w:bCs/>
                <w:sz w:val="21"/>
                <w:szCs w:val="21"/>
                <w:highlight w:val="none"/>
              </w:rPr>
              <w:t>，距县城规划区约</w:t>
            </w:r>
            <w:r>
              <w:rPr>
                <w:rFonts w:hint="eastAsia"/>
                <w:bCs/>
                <w:sz w:val="21"/>
                <w:szCs w:val="21"/>
                <w:highlight w:val="none"/>
                <w:lang w:val="en-US" w:eastAsia="zh-CN"/>
              </w:rPr>
              <w:t>22.7</w:t>
            </w:r>
            <w:r>
              <w:rPr>
                <w:rFonts w:ascii="Times New Roman" w:hAnsi="Times New Roman"/>
                <w:bCs/>
                <w:sz w:val="21"/>
                <w:szCs w:val="21"/>
                <w:highlight w:val="none"/>
              </w:rPr>
              <w:t>km，不在其禁养区范围；项目距离最近的</w:t>
            </w:r>
            <w:r>
              <w:rPr>
                <w:rFonts w:hint="eastAsia" w:ascii="Times New Roman" w:hAnsi="Times New Roman"/>
                <w:bCs/>
                <w:sz w:val="21"/>
                <w:szCs w:val="21"/>
                <w:highlight w:val="none"/>
              </w:rPr>
              <w:t>铜钟镇</w:t>
            </w:r>
            <w:r>
              <w:rPr>
                <w:rFonts w:ascii="Times New Roman" w:hAnsi="Times New Roman"/>
                <w:bCs/>
                <w:sz w:val="21"/>
                <w:szCs w:val="21"/>
                <w:highlight w:val="none"/>
              </w:rPr>
              <w:t>建成区约</w:t>
            </w:r>
            <w:r>
              <w:rPr>
                <w:rFonts w:hint="eastAsia"/>
                <w:bCs/>
                <w:sz w:val="21"/>
                <w:szCs w:val="21"/>
                <w:highlight w:val="none"/>
                <w:lang w:val="en-US" w:eastAsia="zh-CN"/>
              </w:rPr>
              <w:t>1.3</w:t>
            </w:r>
            <w:r>
              <w:rPr>
                <w:rFonts w:ascii="Times New Roman" w:hAnsi="Times New Roman"/>
                <w:bCs/>
                <w:sz w:val="21"/>
                <w:szCs w:val="21"/>
                <w:highlight w:val="none"/>
              </w:rPr>
              <w:t>km，项目不在其禁养区范围</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6"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（三）河流</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淮河干流（正阳段）防洪堤防安全保护区</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本项目距离淮河干流堤防安全保护区直线距离</w:t>
            </w:r>
            <w:r>
              <w:rPr>
                <w:rFonts w:hint="eastAsia"/>
                <w:bCs/>
                <w:sz w:val="21"/>
                <w:szCs w:val="21"/>
                <w:highlight w:val="none"/>
                <w:lang w:val="en-US" w:eastAsia="zh-CN"/>
              </w:rPr>
              <w:t>14.3</w:t>
            </w:r>
            <w:r>
              <w:rPr>
                <w:rFonts w:ascii="Times New Roman" w:hAnsi="Times New Roman"/>
                <w:bCs/>
                <w:sz w:val="21"/>
                <w:szCs w:val="21"/>
                <w:highlight w:val="none"/>
              </w:rPr>
              <w:t>km</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2516"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（四）国家颁布的风景名胜区、文化历史遗迹保护区以及自然保护区的核心区为禁养区。</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项目周边无风景名胜区、文化历史遗迹保护区以及自然保护区的核心区</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516"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（五）法律、法规规定的其他禁养区域</w:t>
            </w:r>
          </w:p>
        </w:tc>
        <w:tc>
          <w:tcPr>
            <w:tcW w:w="207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项目选址符合《畜禽养殖业污染防治技术规范》（HJ/T81-2001）</w:t>
            </w:r>
          </w:p>
        </w:tc>
        <w:tc>
          <w:tcPr>
            <w:tcW w:w="403" w:type="pct"/>
            <w:vMerge w:val="continue"/>
            <w:noWrap w:val="0"/>
            <w:vAlign w:val="center"/>
          </w:tcPr>
          <w:p>
            <w:pPr>
              <w:widowControl/>
              <w:spacing w:line="240" w:lineRule="auto"/>
              <w:jc w:val="center"/>
              <w:rPr>
                <w:rFonts w:ascii="Times New Roman" w:hAnsi="Times New Roman"/>
                <w:sz w:val="21"/>
                <w:szCs w:val="21"/>
                <w:highlight w:val="none"/>
              </w:rPr>
            </w:pPr>
          </w:p>
        </w:tc>
      </w:tr>
    </w:tbl>
    <w:p>
      <w:pPr>
        <w:pStyle w:val="10"/>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与《畜禽养殖业污染防治技术规范》（HJ/T81-2001）相符性分析</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 xml:space="preserve">《畜禽养殖业污染防治技术规范》第三条  新建、改建、扩建的畜禽养殖场选址应避开禁建区域（禁建区域为生活饮用水水源保护区、风景名胜区、自然保护区的核心区及缓冲区；城市和城镇居民区，包括文教科研区、医疗区、商业区、工业区、游览区等人口集中地区；县级人民政府规定的禁养区域；国家或地方法律、法规规定需特殊保护的其它区域），在禁建区域附近建设的，应设在规定的禁建区域常年主导风向的下风向或侧风向处。 </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第五条  畜禽粪便的贮存设施位置必须远离各类功能地表水体（距离不得小于400m），并应设在养殖场生产及生活管理区的常年主导风向的下风向或侧风向处。</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本项目位于正阳县铜钟镇</w:t>
      </w:r>
      <w:r>
        <w:rPr>
          <w:rFonts w:hint="eastAsia"/>
          <w:b w:val="0"/>
          <w:bCs w:val="0"/>
          <w:highlight w:val="none"/>
          <w:lang w:eastAsia="zh-CN"/>
        </w:rPr>
        <w:t>崔塘村</w:t>
      </w:r>
      <w:r>
        <w:rPr>
          <w:rFonts w:hint="eastAsia"/>
          <w:b w:val="0"/>
          <w:bCs w:val="0"/>
          <w:highlight w:val="none"/>
        </w:rPr>
        <w:t>，属于新建项目，距离最近的村庄为</w:t>
      </w:r>
      <w:r>
        <w:rPr>
          <w:rFonts w:ascii="Times New Roman" w:hAnsi="Times New Roman"/>
          <w:sz w:val="24"/>
          <w:highlight w:val="none"/>
        </w:rPr>
        <w:t>项目</w:t>
      </w:r>
      <w:r>
        <w:rPr>
          <w:rFonts w:ascii="Times New Roman" w:hAnsi="Times New Roman"/>
          <w:bCs/>
          <w:color w:val="000000"/>
          <w:sz w:val="24"/>
          <w:highlight w:val="none"/>
        </w:rPr>
        <w:t>西</w:t>
      </w:r>
      <w:r>
        <w:rPr>
          <w:rFonts w:ascii="Times New Roman" w:hAnsi="Times New Roman"/>
          <w:bCs/>
          <w:color w:val="000000"/>
          <w:sz w:val="24"/>
          <w:highlight w:val="none"/>
          <w:lang w:val="zh-CN"/>
        </w:rPr>
        <w:t>侧</w:t>
      </w:r>
      <w:r>
        <w:rPr>
          <w:rFonts w:hint="eastAsia" w:ascii="Times New Roman" w:hAnsi="Times New Roman"/>
          <w:bCs/>
          <w:color w:val="000000"/>
          <w:sz w:val="24"/>
          <w:highlight w:val="none"/>
          <w:lang w:val="en-US" w:eastAsia="zh-CN"/>
        </w:rPr>
        <w:t>230</w:t>
      </w:r>
      <w:r>
        <w:rPr>
          <w:rFonts w:ascii="Times New Roman" w:hAnsi="Times New Roman"/>
          <w:bCs/>
          <w:color w:val="000000"/>
          <w:sz w:val="24"/>
          <w:highlight w:val="none"/>
        </w:rPr>
        <w:t>m</w:t>
      </w:r>
      <w:r>
        <w:rPr>
          <w:rFonts w:ascii="Times New Roman" w:hAnsi="Times New Roman"/>
          <w:bCs/>
          <w:color w:val="000000"/>
          <w:sz w:val="24"/>
          <w:highlight w:val="none"/>
          <w:lang w:val="zh-CN"/>
        </w:rPr>
        <w:t>处的</w:t>
      </w:r>
      <w:r>
        <w:rPr>
          <w:rFonts w:hint="eastAsia" w:ascii="Times New Roman" w:hAnsi="Times New Roman"/>
          <w:bCs/>
          <w:color w:val="000000"/>
          <w:sz w:val="24"/>
          <w:highlight w:val="none"/>
          <w:lang w:eastAsia="zh-CN"/>
        </w:rPr>
        <w:t>黎刘庄</w:t>
      </w:r>
      <w:r>
        <w:rPr>
          <w:rFonts w:hint="eastAsia"/>
          <w:b w:val="0"/>
          <w:bCs w:val="0"/>
          <w:highlight w:val="none"/>
        </w:rPr>
        <w:t>，项目场址周边无《畜禽养殖业污染防治技术规范》（HJ/T81-2001）中第三条规定的相关区域，亦不在正阳县人民政府划定的禁养区、限养区范围内。</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距离最近的水体为项目</w:t>
      </w:r>
      <w:r>
        <w:rPr>
          <w:rFonts w:hint="eastAsia" w:ascii="Times New Roman" w:hAnsi="Times New Roman"/>
          <w:color w:val="000000"/>
          <w:sz w:val="24"/>
          <w:szCs w:val="24"/>
          <w:highlight w:val="none"/>
          <w:lang w:eastAsia="zh-CN"/>
        </w:rPr>
        <w:t>北</w:t>
      </w:r>
      <w:r>
        <w:rPr>
          <w:rFonts w:ascii="Times New Roman" w:hAnsi="Times New Roman"/>
          <w:color w:val="000000"/>
          <w:sz w:val="24"/>
          <w:szCs w:val="24"/>
          <w:highlight w:val="none"/>
        </w:rPr>
        <w:t>侧</w:t>
      </w:r>
      <w:r>
        <w:rPr>
          <w:rFonts w:hint="eastAsia" w:ascii="Times New Roman" w:hAnsi="Times New Roman"/>
          <w:color w:val="000000"/>
          <w:sz w:val="24"/>
          <w:szCs w:val="24"/>
          <w:highlight w:val="none"/>
          <w:lang w:val="en-US" w:eastAsia="zh-CN"/>
        </w:rPr>
        <w:t>2850</w:t>
      </w:r>
      <w:r>
        <w:rPr>
          <w:rFonts w:ascii="Times New Roman" w:hAnsi="Times New Roman"/>
          <w:color w:val="000000"/>
          <w:sz w:val="24"/>
          <w:szCs w:val="24"/>
          <w:highlight w:val="none"/>
        </w:rPr>
        <w:t>m</w:t>
      </w:r>
      <w:r>
        <w:rPr>
          <w:rFonts w:hint="eastAsia" w:ascii="Times New Roman" w:hAnsi="Times New Roman"/>
          <w:color w:val="000000"/>
          <w:sz w:val="24"/>
          <w:szCs w:val="24"/>
          <w:highlight w:val="none"/>
          <w:lang w:eastAsia="zh-CN"/>
        </w:rPr>
        <w:t>处</w:t>
      </w:r>
      <w:r>
        <w:rPr>
          <w:rFonts w:ascii="Times New Roman" w:hAnsi="Times New Roman"/>
          <w:color w:val="000000"/>
          <w:sz w:val="24"/>
          <w:szCs w:val="24"/>
          <w:highlight w:val="none"/>
        </w:rPr>
        <w:t>的</w:t>
      </w:r>
      <w:r>
        <w:rPr>
          <w:rFonts w:hint="eastAsia" w:ascii="Times New Roman" w:hAnsi="Times New Roman"/>
          <w:color w:val="000000"/>
          <w:sz w:val="24"/>
          <w:szCs w:val="24"/>
          <w:highlight w:val="none"/>
          <w:lang w:eastAsia="zh-CN"/>
        </w:rPr>
        <w:t>清水河</w:t>
      </w:r>
      <w:r>
        <w:rPr>
          <w:rFonts w:hint="eastAsia"/>
          <w:b w:val="0"/>
          <w:bCs w:val="0"/>
          <w:highlight w:val="none"/>
        </w:rPr>
        <w:t>，项目畜禽粪便贮存设施周围400m范围内无各类功能地表水体，同时项目设置的畜禽粪便的贮存设施位于养殖场的</w:t>
      </w:r>
      <w:r>
        <w:rPr>
          <w:rFonts w:hint="eastAsia"/>
          <w:b w:val="0"/>
          <w:bCs w:val="0"/>
          <w:highlight w:val="none"/>
          <w:lang w:eastAsia="zh-CN"/>
        </w:rPr>
        <w:t>北</w:t>
      </w:r>
      <w:r>
        <w:rPr>
          <w:rFonts w:hint="eastAsia"/>
          <w:b w:val="0"/>
          <w:bCs w:val="0"/>
          <w:highlight w:val="none"/>
        </w:rPr>
        <w:t>侧，在养殖场生活办公区常年主导风向的侧风向处。</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highlight w:val="none"/>
        </w:rPr>
      </w:pPr>
      <w:r>
        <w:rPr>
          <w:rFonts w:hint="eastAsia"/>
          <w:b w:val="0"/>
          <w:bCs w:val="0"/>
          <w:highlight w:val="none"/>
        </w:rPr>
        <w:t>综上所述，本项目符合《畜禽养殖业污染防治技术规范》（HJ/T81-2001）的上述相关规定。</w:t>
      </w:r>
    </w:p>
    <w:p>
      <w:pPr>
        <w:pStyle w:val="10"/>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与《河南省人民政府办公厅关于印发河南省“十三五”生态环境保护规划的通知》（豫政办〔2017〕77号）相符性分析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根据《河南省人民政府办公厅关于印发河南省“十三五”生态环境保护规划的通知》的相关内容：防治畜禽养殖污染。科学划定调整畜禽养殖禁养区、限养区范围，加强分区分类管理，以废弃物资源化利用为途径，整县推进畜禽养殖污染防治。到2020年，75%以上的规模化养殖场（小区）配套建设固体废弃物和污水贮存、处理及利用设施。</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属于禽畜规模养殖场，且本项目选址不在正阳县划定的畜禽规模养殖禁养区范围之内，本项目配套建设有固体废弃物和污水贮存、处理及利用设施，符合《河南省人民政府办公厅关于印发河南省“十三五”生态环境保护规划的通知》的相关内容。</w:t>
      </w:r>
    </w:p>
    <w:p>
      <w:pPr>
        <w:pStyle w:val="10"/>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与《河南省水污染防治条例》（2019年10月1日起施行）相符性分析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《河南省水污染防治条例》第三十九条 县级以上人民政府应当依法划定畜禽养殖的禁养区和限养区，并向社会公布。</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从事畜禽养殖经营活动应当及时对畜禽粪便、污水进行收集、贮存、清运等处置，禁止将未经处置的畜禽粪便、污水直接排入环境。</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养殖场、养殖小区应当配套建设畜禽粪便、污水贮存、处理、利用设施，推进畜禽粪便、污水资源化利用。畜禽养殖场、养殖小区应当按照规定的排放标准排放水污染物。支持畜禽养殖场、养殖小区建设畜禽粪便、污水的综合利用或者无害化处理设施。</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畜禽散养密集区所在地县、乡级人民政府应当组织对畜禽粪便、污水进行分户收集、集中处理利用。</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属于禽畜规模养殖场，不在正阳县人民政府依法划定畜禽养殖的禁养区范围之内，项目营运期间配套建设粪便污水处理设施，养殖废水及职工生活废水经场区内污水处理系统处理后在场区内沼液储存池暂存，施肥季节用于周围农田施肥，非施肥季节场区内沼液暂存池暂存不外排；其中产生的病死猪尸体及胎盘</w:t>
      </w:r>
      <w:r>
        <w:rPr>
          <w:rFonts w:hint="eastAsia"/>
          <w:b w:val="0"/>
          <w:bCs w:val="0"/>
          <w:sz w:val="24"/>
          <w:szCs w:val="24"/>
          <w:highlight w:val="none"/>
          <w:lang w:eastAsia="zh-CN"/>
        </w:rPr>
        <w:t>送往正阳一场</w:t>
      </w:r>
      <w:r>
        <w:rPr>
          <w:rFonts w:hint="eastAsia"/>
          <w:b w:val="0"/>
          <w:bCs w:val="0"/>
          <w:sz w:val="24"/>
          <w:szCs w:val="24"/>
          <w:highlight w:val="none"/>
        </w:rPr>
        <w:t>无害化中心进行处置，符合《河南省水污染防治条例》中有关畜禽养殖的规定。</w:t>
      </w:r>
    </w:p>
    <w:p>
      <w:pPr>
        <w:pStyle w:val="10"/>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与</w:t>
      </w:r>
      <w:r>
        <w:rPr>
          <w:rFonts w:hint="eastAsia"/>
          <w:b/>
          <w:bCs/>
          <w:highlight w:val="none"/>
          <w:lang w:eastAsia="zh-CN"/>
        </w:rPr>
        <w:t>“三线一单”</w:t>
      </w:r>
      <w:r>
        <w:rPr>
          <w:rFonts w:hint="eastAsia"/>
          <w:b/>
          <w:bCs/>
          <w:highlight w:val="none"/>
        </w:rPr>
        <w:t>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①生态红线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需依法在重点生态功能区、生态环境敏感区和脆弱区等区域划定的严格管控边界，是国家和区域生态安全的底线，对于维护生态安全格局、保障生态服务功能、支撑经济社会可持续发展具有重要作用。根据《河南省生态保护红线划定方案》（征求意见稿），对全省各市区的生态保护红线进行了划定。其中北汝河水源涵养生态保护红线区、唐河水源涵养生态保护红线区、宿鸭湖湿地生物多样性维护生态保护红线区、桐柏山淮河源水源涵养生态保护红线区、汝河水源涵养生态保护红线区、汝河汝南生物多样性维护生态保护红线区、洪河水源涵养生态保护红线区、淮河干流水源保护生态保护红线区、澧河水源涵养生态保护红线区、高乐山天目山生物多样性维护生态保护红线区被列入了驻马店市生态保护红线区。本项目选址位于正阳县</w:t>
      </w:r>
      <w:r>
        <w:rPr>
          <w:rFonts w:hint="eastAsia"/>
          <w:b w:val="0"/>
          <w:bCs w:val="0"/>
          <w:sz w:val="24"/>
          <w:szCs w:val="24"/>
          <w:highlight w:val="none"/>
          <w:lang w:eastAsia="zh-CN"/>
        </w:rPr>
        <w:t>铜钟镇崔塘村</w:t>
      </w:r>
      <w:r>
        <w:rPr>
          <w:rFonts w:hint="eastAsia"/>
          <w:b w:val="0"/>
          <w:bCs w:val="0"/>
          <w:sz w:val="24"/>
          <w:szCs w:val="24"/>
          <w:highlight w:val="none"/>
        </w:rPr>
        <w:t>，不在上述的生态保护红线区范围内，因此项目建设符合生态红线要求。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②环境质量底线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项目排放污染物主要为</w:t>
      </w:r>
      <w:r>
        <w:rPr>
          <w:rFonts w:hint="eastAsia"/>
          <w:b w:val="0"/>
          <w:bCs w:val="0"/>
          <w:sz w:val="24"/>
          <w:szCs w:val="24"/>
          <w:highlight w:val="none"/>
          <w:lang w:eastAsia="zh-CN"/>
        </w:rPr>
        <w:t>颗粒物、</w:t>
      </w:r>
      <w:r>
        <w:rPr>
          <w:rFonts w:hint="eastAsia"/>
          <w:b w:val="0"/>
          <w:bCs w:val="0"/>
          <w:sz w:val="24"/>
          <w:szCs w:val="24"/>
          <w:highlight w:val="none"/>
        </w:rPr>
        <w:t>SO</w:t>
      </w:r>
      <w:r>
        <w:rPr>
          <w:rFonts w:hint="eastAsia"/>
          <w:b w:val="0"/>
          <w:bCs w:val="0"/>
          <w:sz w:val="24"/>
          <w:szCs w:val="24"/>
          <w:highlight w:val="none"/>
          <w:vertAlign w:val="subscript"/>
        </w:rPr>
        <w:t>2</w:t>
      </w:r>
      <w:r>
        <w:rPr>
          <w:rFonts w:hint="eastAsia"/>
          <w:b w:val="0"/>
          <w:bCs w:val="0"/>
          <w:sz w:val="24"/>
          <w:szCs w:val="24"/>
          <w:highlight w:val="none"/>
        </w:rPr>
        <w:t>、NO</w:t>
      </w:r>
      <w:r>
        <w:rPr>
          <w:rFonts w:hint="eastAsia"/>
          <w:b w:val="0"/>
          <w:bCs w:val="0"/>
          <w:sz w:val="24"/>
          <w:szCs w:val="24"/>
          <w:highlight w:val="none"/>
          <w:vertAlign w:val="subscript"/>
          <w:lang w:val="en-US" w:eastAsia="zh-CN"/>
        </w:rPr>
        <w:t>X</w:t>
      </w:r>
      <w:r>
        <w:rPr>
          <w:rFonts w:hint="eastAsia"/>
          <w:b w:val="0"/>
          <w:bCs w:val="0"/>
          <w:sz w:val="24"/>
          <w:szCs w:val="24"/>
          <w:highlight w:val="none"/>
        </w:rPr>
        <w:t>、氨和硫化氢，经预测，项目排放污染物落地浓度对周边环境贡献较小，不会对周边大气环境造成大的影响。</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项目所在地的主要地表水体为</w:t>
      </w:r>
      <w:r>
        <w:rPr>
          <w:rFonts w:hint="eastAsia"/>
          <w:b w:val="0"/>
          <w:bCs w:val="0"/>
          <w:sz w:val="24"/>
          <w:szCs w:val="24"/>
          <w:highlight w:val="none"/>
          <w:lang w:eastAsia="zh-CN"/>
        </w:rPr>
        <w:t>北</w:t>
      </w:r>
      <w:r>
        <w:rPr>
          <w:rFonts w:hint="eastAsia"/>
          <w:b w:val="0"/>
          <w:bCs w:val="0"/>
          <w:sz w:val="24"/>
          <w:szCs w:val="24"/>
          <w:highlight w:val="none"/>
        </w:rPr>
        <w:t>侧</w:t>
      </w:r>
      <w:r>
        <w:rPr>
          <w:rFonts w:hint="eastAsia"/>
          <w:b w:val="0"/>
          <w:bCs w:val="0"/>
          <w:sz w:val="24"/>
          <w:szCs w:val="24"/>
          <w:highlight w:val="none"/>
          <w:lang w:val="en-US" w:eastAsia="zh-CN"/>
        </w:rPr>
        <w:t>2850</w:t>
      </w:r>
      <w:r>
        <w:rPr>
          <w:rFonts w:hint="eastAsia"/>
          <w:b w:val="0"/>
          <w:bCs w:val="0"/>
          <w:sz w:val="24"/>
          <w:szCs w:val="24"/>
          <w:highlight w:val="none"/>
        </w:rPr>
        <w:t>m</w:t>
      </w:r>
      <w:r>
        <w:rPr>
          <w:rFonts w:hint="eastAsia"/>
          <w:b w:val="0"/>
          <w:bCs w:val="0"/>
          <w:sz w:val="24"/>
          <w:szCs w:val="24"/>
          <w:highlight w:val="none"/>
          <w:lang w:eastAsia="zh-CN"/>
        </w:rPr>
        <w:t>处</w:t>
      </w:r>
      <w:r>
        <w:rPr>
          <w:rFonts w:hint="eastAsia"/>
          <w:b w:val="0"/>
          <w:bCs w:val="0"/>
          <w:sz w:val="24"/>
          <w:szCs w:val="24"/>
          <w:highlight w:val="none"/>
        </w:rPr>
        <w:t>的</w:t>
      </w:r>
      <w:r>
        <w:rPr>
          <w:rFonts w:hint="eastAsia"/>
          <w:b w:val="0"/>
          <w:bCs w:val="0"/>
          <w:sz w:val="24"/>
          <w:szCs w:val="24"/>
          <w:highlight w:val="none"/>
          <w:lang w:eastAsia="zh-CN"/>
        </w:rPr>
        <w:t>清水河</w:t>
      </w:r>
      <w:r>
        <w:rPr>
          <w:rFonts w:hint="eastAsia"/>
          <w:b w:val="0"/>
          <w:bCs w:val="0"/>
          <w:sz w:val="24"/>
          <w:szCs w:val="24"/>
          <w:highlight w:val="none"/>
        </w:rPr>
        <w:t>，执行《地表水环境质量标准》（GB3838-2002）中的Ⅲ类标准，除</w:t>
      </w:r>
      <w:r>
        <w:rPr>
          <w:rFonts w:hint="eastAsia"/>
          <w:b w:val="0"/>
          <w:bCs w:val="0"/>
          <w:sz w:val="24"/>
          <w:szCs w:val="24"/>
          <w:highlight w:val="none"/>
          <w:lang w:val="en-US" w:eastAsia="zh-CN"/>
        </w:rPr>
        <w:t>COD浓度</w:t>
      </w:r>
      <w:r>
        <w:rPr>
          <w:rFonts w:hint="eastAsia"/>
          <w:b w:val="0"/>
          <w:bCs w:val="0"/>
          <w:sz w:val="24"/>
          <w:szCs w:val="24"/>
          <w:highlight w:val="none"/>
        </w:rPr>
        <w:t>超标外，其他监测因子能够满足《地表水环境质量标准》（GB3838-2002）中III类类水质标准要求。本项目无废水外排，因此，不会对地表水体产生影响。</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本项目所在区域为2类声环境功能区，根据环境噪声现状监测结果，项目区域内边界的昼、夜间噪声符合《声环境质量标准》GB3096-2008中2类标准。本项目建成后噪声产生量小，能满足《声环境质量标准》2类标准要求，本项目建设运营不会改变项目所在区域的声环境功能，因此项目建设声环境质量是符合要求的。</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综上，本项目建设符合环境质量底线要求的。</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③资源利用上线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能源主要依托当地电网供电。项目建设土地不涉及基本农田，土地资源消耗符合要求。因此，项目资源利用满足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④环境准入负面清单</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目前项目选址区域暂无明确的环境准入负面清单，本项目为正阳牧原农牧有限公司八场生猪养殖项目，不属于高污染、高能耗和资源型的产业类型。因此本项目应为环境准入允许类别。</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highlight w:val="none"/>
        </w:rPr>
      </w:pPr>
      <w:r>
        <w:rPr>
          <w:rFonts w:hint="eastAsia"/>
          <w:b w:val="0"/>
          <w:bCs w:val="0"/>
          <w:sz w:val="24"/>
          <w:szCs w:val="24"/>
          <w:highlight w:val="none"/>
        </w:rPr>
        <w:t>综上所述，本项目选址合理。</w:t>
      </w:r>
    </w:p>
    <w:p>
      <w:pPr>
        <w:pStyle w:val="10"/>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highlight w:val="none"/>
        </w:rPr>
      </w:pPr>
      <w:r>
        <w:rPr>
          <w:rFonts w:hint="eastAsia"/>
          <w:b/>
          <w:bCs/>
          <w:highlight w:val="none"/>
        </w:rPr>
        <w:t>场址及平面布置合理性分析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（1）场址合理性分析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本项目场址环境地质条件、环境自然条件、气象气候条件、水文条件、基础设施以及环境敏感点等方面均满足工程建设条件，从环境条件上讲，场址可行。本项目场址环境条件可行性分析见下表。</w:t>
      </w:r>
    </w:p>
    <w:p>
      <w:pPr>
        <w:pStyle w:val="22"/>
        <w:rPr>
          <w:rFonts w:ascii="Times New Roman" w:hAnsi="Times New Roman" w:eastAsia="宋体" w:cs="Times New Roman"/>
          <w:b/>
          <w:bCs w:val="0"/>
          <w:kern w:val="2"/>
          <w:sz w:val="21"/>
          <w:szCs w:val="21"/>
          <w:highlight w:val="none"/>
          <w:lang w:val="en-US" w:eastAsia="zh-CN" w:bidi="ar-SA"/>
        </w:rPr>
      </w:pPr>
      <w:r>
        <w:rPr>
          <w:rFonts w:ascii="Times New Roman" w:hAnsi="Times New Roman" w:eastAsia="宋体" w:cs="Times New Roman"/>
          <w:b/>
          <w:bCs w:val="0"/>
          <w:kern w:val="2"/>
          <w:sz w:val="21"/>
          <w:szCs w:val="21"/>
          <w:highlight w:val="none"/>
          <w:lang w:val="en-US" w:eastAsia="zh-CN" w:bidi="ar-SA"/>
        </w:rPr>
        <w:t>表1</w:t>
      </w:r>
      <w:r>
        <w:rPr>
          <w:rFonts w:hint="eastAsia" w:cs="Times New Roman"/>
          <w:b/>
          <w:bCs w:val="0"/>
          <w:kern w:val="2"/>
          <w:sz w:val="21"/>
          <w:szCs w:val="21"/>
          <w:highlight w:val="none"/>
          <w:lang w:val="en-US" w:eastAsia="zh-CN" w:bidi="ar-SA"/>
        </w:rPr>
        <w:t>.9</w:t>
      </w:r>
      <w:r>
        <w:rPr>
          <w:rFonts w:ascii="Times New Roman" w:hAnsi="Times New Roman" w:eastAsia="宋体" w:cs="Times New Roman"/>
          <w:b/>
          <w:bCs w:val="0"/>
          <w:kern w:val="2"/>
          <w:sz w:val="21"/>
          <w:szCs w:val="21"/>
          <w:highlight w:val="none"/>
          <w:lang w:val="en-US" w:eastAsia="zh-CN" w:bidi="ar-SA"/>
        </w:rPr>
        <w:t>-</w:t>
      </w:r>
      <w:r>
        <w:rPr>
          <w:rFonts w:hint="eastAsia" w:cs="Times New Roman"/>
          <w:b/>
          <w:bCs w:val="0"/>
          <w:kern w:val="2"/>
          <w:sz w:val="21"/>
          <w:szCs w:val="21"/>
          <w:highlight w:val="none"/>
          <w:lang w:val="en-US" w:eastAsia="zh-CN" w:bidi="ar-SA"/>
        </w:rPr>
        <w:t>2</w:t>
      </w:r>
      <w:r>
        <w:rPr>
          <w:rFonts w:ascii="Times New Roman" w:hAnsi="Times New Roman" w:eastAsia="宋体" w:cs="Times New Roman"/>
          <w:b/>
          <w:bCs w:val="0"/>
          <w:kern w:val="2"/>
          <w:sz w:val="21"/>
          <w:szCs w:val="21"/>
          <w:highlight w:val="none"/>
          <w:lang w:val="en-US" w:eastAsia="zh-CN" w:bidi="ar-SA"/>
        </w:rPr>
        <w:t xml:space="preserve"> 场址环境条件可行性分析结果</w:t>
      </w:r>
    </w:p>
    <w:tbl>
      <w:tblPr>
        <w:tblStyle w:val="24"/>
        <w:tblW w:w="84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4"/>
        <w:gridCol w:w="4726"/>
        <w:gridCol w:w="228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tblHeader/>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环境条件描述</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是否满足项目建设条件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场址</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位于正阳县</w:t>
            </w:r>
            <w:r>
              <w:rPr>
                <w:rFonts w:hint="eastAsia"/>
                <w:sz w:val="21"/>
                <w:szCs w:val="21"/>
                <w:highlight w:val="none"/>
                <w:lang w:eastAsia="zh-CN" w:bidi="ar-BH"/>
              </w:rPr>
              <w:t>铜钟镇崔塘村</w:t>
            </w:r>
            <w:r>
              <w:rPr>
                <w:rFonts w:ascii="Times New Roman" w:hAnsi="Times New Roman"/>
                <w:sz w:val="21"/>
                <w:szCs w:val="21"/>
                <w:highlight w:val="none"/>
                <w:lang w:bidi="ar-BH"/>
              </w:rPr>
              <w:t>，场区周围主要为农田，非城市、城镇居民集中区，场址符合正阳县总体发展规划。</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占地类型</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该养殖场占地性质为一般农田。</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发展规划相符性</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选址符合《正阳县畜禽养殖禁养区划定调整实施方案》、《畜禽养殖业污染防治技术规范》（HJ/T81-2001）、正阳县饮用水水源地保护区划、正阳县乡镇饮用水水源地保护区划、土地利规划等相关规划，不在禁养区范围内，属于适养区。</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58"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周围敏感点及设防距离</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距离最近的村庄为项目西侧</w:t>
            </w:r>
            <w:r>
              <w:rPr>
                <w:rFonts w:hint="eastAsia"/>
                <w:sz w:val="21"/>
                <w:szCs w:val="21"/>
                <w:highlight w:val="none"/>
                <w:lang w:val="en-US" w:eastAsia="zh-CN" w:bidi="ar-BH"/>
              </w:rPr>
              <w:t>230</w:t>
            </w:r>
            <w:r>
              <w:rPr>
                <w:rFonts w:ascii="Times New Roman" w:hAnsi="Times New Roman"/>
                <w:sz w:val="21"/>
                <w:szCs w:val="21"/>
                <w:highlight w:val="none"/>
                <w:lang w:bidi="ar-BH"/>
              </w:rPr>
              <w:t>m处的</w:t>
            </w:r>
            <w:r>
              <w:rPr>
                <w:rFonts w:hint="eastAsia" w:ascii="Times New Roman" w:hAnsi="Times New Roman"/>
                <w:sz w:val="21"/>
                <w:szCs w:val="21"/>
                <w:highlight w:val="none"/>
                <w:lang w:bidi="ar-BH"/>
              </w:rPr>
              <w:t>黎刘庄</w:t>
            </w:r>
            <w:r>
              <w:rPr>
                <w:rFonts w:ascii="Times New Roman" w:hAnsi="Times New Roman"/>
                <w:sz w:val="21"/>
                <w:szCs w:val="21"/>
                <w:highlight w:val="none"/>
                <w:lang w:bidi="ar-BH"/>
              </w:rPr>
              <w:t>。根据预测分析，</w:t>
            </w:r>
            <w:r>
              <w:rPr>
                <w:rFonts w:hint="eastAsia"/>
                <w:sz w:val="21"/>
                <w:szCs w:val="21"/>
                <w:highlight w:val="none"/>
                <w:lang w:eastAsia="zh-CN" w:bidi="ar-BH"/>
              </w:rPr>
              <w:t>无需设置</w:t>
            </w:r>
            <w:r>
              <w:rPr>
                <w:rFonts w:ascii="Times New Roman" w:hAnsi="Times New Roman"/>
                <w:sz w:val="21"/>
                <w:szCs w:val="21"/>
                <w:highlight w:val="none"/>
                <w:lang w:bidi="ar-BH"/>
              </w:rPr>
              <w:t>大气环境防护距离</w:t>
            </w:r>
            <w:r>
              <w:rPr>
                <w:rFonts w:hint="eastAsia"/>
                <w:sz w:val="21"/>
                <w:szCs w:val="21"/>
                <w:highlight w:val="none"/>
                <w:lang w:eastAsia="zh-CN" w:bidi="ar-BH"/>
              </w:rPr>
              <w:t>和</w:t>
            </w:r>
            <w:r>
              <w:rPr>
                <w:rFonts w:ascii="Times New Roman" w:hAnsi="Times New Roman"/>
                <w:sz w:val="21"/>
                <w:szCs w:val="21"/>
                <w:highlight w:val="none"/>
                <w:lang w:bidi="ar-BH"/>
              </w:rPr>
              <w:t>卫生防护距离（距场界）。</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沼液消纳能力分析</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场区产生的沼液需农田面积不少于</w:t>
            </w:r>
            <w:r>
              <w:rPr>
                <w:rFonts w:hint="eastAsia"/>
                <w:sz w:val="21"/>
                <w:szCs w:val="21"/>
                <w:highlight w:val="none"/>
                <w:lang w:val="en-US" w:eastAsia="zh-CN" w:bidi="ar-BH"/>
              </w:rPr>
              <w:t>3571</w:t>
            </w:r>
            <w:r>
              <w:rPr>
                <w:rFonts w:ascii="Times New Roman" w:hAnsi="Times New Roman"/>
                <w:sz w:val="21"/>
                <w:szCs w:val="21"/>
                <w:highlight w:val="none"/>
                <w:lang w:bidi="ar-BH"/>
              </w:rPr>
              <w:t>亩，正阳牧原农牧有限公司已与</w:t>
            </w:r>
            <w:r>
              <w:rPr>
                <w:rFonts w:hint="eastAsia"/>
                <w:sz w:val="21"/>
                <w:szCs w:val="21"/>
                <w:highlight w:val="none"/>
                <w:lang w:eastAsia="zh-CN" w:bidi="ar-BH"/>
              </w:rPr>
              <w:t>铜钟镇崔塘村</w:t>
            </w:r>
            <w:r>
              <w:rPr>
                <w:rFonts w:ascii="Times New Roman" w:hAnsi="Times New Roman"/>
                <w:sz w:val="21"/>
                <w:szCs w:val="21"/>
                <w:highlight w:val="none"/>
                <w:lang w:bidi="ar-BH"/>
              </w:rPr>
              <w:t>等村民委员会签订沼液消纳利用协议，租用村民土地</w:t>
            </w:r>
            <w:r>
              <w:rPr>
                <w:rFonts w:hint="eastAsia"/>
                <w:sz w:val="21"/>
                <w:szCs w:val="21"/>
                <w:highlight w:val="none"/>
                <w:lang w:val="en-US" w:eastAsia="zh-CN" w:bidi="ar-BH"/>
              </w:rPr>
              <w:t>600</w:t>
            </w:r>
            <w:r>
              <w:rPr>
                <w:rFonts w:ascii="Times New Roman" w:hAnsi="Times New Roman"/>
                <w:sz w:val="21"/>
                <w:szCs w:val="21"/>
                <w:highlight w:val="none"/>
                <w:lang w:bidi="ar-BH"/>
              </w:rPr>
              <w:t>0亩，可实现完全消纳沼液。</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区域地表水体</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项目场区最近地表水体为</w:t>
            </w:r>
            <w:r>
              <w:rPr>
                <w:rFonts w:hint="eastAsia" w:ascii="Times New Roman" w:hAnsi="Times New Roman"/>
                <w:sz w:val="21"/>
                <w:szCs w:val="21"/>
                <w:highlight w:val="none"/>
                <w:lang w:bidi="ar-BH"/>
              </w:rPr>
              <w:t>北侧2850m处的清水河</w:t>
            </w:r>
            <w:r>
              <w:rPr>
                <w:rFonts w:ascii="Times New Roman" w:hAnsi="Times New Roman"/>
                <w:sz w:val="21"/>
                <w:szCs w:val="21"/>
                <w:highlight w:val="none"/>
                <w:lang w:bidi="ar-BH"/>
              </w:rPr>
              <w:t>，项目固粪处理区满足《畜禽养殖业污染防治技术规范》（HJ/T81—2001）的规定（粪便贮存设施的位置必须远离各类功能地表水体，距离不得小于400m）；粪污处理及暂存区处于生产区、生活</w:t>
            </w:r>
          </w:p>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管理区的常年主导风向的侧风向和下风向处，满足HJ/T81-2001的管理规定</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气候、气象</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场址所处区域属温带大陆性季风气候，四季分明，且地质条件良好。</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环境影响预测</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项目运营期场界恶臭排放浓度及场界噪声均实现达标排放；在落实环评建议的前提下，对地下水的影响将降至最低</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环境风险防范</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企业在认真落实评价提出的各项防范措施后，可将项目风险发生的概率降至最低</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公众参与意见</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公众参与对象对项目建设持支持态度，并希望建设单位严格按照评价要求做好污染防治工作</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与文物古迹的关系</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项目周围没有文物古迹</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清洁生产水平</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清洁生产达到国内先进水平</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政府及管理部门意见</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对项目表支持态度，同意本工程在此地建设</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分析结果</w:t>
            </w:r>
          </w:p>
        </w:tc>
        <w:tc>
          <w:tcPr>
            <w:tcW w:w="4726"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从环境保护角度分析，本项目选址可行</w:t>
            </w:r>
          </w:p>
        </w:tc>
        <w:tc>
          <w:tcPr>
            <w:tcW w:w="2280" w:type="dxa"/>
            <w:noWrap w:val="0"/>
            <w:vAlign w:val="center"/>
          </w:tcPr>
          <w:p>
            <w:pPr>
              <w:adjustRightInd w:val="0"/>
              <w:snapToGrid w:val="0"/>
              <w:spacing w:line="360" w:lineRule="exact"/>
              <w:ind w:left="0" w:leftChars="0" w:firstLine="0" w:firstLineChars="0"/>
              <w:jc w:val="center"/>
              <w:rPr>
                <w:rFonts w:ascii="Times New Roman" w:hAnsi="Times New Roman"/>
                <w:sz w:val="21"/>
                <w:szCs w:val="21"/>
                <w:highlight w:val="none"/>
                <w:lang w:bidi="ar-BH"/>
              </w:rPr>
            </w:pPr>
            <w:r>
              <w:rPr>
                <w:rFonts w:ascii="Times New Roman" w:hAnsi="Times New Roman"/>
                <w:sz w:val="21"/>
                <w:szCs w:val="21"/>
                <w:highlight w:val="none"/>
                <w:lang w:bidi="ar-BH"/>
              </w:rPr>
              <w:t>满足</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综上所述，项目选址可行。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（2）场区平面布置合理性分析</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场区实行生产区、办公区与污染治理区的三区分离，项目共分为办公生活区、养殖区</w:t>
      </w:r>
      <w:r>
        <w:rPr>
          <w:rFonts w:hint="eastAsia"/>
          <w:highlight w:val="none"/>
          <w:lang w:eastAsia="zh-CN"/>
        </w:rPr>
        <w:t>、治污区、饲料加工区四</w:t>
      </w:r>
      <w:r>
        <w:rPr>
          <w:rFonts w:hint="eastAsia"/>
          <w:highlight w:val="none"/>
        </w:rPr>
        <w:t>部分。生活区包括宿舍楼、食堂等；养殖区主要包括</w:t>
      </w:r>
      <w:r>
        <w:rPr>
          <w:rFonts w:hint="eastAsia"/>
          <w:highlight w:val="none"/>
          <w:lang w:eastAsia="zh-CN"/>
        </w:rPr>
        <w:t>哺乳</w:t>
      </w:r>
      <w:r>
        <w:rPr>
          <w:rFonts w:hint="eastAsia"/>
          <w:highlight w:val="none"/>
        </w:rPr>
        <w:t>舍、</w:t>
      </w:r>
      <w:r>
        <w:rPr>
          <w:rFonts w:hint="eastAsia"/>
          <w:highlight w:val="none"/>
          <w:lang w:eastAsia="zh-CN"/>
        </w:rPr>
        <w:t>怀孕</w:t>
      </w:r>
      <w:r>
        <w:rPr>
          <w:rFonts w:hint="eastAsia"/>
          <w:highlight w:val="none"/>
        </w:rPr>
        <w:t>舍、保育舍、育肥舍、后备舍等；</w:t>
      </w:r>
      <w:r>
        <w:rPr>
          <w:rFonts w:hint="eastAsia"/>
          <w:highlight w:val="none"/>
          <w:lang w:eastAsia="zh-CN"/>
        </w:rPr>
        <w:t>治污</w:t>
      </w:r>
      <w:r>
        <w:rPr>
          <w:rFonts w:hint="eastAsia"/>
          <w:highlight w:val="none"/>
        </w:rPr>
        <w:t>区包括</w:t>
      </w:r>
      <w:r>
        <w:rPr>
          <w:rFonts w:hint="eastAsia"/>
          <w:highlight w:val="none"/>
          <w:lang w:eastAsia="zh-CN"/>
        </w:rPr>
        <w:t>固粪处理区、</w:t>
      </w:r>
      <w:r>
        <w:rPr>
          <w:rFonts w:hint="eastAsia"/>
          <w:highlight w:val="none"/>
        </w:rPr>
        <w:t>收集池、</w:t>
      </w:r>
      <w:r>
        <w:rPr>
          <w:rFonts w:hint="eastAsia"/>
          <w:highlight w:val="none"/>
          <w:lang w:eastAsia="zh-CN"/>
        </w:rPr>
        <w:t>黑膜</w:t>
      </w:r>
      <w:r>
        <w:rPr>
          <w:rFonts w:hint="eastAsia"/>
          <w:highlight w:val="none"/>
        </w:rPr>
        <w:t>沼气池、沼液暂存池等</w:t>
      </w:r>
      <w:r>
        <w:rPr>
          <w:rFonts w:hint="eastAsia"/>
          <w:highlight w:val="none"/>
          <w:lang w:eastAsia="zh-CN"/>
        </w:rPr>
        <w:t>；饲料加工区包括原料暂存及生产加工车间、锅炉房、投料房、筒仓等</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根据企业设计，办公生活区设置在养殖区</w:t>
      </w:r>
      <w:r>
        <w:rPr>
          <w:rFonts w:hint="eastAsia"/>
          <w:highlight w:val="none"/>
          <w:lang w:eastAsia="zh-CN"/>
        </w:rPr>
        <w:t>西</w:t>
      </w:r>
      <w:r>
        <w:rPr>
          <w:rFonts w:hint="eastAsia"/>
          <w:highlight w:val="none"/>
        </w:rPr>
        <w:t>侧，和养殖区之间有绿化带相隔，生产人员进出场区时可以尽可能避开养殖区，有利于猪舍防疫，可最大程度减轻对场区内部的影响。</w:t>
      </w:r>
      <w:r>
        <w:rPr>
          <w:rFonts w:hint="eastAsia"/>
          <w:highlight w:val="none"/>
          <w:lang w:eastAsia="zh-CN"/>
        </w:rPr>
        <w:t>饲料加工区位于养殖区西侧，有助于生产的便利进行。</w:t>
      </w:r>
      <w:r>
        <w:rPr>
          <w:rFonts w:hint="eastAsia"/>
          <w:highlight w:val="none"/>
        </w:rPr>
        <w:t>污水处理区位于养殖区</w:t>
      </w:r>
      <w:r>
        <w:rPr>
          <w:rFonts w:hint="eastAsia"/>
          <w:highlight w:val="none"/>
          <w:lang w:eastAsia="zh-CN"/>
        </w:rPr>
        <w:t>北</w:t>
      </w:r>
      <w:r>
        <w:rPr>
          <w:rFonts w:hint="eastAsia"/>
          <w:highlight w:val="none"/>
        </w:rPr>
        <w:t>侧，以便于养殖区污水通过管道直接输送至污水处理区，污水处理后可自流至沼液储存池中。沼液储存池、固粪处理区、污水处理设施均位于养殖区及生活区的下风向，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根据场区布置情况，项目平面布置功能分区明确，场址平面布置可行，同时，要求项目建设时应严格按照《畜禽养殖业污染防治技术规范》（HJ/T81-2001）要求进行布置。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szCs w:val="24"/>
          <w:highlight w:val="none"/>
        </w:rPr>
      </w:pPr>
      <w:r>
        <w:rPr>
          <w:rFonts w:ascii="Times New Roman" w:hAnsi="Times New Roman"/>
          <w:bCs/>
          <w:color w:val="000000"/>
          <w:sz w:val="24"/>
          <w:szCs w:val="24"/>
          <w:highlight w:val="none"/>
        </w:rPr>
        <w:t>评价建议企业在建设过程中，对场区空闲土地和场界进行多层次多方位立体绿化，如在猪舍之间及粪污处理及暂存区加强绿化，减轻工程恶臭污染物排放对区域环境的影响，并逐步完善和优化场区平面布置。</w:t>
      </w:r>
    </w:p>
    <w:p>
      <w:pPr>
        <w:pStyle w:val="6"/>
        <w:spacing w:beforeLines="0"/>
        <w:rPr>
          <w:rFonts w:cs="Times New Roman"/>
          <w:highlight w:val="none"/>
        </w:rPr>
      </w:pPr>
      <w:bookmarkStart w:id="12" w:name="_Toc25850"/>
      <w:r>
        <w:rPr>
          <w:rFonts w:hint="eastAsia" w:cs="Times New Roman"/>
          <w:highlight w:val="none"/>
          <w:lang w:val="en-US" w:eastAsia="zh-CN"/>
        </w:rPr>
        <w:t>1.10</w:t>
      </w:r>
      <w:r>
        <w:rPr>
          <w:rFonts w:cs="Times New Roman"/>
          <w:highlight w:val="none"/>
        </w:rPr>
        <w:t>评价工作程序</w:t>
      </w:r>
      <w:bookmarkEnd w:id="12"/>
    </w:p>
    <w:p>
      <w:pPr>
        <w:ind w:firstLine="480"/>
        <w:rPr>
          <w:highlight w:val="none"/>
        </w:rPr>
      </w:pPr>
      <w:r>
        <w:rPr>
          <w:highlight w:val="none"/>
        </w:rPr>
        <w:t>环境影响评价的工作程序详见图</w:t>
      </w:r>
      <w:r>
        <w:rPr>
          <w:rFonts w:hint="eastAsia"/>
          <w:highlight w:val="none"/>
          <w:lang w:val="en-US" w:eastAsia="zh-CN"/>
        </w:rPr>
        <w:t>1.10</w:t>
      </w:r>
      <w:r>
        <w:rPr>
          <w:highlight w:val="none"/>
        </w:rPr>
        <w:t>-1</w:t>
      </w:r>
      <w:r>
        <w:rPr>
          <w:rFonts w:hint="eastAsia"/>
          <w:highlight w:val="none"/>
        </w:rPr>
        <w:t>。</w:t>
      </w:r>
    </w:p>
    <w:p>
      <w:pPr>
        <w:ind w:firstLine="0" w:firstLineChars="0"/>
        <w:rPr>
          <w:rFonts w:cs="Times New Roman"/>
          <w:highlight w:val="none"/>
        </w:rPr>
      </w:pPr>
      <w:r>
        <w:rPr>
          <w:rFonts w:cs="Times New Roman"/>
          <w:highlight w:val="none"/>
        </w:rPr>
        <w:drawing>
          <wp:inline distT="0" distB="0" distL="114300" distR="114300">
            <wp:extent cx="4745355" cy="6794500"/>
            <wp:effectExtent l="0" t="0" r="171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745355" cy="6794500"/>
                    </a:xfrm>
                    <a:prstGeom prst="rect">
                      <a:avLst/>
                    </a:prstGeom>
                    <a:noFill/>
                    <a:ln w="9525">
                      <a:noFill/>
                    </a:ln>
                  </pic:spPr>
                </pic:pic>
              </a:graphicData>
            </a:graphic>
          </wp:inline>
        </w:drawing>
      </w:r>
    </w:p>
    <w:p>
      <w:pPr>
        <w:pStyle w:val="40"/>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图1.</w:t>
      </w:r>
      <w:r>
        <w:rPr>
          <w:rFonts w:hint="eastAsia" w:cs="Times New Roman"/>
          <w:highlight w:val="none"/>
          <w:lang w:val="en-US" w:eastAsia="zh-CN"/>
        </w:rPr>
        <w:t>10</w:t>
      </w:r>
      <w:r>
        <w:rPr>
          <w:rFonts w:cs="Times New Roman"/>
          <w:highlight w:val="none"/>
        </w:rPr>
        <w:t>-1评价工作程序</w:t>
      </w:r>
    </w:p>
    <w:p>
      <w:pPr>
        <w:pStyle w:val="5"/>
        <w:spacing w:before="166" w:after="166"/>
        <w:rPr>
          <w:rFonts w:hint="eastAsia" w:eastAsia="宋体"/>
          <w:highlight w:val="none"/>
          <w:lang w:eastAsia="zh-CN"/>
        </w:rPr>
      </w:pPr>
      <w:bookmarkStart w:id="13" w:name="_Toc20961"/>
      <w:r>
        <w:rPr>
          <w:highlight w:val="none"/>
        </w:rPr>
        <w:t>2</w:t>
      </w:r>
      <w:r>
        <w:rPr>
          <w:rFonts w:hint="eastAsia"/>
          <w:highlight w:val="none"/>
        </w:rPr>
        <w:t>项目概况</w:t>
      </w:r>
      <w:r>
        <w:rPr>
          <w:rFonts w:hint="eastAsia"/>
          <w:highlight w:val="none"/>
          <w:lang w:eastAsia="zh-CN"/>
        </w:rPr>
        <w:t>及工程分析</w:t>
      </w:r>
      <w:bookmarkEnd w:id="13"/>
    </w:p>
    <w:p>
      <w:pPr>
        <w:pStyle w:val="6"/>
        <w:spacing w:beforeLines="0"/>
        <w:rPr>
          <w:highlight w:val="none"/>
        </w:rPr>
      </w:pPr>
      <w:bookmarkStart w:id="14" w:name="_Toc14870"/>
      <w:r>
        <w:rPr>
          <w:rFonts w:cs="Times New Roman"/>
          <w:highlight w:val="none"/>
        </w:rPr>
        <w:t>2.</w:t>
      </w:r>
      <w:r>
        <w:rPr>
          <w:rFonts w:hint="eastAsia" w:cs="Times New Roman"/>
          <w:highlight w:val="none"/>
        </w:rPr>
        <w:t>1</w:t>
      </w:r>
      <w:r>
        <w:rPr>
          <w:highlight w:val="none"/>
        </w:rPr>
        <w:t>工程基本情况</w:t>
      </w:r>
      <w:bookmarkEnd w:id="14"/>
    </w:p>
    <w:p>
      <w:pPr>
        <w:ind w:firstLine="480"/>
        <w:rPr>
          <w:rFonts w:cs="Times New Roman"/>
          <w:highlight w:val="none"/>
        </w:rPr>
      </w:pPr>
      <w:r>
        <w:rPr>
          <w:rFonts w:cs="Times New Roman"/>
          <w:highlight w:val="none"/>
        </w:rPr>
        <w:t>项目名称：</w:t>
      </w:r>
      <w:r>
        <w:rPr>
          <w:rFonts w:hint="eastAsia"/>
          <w:highlight w:val="none"/>
        </w:rPr>
        <w:t>正阳牧原农牧有限公司八场生猪养殖项目</w:t>
      </w:r>
    </w:p>
    <w:p>
      <w:pPr>
        <w:ind w:firstLine="480"/>
        <w:rPr>
          <w:rFonts w:cs="Times New Roman"/>
          <w:highlight w:val="none"/>
        </w:rPr>
      </w:pPr>
      <w:r>
        <w:rPr>
          <w:rFonts w:cs="Times New Roman"/>
          <w:highlight w:val="none"/>
        </w:rPr>
        <w:t>建设单位：</w:t>
      </w:r>
      <w:r>
        <w:rPr>
          <w:rFonts w:hint="eastAsia"/>
          <w:highlight w:val="none"/>
        </w:rPr>
        <w:t>正阳牧原农牧有限公司</w:t>
      </w:r>
    </w:p>
    <w:p>
      <w:pPr>
        <w:ind w:firstLine="480"/>
        <w:rPr>
          <w:rFonts w:cs="Times New Roman"/>
          <w:highlight w:val="none"/>
        </w:rPr>
      </w:pPr>
      <w:r>
        <w:rPr>
          <w:rFonts w:cs="Times New Roman"/>
          <w:highlight w:val="none"/>
        </w:rPr>
        <w:t>建设性质：</w:t>
      </w:r>
      <w:r>
        <w:rPr>
          <w:rFonts w:hint="eastAsia" w:cs="Times New Roman"/>
          <w:highlight w:val="none"/>
        </w:rPr>
        <w:t>新建</w:t>
      </w:r>
    </w:p>
    <w:p>
      <w:pPr>
        <w:ind w:firstLine="480"/>
        <w:rPr>
          <w:rFonts w:hint="eastAsia" w:eastAsia="宋体" w:cs="Times New Roman"/>
          <w:highlight w:val="none"/>
          <w:lang w:eastAsia="zh-CN"/>
        </w:rPr>
      </w:pPr>
      <w:r>
        <w:rPr>
          <w:rFonts w:hint="eastAsia" w:cs="Times New Roman"/>
          <w:highlight w:val="none"/>
        </w:rPr>
        <w:t>建设地点</w:t>
      </w:r>
      <w:r>
        <w:rPr>
          <w:rFonts w:cs="Times New Roman"/>
          <w:highlight w:val="none"/>
        </w:rPr>
        <w:t>：</w:t>
      </w:r>
      <w:r>
        <w:rPr>
          <w:rFonts w:hint="eastAsia" w:cs="Times New Roman"/>
          <w:highlight w:val="none"/>
        </w:rPr>
        <w:t>正阳县铜钟镇</w:t>
      </w:r>
      <w:r>
        <w:rPr>
          <w:rFonts w:hint="eastAsia" w:cs="Times New Roman"/>
          <w:highlight w:val="none"/>
          <w:lang w:eastAsia="zh-CN"/>
        </w:rPr>
        <w:t>崔塘村</w:t>
      </w:r>
    </w:p>
    <w:p>
      <w:pPr>
        <w:ind w:firstLine="480"/>
        <w:rPr>
          <w:rFonts w:cs="Times New Roman"/>
          <w:highlight w:val="none"/>
        </w:rPr>
      </w:pPr>
      <w:r>
        <w:rPr>
          <w:rFonts w:hint="eastAsia" w:cs="Times New Roman"/>
          <w:highlight w:val="none"/>
        </w:rPr>
        <w:t>占地面积</w:t>
      </w:r>
      <w:r>
        <w:rPr>
          <w:rFonts w:cs="Times New Roman"/>
          <w:highlight w:val="none"/>
        </w:rPr>
        <w:t>：</w:t>
      </w:r>
      <w:r>
        <w:rPr>
          <w:rFonts w:hint="eastAsia" w:cs="Times New Roman"/>
          <w:highlight w:val="none"/>
        </w:rPr>
        <w:t>项目总占地面积</w:t>
      </w:r>
      <w:r>
        <w:rPr>
          <w:rFonts w:hint="eastAsia" w:cs="Times New Roman"/>
          <w:highlight w:val="none"/>
          <w:lang w:val="en-US" w:eastAsia="zh-CN"/>
        </w:rPr>
        <w:t>362</w:t>
      </w:r>
      <w:r>
        <w:rPr>
          <w:rFonts w:hint="eastAsia" w:cs="Times New Roman"/>
          <w:highlight w:val="none"/>
        </w:rPr>
        <w:t>亩</w:t>
      </w:r>
    </w:p>
    <w:p>
      <w:pPr>
        <w:ind w:firstLine="480"/>
        <w:rPr>
          <w:rFonts w:cs="Times New Roman"/>
          <w:highlight w:val="none"/>
        </w:rPr>
      </w:pPr>
      <w:r>
        <w:rPr>
          <w:rFonts w:hint="eastAsia" w:cs="Times New Roman"/>
          <w:highlight w:val="none"/>
        </w:rPr>
        <w:t>建设内容：生猪养殖项目</w:t>
      </w:r>
    </w:p>
    <w:p>
      <w:pPr>
        <w:ind w:firstLine="480"/>
        <w:rPr>
          <w:rFonts w:hint="eastAsia" w:eastAsia="宋体" w:cs="Times New Roman"/>
          <w:highlight w:val="none"/>
          <w:lang w:eastAsia="zh-CN"/>
        </w:rPr>
      </w:pPr>
      <w:r>
        <w:rPr>
          <w:rFonts w:hint="eastAsia" w:cs="Times New Roman"/>
          <w:highlight w:val="none"/>
        </w:rPr>
        <w:t>建设规模：</w:t>
      </w:r>
      <w:r>
        <w:rPr>
          <w:rFonts w:hint="eastAsia" w:cs="Times New Roman"/>
          <w:highlight w:val="none"/>
          <w:lang w:eastAsia="zh-CN"/>
        </w:rPr>
        <w:t>年</w:t>
      </w:r>
      <w:r>
        <w:rPr>
          <w:rFonts w:hint="eastAsia" w:cs="Times New Roman"/>
          <w:highlight w:val="none"/>
        </w:rPr>
        <w:t>出栏15万头</w:t>
      </w:r>
      <w:r>
        <w:rPr>
          <w:rFonts w:hint="eastAsia" w:cs="Times New Roman"/>
          <w:highlight w:val="none"/>
          <w:lang w:eastAsia="zh-CN"/>
        </w:rPr>
        <w:t>生猪</w:t>
      </w:r>
    </w:p>
    <w:p>
      <w:pPr>
        <w:tabs>
          <w:tab w:val="left" w:pos="7180"/>
        </w:tabs>
        <w:ind w:firstLine="480"/>
        <w:rPr>
          <w:rFonts w:cs="Times New Roman"/>
          <w:highlight w:val="none"/>
        </w:rPr>
      </w:pPr>
      <w:r>
        <w:rPr>
          <w:rFonts w:hint="eastAsia" w:cs="Times New Roman"/>
          <w:highlight w:val="none"/>
        </w:rPr>
        <w:t>项目</w:t>
      </w:r>
      <w:r>
        <w:rPr>
          <w:rFonts w:cs="Times New Roman"/>
          <w:highlight w:val="none"/>
        </w:rPr>
        <w:t>投资：</w:t>
      </w:r>
      <w:r>
        <w:rPr>
          <w:rFonts w:hint="eastAsia" w:cs="Times New Roman"/>
          <w:highlight w:val="none"/>
        </w:rPr>
        <w:t>总投资</w:t>
      </w:r>
      <w:r>
        <w:rPr>
          <w:rFonts w:hint="eastAsia" w:cs="Times New Roman"/>
          <w:highlight w:val="none"/>
          <w:lang w:val="en-US" w:eastAsia="zh-CN"/>
        </w:rPr>
        <w:t>16639.57</w:t>
      </w:r>
      <w:r>
        <w:rPr>
          <w:rFonts w:hint="eastAsia" w:cs="Times New Roman"/>
          <w:highlight w:val="none"/>
        </w:rPr>
        <w:t>万元，其中环保投资</w:t>
      </w:r>
      <w:r>
        <w:rPr>
          <w:rFonts w:hint="eastAsia" w:cs="Times New Roman"/>
          <w:highlight w:val="none"/>
          <w:lang w:val="en-US" w:eastAsia="zh-CN"/>
        </w:rPr>
        <w:t>6</w:t>
      </w:r>
      <w:r>
        <w:rPr>
          <w:rFonts w:hint="eastAsia" w:cs="Times New Roman"/>
          <w:highlight w:val="none"/>
        </w:rPr>
        <w:t>37万元</w:t>
      </w:r>
    </w:p>
    <w:p>
      <w:pPr>
        <w:ind w:firstLine="480"/>
        <w:rPr>
          <w:rFonts w:hint="eastAsia" w:eastAsia="宋体"/>
          <w:highlight w:val="none"/>
          <w:lang w:eastAsia="zh-CN"/>
        </w:rPr>
      </w:pPr>
      <w:r>
        <w:rPr>
          <w:rFonts w:hint="eastAsia" w:cs="Times New Roman"/>
          <w:highlight w:val="none"/>
        </w:rPr>
        <w:t>行业类别：</w:t>
      </w:r>
      <w:r>
        <w:rPr>
          <w:highlight w:val="none"/>
        </w:rPr>
        <w:t>C</w:t>
      </w:r>
      <w:r>
        <w:rPr>
          <w:rFonts w:hint="eastAsia"/>
          <w:highlight w:val="none"/>
          <w:lang w:val="en-US" w:eastAsia="zh-CN"/>
        </w:rPr>
        <w:t>0313</w:t>
      </w:r>
      <w:r>
        <w:rPr>
          <w:rFonts w:hint="eastAsia"/>
          <w:highlight w:val="none"/>
          <w:lang w:eastAsia="zh-CN"/>
        </w:rPr>
        <w:t>猪的饲养</w:t>
      </w:r>
    </w:p>
    <w:p>
      <w:pPr>
        <w:ind w:firstLine="480"/>
        <w:rPr>
          <w:rFonts w:cs="Times New Roman"/>
          <w:highlight w:val="none"/>
        </w:rPr>
      </w:pPr>
      <w:r>
        <w:rPr>
          <w:rFonts w:cs="Times New Roman"/>
          <w:highlight w:val="none"/>
        </w:rPr>
        <w:t>项目主要建设内容见表2.</w:t>
      </w:r>
      <w:r>
        <w:rPr>
          <w:rFonts w:hint="eastAsia" w:cs="Times New Roman"/>
          <w:highlight w:val="none"/>
        </w:rPr>
        <w:t>1</w:t>
      </w:r>
      <w:r>
        <w:rPr>
          <w:rFonts w:cs="Times New Roman"/>
          <w:highlight w:val="none"/>
        </w:rPr>
        <w:t>-1。</w:t>
      </w:r>
    </w:p>
    <w:p>
      <w:pPr>
        <w:ind w:firstLine="0" w:firstLineChars="0"/>
        <w:rPr>
          <w:rFonts w:cs="Times New Roman"/>
          <w:highlight w:val="none"/>
        </w:rPr>
      </w:pPr>
    </w:p>
    <w:p>
      <w:pPr>
        <w:pStyle w:val="40"/>
        <w:jc w:val="both"/>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cs="Times New Roman"/>
          <w:highlight w:val="none"/>
        </w:rPr>
      </w:pPr>
      <w:r>
        <w:rPr>
          <w:rFonts w:cs="Times New Roman"/>
          <w:highlight w:val="none"/>
        </w:rPr>
        <w:t>表2.</w:t>
      </w:r>
      <w:r>
        <w:rPr>
          <w:rFonts w:hint="eastAsia" w:cs="Times New Roman"/>
          <w:highlight w:val="none"/>
        </w:rPr>
        <w:t>1</w:t>
      </w:r>
      <w:r>
        <w:rPr>
          <w:rFonts w:cs="Times New Roman"/>
          <w:highlight w:val="none"/>
        </w:rPr>
        <w:t>-1</w:t>
      </w:r>
      <w:r>
        <w:rPr>
          <w:rFonts w:hint="eastAsia" w:cs="Times New Roman"/>
          <w:highlight w:val="none"/>
        </w:rPr>
        <w:t xml:space="preserve"> </w:t>
      </w:r>
      <w:r>
        <w:rPr>
          <w:rFonts w:cs="Times New Roman"/>
          <w:highlight w:val="none"/>
        </w:rPr>
        <w:t>项目建设内容一览表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51" w:type="dxa"/>
          <w:bottom w:w="0" w:type="dxa"/>
          <w:right w:w="51" w:type="dxa"/>
        </w:tblCellMar>
      </w:tblPr>
      <w:tblGrid>
        <w:gridCol w:w="460"/>
        <w:gridCol w:w="417"/>
        <w:gridCol w:w="222"/>
        <w:gridCol w:w="222"/>
        <w:gridCol w:w="1304"/>
        <w:gridCol w:w="4311"/>
        <w:gridCol w:w="146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工程名称</w:t>
            </w:r>
          </w:p>
        </w:tc>
        <w:tc>
          <w:tcPr>
            <w:tcW w:w="1762" w:type="dxa"/>
            <w:gridSpan w:val="4"/>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单项工程名称</w:t>
            </w:r>
          </w:p>
        </w:tc>
        <w:tc>
          <w:tcPr>
            <w:tcW w:w="4312" w:type="dxa"/>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工程内容</w:t>
            </w:r>
          </w:p>
        </w:tc>
        <w:tc>
          <w:tcPr>
            <w:tcW w:w="0" w:type="auto"/>
            <w:tcBorders>
              <w:tl2br w:val="nil"/>
              <w:tr2bl w:val="nil"/>
            </w:tcBorders>
            <w:vAlign w:val="center"/>
          </w:tcPr>
          <w:p>
            <w:pPr>
              <w:spacing w:line="240" w:lineRule="auto"/>
              <w:ind w:firstLine="0" w:firstLineChars="0"/>
              <w:jc w:val="center"/>
              <w:rPr>
                <w:b w:val="0"/>
                <w:bCs w:val="0"/>
                <w:sz w:val="21"/>
                <w:szCs w:val="21"/>
                <w:highlight w:val="none"/>
              </w:rPr>
            </w:pPr>
            <w:r>
              <w:rPr>
                <w:b w:val="0"/>
                <w:bCs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90" w:hRule="atLeast"/>
          <w:jc w:val="center"/>
        </w:trPr>
        <w:tc>
          <w:tcPr>
            <w:tcW w:w="0" w:type="auto"/>
            <w:vMerge w:val="restart"/>
            <w:tcBorders>
              <w:tl2br w:val="nil"/>
              <w:tr2bl w:val="nil"/>
            </w:tcBorders>
            <w:shd w:val="clear" w:color="auto" w:fill="auto"/>
            <w:vAlign w:val="center"/>
          </w:tcPr>
          <w:p>
            <w:pPr>
              <w:spacing w:line="240" w:lineRule="auto"/>
              <w:ind w:firstLine="0" w:firstLineChars="0"/>
              <w:jc w:val="center"/>
              <w:rPr>
                <w:sz w:val="21"/>
                <w:szCs w:val="21"/>
                <w:highlight w:val="none"/>
              </w:rPr>
            </w:pPr>
            <w:r>
              <w:rPr>
                <w:sz w:val="21"/>
                <w:szCs w:val="21"/>
                <w:highlight w:val="none"/>
              </w:rPr>
              <w:t>主体工程</w:t>
            </w:r>
          </w:p>
        </w:tc>
        <w:tc>
          <w:tcPr>
            <w:tcW w:w="1762" w:type="dxa"/>
            <w:gridSpan w:val="4"/>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保育舍</w:t>
            </w:r>
          </w:p>
        </w:tc>
        <w:tc>
          <w:tcPr>
            <w:tcW w:w="4312"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bCs/>
                <w:color w:val="000000"/>
                <w:kern w:val="0"/>
                <w:sz w:val="21"/>
                <w:szCs w:val="21"/>
                <w:highlight w:val="none"/>
                <w:lang w:val="en-US" w:eastAsia="zh-CN"/>
              </w:rPr>
              <w:t>48</w:t>
            </w:r>
            <w:r>
              <w:rPr>
                <w:rFonts w:hint="eastAsia"/>
                <w:bCs/>
                <w:color w:val="000000"/>
                <w:kern w:val="0"/>
                <w:sz w:val="21"/>
                <w:szCs w:val="21"/>
                <w:highlight w:val="none"/>
                <w:lang w:eastAsia="zh-CN"/>
              </w:rPr>
              <w:t>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37.98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7</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12761.28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35"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育肥舍</w:t>
            </w:r>
          </w:p>
        </w:tc>
        <w:tc>
          <w:tcPr>
            <w:tcW w:w="4312"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bCs/>
                <w:color w:val="000000"/>
                <w:kern w:val="0"/>
                <w:sz w:val="21"/>
                <w:szCs w:val="21"/>
                <w:highlight w:val="none"/>
                <w:lang w:val="en-US" w:eastAsia="zh-CN"/>
              </w:rPr>
              <w:t>73</w:t>
            </w:r>
            <w:r>
              <w:rPr>
                <w:rFonts w:hint="eastAsia"/>
                <w:bCs/>
                <w:color w:val="000000"/>
                <w:kern w:val="0"/>
                <w:sz w:val="21"/>
                <w:szCs w:val="21"/>
                <w:highlight w:val="none"/>
                <w:lang w:eastAsia="zh-CN"/>
              </w:rPr>
              <w:t>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37.1</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37916.2</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怀孕舍</w:t>
            </w:r>
          </w:p>
        </w:tc>
        <w:tc>
          <w:tcPr>
            <w:tcW w:w="4312"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bCs/>
                <w:color w:val="000000"/>
                <w:kern w:val="0"/>
                <w:sz w:val="21"/>
                <w:szCs w:val="21"/>
                <w:highlight w:val="none"/>
                <w:lang w:val="en-US" w:eastAsia="zh-CN"/>
              </w:rPr>
              <w:t>27个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44.5</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14.2</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17061.3</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哺乳舍</w:t>
            </w:r>
          </w:p>
        </w:tc>
        <w:tc>
          <w:tcPr>
            <w:tcW w:w="4312"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bCs/>
                <w:color w:val="000000"/>
                <w:kern w:val="0"/>
                <w:sz w:val="21"/>
                <w:szCs w:val="21"/>
                <w:highlight w:val="none"/>
                <w:lang w:val="en-US" w:eastAsia="zh-CN"/>
              </w:rPr>
              <w:t>24个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29.2</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14.9</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10441.92</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48"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后备舍</w:t>
            </w:r>
          </w:p>
        </w:tc>
        <w:tc>
          <w:tcPr>
            <w:tcW w:w="4312"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bCs/>
                <w:color w:val="000000"/>
                <w:kern w:val="0"/>
                <w:sz w:val="21"/>
                <w:szCs w:val="21"/>
                <w:highlight w:val="none"/>
                <w:lang w:val="en-US" w:eastAsia="zh-CN"/>
              </w:rPr>
              <w:t>6个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31.3</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13.2</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2478.96</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96"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0" w:type="auto"/>
            <w:vMerge w:val="restart"/>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饲料加工区</w:t>
            </w:r>
          </w:p>
        </w:tc>
        <w:tc>
          <w:tcPr>
            <w:tcW w:w="1304" w:type="dxa"/>
            <w:gridSpan w:val="3"/>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原料暂存及加工车间</w:t>
            </w:r>
          </w:p>
        </w:tc>
        <w:tc>
          <w:tcPr>
            <w:tcW w:w="4312"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bCs/>
                <w:color w:val="000000"/>
                <w:kern w:val="0"/>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47</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705</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135"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0" w:type="auto"/>
            <w:vMerge w:val="continue"/>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p>
        </w:tc>
        <w:tc>
          <w:tcPr>
            <w:tcW w:w="1304" w:type="dxa"/>
            <w:gridSpan w:val="3"/>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投料棚</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rPr>
            </w:pPr>
            <w:r>
              <w:rPr>
                <w:rFonts w:hint="eastAsia"/>
                <w:bCs/>
                <w:color w:val="000000"/>
                <w:kern w:val="0"/>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30</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240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135"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0" w:type="auto"/>
            <w:vMerge w:val="continue"/>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p>
        </w:tc>
        <w:tc>
          <w:tcPr>
            <w:tcW w:w="1304" w:type="dxa"/>
            <w:gridSpan w:val="3"/>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生活区</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rPr>
            </w:pPr>
            <w:r>
              <w:rPr>
                <w:rFonts w:hint="eastAsia"/>
                <w:bCs/>
                <w:color w:val="000000"/>
                <w:kern w:val="0"/>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45.5</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12</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546</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22"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0" w:type="auto"/>
            <w:vMerge w:val="continue"/>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p>
        </w:tc>
        <w:tc>
          <w:tcPr>
            <w:tcW w:w="1304" w:type="dxa"/>
            <w:gridSpan w:val="3"/>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筒仓</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rPr>
            </w:pPr>
            <w:r>
              <w:rPr>
                <w:rFonts w:hint="eastAsia"/>
                <w:bCs/>
                <w:color w:val="000000"/>
                <w:kern w:val="0"/>
                <w:sz w:val="21"/>
                <w:szCs w:val="21"/>
                <w:highlight w:val="none"/>
                <w:lang w:val="en-US" w:eastAsia="zh-CN"/>
              </w:rPr>
              <w:t>3个</w:t>
            </w:r>
            <w:r>
              <w:rPr>
                <w:rFonts w:ascii="Times New Roman" w:hAnsi="Times New Roman"/>
                <w:bCs/>
                <w:color w:val="000000"/>
                <w:kern w:val="0"/>
                <w:sz w:val="21"/>
                <w:szCs w:val="21"/>
                <w:highlight w:val="none"/>
              </w:rPr>
              <w:t>，</w:t>
            </w:r>
            <w:r>
              <w:rPr>
                <w:rFonts w:hint="eastAsia"/>
                <w:bCs/>
                <w:color w:val="000000"/>
                <w:kern w:val="0"/>
                <w:sz w:val="21"/>
                <w:szCs w:val="21"/>
                <w:highlight w:val="none"/>
                <w:lang w:eastAsia="zh-CN"/>
              </w:rPr>
              <w:t>直径</w:t>
            </w:r>
            <w:r>
              <w:rPr>
                <w:rFonts w:hint="eastAsia"/>
                <w:bCs/>
                <w:color w:val="000000"/>
                <w:kern w:val="0"/>
                <w:sz w:val="21"/>
                <w:szCs w:val="21"/>
                <w:highlight w:val="none"/>
                <w:lang w:val="en-US" w:eastAsia="zh-CN"/>
              </w:rPr>
              <w:t>10</w:t>
            </w:r>
            <w:r>
              <w:rPr>
                <w:rFonts w:ascii="Times New Roman" w:hAnsi="Times New Roman"/>
                <w:bCs/>
                <w:color w:val="000000"/>
                <w:kern w:val="0"/>
                <w:sz w:val="21"/>
                <w:szCs w:val="21"/>
                <w:highlight w:val="none"/>
              </w:rPr>
              <w:t>m</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0" w:type="auto"/>
            <w:vMerge w:val="continue"/>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p>
        </w:tc>
        <w:tc>
          <w:tcPr>
            <w:tcW w:w="1304" w:type="dxa"/>
            <w:gridSpan w:val="3"/>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筒仓</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rPr>
            </w:pPr>
            <w:r>
              <w:rPr>
                <w:rFonts w:hint="eastAsia"/>
                <w:bCs/>
                <w:color w:val="000000"/>
                <w:kern w:val="0"/>
                <w:sz w:val="21"/>
                <w:szCs w:val="21"/>
                <w:highlight w:val="none"/>
                <w:lang w:val="en-US" w:eastAsia="zh-CN"/>
              </w:rPr>
              <w:t>1个</w:t>
            </w:r>
            <w:r>
              <w:rPr>
                <w:rFonts w:ascii="Times New Roman" w:hAnsi="Times New Roman"/>
                <w:bCs/>
                <w:color w:val="000000"/>
                <w:kern w:val="0"/>
                <w:sz w:val="21"/>
                <w:szCs w:val="21"/>
                <w:highlight w:val="none"/>
              </w:rPr>
              <w:t>，</w:t>
            </w:r>
            <w:r>
              <w:rPr>
                <w:rFonts w:hint="eastAsia"/>
                <w:bCs/>
                <w:color w:val="000000"/>
                <w:kern w:val="0"/>
                <w:sz w:val="21"/>
                <w:szCs w:val="21"/>
                <w:highlight w:val="none"/>
                <w:lang w:eastAsia="zh-CN"/>
              </w:rPr>
              <w:t>直径</w:t>
            </w:r>
            <w:r>
              <w:rPr>
                <w:rFonts w:hint="eastAsia"/>
                <w:bCs/>
                <w:color w:val="000000"/>
                <w:kern w:val="0"/>
                <w:sz w:val="21"/>
                <w:szCs w:val="21"/>
                <w:highlight w:val="none"/>
                <w:lang w:val="en-US" w:eastAsia="zh-CN"/>
              </w:rPr>
              <w:t>7</w:t>
            </w:r>
            <w:r>
              <w:rPr>
                <w:rFonts w:ascii="Times New Roman" w:hAnsi="Times New Roman"/>
                <w:bCs/>
                <w:color w:val="000000"/>
                <w:kern w:val="0"/>
                <w:sz w:val="21"/>
                <w:szCs w:val="21"/>
                <w:highlight w:val="none"/>
              </w:rPr>
              <w:t>m</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shd w:val="clear" w:color="auto" w:fill="auto"/>
            <w:vAlign w:val="center"/>
          </w:tcPr>
          <w:p>
            <w:pPr>
              <w:spacing w:line="240" w:lineRule="auto"/>
              <w:ind w:firstLine="0" w:firstLineChars="0"/>
              <w:jc w:val="center"/>
              <w:rPr>
                <w:sz w:val="21"/>
                <w:szCs w:val="21"/>
                <w:highlight w:val="none"/>
              </w:rPr>
            </w:pPr>
            <w:r>
              <w:rPr>
                <w:sz w:val="21"/>
                <w:szCs w:val="21"/>
                <w:highlight w:val="none"/>
              </w:rPr>
              <w:t>辅助工程</w:t>
            </w: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综合门卫</w:t>
            </w:r>
          </w:p>
        </w:tc>
        <w:tc>
          <w:tcPr>
            <w:tcW w:w="4312"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bCs/>
                <w:color w:val="000000"/>
                <w:kern w:val="0"/>
                <w:sz w:val="21"/>
                <w:szCs w:val="21"/>
                <w:highlight w:val="none"/>
                <w:lang w:val="en-US" w:eastAsia="zh-CN"/>
              </w:rPr>
              <w:t>2个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35.04</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8.94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626.52</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lang w:eastAsia="zh-CN"/>
              </w:rPr>
              <w:t>综合门卫</w:t>
            </w:r>
          </w:p>
        </w:tc>
        <w:tc>
          <w:tcPr>
            <w:tcW w:w="4312"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bCs/>
                <w:color w:val="000000"/>
                <w:kern w:val="0"/>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27.84</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8.94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248.89</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宿舍楼</w:t>
            </w:r>
          </w:p>
        </w:tc>
        <w:tc>
          <w:tcPr>
            <w:tcW w:w="4312" w:type="dxa"/>
            <w:tcBorders>
              <w:tl2br w:val="nil"/>
              <w:tr2bl w:val="nil"/>
            </w:tcBorders>
            <w:shd w:val="clear" w:color="auto" w:fill="auto"/>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2层，2栋，</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52.74</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16.84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1776.28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宿舍楼</w:t>
            </w:r>
          </w:p>
        </w:tc>
        <w:tc>
          <w:tcPr>
            <w:tcW w:w="4312"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2层，1栋，</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37.1</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16.84</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624.76</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装猪台</w:t>
            </w:r>
          </w:p>
        </w:tc>
        <w:tc>
          <w:tcPr>
            <w:tcW w:w="4312" w:type="dxa"/>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3套，</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7</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4.2</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88.2</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锅炉房</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6</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48</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r>
              <w:rPr>
                <w:rFonts w:hint="eastAsia"/>
                <w:bCs/>
                <w:color w:val="000000"/>
                <w:kern w:val="0"/>
                <w:sz w:val="21"/>
                <w:szCs w:val="21"/>
                <w:highlight w:val="none"/>
                <w:vertAlign w:val="baseline"/>
                <w:lang w:eastAsia="zh-CN"/>
              </w:rPr>
              <w:t>；配备</w:t>
            </w:r>
            <w:r>
              <w:rPr>
                <w:rFonts w:hint="eastAsia"/>
                <w:bCs/>
                <w:color w:val="000000"/>
                <w:kern w:val="0"/>
                <w:sz w:val="21"/>
                <w:szCs w:val="21"/>
                <w:highlight w:val="none"/>
                <w:vertAlign w:val="baseline"/>
                <w:lang w:val="en-US" w:eastAsia="zh-CN"/>
              </w:rPr>
              <w:t>1台2t沼气天然气两用锅炉</w:t>
            </w:r>
          </w:p>
        </w:tc>
        <w:tc>
          <w:tcPr>
            <w:tcW w:w="0" w:type="auto"/>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rPr>
              <w:t>位于项目</w:t>
            </w:r>
            <w:r>
              <w:rPr>
                <w:rFonts w:hint="eastAsia"/>
                <w:sz w:val="21"/>
                <w:szCs w:val="21"/>
                <w:highlight w:val="none"/>
                <w:lang w:eastAsia="zh-CN"/>
              </w:rPr>
              <w:t>饲料加工区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rPr>
              <w:t>电房</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40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eastAsia"/>
                <w:sz w:val="21"/>
                <w:szCs w:val="21"/>
                <w:highlight w:val="none"/>
              </w:rPr>
            </w:pPr>
            <w:r>
              <w:rPr>
                <w:rFonts w:hint="eastAsia"/>
                <w:sz w:val="21"/>
                <w:szCs w:val="21"/>
                <w:highlight w:val="none"/>
              </w:rPr>
              <w:t>位于项目</w:t>
            </w:r>
            <w:r>
              <w:rPr>
                <w:rFonts w:hint="eastAsia"/>
                <w:sz w:val="21"/>
                <w:szCs w:val="21"/>
                <w:highlight w:val="none"/>
                <w:lang w:eastAsia="zh-CN"/>
              </w:rPr>
              <w:t>饲料加工区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val="en-US" w:eastAsia="zh-CN"/>
              </w:rPr>
              <w:t>病死猪暂存间</w:t>
            </w:r>
          </w:p>
        </w:tc>
        <w:tc>
          <w:tcPr>
            <w:tcW w:w="4312" w:type="dxa"/>
            <w:tcBorders>
              <w:tl2br w:val="nil"/>
              <w:tr2bl w:val="nil"/>
            </w:tcBorders>
            <w:shd w:val="clear" w:color="auto" w:fill="auto"/>
            <w:vAlign w:val="center"/>
          </w:tcPr>
          <w:p>
            <w:pPr>
              <w:spacing w:line="240" w:lineRule="auto"/>
              <w:ind w:firstLine="420" w:firstLineChars="200"/>
              <w:jc w:val="center"/>
              <w:rPr>
                <w:rFonts w:hint="default"/>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8</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40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eastAsia"/>
                <w:sz w:val="21"/>
                <w:szCs w:val="21"/>
                <w:highlight w:val="none"/>
              </w:rPr>
            </w:pPr>
            <w:r>
              <w:rPr>
                <w:rFonts w:hint="eastAsia"/>
                <w:sz w:val="21"/>
                <w:szCs w:val="21"/>
                <w:highlight w:val="none"/>
              </w:rPr>
              <w:t>暂存当日病死猪及母猪胎盘胎衣，由专用车辆运送至正阳牧原一场无害化处理车间处置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val="en-US" w:eastAsia="zh-CN"/>
              </w:rPr>
              <w:t>医废暂存间</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4</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5</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20</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tcBorders>
              <w:tl2br w:val="nil"/>
              <w:tr2bl w:val="nil"/>
            </w:tcBorders>
            <w:shd w:val="clear" w:color="auto" w:fill="auto"/>
            <w:vAlign w:val="center"/>
          </w:tcPr>
          <w:p>
            <w:pPr>
              <w:spacing w:line="240" w:lineRule="auto"/>
              <w:ind w:left="0" w:leftChars="0" w:firstLine="0" w:firstLineChars="0"/>
              <w:jc w:val="center"/>
              <w:rPr>
                <w:rFonts w:hint="eastAsia"/>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rPr>
              <w:t>环保值班室</w:t>
            </w:r>
          </w:p>
        </w:tc>
        <w:tc>
          <w:tcPr>
            <w:tcW w:w="4312" w:type="dxa"/>
            <w:tcBorders>
              <w:tl2br w:val="nil"/>
              <w:tr2bl w:val="nil"/>
            </w:tcBorders>
            <w:shd w:val="clear" w:color="auto" w:fill="auto"/>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1套，</w:t>
            </w:r>
            <w:r>
              <w:rPr>
                <w:rFonts w:ascii="Times New Roman" w:hAnsi="Times New Roman"/>
                <w:bCs/>
                <w:color w:val="000000"/>
                <w:kern w:val="0"/>
                <w:sz w:val="21"/>
                <w:szCs w:val="21"/>
                <w:highlight w:val="none"/>
              </w:rPr>
              <w:t>规格</w:t>
            </w:r>
            <w:r>
              <w:rPr>
                <w:rFonts w:hint="eastAsia"/>
                <w:bCs/>
                <w:color w:val="000000"/>
                <w:kern w:val="0"/>
                <w:sz w:val="21"/>
                <w:szCs w:val="21"/>
                <w:highlight w:val="none"/>
                <w:lang w:val="en-US" w:eastAsia="zh-CN"/>
              </w:rPr>
              <w:t>21.6</w:t>
            </w:r>
            <w:r>
              <w:rPr>
                <w:rFonts w:ascii="Times New Roman" w:hAnsi="Times New Roman"/>
                <w:bCs/>
                <w:color w:val="000000"/>
                <w:kern w:val="0"/>
                <w:sz w:val="21"/>
                <w:szCs w:val="21"/>
                <w:highlight w:val="none"/>
              </w:rPr>
              <w:t>×</w:t>
            </w:r>
            <w:r>
              <w:rPr>
                <w:rFonts w:hint="eastAsia"/>
                <w:bCs/>
                <w:color w:val="000000"/>
                <w:kern w:val="0"/>
                <w:sz w:val="21"/>
                <w:szCs w:val="21"/>
                <w:highlight w:val="none"/>
                <w:lang w:val="en-US" w:eastAsia="zh-CN"/>
              </w:rPr>
              <w:t>8.7</w:t>
            </w:r>
            <w:r>
              <w:rPr>
                <w:rFonts w:ascii="Times New Roman" w:hAnsi="Times New Roman"/>
                <w:bCs/>
                <w:color w:val="000000"/>
                <w:kern w:val="0"/>
                <w:sz w:val="21"/>
                <w:szCs w:val="21"/>
                <w:highlight w:val="none"/>
              </w:rPr>
              <w:t>m，总建筑面积</w:t>
            </w:r>
            <w:r>
              <w:rPr>
                <w:rFonts w:hint="eastAsia"/>
                <w:bCs/>
                <w:color w:val="000000"/>
                <w:kern w:val="0"/>
                <w:sz w:val="21"/>
                <w:szCs w:val="21"/>
                <w:highlight w:val="none"/>
                <w:lang w:val="en-US" w:eastAsia="zh-CN"/>
              </w:rPr>
              <w:t>187.92</w:t>
            </w:r>
            <w:r>
              <w:rPr>
                <w:rFonts w:ascii="Times New Roman" w:hAnsi="Times New Roman"/>
                <w:bCs/>
                <w:color w:val="000000"/>
                <w:kern w:val="0"/>
                <w:sz w:val="21"/>
                <w:szCs w:val="21"/>
                <w:highlight w:val="none"/>
              </w:rPr>
              <w:t>m</w:t>
            </w:r>
            <w:r>
              <w:rPr>
                <w:rFonts w:ascii="Times New Roman" w:hAnsi="Times New Roman"/>
                <w:bCs/>
                <w:color w:val="000000"/>
                <w:kern w:val="0"/>
                <w:sz w:val="21"/>
                <w:szCs w:val="21"/>
                <w:highlight w:val="none"/>
                <w:vertAlign w:val="superscript"/>
              </w:rPr>
              <w:t>2</w:t>
            </w:r>
          </w:p>
        </w:tc>
        <w:tc>
          <w:tcPr>
            <w:tcW w:w="0" w:type="auto"/>
            <w:vMerge w:val="restart"/>
            <w:tcBorders>
              <w:tl2br w:val="nil"/>
              <w:tr2bl w:val="nil"/>
            </w:tcBorders>
            <w:shd w:val="clear" w:color="auto" w:fill="auto"/>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位于项目南区治污区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lang w:val="en-US" w:eastAsia="zh-CN"/>
              </w:rPr>
              <w:t>收集池</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hint="eastAsia"/>
                <w:bCs/>
                <w:color w:val="000000"/>
                <w:kern w:val="0"/>
                <w:sz w:val="21"/>
                <w:szCs w:val="21"/>
                <w:highlight w:val="none"/>
                <w:lang w:eastAsia="zh-CN"/>
              </w:rPr>
              <w:t>直径</w:t>
            </w:r>
            <w:r>
              <w:rPr>
                <w:rFonts w:hint="eastAsia"/>
                <w:bCs/>
                <w:color w:val="000000"/>
                <w:kern w:val="0"/>
                <w:sz w:val="21"/>
                <w:szCs w:val="21"/>
                <w:highlight w:val="none"/>
                <w:lang w:val="en-US" w:eastAsia="zh-CN"/>
              </w:rPr>
              <w:t>12</w:t>
            </w:r>
            <w:r>
              <w:rPr>
                <w:rFonts w:ascii="Times New Roman" w:hAnsi="Times New Roman"/>
                <w:bCs/>
                <w:color w:val="000000"/>
                <w:kern w:val="0"/>
                <w:sz w:val="21"/>
                <w:szCs w:val="21"/>
                <w:highlight w:val="none"/>
              </w:rPr>
              <w:t>m，</w:t>
            </w:r>
            <w:r>
              <w:rPr>
                <w:rFonts w:hint="eastAsia"/>
                <w:bCs/>
                <w:color w:val="000000"/>
                <w:kern w:val="0"/>
                <w:sz w:val="21"/>
                <w:szCs w:val="21"/>
                <w:highlight w:val="none"/>
                <w:lang w:eastAsia="zh-CN"/>
              </w:rPr>
              <w:t>深</w:t>
            </w:r>
            <w:r>
              <w:rPr>
                <w:rFonts w:hint="eastAsia"/>
                <w:bCs/>
                <w:color w:val="000000"/>
                <w:kern w:val="0"/>
                <w:sz w:val="21"/>
                <w:szCs w:val="21"/>
                <w:highlight w:val="none"/>
                <w:lang w:val="en-US" w:eastAsia="zh-CN"/>
              </w:rPr>
              <w:t>4m，</w:t>
            </w:r>
            <w:r>
              <w:rPr>
                <w:rFonts w:ascii="Times New Roman" w:hAnsi="Times New Roman"/>
                <w:bCs/>
                <w:color w:val="000000"/>
                <w:kern w:val="0"/>
                <w:sz w:val="21"/>
                <w:szCs w:val="21"/>
                <w:highlight w:val="none"/>
              </w:rPr>
              <w:t>总建筑面积</w:t>
            </w:r>
            <w:r>
              <w:rPr>
                <w:rFonts w:hint="eastAsia"/>
                <w:bCs/>
                <w:color w:val="000000"/>
                <w:kern w:val="0"/>
                <w:sz w:val="21"/>
                <w:szCs w:val="21"/>
                <w:highlight w:val="none"/>
                <w:lang w:val="en-US" w:eastAsia="zh-CN"/>
              </w:rPr>
              <w:t>452.6</w:t>
            </w:r>
            <w:r>
              <w:rPr>
                <w:rFonts w:ascii="Times New Roman" w:hAnsi="Times New Roman"/>
                <w:bCs/>
                <w:color w:val="000000"/>
                <w:kern w:val="0"/>
                <w:sz w:val="21"/>
                <w:szCs w:val="21"/>
                <w:highlight w:val="none"/>
              </w:rPr>
              <w:t>m</w:t>
            </w:r>
            <w:r>
              <w:rPr>
                <w:rFonts w:hint="eastAsia"/>
                <w:sz w:val="21"/>
                <w:szCs w:val="21"/>
                <w:highlight w:val="none"/>
                <w:vertAlign w:val="superscript"/>
              </w:rPr>
              <w:t>3</w:t>
            </w:r>
          </w:p>
        </w:tc>
        <w:tc>
          <w:tcPr>
            <w:tcW w:w="0" w:type="auto"/>
            <w:vMerge w:val="continue"/>
            <w:tcBorders>
              <w:tl2br w:val="nil"/>
              <w:tr2bl w:val="nil"/>
            </w:tcBorders>
            <w:shd w:val="clear" w:color="auto" w:fill="auto"/>
            <w:vAlign w:val="center"/>
          </w:tcPr>
          <w:p>
            <w:pPr>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lang w:val="en-US" w:eastAsia="zh-CN"/>
              </w:rPr>
              <w:t>黑膜沼气池</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hint="eastAsia" w:ascii="Times New Roman" w:hAnsi="Times New Roman"/>
                <w:sz w:val="21"/>
                <w:highlight w:val="none"/>
              </w:rPr>
              <w:t>容积为1</w:t>
            </w:r>
            <w:r>
              <w:rPr>
                <w:rFonts w:hint="eastAsia"/>
                <w:sz w:val="21"/>
                <w:highlight w:val="none"/>
                <w:lang w:val="en-US" w:eastAsia="zh-CN"/>
              </w:rPr>
              <w:t>7</w:t>
            </w:r>
            <w:r>
              <w:rPr>
                <w:rFonts w:hint="eastAsia" w:ascii="Times New Roman" w:hAnsi="Times New Roman"/>
                <w:sz w:val="21"/>
                <w:highlight w:val="none"/>
              </w:rPr>
              <w:t>000m³</w:t>
            </w:r>
          </w:p>
        </w:tc>
        <w:tc>
          <w:tcPr>
            <w:tcW w:w="0" w:type="auto"/>
            <w:vMerge w:val="continue"/>
            <w:tcBorders>
              <w:tl2br w:val="nil"/>
              <w:tr2bl w:val="nil"/>
            </w:tcBorders>
            <w:shd w:val="clear" w:color="auto" w:fill="auto"/>
            <w:vAlign w:val="center"/>
          </w:tcPr>
          <w:p>
            <w:pPr>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rPr>
            </w:pPr>
            <w:r>
              <w:rPr>
                <w:rFonts w:hint="eastAsia"/>
                <w:sz w:val="21"/>
                <w:szCs w:val="21"/>
                <w:highlight w:val="none"/>
                <w:lang w:val="en-US" w:eastAsia="zh-CN"/>
              </w:rPr>
              <w:t>沼液储存池</w:t>
            </w:r>
          </w:p>
        </w:tc>
        <w:tc>
          <w:tcPr>
            <w:tcW w:w="4312" w:type="dxa"/>
            <w:tcBorders>
              <w:tl2br w:val="nil"/>
              <w:tr2bl w:val="nil"/>
            </w:tcBorders>
            <w:shd w:val="clear" w:color="auto" w:fill="auto"/>
            <w:vAlign w:val="center"/>
          </w:tcPr>
          <w:p>
            <w:pPr>
              <w:spacing w:line="240" w:lineRule="auto"/>
              <w:ind w:firstLine="420" w:firstLineChars="200"/>
              <w:jc w:val="center"/>
              <w:rPr>
                <w:rFonts w:hint="eastAsia"/>
                <w:sz w:val="21"/>
                <w:szCs w:val="21"/>
                <w:highlight w:val="none"/>
                <w:lang w:val="en-US" w:eastAsia="zh-CN"/>
              </w:rPr>
            </w:pPr>
            <w:r>
              <w:rPr>
                <w:rFonts w:hint="eastAsia"/>
                <w:sz w:val="21"/>
                <w:szCs w:val="21"/>
                <w:highlight w:val="none"/>
                <w:lang w:val="en-US" w:eastAsia="zh-CN"/>
              </w:rPr>
              <w:t>1个，</w:t>
            </w:r>
            <w:r>
              <w:rPr>
                <w:rFonts w:hint="eastAsia" w:ascii="Times New Roman" w:hAnsi="Times New Roman"/>
                <w:sz w:val="21"/>
                <w:highlight w:val="none"/>
              </w:rPr>
              <w:t>容积为1</w:t>
            </w:r>
            <w:r>
              <w:rPr>
                <w:rFonts w:hint="eastAsia"/>
                <w:sz w:val="21"/>
                <w:highlight w:val="none"/>
                <w:lang w:val="en-US" w:eastAsia="zh-CN"/>
              </w:rPr>
              <w:t>00</w:t>
            </w:r>
            <w:r>
              <w:rPr>
                <w:rFonts w:hint="eastAsia" w:ascii="Times New Roman" w:hAnsi="Times New Roman"/>
                <w:sz w:val="21"/>
                <w:highlight w:val="none"/>
              </w:rPr>
              <w:t>000m³</w:t>
            </w:r>
          </w:p>
        </w:tc>
        <w:tc>
          <w:tcPr>
            <w:tcW w:w="0" w:type="auto"/>
            <w:vMerge w:val="continue"/>
            <w:tcBorders>
              <w:tl2br w:val="nil"/>
              <w:tr2bl w:val="nil"/>
            </w:tcBorders>
            <w:shd w:val="clear" w:color="auto" w:fill="auto"/>
            <w:vAlign w:val="center"/>
          </w:tcPr>
          <w:p>
            <w:pPr>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sz w:val="21"/>
                <w:szCs w:val="21"/>
                <w:highlight w:val="none"/>
              </w:rPr>
            </w:pPr>
          </w:p>
        </w:tc>
        <w:tc>
          <w:tcPr>
            <w:tcW w:w="1762" w:type="dxa"/>
            <w:gridSpan w:val="4"/>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固粪处理区</w:t>
            </w:r>
          </w:p>
        </w:tc>
        <w:tc>
          <w:tcPr>
            <w:tcW w:w="4312" w:type="dxa"/>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2个，规格40×14m，总建筑面积1120m</w:t>
            </w:r>
            <w:r>
              <w:rPr>
                <w:rFonts w:hint="eastAsia"/>
                <w:sz w:val="21"/>
                <w:szCs w:val="21"/>
                <w:highlight w:val="none"/>
                <w:vertAlign w:val="superscript"/>
                <w:lang w:val="en-US" w:eastAsia="zh-CN"/>
              </w:rPr>
              <w:t>2</w:t>
            </w:r>
          </w:p>
        </w:tc>
        <w:tc>
          <w:tcPr>
            <w:tcW w:w="0" w:type="auto"/>
            <w:vMerge w:val="continue"/>
            <w:tcBorders>
              <w:tl2br w:val="nil"/>
              <w:tr2bl w:val="nil"/>
            </w:tcBorders>
            <w:shd w:val="clear" w:color="auto" w:fill="auto"/>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01"/>
              <w:spacing w:line="240" w:lineRule="auto"/>
              <w:ind w:left="69" w:hanging="69" w:hangingChars="33"/>
              <w:jc w:val="center"/>
              <w:rPr>
                <w:sz w:val="21"/>
                <w:szCs w:val="21"/>
                <w:highlight w:val="none"/>
              </w:rPr>
            </w:pPr>
            <w:r>
              <w:rPr>
                <w:sz w:val="21"/>
                <w:szCs w:val="21"/>
                <w:highlight w:val="none"/>
              </w:rPr>
              <w:t>公用工程</w:t>
            </w:r>
          </w:p>
        </w:tc>
        <w:tc>
          <w:tcPr>
            <w:tcW w:w="1762" w:type="dxa"/>
            <w:gridSpan w:val="4"/>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供水系统</w:t>
            </w:r>
          </w:p>
        </w:tc>
        <w:tc>
          <w:tcPr>
            <w:tcW w:w="4312"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本项目用水由场区1口自备井供应</w:t>
            </w:r>
          </w:p>
        </w:tc>
        <w:tc>
          <w:tcPr>
            <w:tcW w:w="0" w:type="auto"/>
            <w:tcBorders>
              <w:tl2br w:val="nil"/>
              <w:tr2bl w:val="nil"/>
            </w:tcBorders>
            <w:vAlign w:val="center"/>
          </w:tcPr>
          <w:p>
            <w:pPr>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1"/>
              <w:spacing w:line="240" w:lineRule="auto"/>
              <w:ind w:left="69" w:hanging="69" w:hangingChars="33"/>
              <w:jc w:val="center"/>
              <w:rPr>
                <w:sz w:val="21"/>
                <w:szCs w:val="21"/>
                <w:highlight w:val="none"/>
              </w:rPr>
            </w:pPr>
          </w:p>
        </w:tc>
        <w:tc>
          <w:tcPr>
            <w:tcW w:w="1762" w:type="dxa"/>
            <w:gridSpan w:val="4"/>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排水系统</w:t>
            </w:r>
          </w:p>
        </w:tc>
        <w:tc>
          <w:tcPr>
            <w:tcW w:w="4312" w:type="dxa"/>
            <w:tcBorders>
              <w:tl2br w:val="nil"/>
              <w:tr2bl w:val="nil"/>
            </w:tcBorders>
            <w:vAlign w:val="center"/>
          </w:tcPr>
          <w:p>
            <w:pPr>
              <w:spacing w:line="240" w:lineRule="auto"/>
              <w:ind w:firstLine="0" w:firstLineChars="0"/>
              <w:jc w:val="center"/>
              <w:rPr>
                <w:rFonts w:hint="eastAsia"/>
                <w:bCs/>
                <w:sz w:val="21"/>
                <w:szCs w:val="21"/>
                <w:highlight w:val="none"/>
              </w:rPr>
            </w:pPr>
            <w:r>
              <w:rPr>
                <w:sz w:val="21"/>
                <w:szCs w:val="21"/>
                <w:highlight w:val="none"/>
              </w:rPr>
              <w:t>项目排水采用雨污分流制</w:t>
            </w:r>
            <w:r>
              <w:rPr>
                <w:rFonts w:hint="eastAsia"/>
                <w:sz w:val="21"/>
                <w:szCs w:val="21"/>
                <w:highlight w:val="none"/>
                <w:lang w:eastAsia="zh-CN"/>
              </w:rPr>
              <w:t>，</w:t>
            </w:r>
            <w:r>
              <w:rPr>
                <w:rFonts w:hint="eastAsia"/>
                <w:sz w:val="21"/>
                <w:szCs w:val="21"/>
                <w:highlight w:val="none"/>
              </w:rPr>
              <w:t>养殖废水和生活污水经场区污水站处理后，作为农肥综合利用</w:t>
            </w:r>
          </w:p>
        </w:tc>
        <w:tc>
          <w:tcPr>
            <w:tcW w:w="0" w:type="auto"/>
            <w:tcBorders>
              <w:tl2br w:val="nil"/>
              <w:tr2bl w:val="nil"/>
            </w:tcBorders>
            <w:vAlign w:val="center"/>
          </w:tcPr>
          <w:p>
            <w:pPr>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firstLine="420"/>
              <w:jc w:val="center"/>
              <w:rPr>
                <w:rFonts w:ascii="Times New Roman" w:hAnsi="Times New Roman"/>
                <w:sz w:val="21"/>
                <w:highlight w:val="none"/>
              </w:rPr>
            </w:pPr>
          </w:p>
        </w:tc>
        <w:tc>
          <w:tcPr>
            <w:tcW w:w="1762" w:type="dxa"/>
            <w:gridSpan w:val="4"/>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供电系统</w:t>
            </w:r>
          </w:p>
        </w:tc>
        <w:tc>
          <w:tcPr>
            <w:tcW w:w="4312"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sz w:val="21"/>
                <w:szCs w:val="21"/>
                <w:highlight w:val="none"/>
              </w:rPr>
              <w:t>依托当地供电电网，厂区内设置</w:t>
            </w:r>
            <w:r>
              <w:rPr>
                <w:rFonts w:hint="eastAsia"/>
                <w:sz w:val="21"/>
                <w:szCs w:val="21"/>
                <w:highlight w:val="none"/>
                <w:lang w:eastAsia="zh-CN"/>
              </w:rPr>
              <w:t>电房</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firstLine="420"/>
              <w:jc w:val="center"/>
              <w:rPr>
                <w:rFonts w:ascii="Times New Roman" w:hAnsi="Times New Roman"/>
                <w:sz w:val="21"/>
                <w:highlight w:val="none"/>
              </w:rPr>
            </w:pPr>
          </w:p>
        </w:tc>
        <w:tc>
          <w:tcPr>
            <w:tcW w:w="1762" w:type="dxa"/>
            <w:gridSpan w:val="4"/>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lang w:eastAsia="zh-CN"/>
              </w:rPr>
              <w:t>供热系统</w:t>
            </w:r>
          </w:p>
        </w:tc>
        <w:tc>
          <w:tcPr>
            <w:tcW w:w="431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猪舍墙体为保温材料，可以减少猪舍热量损失；人员冬季取暖采用空调制暖</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3"/>
              <w:spacing w:before="83" w:after="83" w:line="240" w:lineRule="auto"/>
              <w:ind w:firstLine="0" w:firstLineChars="0"/>
              <w:jc w:val="center"/>
              <w:rPr>
                <w:rFonts w:ascii="Times New Roman" w:hAnsi="Times New Roman"/>
                <w:sz w:val="21"/>
                <w:szCs w:val="21"/>
                <w:highlight w:val="none"/>
              </w:rPr>
            </w:pPr>
            <w:r>
              <w:rPr>
                <w:rFonts w:ascii="Times New Roman" w:hAnsi="Times New Roman"/>
                <w:sz w:val="21"/>
                <w:szCs w:val="21"/>
                <w:highlight w:val="none"/>
              </w:rPr>
              <w:t>环保工程</w:t>
            </w:r>
          </w:p>
        </w:tc>
        <w:tc>
          <w:tcPr>
            <w:tcW w:w="0" w:type="auto"/>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废气处理</w:t>
            </w:r>
          </w:p>
        </w:tc>
        <w:tc>
          <w:tcPr>
            <w:tcW w:w="1304" w:type="dxa"/>
            <w:gridSpan w:val="3"/>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沼气燃烧废气</w:t>
            </w:r>
          </w:p>
        </w:tc>
        <w:tc>
          <w:tcPr>
            <w:tcW w:w="4312" w:type="dxa"/>
            <w:tcBorders>
              <w:tl2br w:val="nil"/>
              <w:tr2bl w:val="nil"/>
            </w:tcBorders>
            <w:vAlign w:val="center"/>
          </w:tcPr>
          <w:p>
            <w:pPr>
              <w:pStyle w:val="103"/>
              <w:spacing w:line="240" w:lineRule="auto"/>
              <w:ind w:firstLine="0" w:firstLineChars="0"/>
              <w:jc w:val="center"/>
              <w:rPr>
                <w:sz w:val="21"/>
                <w:highlight w:val="none"/>
              </w:rPr>
            </w:pPr>
            <w:r>
              <w:rPr>
                <w:rFonts w:hint="eastAsia"/>
                <w:sz w:val="21"/>
                <w:highlight w:val="none"/>
              </w:rPr>
              <w:t>本项目</w:t>
            </w:r>
            <w:r>
              <w:rPr>
                <w:rFonts w:hint="eastAsia"/>
                <w:sz w:val="21"/>
                <w:szCs w:val="21"/>
                <w:highlight w:val="none"/>
                <w:lang w:val="en-US" w:eastAsia="zh-CN"/>
              </w:rPr>
              <w:t>黑膜</w:t>
            </w:r>
            <w:r>
              <w:rPr>
                <w:rFonts w:hint="eastAsia"/>
                <w:sz w:val="21"/>
                <w:highlight w:val="none"/>
              </w:rPr>
              <w:t>沼气池产生的沼气经配套的沼气净化装置净化后用于食堂</w:t>
            </w:r>
            <w:r>
              <w:rPr>
                <w:rFonts w:hint="eastAsia"/>
                <w:sz w:val="21"/>
                <w:highlight w:val="none"/>
                <w:lang w:eastAsia="zh-CN"/>
              </w:rPr>
              <w:t>及饲料加工区锅炉燃料</w:t>
            </w:r>
            <w:r>
              <w:rPr>
                <w:rFonts w:hint="eastAsia"/>
                <w:sz w:val="21"/>
                <w:highlight w:val="none"/>
              </w:rPr>
              <w:t>，配套沼气净化装置1套</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304" w:type="dxa"/>
            <w:gridSpan w:val="3"/>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油烟废气</w:t>
            </w:r>
          </w:p>
        </w:tc>
        <w:tc>
          <w:tcPr>
            <w:tcW w:w="4312"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经</w:t>
            </w:r>
            <w:r>
              <w:rPr>
                <w:rFonts w:hint="eastAsia"/>
                <w:sz w:val="21"/>
                <w:szCs w:val="21"/>
                <w:highlight w:val="none"/>
              </w:rPr>
              <w:t>油烟净化装置</w:t>
            </w:r>
            <w:r>
              <w:rPr>
                <w:rFonts w:hint="eastAsia"/>
                <w:sz w:val="21"/>
                <w:szCs w:val="21"/>
                <w:highlight w:val="none"/>
                <w:lang w:eastAsia="zh-CN"/>
              </w:rPr>
              <w:t>处理后排放</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304" w:type="dxa"/>
            <w:gridSpan w:val="3"/>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rPr>
              <w:t>污水处理站</w:t>
            </w:r>
            <w:r>
              <w:rPr>
                <w:rFonts w:hint="eastAsia"/>
                <w:sz w:val="21"/>
                <w:szCs w:val="21"/>
                <w:highlight w:val="none"/>
                <w:lang w:eastAsia="zh-CN"/>
              </w:rPr>
              <w:t>恶臭</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喷洒除臭剂，并加强场区绿化</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firstLine="0" w:firstLineChars="0"/>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c>
          <w:tcPr>
            <w:tcW w:w="1304" w:type="dxa"/>
            <w:gridSpan w:val="3"/>
            <w:vMerge w:val="restart"/>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养殖恶臭</w:t>
            </w:r>
          </w:p>
        </w:tc>
        <w:tc>
          <w:tcPr>
            <w:tcW w:w="4312" w:type="dxa"/>
            <w:vMerge w:val="restart"/>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调整日粮结构，喷洒除臭剂，加强通风，</w:t>
            </w:r>
            <w:r>
              <w:rPr>
                <w:rFonts w:hint="eastAsia"/>
                <w:sz w:val="21"/>
                <w:szCs w:val="21"/>
                <w:highlight w:val="none"/>
                <w:lang w:eastAsia="zh-CN"/>
              </w:rPr>
              <w:t>设置</w:t>
            </w:r>
            <w:r>
              <w:rPr>
                <w:rFonts w:hint="eastAsia"/>
                <w:sz w:val="21"/>
                <w:szCs w:val="21"/>
                <w:highlight w:val="none"/>
              </w:rPr>
              <w:t>绿化带</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1304" w:type="dxa"/>
            <w:gridSpan w:val="3"/>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4312" w:type="dxa"/>
            <w:vMerge w:val="continue"/>
            <w:tcBorders>
              <w:tl2br w:val="nil"/>
              <w:tr2bl w:val="nil"/>
            </w:tcBorders>
            <w:vAlign w:val="center"/>
          </w:tcPr>
          <w:p>
            <w:pPr>
              <w:spacing w:line="240" w:lineRule="auto"/>
              <w:ind w:firstLine="0" w:firstLineChars="0"/>
              <w:jc w:val="center"/>
              <w:rPr>
                <w:rFonts w:hint="eastAsia"/>
                <w:sz w:val="21"/>
                <w:szCs w:val="21"/>
                <w:highlight w:val="none"/>
              </w:rPr>
            </w:pP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1304" w:type="dxa"/>
            <w:gridSpan w:val="3"/>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堆肥恶臭</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喷洒除臭剂</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5"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restart"/>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饲料加工废气</w:t>
            </w:r>
          </w:p>
        </w:tc>
        <w:tc>
          <w:tcPr>
            <w:tcW w:w="808" w:type="dxa"/>
            <w:tcBorders>
              <w:tl2br w:val="nil"/>
              <w:tr2bl w:val="nil"/>
            </w:tcBorders>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小麦</w:t>
            </w:r>
            <w:r>
              <w:rPr>
                <w:rFonts w:hint="eastAsia"/>
                <w:sz w:val="21"/>
                <w:szCs w:val="21"/>
                <w:highlight w:val="none"/>
                <w:lang w:val="en-US" w:eastAsia="zh-CN"/>
              </w:rPr>
              <w:t>/玉米</w:t>
            </w:r>
            <w:r>
              <w:rPr>
                <w:rFonts w:hint="eastAsia"/>
                <w:sz w:val="21"/>
                <w:szCs w:val="21"/>
                <w:highlight w:val="none"/>
                <w:lang w:eastAsia="zh-CN"/>
              </w:rPr>
              <w:t>投料粉尘</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经2套脉冲袋式除尘器处理后通过</w:t>
            </w:r>
            <w:r>
              <w:rPr>
                <w:rFonts w:hint="eastAsia"/>
                <w:sz w:val="21"/>
                <w:szCs w:val="21"/>
                <w:highlight w:val="none"/>
                <w:lang w:val="en-US" w:eastAsia="zh-CN"/>
              </w:rPr>
              <w:t>1#15米高</w:t>
            </w:r>
            <w:r>
              <w:rPr>
                <w:rFonts w:hint="eastAsia"/>
                <w:sz w:val="21"/>
                <w:szCs w:val="21"/>
                <w:highlight w:val="none"/>
              </w:rPr>
              <w:t>排气筒排放</w:t>
            </w:r>
          </w:p>
        </w:tc>
        <w:tc>
          <w:tcPr>
            <w:tcW w:w="0" w:type="auto"/>
            <w:vMerge w:val="restart"/>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投料棚处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5"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808"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eastAsia="zh-CN"/>
              </w:rPr>
              <w:t>小麦</w:t>
            </w:r>
            <w:r>
              <w:rPr>
                <w:rFonts w:hint="eastAsia"/>
                <w:sz w:val="21"/>
                <w:szCs w:val="21"/>
                <w:highlight w:val="none"/>
                <w:lang w:val="en-US" w:eastAsia="zh-CN"/>
              </w:rPr>
              <w:t>/玉米</w:t>
            </w:r>
            <w:r>
              <w:rPr>
                <w:rFonts w:hint="eastAsia"/>
                <w:sz w:val="21"/>
                <w:szCs w:val="21"/>
                <w:highlight w:val="none"/>
                <w:lang w:eastAsia="zh-CN"/>
              </w:rPr>
              <w:t>投料粉尘</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经2套脉冲袋式除尘器处理后通过</w:t>
            </w:r>
            <w:r>
              <w:rPr>
                <w:rFonts w:hint="eastAsia"/>
                <w:sz w:val="21"/>
                <w:szCs w:val="21"/>
                <w:highlight w:val="none"/>
                <w:lang w:val="en-US" w:eastAsia="zh-CN"/>
              </w:rPr>
              <w:t>2#15米高</w:t>
            </w:r>
            <w:r>
              <w:rPr>
                <w:rFonts w:hint="eastAsia"/>
                <w:sz w:val="21"/>
                <w:szCs w:val="21"/>
                <w:highlight w:val="none"/>
              </w:rPr>
              <w:t>排气筒排放</w:t>
            </w:r>
          </w:p>
        </w:tc>
        <w:tc>
          <w:tcPr>
            <w:tcW w:w="0" w:type="auto"/>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5"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808"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小麦/玉米初清粉尘</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经1套沙克龙除尘+脉冲袋式除尘器处理后通过</w:t>
            </w:r>
            <w:r>
              <w:rPr>
                <w:rFonts w:hint="eastAsia"/>
                <w:sz w:val="21"/>
                <w:szCs w:val="21"/>
                <w:highlight w:val="none"/>
                <w:lang w:val="en-US" w:eastAsia="zh-CN"/>
              </w:rPr>
              <w:t>3#15米高</w:t>
            </w:r>
            <w:r>
              <w:rPr>
                <w:rFonts w:hint="eastAsia"/>
                <w:sz w:val="21"/>
                <w:szCs w:val="21"/>
                <w:highlight w:val="none"/>
              </w:rPr>
              <w:t>排气筒排放</w:t>
            </w:r>
          </w:p>
        </w:tc>
        <w:tc>
          <w:tcPr>
            <w:tcW w:w="0" w:type="auto"/>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清理间处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5"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808"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辅料投料粉尘</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经1套脉冲袋式除尘器处理后通过</w:t>
            </w:r>
            <w:r>
              <w:rPr>
                <w:rFonts w:hint="eastAsia"/>
                <w:sz w:val="21"/>
                <w:szCs w:val="21"/>
                <w:highlight w:val="none"/>
                <w:lang w:val="en-US" w:eastAsia="zh-CN"/>
              </w:rPr>
              <w:t>4#15米高</w:t>
            </w:r>
            <w:r>
              <w:rPr>
                <w:rFonts w:hint="eastAsia"/>
                <w:sz w:val="21"/>
                <w:szCs w:val="21"/>
                <w:highlight w:val="none"/>
              </w:rPr>
              <w:t>排气筒排放</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rFonts w:hint="eastAsia"/>
                <w:sz w:val="21"/>
                <w:szCs w:val="21"/>
                <w:highlight w:val="none"/>
                <w:lang w:val="en-US" w:eastAsia="zh-CN"/>
              </w:rPr>
            </w:pPr>
          </w:p>
        </w:tc>
        <w:tc>
          <w:tcPr>
            <w:tcW w:w="808" w:type="dxa"/>
            <w:tcBorders>
              <w:tl2br w:val="nil"/>
              <w:tr2bl w:val="nil"/>
            </w:tcBorders>
            <w:vAlign w:val="center"/>
          </w:tcPr>
          <w:p>
            <w:pPr>
              <w:tabs>
                <w:tab w:val="left" w:pos="508"/>
              </w:tabs>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粉碎粉尘</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经1套脉冲除尘器处理后通过</w:t>
            </w:r>
            <w:r>
              <w:rPr>
                <w:rFonts w:hint="eastAsia"/>
                <w:sz w:val="21"/>
                <w:szCs w:val="21"/>
                <w:highlight w:val="none"/>
                <w:lang w:val="en-US" w:eastAsia="zh-CN"/>
              </w:rPr>
              <w:t>5#15米高</w:t>
            </w:r>
            <w:r>
              <w:rPr>
                <w:rFonts w:hint="eastAsia"/>
                <w:sz w:val="21"/>
                <w:szCs w:val="21"/>
                <w:highlight w:val="none"/>
              </w:rPr>
              <w:t>排气筒排放</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635"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p>
        </w:tc>
        <w:tc>
          <w:tcPr>
            <w:tcW w:w="808"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主车间制粒冷却粉尘</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经1套沙克龙除尘器处理后经6#20米高排气筒高空排放</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408"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vMerge w:val="continue"/>
            <w:tcBorders>
              <w:tl2br w:val="nil"/>
              <w:tr2bl w:val="nil"/>
            </w:tcBorders>
            <w:vAlign w:val="center"/>
          </w:tcPr>
          <w:p>
            <w:pPr>
              <w:spacing w:line="240" w:lineRule="auto"/>
              <w:ind w:firstLine="420"/>
              <w:jc w:val="center"/>
              <w:rPr>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p>
        </w:tc>
        <w:tc>
          <w:tcPr>
            <w:tcW w:w="808"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val="en-US" w:eastAsia="zh-CN"/>
              </w:rPr>
              <w:t>锅炉燃烧废气</w:t>
            </w:r>
          </w:p>
        </w:tc>
        <w:tc>
          <w:tcPr>
            <w:tcW w:w="4312" w:type="dxa"/>
            <w:tcBorders>
              <w:tl2br w:val="nil"/>
              <w:tr2bl w:val="nil"/>
            </w:tcBorders>
            <w:vAlign w:val="center"/>
          </w:tcPr>
          <w:p>
            <w:pPr>
              <w:spacing w:line="240" w:lineRule="auto"/>
              <w:ind w:firstLine="0" w:firstLineChars="0"/>
              <w:jc w:val="center"/>
              <w:rPr>
                <w:rFonts w:hint="eastAsia"/>
                <w:sz w:val="21"/>
                <w:szCs w:val="21"/>
                <w:highlight w:val="none"/>
              </w:rPr>
            </w:pPr>
            <w:r>
              <w:rPr>
                <w:rFonts w:hint="eastAsia"/>
                <w:sz w:val="21"/>
                <w:szCs w:val="21"/>
                <w:highlight w:val="none"/>
              </w:rPr>
              <w:t>经低氮燃烧后通过</w:t>
            </w:r>
            <w:r>
              <w:rPr>
                <w:rFonts w:hint="eastAsia"/>
                <w:sz w:val="21"/>
                <w:szCs w:val="21"/>
                <w:highlight w:val="none"/>
                <w:lang w:val="en-US" w:eastAsia="zh-CN"/>
              </w:rPr>
              <w:t>7#10</w:t>
            </w:r>
            <w:r>
              <w:rPr>
                <w:rFonts w:hint="eastAsia"/>
                <w:sz w:val="21"/>
                <w:szCs w:val="21"/>
                <w:highlight w:val="none"/>
              </w:rPr>
              <w:t>m排气筒排放</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1762" w:type="dxa"/>
            <w:gridSpan w:val="4"/>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废水处理</w:t>
            </w:r>
          </w:p>
        </w:tc>
        <w:tc>
          <w:tcPr>
            <w:tcW w:w="431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雨污分流；</w:t>
            </w:r>
            <w:r>
              <w:rPr>
                <w:rFonts w:hint="eastAsia"/>
                <w:sz w:val="21"/>
                <w:szCs w:val="21"/>
                <w:highlight w:val="none"/>
              </w:rPr>
              <w:t>污水处理系统1套，收集池1</w:t>
            </w:r>
            <w:r>
              <w:rPr>
                <w:rFonts w:hint="eastAsia"/>
                <w:sz w:val="21"/>
                <w:szCs w:val="21"/>
                <w:highlight w:val="none"/>
                <w:lang w:eastAsia="zh-CN"/>
              </w:rPr>
              <w:t>个</w:t>
            </w:r>
            <w:r>
              <w:rPr>
                <w:rFonts w:hint="eastAsia"/>
                <w:sz w:val="21"/>
                <w:szCs w:val="21"/>
                <w:highlight w:val="none"/>
              </w:rPr>
              <w:t>，黑膜沼气池1</w:t>
            </w:r>
            <w:r>
              <w:rPr>
                <w:rFonts w:hint="eastAsia"/>
                <w:sz w:val="21"/>
                <w:szCs w:val="21"/>
                <w:highlight w:val="none"/>
                <w:lang w:eastAsia="zh-CN"/>
              </w:rPr>
              <w:t>个</w:t>
            </w:r>
            <w:r>
              <w:rPr>
                <w:rFonts w:hint="eastAsia"/>
                <w:sz w:val="21"/>
                <w:szCs w:val="21"/>
                <w:highlight w:val="none"/>
              </w:rPr>
              <w:t>1</w:t>
            </w:r>
            <w:r>
              <w:rPr>
                <w:rFonts w:hint="eastAsia"/>
                <w:sz w:val="21"/>
                <w:szCs w:val="21"/>
                <w:highlight w:val="none"/>
                <w:lang w:val="en-US" w:eastAsia="zh-CN"/>
              </w:rPr>
              <w:t>7</w:t>
            </w:r>
            <w:r>
              <w:rPr>
                <w:rFonts w:hint="eastAsia"/>
                <w:sz w:val="21"/>
                <w:szCs w:val="21"/>
                <w:highlight w:val="none"/>
              </w:rPr>
              <w:t>000m</w:t>
            </w:r>
            <w:r>
              <w:rPr>
                <w:rFonts w:hint="eastAsia"/>
                <w:sz w:val="21"/>
                <w:szCs w:val="21"/>
                <w:highlight w:val="none"/>
                <w:vertAlign w:val="superscript"/>
              </w:rPr>
              <w:t>3</w:t>
            </w:r>
            <w:r>
              <w:rPr>
                <w:rFonts w:hint="eastAsia"/>
                <w:sz w:val="21"/>
                <w:szCs w:val="21"/>
                <w:highlight w:val="none"/>
                <w:lang w:eastAsia="zh-CN"/>
              </w:rPr>
              <w:t>，</w:t>
            </w:r>
            <w:r>
              <w:rPr>
                <w:rFonts w:hint="eastAsia"/>
                <w:sz w:val="21"/>
                <w:szCs w:val="21"/>
                <w:highlight w:val="none"/>
              </w:rPr>
              <w:t>沼液储存池1个，总容积</w:t>
            </w:r>
            <w:r>
              <w:rPr>
                <w:rFonts w:hint="eastAsia"/>
                <w:sz w:val="21"/>
                <w:szCs w:val="21"/>
                <w:highlight w:val="none"/>
                <w:lang w:val="en-US" w:eastAsia="zh-CN"/>
              </w:rPr>
              <w:t>10</w:t>
            </w:r>
            <w:r>
              <w:rPr>
                <w:rFonts w:hint="eastAsia"/>
                <w:sz w:val="21"/>
                <w:szCs w:val="21"/>
                <w:highlight w:val="none"/>
              </w:rPr>
              <w:t>0000m</w:t>
            </w:r>
            <w:r>
              <w:rPr>
                <w:rFonts w:hint="eastAsia"/>
                <w:sz w:val="21"/>
                <w:szCs w:val="21"/>
                <w:highlight w:val="none"/>
                <w:vertAlign w:val="superscript"/>
              </w:rPr>
              <w:t>3</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1762" w:type="dxa"/>
            <w:gridSpan w:val="4"/>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铺设管网</w:t>
            </w:r>
          </w:p>
        </w:tc>
        <w:tc>
          <w:tcPr>
            <w:tcW w:w="431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沼液输送管网长度为</w:t>
            </w:r>
            <w:r>
              <w:rPr>
                <w:rFonts w:hint="eastAsia"/>
                <w:sz w:val="21"/>
                <w:szCs w:val="21"/>
                <w:highlight w:val="none"/>
                <w:lang w:val="en-US" w:eastAsia="zh-CN"/>
              </w:rPr>
              <w:t>10800m</w:t>
            </w:r>
            <w:r>
              <w:rPr>
                <w:sz w:val="21"/>
                <w:szCs w:val="21"/>
                <w:highlight w:val="none"/>
              </w:rPr>
              <w:t>，其中干管长度</w:t>
            </w:r>
            <w:r>
              <w:rPr>
                <w:rFonts w:hint="eastAsia"/>
                <w:sz w:val="21"/>
                <w:szCs w:val="21"/>
                <w:highlight w:val="none"/>
                <w:lang w:val="en-US" w:eastAsia="zh-CN"/>
              </w:rPr>
              <w:t>3000</w:t>
            </w:r>
            <w:r>
              <w:rPr>
                <w:sz w:val="21"/>
                <w:szCs w:val="21"/>
                <w:highlight w:val="none"/>
              </w:rPr>
              <w:t>m，支管</w:t>
            </w:r>
            <w:r>
              <w:rPr>
                <w:rFonts w:hint="eastAsia"/>
                <w:sz w:val="21"/>
                <w:szCs w:val="21"/>
                <w:highlight w:val="none"/>
                <w:lang w:val="en-US" w:eastAsia="zh-CN"/>
              </w:rPr>
              <w:t>780</w:t>
            </w:r>
            <w:r>
              <w:rPr>
                <w:sz w:val="21"/>
                <w:szCs w:val="21"/>
                <w:highlight w:val="none"/>
              </w:rPr>
              <w:t>0m；主干管直径为110mm，支管直径为75mm</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gridSpan w:val="2"/>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固废处理</w:t>
            </w:r>
          </w:p>
        </w:tc>
        <w:tc>
          <w:tcPr>
            <w:tcW w:w="1056" w:type="dxa"/>
            <w:gridSpan w:val="2"/>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医疗废物</w:t>
            </w:r>
          </w:p>
        </w:tc>
        <w:tc>
          <w:tcPr>
            <w:tcW w:w="4312"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rPr>
              <w:t>设置</w:t>
            </w:r>
            <w:r>
              <w:rPr>
                <w:rFonts w:hint="eastAsia"/>
                <w:sz w:val="21"/>
                <w:szCs w:val="21"/>
                <w:highlight w:val="none"/>
                <w:lang w:eastAsia="zh-CN"/>
              </w:rPr>
              <w:t>医废</w:t>
            </w:r>
            <w:r>
              <w:rPr>
                <w:rFonts w:hint="eastAsia"/>
                <w:sz w:val="21"/>
                <w:szCs w:val="21"/>
                <w:highlight w:val="none"/>
              </w:rPr>
              <w:t>暂存间1间，建筑面积为10m</w:t>
            </w:r>
            <w:r>
              <w:rPr>
                <w:rFonts w:hint="eastAsia"/>
                <w:sz w:val="21"/>
                <w:szCs w:val="21"/>
                <w:highlight w:val="none"/>
                <w:vertAlign w:val="superscript"/>
              </w:rPr>
              <w:t>2</w:t>
            </w:r>
            <w:r>
              <w:rPr>
                <w:rFonts w:hint="eastAsia"/>
                <w:sz w:val="21"/>
                <w:szCs w:val="21"/>
                <w:highlight w:val="none"/>
              </w:rPr>
              <w:t>，用于存放医疗废物和危险废物，按照《危险废物贮存污染控制标准》（GB18597-2001）及其修改单要求设计</w:t>
            </w:r>
            <w:r>
              <w:rPr>
                <w:rFonts w:hint="eastAsia"/>
                <w:sz w:val="21"/>
                <w:szCs w:val="21"/>
                <w:highlight w:val="none"/>
                <w:lang w:eastAsia="zh-CN"/>
              </w:rPr>
              <w:t>，交由新蔡县中绿环保有限公司处置</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sz w:val="21"/>
                <w:szCs w:val="21"/>
                <w:highlight w:val="none"/>
              </w:rPr>
            </w:pPr>
          </w:p>
        </w:tc>
        <w:tc>
          <w:tcPr>
            <w:tcW w:w="1056" w:type="dxa"/>
            <w:gridSpan w:val="2"/>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病死猪</w:t>
            </w:r>
          </w:p>
        </w:tc>
        <w:tc>
          <w:tcPr>
            <w:tcW w:w="431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病死猪及母猪胎盘厂区暂存后，送至正阳牧原一场无害化处理车间处置的高温化制机处理设施处置</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sz w:val="21"/>
                <w:szCs w:val="21"/>
                <w:highlight w:val="none"/>
              </w:rPr>
            </w:pPr>
          </w:p>
        </w:tc>
        <w:tc>
          <w:tcPr>
            <w:tcW w:w="1056" w:type="dxa"/>
            <w:gridSpan w:val="2"/>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固粪</w:t>
            </w:r>
          </w:p>
        </w:tc>
        <w:tc>
          <w:tcPr>
            <w:tcW w:w="4312"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设置固粪处理区</w:t>
            </w:r>
            <w:r>
              <w:rPr>
                <w:rFonts w:hint="eastAsia"/>
                <w:sz w:val="21"/>
                <w:szCs w:val="21"/>
                <w:highlight w:val="none"/>
                <w:lang w:val="en-US" w:eastAsia="zh-CN"/>
              </w:rPr>
              <w:t>2</w:t>
            </w:r>
            <w:r>
              <w:rPr>
                <w:rFonts w:hint="eastAsia"/>
                <w:sz w:val="21"/>
                <w:szCs w:val="21"/>
                <w:highlight w:val="none"/>
                <w:lang w:eastAsia="zh-CN"/>
              </w:rPr>
              <w:t>个，生产有机肥基肥；按“三防”要求设计，设置顶棚，底部防渗，四周有围挡，占地面积</w:t>
            </w:r>
            <w:r>
              <w:rPr>
                <w:rFonts w:hint="eastAsia"/>
                <w:sz w:val="21"/>
                <w:szCs w:val="21"/>
                <w:highlight w:val="none"/>
                <w:lang w:val="en-US" w:eastAsia="zh-CN"/>
              </w:rPr>
              <w:t>1120</w:t>
            </w:r>
            <w:r>
              <w:rPr>
                <w:rFonts w:hint="eastAsia"/>
                <w:sz w:val="21"/>
                <w:szCs w:val="21"/>
                <w:highlight w:val="none"/>
                <w:lang w:eastAsia="zh-CN"/>
              </w:rPr>
              <w:t>m</w:t>
            </w:r>
            <w:r>
              <w:rPr>
                <w:rFonts w:hint="eastAsia"/>
                <w:sz w:val="21"/>
                <w:szCs w:val="21"/>
                <w:highlight w:val="none"/>
                <w:vertAlign w:val="superscript"/>
                <w:lang w:eastAsia="zh-CN"/>
              </w:rPr>
              <w:t>2</w:t>
            </w:r>
            <w:r>
              <w:rPr>
                <w:rFonts w:hint="eastAsia"/>
                <w:sz w:val="21"/>
                <w:szCs w:val="21"/>
                <w:highlight w:val="none"/>
                <w:lang w:eastAsia="zh-CN"/>
              </w:rPr>
              <w:t xml:space="preserve"> </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sz w:val="21"/>
                <w:szCs w:val="21"/>
                <w:highlight w:val="none"/>
              </w:rPr>
            </w:pPr>
          </w:p>
        </w:tc>
        <w:tc>
          <w:tcPr>
            <w:tcW w:w="1056" w:type="dxa"/>
            <w:gridSpan w:val="2"/>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生活垃圾</w:t>
            </w:r>
          </w:p>
        </w:tc>
        <w:tc>
          <w:tcPr>
            <w:tcW w:w="431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场区内暂存，定期交由环卫部门清理或送往垃圾中转站</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sz w:val="21"/>
                <w:szCs w:val="21"/>
                <w:highlight w:val="none"/>
              </w:rPr>
            </w:pPr>
          </w:p>
        </w:tc>
        <w:tc>
          <w:tcPr>
            <w:tcW w:w="1056" w:type="dxa"/>
            <w:gridSpan w:val="2"/>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清杂杂质</w:t>
            </w:r>
          </w:p>
        </w:tc>
        <w:tc>
          <w:tcPr>
            <w:tcW w:w="4312" w:type="dxa"/>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一般固废，厂内收集后委托环卫部门清运</w:t>
            </w:r>
          </w:p>
        </w:tc>
        <w:tc>
          <w:tcPr>
            <w:tcW w:w="0" w:type="auto"/>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饲料加工工序</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0" w:type="auto"/>
            <w:gridSpan w:val="2"/>
            <w:vMerge w:val="continue"/>
            <w:tcBorders>
              <w:tl2br w:val="nil"/>
              <w:tr2bl w:val="nil"/>
            </w:tcBorders>
            <w:vAlign w:val="center"/>
          </w:tcPr>
          <w:p>
            <w:pPr>
              <w:spacing w:line="240" w:lineRule="auto"/>
              <w:ind w:firstLine="0" w:firstLineChars="0"/>
              <w:jc w:val="center"/>
              <w:rPr>
                <w:sz w:val="21"/>
                <w:szCs w:val="21"/>
                <w:highlight w:val="none"/>
              </w:rPr>
            </w:pPr>
          </w:p>
        </w:tc>
        <w:tc>
          <w:tcPr>
            <w:tcW w:w="1056" w:type="dxa"/>
            <w:gridSpan w:val="2"/>
            <w:tcBorders>
              <w:tl2br w:val="nil"/>
              <w:tr2bl w:val="nil"/>
            </w:tcBorders>
            <w:vAlign w:val="center"/>
          </w:tcPr>
          <w:p>
            <w:pPr>
              <w:spacing w:line="240" w:lineRule="auto"/>
              <w:ind w:firstLine="0" w:firstLineChars="0"/>
              <w:jc w:val="center"/>
              <w:rPr>
                <w:rFonts w:hint="eastAsia" w:eastAsia="宋体"/>
                <w:sz w:val="21"/>
                <w:szCs w:val="21"/>
                <w:highlight w:val="none"/>
                <w:lang w:eastAsia="zh-CN"/>
              </w:rPr>
            </w:pPr>
            <w:r>
              <w:rPr>
                <w:rFonts w:hint="eastAsia"/>
                <w:sz w:val="21"/>
                <w:szCs w:val="21"/>
                <w:highlight w:val="none"/>
                <w:lang w:eastAsia="zh-CN"/>
              </w:rPr>
              <w:t>除尘器收集粉尘</w:t>
            </w:r>
          </w:p>
        </w:tc>
        <w:tc>
          <w:tcPr>
            <w:tcW w:w="431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收集后回用</w:t>
            </w:r>
            <w:r>
              <w:rPr>
                <w:rFonts w:hint="eastAsia"/>
                <w:sz w:val="21"/>
                <w:szCs w:val="21"/>
                <w:highlight w:val="none"/>
                <w:lang w:eastAsia="zh-CN"/>
              </w:rPr>
              <w:t>于</w:t>
            </w:r>
            <w:r>
              <w:rPr>
                <w:rFonts w:hint="eastAsia"/>
                <w:sz w:val="21"/>
                <w:szCs w:val="21"/>
                <w:highlight w:val="none"/>
              </w:rPr>
              <w:t>生产</w:t>
            </w:r>
          </w:p>
        </w:tc>
        <w:tc>
          <w:tcPr>
            <w:tcW w:w="0" w:type="auto"/>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bottom w:val="single" w:color="auto" w:sz="12" w:space="0"/>
              <w:tl2br w:val="nil"/>
              <w:tr2bl w:val="nil"/>
            </w:tcBorders>
            <w:vAlign w:val="center"/>
          </w:tcPr>
          <w:p>
            <w:pPr>
              <w:pStyle w:val="3"/>
              <w:spacing w:before="83" w:after="83" w:line="240" w:lineRule="auto"/>
              <w:ind w:left="69" w:hanging="69" w:hangingChars="33"/>
              <w:jc w:val="center"/>
              <w:rPr>
                <w:rFonts w:ascii="Times New Roman" w:hAnsi="Times New Roman"/>
                <w:sz w:val="21"/>
                <w:szCs w:val="21"/>
                <w:highlight w:val="none"/>
              </w:rPr>
            </w:pPr>
          </w:p>
        </w:tc>
        <w:tc>
          <w:tcPr>
            <w:tcW w:w="1762" w:type="dxa"/>
            <w:gridSpan w:val="4"/>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噪声处理</w:t>
            </w:r>
          </w:p>
        </w:tc>
        <w:tc>
          <w:tcPr>
            <w:tcW w:w="431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选用低噪声设备、采取设备减振、风机消声、隔声等措施</w:t>
            </w:r>
          </w:p>
        </w:tc>
        <w:tc>
          <w:tcPr>
            <w:tcW w:w="0" w:type="auto"/>
            <w:tcBorders>
              <w:tl2br w:val="nil"/>
              <w:tr2bl w:val="nil"/>
            </w:tcBorders>
            <w:vAlign w:val="center"/>
          </w:tcPr>
          <w:p>
            <w:pPr>
              <w:spacing w:line="240" w:lineRule="auto"/>
              <w:ind w:firstLine="420"/>
              <w:jc w:val="center"/>
              <w:rPr>
                <w:sz w:val="21"/>
                <w:szCs w:val="21"/>
                <w:highlight w:val="none"/>
              </w:rPr>
            </w:pPr>
          </w:p>
        </w:tc>
      </w:tr>
    </w:tbl>
    <w:p>
      <w:pPr>
        <w:pStyle w:val="6"/>
        <w:spacing w:beforeLines="0"/>
        <w:rPr>
          <w:rFonts w:hint="eastAsia" w:eastAsia="宋体" w:cs="Times New Roman"/>
          <w:highlight w:val="none"/>
          <w:lang w:eastAsia="zh-CN"/>
        </w:rPr>
      </w:pPr>
      <w:bookmarkStart w:id="15" w:name="_Toc4708"/>
      <w:r>
        <w:rPr>
          <w:rFonts w:hint="eastAsia" w:cs="Times New Roman"/>
          <w:highlight w:val="none"/>
        </w:rPr>
        <w:t>2.2产品</w:t>
      </w:r>
      <w:r>
        <w:rPr>
          <w:rFonts w:hint="eastAsia" w:cs="Times New Roman"/>
          <w:highlight w:val="none"/>
          <w:lang w:eastAsia="zh-CN"/>
        </w:rPr>
        <w:t>方案</w:t>
      </w:r>
      <w:bookmarkEnd w:id="15"/>
    </w:p>
    <w:p>
      <w:pPr>
        <w:pStyle w:val="7"/>
        <w:spacing w:before="66"/>
        <w:ind w:firstLine="0" w:firstLineChars="0"/>
        <w:rPr>
          <w:rFonts w:hint="eastAsia" w:eastAsia="宋体" w:cs="Times New Roman"/>
          <w:highlight w:val="none"/>
          <w:lang w:eastAsia="zh-CN"/>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2</w:t>
      </w:r>
      <w:r>
        <w:rPr>
          <w:rFonts w:hint="eastAsia" w:cs="Times New Roman"/>
          <w:highlight w:val="none"/>
        </w:rPr>
        <w:t>.1</w:t>
      </w:r>
      <w:r>
        <w:rPr>
          <w:rFonts w:hint="eastAsia" w:cs="Times New Roman"/>
          <w:highlight w:val="none"/>
          <w:lang w:eastAsia="zh-CN"/>
        </w:rPr>
        <w:t>产品规模</w:t>
      </w:r>
    </w:p>
    <w:p>
      <w:pPr>
        <w:adjustRightInd w:val="0"/>
        <w:snapToGrid w:val="0"/>
        <w:ind w:firstLine="480"/>
        <w:rPr>
          <w:bCs/>
          <w:highlight w:val="none"/>
        </w:rPr>
      </w:pPr>
      <w:r>
        <w:rPr>
          <w:rFonts w:hint="eastAsia"/>
          <w:bCs/>
          <w:highlight w:val="none"/>
        </w:rPr>
        <w:t>项目为全线育肥猪场，包括母猪妊娠阶段、分娩哺乳阶段、保育阶段、育肥阶段。工程设计养殖规模为年出栏15万头生猪，设计养殖方案及养殖规模见</w:t>
      </w:r>
      <w:r>
        <w:rPr>
          <w:bCs/>
          <w:highlight w:val="none"/>
        </w:rPr>
        <w:t>表</w:t>
      </w:r>
      <w:r>
        <w:rPr>
          <w:rFonts w:hint="eastAsia"/>
          <w:bCs/>
          <w:highlight w:val="none"/>
        </w:rPr>
        <w:t>2.2-1</w:t>
      </w:r>
      <w:r>
        <w:rPr>
          <w:bCs/>
          <w:highlight w:val="none"/>
        </w:rPr>
        <w:t>。</w:t>
      </w:r>
    </w:p>
    <w:p>
      <w:pPr>
        <w:pStyle w:val="40"/>
        <w:rPr>
          <w:rFonts w:hint="eastAsia" w:cs="Times New Roman"/>
          <w:highlight w:val="none"/>
          <w:lang w:eastAsia="zh-CN"/>
        </w:rPr>
      </w:pPr>
      <w:r>
        <w:rPr>
          <w:rFonts w:hint="eastAsia" w:cs="Times New Roman"/>
          <w:highlight w:val="none"/>
        </w:rPr>
        <w:t>表2.2-1 本项目产品方案</w:t>
      </w:r>
      <w:r>
        <w:rPr>
          <w:rFonts w:hint="eastAsia" w:cs="Times New Roman"/>
          <w:highlight w:val="none"/>
          <w:lang w:eastAsia="zh-CN"/>
        </w:rPr>
        <w:t>及养殖规模</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737"/>
        <w:gridCol w:w="1514"/>
        <w:gridCol w:w="2149"/>
        <w:gridCol w:w="216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序号</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产品名称</w:t>
            </w:r>
          </w:p>
        </w:tc>
        <w:tc>
          <w:tcPr>
            <w:tcW w:w="889"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实际存栏量（头）</w:t>
            </w:r>
          </w:p>
        </w:tc>
        <w:tc>
          <w:tcPr>
            <w:tcW w:w="1262"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存栏周期（</w:t>
            </w:r>
            <w:r>
              <w:rPr>
                <w:rFonts w:hint="eastAsia"/>
                <w:sz w:val="21"/>
                <w:szCs w:val="21"/>
                <w:highlight w:val="none"/>
                <w:lang w:val="en-US" w:eastAsia="zh-CN"/>
              </w:rPr>
              <w:t>d</w:t>
            </w:r>
            <w:r>
              <w:rPr>
                <w:rFonts w:hint="eastAsia"/>
                <w:sz w:val="21"/>
                <w:szCs w:val="21"/>
                <w:highlight w:val="none"/>
                <w:lang w:eastAsia="zh-CN"/>
              </w:rPr>
              <w:t>）</w:t>
            </w:r>
          </w:p>
        </w:tc>
        <w:tc>
          <w:tcPr>
            <w:tcW w:w="126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spacing w:line="360" w:lineRule="exact"/>
              <w:ind w:firstLine="420" w:firstLineChars="200"/>
              <w:jc w:val="center"/>
              <w:rPr>
                <w:rFonts w:hint="default" w:ascii="Times New Roman" w:hAnsi="Times New Roman" w:eastAsia="宋体"/>
                <w:bCs/>
                <w:color w:val="000000"/>
                <w:sz w:val="21"/>
                <w:szCs w:val="21"/>
                <w:highlight w:val="none"/>
                <w:lang w:val="en-US" w:eastAsia="zh-CN"/>
              </w:rPr>
            </w:pPr>
            <w:r>
              <w:rPr>
                <w:rFonts w:hint="eastAsia"/>
                <w:bCs/>
                <w:color w:val="000000"/>
                <w:sz w:val="21"/>
                <w:szCs w:val="21"/>
                <w:highlight w:val="none"/>
                <w:lang w:val="en-US" w:eastAsia="zh-CN"/>
              </w:rPr>
              <w:t>生猪养殖线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1</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怀孕猪</w:t>
            </w:r>
          </w:p>
        </w:tc>
        <w:tc>
          <w:tcPr>
            <w:tcW w:w="88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4944</w:t>
            </w:r>
          </w:p>
        </w:tc>
        <w:tc>
          <w:tcPr>
            <w:tcW w:w="1262"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114</w:t>
            </w:r>
          </w:p>
        </w:tc>
        <w:tc>
          <w:tcPr>
            <w:tcW w:w="1269" w:type="pct"/>
            <w:vAlign w:val="center"/>
          </w:tcPr>
          <w:p>
            <w:pPr>
              <w:spacing w:line="360" w:lineRule="exact"/>
              <w:ind w:firstLine="420" w:firstLineChars="200"/>
              <w:jc w:val="center"/>
              <w:rPr>
                <w:rFonts w:hint="eastAsia"/>
                <w:sz w:val="21"/>
                <w:szCs w:val="21"/>
                <w:highlight w:val="none"/>
                <w:lang w:eastAsia="zh-CN"/>
              </w:rPr>
            </w:pPr>
            <w:r>
              <w:rPr>
                <w:rFonts w:ascii="Times New Roman" w:hAnsi="Times New Roman"/>
                <w:bCs/>
                <w:color w:val="000000"/>
                <w:sz w:val="21"/>
                <w:szCs w:val="21"/>
                <w:highlight w:val="none"/>
              </w:rPr>
              <w:t>包括配种母猪</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2</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哺乳猪</w:t>
            </w:r>
          </w:p>
        </w:tc>
        <w:tc>
          <w:tcPr>
            <w:tcW w:w="88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1056</w:t>
            </w:r>
          </w:p>
        </w:tc>
        <w:tc>
          <w:tcPr>
            <w:tcW w:w="1262"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30</w:t>
            </w:r>
          </w:p>
        </w:tc>
        <w:tc>
          <w:tcPr>
            <w:tcW w:w="1269" w:type="pct"/>
            <w:vAlign w:val="center"/>
          </w:tcPr>
          <w:p>
            <w:pPr>
              <w:spacing w:line="360" w:lineRule="exact"/>
              <w:ind w:firstLine="420" w:firstLineChars="200"/>
              <w:jc w:val="center"/>
              <w:rPr>
                <w:rFonts w:hint="eastAsia"/>
                <w:sz w:val="21"/>
                <w:szCs w:val="21"/>
                <w:highlight w:val="none"/>
                <w:lang w:eastAsia="zh-CN"/>
              </w:rPr>
            </w:pPr>
            <w:r>
              <w:rPr>
                <w:rFonts w:ascii="Times New Roman" w:hAnsi="Times New Roman"/>
                <w:bCs/>
                <w:color w:val="000000"/>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3</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保育猪</w:t>
            </w:r>
          </w:p>
        </w:tc>
        <w:tc>
          <w:tcPr>
            <w:tcW w:w="88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20000</w:t>
            </w:r>
          </w:p>
        </w:tc>
        <w:tc>
          <w:tcPr>
            <w:tcW w:w="1262"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49</w:t>
            </w:r>
          </w:p>
        </w:tc>
        <w:tc>
          <w:tcPr>
            <w:tcW w:w="1269" w:type="pct"/>
            <w:vAlign w:val="center"/>
          </w:tcPr>
          <w:p>
            <w:pPr>
              <w:topLinePunct/>
              <w:spacing w:line="320" w:lineRule="exact"/>
              <w:ind w:firstLine="420" w:firstLineChars="200"/>
              <w:jc w:val="center"/>
              <w:rPr>
                <w:rFonts w:hint="eastAsia"/>
                <w:sz w:val="21"/>
                <w:szCs w:val="21"/>
                <w:highlight w:val="none"/>
                <w:lang w:eastAsia="zh-CN"/>
              </w:rPr>
            </w:pPr>
            <w:r>
              <w:rPr>
                <w:rFonts w:ascii="Times New Roman" w:hAnsi="Times New Roman"/>
                <w:bCs/>
                <w:color w:val="000000"/>
                <w:sz w:val="21"/>
                <w:szCs w:val="21"/>
                <w:highlight w:val="none"/>
              </w:rPr>
              <w:t>保育</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育肥猪</w:t>
            </w:r>
          </w:p>
        </w:tc>
        <w:tc>
          <w:tcPr>
            <w:tcW w:w="88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40000</w:t>
            </w:r>
          </w:p>
        </w:tc>
        <w:tc>
          <w:tcPr>
            <w:tcW w:w="1262"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96</w:t>
            </w:r>
          </w:p>
        </w:tc>
        <w:tc>
          <w:tcPr>
            <w:tcW w:w="1269" w:type="pct"/>
            <w:vAlign w:val="center"/>
          </w:tcPr>
          <w:p>
            <w:pPr>
              <w:topLinePunct/>
              <w:spacing w:line="320" w:lineRule="exact"/>
              <w:ind w:firstLine="420" w:firstLineChars="200"/>
              <w:jc w:val="center"/>
              <w:rPr>
                <w:rFonts w:hint="eastAsia"/>
                <w:sz w:val="21"/>
                <w:szCs w:val="21"/>
                <w:highlight w:val="none"/>
                <w:lang w:eastAsia="zh-CN"/>
              </w:rPr>
            </w:pPr>
            <w:r>
              <w:rPr>
                <w:rFonts w:ascii="Times New Roman" w:hAnsi="Times New Roman"/>
                <w:bCs/>
                <w:color w:val="000000"/>
                <w:sz w:val="21"/>
                <w:szCs w:val="21"/>
                <w:highlight w:val="none"/>
              </w:rPr>
              <w:t>育肥</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后备育肥猪</w:t>
            </w:r>
          </w:p>
        </w:tc>
        <w:tc>
          <w:tcPr>
            <w:tcW w:w="88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1200</w:t>
            </w:r>
          </w:p>
        </w:tc>
        <w:tc>
          <w:tcPr>
            <w:tcW w:w="1262"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77</w:t>
            </w:r>
          </w:p>
        </w:tc>
        <w:tc>
          <w:tcPr>
            <w:tcW w:w="1269" w:type="pct"/>
            <w:vAlign w:val="center"/>
          </w:tcPr>
          <w:p>
            <w:pPr>
              <w:topLinePunct/>
              <w:spacing w:line="320" w:lineRule="exact"/>
              <w:ind w:firstLine="420" w:firstLineChars="200"/>
              <w:jc w:val="center"/>
              <w:rPr>
                <w:rFonts w:hint="eastAsia"/>
                <w:sz w:val="21"/>
                <w:szCs w:val="21"/>
                <w:highlight w:val="none"/>
                <w:lang w:eastAsia="zh-CN"/>
              </w:rPr>
            </w:pPr>
            <w:r>
              <w:rPr>
                <w:rFonts w:ascii="Times New Roman" w:hAnsi="Times New Roman"/>
                <w:bCs/>
                <w:color w:val="000000"/>
                <w:sz w:val="21"/>
                <w:szCs w:val="21"/>
                <w:highlight w:val="none"/>
              </w:rPr>
              <w:t>后备育肥</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6</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合计</w:t>
            </w:r>
          </w:p>
        </w:tc>
        <w:tc>
          <w:tcPr>
            <w:tcW w:w="88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67200</w:t>
            </w:r>
          </w:p>
        </w:tc>
        <w:tc>
          <w:tcPr>
            <w:tcW w:w="1262"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w:t>
            </w:r>
          </w:p>
        </w:tc>
        <w:tc>
          <w:tcPr>
            <w:tcW w:w="1269"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饲料加工生产线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1020" w:type="pct"/>
            <w:vAlign w:val="center"/>
          </w:tcPr>
          <w:p>
            <w:pPr>
              <w:spacing w:line="240" w:lineRule="auto"/>
              <w:ind w:firstLine="0" w:firstLineChars="0"/>
              <w:jc w:val="center"/>
              <w:rPr>
                <w:rFonts w:hint="eastAsia"/>
                <w:sz w:val="21"/>
                <w:szCs w:val="21"/>
                <w:highlight w:val="none"/>
                <w:lang w:eastAsia="zh-CN"/>
              </w:rPr>
            </w:pPr>
            <w:r>
              <w:rPr>
                <w:rFonts w:hint="eastAsia"/>
                <w:sz w:val="21"/>
                <w:szCs w:val="21"/>
                <w:highlight w:val="none"/>
                <w:lang w:eastAsia="zh-CN"/>
              </w:rPr>
              <w:t>颗粒饲料</w:t>
            </w:r>
          </w:p>
        </w:tc>
        <w:tc>
          <w:tcPr>
            <w:tcW w:w="3421" w:type="pct"/>
            <w:gridSpan w:val="3"/>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产量：12万t/a</w:t>
            </w:r>
          </w:p>
        </w:tc>
      </w:tr>
    </w:tbl>
    <w:p>
      <w:pPr>
        <w:pStyle w:val="7"/>
        <w:spacing w:before="66"/>
        <w:ind w:firstLine="0" w:firstLineChars="0"/>
        <w:rPr>
          <w:rFonts w:hint="eastAsia" w:eastAsia="宋体" w:cs="Times New Roman"/>
          <w:highlight w:val="none"/>
          <w:lang w:eastAsia="zh-CN"/>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2</w:t>
      </w:r>
      <w:r>
        <w:rPr>
          <w:rFonts w:hint="eastAsia" w:cs="Times New Roman"/>
          <w:highlight w:val="none"/>
          <w:lang w:eastAsia="zh-CN"/>
        </w:rPr>
        <w:t>设计养殖能力</w:t>
      </w:r>
    </w:p>
    <w:p>
      <w:pPr>
        <w:spacing w:line="520" w:lineRule="exact"/>
        <w:ind w:firstLine="480" w:firstLineChars="200"/>
        <w:rPr>
          <w:rFonts w:ascii="Times New Roman" w:hAnsi="Times New Roman"/>
          <w:highlight w:val="none"/>
        </w:rPr>
      </w:pPr>
      <w:r>
        <w:rPr>
          <w:rFonts w:ascii="Times New Roman" w:hAnsi="Times New Roman"/>
          <w:sz w:val="24"/>
          <w:szCs w:val="24"/>
          <w:highlight w:val="none"/>
        </w:rPr>
        <w:t>本项目设计养殖能力见表2</w:t>
      </w:r>
      <w:r>
        <w:rPr>
          <w:rFonts w:hint="eastAsia"/>
          <w:sz w:val="24"/>
          <w:szCs w:val="24"/>
          <w:highlight w:val="none"/>
          <w:lang w:val="en-US" w:eastAsia="zh-CN"/>
        </w:rPr>
        <w:t>.2</w:t>
      </w:r>
      <w:r>
        <w:rPr>
          <w:rFonts w:ascii="Times New Roman" w:hAnsi="Times New Roman"/>
          <w:sz w:val="24"/>
          <w:szCs w:val="24"/>
          <w:highlight w:val="none"/>
        </w:rPr>
        <w:t>-</w:t>
      </w:r>
      <w:r>
        <w:rPr>
          <w:rFonts w:hint="eastAsia"/>
          <w:sz w:val="24"/>
          <w:szCs w:val="24"/>
          <w:highlight w:val="none"/>
          <w:lang w:val="en-US" w:eastAsia="zh-CN"/>
        </w:rPr>
        <w:t>2</w:t>
      </w:r>
      <w:r>
        <w:rPr>
          <w:rFonts w:ascii="Times New Roman" w:hAnsi="Times New Roman"/>
          <w:sz w:val="24"/>
          <w:szCs w:val="24"/>
          <w:highlight w:val="none"/>
        </w:rPr>
        <w:t>。</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设计养殖能力一览表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37"/>
        <w:gridCol w:w="2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养殖单元名称</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单元数量（舍）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设计日常存栏总量（头）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怀孕舍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27</w:t>
            </w:r>
          </w:p>
        </w:tc>
        <w:tc>
          <w:tcPr>
            <w:tcW w:w="283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哺乳舍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24</w:t>
            </w:r>
          </w:p>
        </w:tc>
        <w:tc>
          <w:tcPr>
            <w:tcW w:w="283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保育舍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48</w:t>
            </w:r>
          </w:p>
        </w:tc>
        <w:tc>
          <w:tcPr>
            <w:tcW w:w="283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育肥舍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73</w:t>
            </w:r>
          </w:p>
        </w:tc>
        <w:tc>
          <w:tcPr>
            <w:tcW w:w="283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后备舍</w:t>
            </w:r>
          </w:p>
        </w:tc>
        <w:tc>
          <w:tcPr>
            <w:tcW w:w="166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2837" w:type="dxa"/>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66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1666"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178</w:t>
            </w:r>
          </w:p>
        </w:tc>
        <w:tc>
          <w:tcPr>
            <w:tcW w:w="2837" w:type="dxa"/>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67200</w:t>
            </w:r>
          </w:p>
        </w:tc>
      </w:tr>
    </w:tbl>
    <w:p>
      <w:pPr>
        <w:pStyle w:val="6"/>
        <w:spacing w:beforeLines="0"/>
        <w:rPr>
          <w:rFonts w:cs="Times New Roman"/>
          <w:highlight w:val="none"/>
        </w:rPr>
      </w:pPr>
      <w:bookmarkStart w:id="16" w:name="_Toc15779"/>
      <w:r>
        <w:rPr>
          <w:rFonts w:cs="Times New Roman"/>
          <w:highlight w:val="none"/>
        </w:rPr>
        <w:t>2.</w:t>
      </w:r>
      <w:r>
        <w:rPr>
          <w:rFonts w:hint="eastAsia" w:cs="Times New Roman"/>
          <w:highlight w:val="none"/>
        </w:rPr>
        <w:t>3</w:t>
      </w:r>
      <w:r>
        <w:rPr>
          <w:rFonts w:cs="Times New Roman"/>
          <w:highlight w:val="none"/>
        </w:rPr>
        <w:t>原辅材料</w:t>
      </w:r>
      <w:bookmarkEnd w:id="16"/>
    </w:p>
    <w:p>
      <w:pPr>
        <w:pStyle w:val="7"/>
        <w:spacing w:before="66"/>
        <w:ind w:firstLine="0" w:firstLineChars="0"/>
        <w:rPr>
          <w:rFonts w:hint="eastAsia" w:cs="Times New Roman"/>
          <w:highlight w:val="none"/>
          <w:lang w:val="en-US" w:eastAsia="zh-CN"/>
        </w:rPr>
      </w:pPr>
      <w:r>
        <w:rPr>
          <w:rFonts w:hint="eastAsia" w:cs="Times New Roman"/>
          <w:highlight w:val="none"/>
          <w:lang w:val="en-US" w:eastAsia="zh-CN"/>
        </w:rPr>
        <w:t>2.3.1饲料</w:t>
      </w:r>
    </w:p>
    <w:p>
      <w:pPr>
        <w:ind w:firstLine="480"/>
        <w:rPr>
          <w:rFonts w:hint="eastAsia" w:eastAsia="宋体"/>
          <w:highlight w:val="none"/>
          <w:lang w:eastAsia="zh-CN"/>
        </w:rPr>
      </w:pPr>
      <w:r>
        <w:rPr>
          <w:rFonts w:hint="eastAsia"/>
          <w:highlight w:val="none"/>
          <w:lang w:eastAsia="zh-CN"/>
        </w:rPr>
        <w:t>项目主要原料为饲料，来自于项目自建的饲料加工生产线。饲料生产完成后除供应本厂使用外，多余部分供给其他养殖场。</w:t>
      </w:r>
      <w:r>
        <w:rPr>
          <w:rFonts w:hint="eastAsia" w:ascii="Times New Roman" w:hAnsi="Times New Roman"/>
          <w:color w:val="000000"/>
          <w:sz w:val="24"/>
          <w:highlight w:val="none"/>
        </w:rPr>
        <w:t>厂所用</w:t>
      </w:r>
      <w:r>
        <w:rPr>
          <w:rFonts w:ascii="Times New Roman" w:hAnsi="Times New Roman"/>
          <w:color w:val="000000"/>
          <w:sz w:val="24"/>
          <w:highlight w:val="none"/>
        </w:rPr>
        <w:t>饲料</w:t>
      </w:r>
      <w:r>
        <w:rPr>
          <w:rFonts w:hint="eastAsia" w:ascii="Times New Roman" w:hAnsi="Times New Roman"/>
          <w:color w:val="000000"/>
          <w:sz w:val="24"/>
          <w:highlight w:val="none"/>
        </w:rPr>
        <w:t>贮存在成品料仓内</w:t>
      </w:r>
      <w:r>
        <w:rPr>
          <w:rFonts w:ascii="Times New Roman" w:hAnsi="Times New Roman"/>
          <w:color w:val="000000"/>
          <w:sz w:val="24"/>
          <w:highlight w:val="none"/>
        </w:rPr>
        <w:t>，采用全自动配送上料系统和限位猪槽，机械化操作，定时定量供应饲料，保证生猪饮食需求</w:t>
      </w:r>
      <w:r>
        <w:rPr>
          <w:rFonts w:hint="eastAsia"/>
          <w:color w:val="000000"/>
          <w:sz w:val="24"/>
          <w:highlight w:val="none"/>
          <w:lang w:eastAsia="zh-CN"/>
        </w:rPr>
        <w:t>。</w:t>
      </w:r>
    </w:p>
    <w:p>
      <w:pPr>
        <w:ind w:firstLine="480"/>
        <w:rPr>
          <w:highlight w:val="none"/>
        </w:rPr>
      </w:pPr>
      <w:r>
        <w:rPr>
          <w:rFonts w:hint="eastAsia"/>
          <w:highlight w:val="none"/>
        </w:rPr>
        <w:t>项目</w:t>
      </w:r>
      <w:r>
        <w:rPr>
          <w:rFonts w:hint="eastAsia"/>
          <w:highlight w:val="none"/>
          <w:lang w:eastAsia="zh-CN"/>
        </w:rPr>
        <w:t>饲料</w:t>
      </w:r>
      <w:r>
        <w:rPr>
          <w:highlight w:val="none"/>
        </w:rPr>
        <w:t>消耗情况见表2.</w:t>
      </w:r>
      <w:r>
        <w:rPr>
          <w:rFonts w:hint="eastAsia"/>
          <w:highlight w:val="none"/>
        </w:rPr>
        <w:t>3-1。</w:t>
      </w:r>
    </w:p>
    <w:p>
      <w:pPr>
        <w:pStyle w:val="40"/>
        <w:rPr>
          <w:rFonts w:hint="eastAsia" w:cs="Times New Roman"/>
          <w:highlight w:val="none"/>
        </w:rPr>
      </w:pPr>
      <w:r>
        <w:rPr>
          <w:rFonts w:hint="eastAsia" w:cs="Times New Roman"/>
          <w:highlight w:val="none"/>
        </w:rPr>
        <w:t>表2.3-1 项目</w:t>
      </w:r>
      <w:r>
        <w:rPr>
          <w:rFonts w:hint="eastAsia" w:cs="Times New Roman"/>
          <w:highlight w:val="none"/>
          <w:lang w:eastAsia="zh-CN"/>
        </w:rPr>
        <w:t>饲料消耗</w:t>
      </w:r>
      <w:r>
        <w:rPr>
          <w:rFonts w:hint="eastAsia" w:cs="Times New Roman"/>
          <w:highlight w:val="none"/>
        </w:rPr>
        <w:t>一览表</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8"/>
        <w:gridCol w:w="1087"/>
        <w:gridCol w:w="909"/>
        <w:gridCol w:w="2294"/>
        <w:gridCol w:w="1666"/>
        <w:gridCol w:w="18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387"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38"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名称</w:t>
            </w:r>
          </w:p>
        </w:tc>
        <w:tc>
          <w:tcPr>
            <w:tcW w:w="53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数量（头）</w:t>
            </w:r>
          </w:p>
        </w:tc>
        <w:tc>
          <w:tcPr>
            <w:tcW w:w="3440"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饲料消耗量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387"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38"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单头猪饲料定额（kg/d）</w:t>
            </w:r>
          </w:p>
        </w:tc>
        <w:tc>
          <w:tcPr>
            <w:tcW w:w="97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日消耗量（t/d）</w:t>
            </w:r>
          </w:p>
        </w:tc>
        <w:tc>
          <w:tcPr>
            <w:tcW w:w="111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年消耗量（t/a）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8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怀孕猪</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4944</w:t>
            </w: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2.5</w:t>
            </w:r>
          </w:p>
        </w:tc>
        <w:tc>
          <w:tcPr>
            <w:tcW w:w="978"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12.36</w:t>
            </w:r>
          </w:p>
        </w:tc>
        <w:tc>
          <w:tcPr>
            <w:tcW w:w="111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4511.4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38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哺乳猪</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1056</w:t>
            </w: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5.5</w:t>
            </w:r>
          </w:p>
        </w:tc>
        <w:tc>
          <w:tcPr>
            <w:tcW w:w="978"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5.81</w:t>
            </w:r>
          </w:p>
        </w:tc>
        <w:tc>
          <w:tcPr>
            <w:tcW w:w="111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2119.92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38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保育猪</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20000</w:t>
            </w:r>
          </w:p>
        </w:tc>
        <w:tc>
          <w:tcPr>
            <w:tcW w:w="1347"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0.8</w:t>
            </w:r>
          </w:p>
        </w:tc>
        <w:tc>
          <w:tcPr>
            <w:tcW w:w="978"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16</w:t>
            </w:r>
          </w:p>
        </w:tc>
        <w:tc>
          <w:tcPr>
            <w:tcW w:w="111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5840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38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育肥猪</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40000</w:t>
            </w: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978"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80</w:t>
            </w:r>
          </w:p>
        </w:tc>
        <w:tc>
          <w:tcPr>
            <w:tcW w:w="111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29200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38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63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后备育肥</w:t>
            </w:r>
          </w:p>
        </w:tc>
        <w:tc>
          <w:tcPr>
            <w:tcW w:w="5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1200</w:t>
            </w: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978"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2.4</w:t>
            </w:r>
          </w:p>
        </w:tc>
        <w:tc>
          <w:tcPr>
            <w:tcW w:w="111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876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55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134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97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116.57</w:t>
            </w:r>
          </w:p>
        </w:tc>
        <w:tc>
          <w:tcPr>
            <w:tcW w:w="111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42547.32</w:t>
            </w:r>
          </w:p>
        </w:tc>
      </w:tr>
    </w:tbl>
    <w:p>
      <w:pPr>
        <w:pStyle w:val="7"/>
        <w:spacing w:before="66"/>
        <w:ind w:firstLine="0" w:firstLineChars="0"/>
        <w:rPr>
          <w:rFonts w:hint="eastAsia" w:cs="Times New Roman"/>
          <w:highlight w:val="none"/>
          <w:lang w:val="en-US" w:eastAsia="zh-CN"/>
        </w:rPr>
      </w:pPr>
      <w:r>
        <w:rPr>
          <w:rFonts w:hint="eastAsia" w:cs="Times New Roman"/>
          <w:highlight w:val="none"/>
          <w:lang w:val="en-US" w:eastAsia="zh-CN"/>
        </w:rPr>
        <w:t>2.3.2辅助材料及能源消耗</w:t>
      </w:r>
    </w:p>
    <w:p>
      <w:pPr>
        <w:pStyle w:val="134"/>
        <w:spacing w:line="520" w:lineRule="exact"/>
        <w:ind w:firstLine="480"/>
        <w:rPr>
          <w:rFonts w:cs="Times New Roman"/>
          <w:highlight w:val="none"/>
        </w:rPr>
      </w:pPr>
      <w:r>
        <w:rPr>
          <w:rFonts w:cs="Times New Roman"/>
          <w:highlight w:val="none"/>
        </w:rPr>
        <w:t>项目辅助材料主要包括消毒药品、脱硫剂及防疫药品。其中植物型除臭剂喷洒在猪舍、沼气工程、固粪处理区和沼液储存池等区域，用来抑制恶臭的产生，植物除臭剂1kg可喷洒500m</w:t>
      </w:r>
      <w:r>
        <w:rPr>
          <w:rFonts w:cs="Times New Roman"/>
          <w:highlight w:val="none"/>
          <w:vertAlign w:val="superscript"/>
        </w:rPr>
        <w:t>2</w:t>
      </w:r>
      <w:r>
        <w:rPr>
          <w:rFonts w:cs="Times New Roman"/>
          <w:highlight w:val="none"/>
        </w:rPr>
        <w:t>，项目植物除臭剂总用量约为0.</w:t>
      </w:r>
      <w:r>
        <w:rPr>
          <w:rFonts w:hint="eastAsia" w:cs="Times New Roman"/>
          <w:highlight w:val="none"/>
          <w:lang w:val="en-US" w:eastAsia="zh-CN"/>
        </w:rPr>
        <w:t>4</w:t>
      </w:r>
      <w:r>
        <w:rPr>
          <w:rFonts w:cs="Times New Roman"/>
          <w:highlight w:val="none"/>
        </w:rPr>
        <w:t>t/a；脱硫剂为氧化铁，用来对沼气净化脱硫，项目脱硫剂总用量为0.</w:t>
      </w:r>
      <w:r>
        <w:rPr>
          <w:rFonts w:hint="eastAsia" w:cs="Times New Roman"/>
          <w:highlight w:val="none"/>
          <w:lang w:val="en-US" w:eastAsia="zh-CN"/>
        </w:rPr>
        <w:t>19</w:t>
      </w:r>
      <w:r>
        <w:rPr>
          <w:rFonts w:cs="Times New Roman"/>
          <w:highlight w:val="none"/>
        </w:rPr>
        <w:t>t/a；消毒剂（烧碱、高锰酸钾及季铵盐消毒剂等）主要用于公司日常对人员，猪舍及进出厂区的车辆进行消毒，总用量为</w:t>
      </w:r>
      <w:r>
        <w:rPr>
          <w:rFonts w:hint="eastAsia" w:cs="Times New Roman"/>
          <w:highlight w:val="none"/>
          <w:lang w:val="en-US" w:eastAsia="zh-CN"/>
        </w:rPr>
        <w:t>3.75</w:t>
      </w:r>
      <w:r>
        <w:rPr>
          <w:rFonts w:cs="Times New Roman"/>
          <w:highlight w:val="none"/>
        </w:rPr>
        <w:t>t/a；项目防疫药品的种类为伪狂犬疫苗、猪瘟疫苗、口蹄疫疫苗、蓝耳病疫苗4种，出栏的商品猪每头各需1份，年共需防疫药品0.</w:t>
      </w:r>
      <w:r>
        <w:rPr>
          <w:rFonts w:hint="eastAsia" w:cs="Times New Roman"/>
          <w:highlight w:val="none"/>
          <w:lang w:val="en-US" w:eastAsia="zh-CN"/>
        </w:rPr>
        <w:t>48</w:t>
      </w:r>
      <w:r>
        <w:rPr>
          <w:rFonts w:cs="Times New Roman"/>
          <w:highlight w:val="none"/>
        </w:rPr>
        <w:t>t/a。</w:t>
      </w:r>
      <w:r>
        <w:rPr>
          <w:rFonts w:cs="Times New Roman"/>
          <w:bCs/>
          <w:highlight w:val="none"/>
        </w:rPr>
        <w:t>建设项目原辅材料及资源、能源消耗情况见表2</w:t>
      </w:r>
      <w:r>
        <w:rPr>
          <w:rFonts w:hint="eastAsia" w:cs="Times New Roman"/>
          <w:bCs/>
          <w:highlight w:val="none"/>
          <w:lang w:val="en-US" w:eastAsia="zh-CN"/>
        </w:rPr>
        <w:t>.3</w:t>
      </w:r>
      <w:r>
        <w:rPr>
          <w:rFonts w:cs="Times New Roman"/>
          <w:bCs/>
          <w:highlight w:val="none"/>
        </w:rPr>
        <w:t>-</w:t>
      </w:r>
      <w:r>
        <w:rPr>
          <w:rFonts w:hint="eastAsia" w:cs="Times New Roman"/>
          <w:bCs/>
          <w:highlight w:val="none"/>
          <w:lang w:val="en-US" w:eastAsia="zh-CN"/>
        </w:rPr>
        <w:t>2</w:t>
      </w:r>
      <w:r>
        <w:rPr>
          <w:rFonts w:cs="Times New Roman"/>
          <w:highlight w:val="none"/>
        </w:rPr>
        <w:t>。</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.3</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项目主要原辅材料及能源、资源消耗一览表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62"/>
        <w:gridCol w:w="1127"/>
        <w:gridCol w:w="1352"/>
        <w:gridCol w:w="3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序号</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项目名称</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单位</w:t>
            </w:r>
          </w:p>
        </w:tc>
        <w:tc>
          <w:tcPr>
            <w:tcW w:w="79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消耗量</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1</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脱硫剂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sz w:val="21"/>
                <w:szCs w:val="24"/>
                <w:highlight w:val="none"/>
                <w:lang w:val="en-US" w:eastAsia="zh-CN"/>
              </w:rPr>
            </w:pPr>
            <w:r>
              <w:rPr>
                <w:rFonts w:ascii="Times New Roman" w:hAnsi="Times New Roman" w:cs="Times New Roman"/>
                <w:sz w:val="21"/>
                <w:szCs w:val="24"/>
                <w:highlight w:val="none"/>
              </w:rPr>
              <w:t>0.</w:t>
            </w:r>
            <w:r>
              <w:rPr>
                <w:rFonts w:hint="eastAsia" w:cs="Times New Roman"/>
                <w:sz w:val="21"/>
                <w:szCs w:val="24"/>
                <w:highlight w:val="none"/>
                <w:lang w:val="en-US" w:eastAsia="zh-CN"/>
              </w:rPr>
              <w:t>19</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4"/>
                <w:highlight w:val="none"/>
              </w:rPr>
            </w:pPr>
            <w:r>
              <w:rPr>
                <w:rFonts w:ascii="Times New Roman" w:hAnsi="Times New Roman" w:cs="Times New Roman"/>
                <w:sz w:val="21"/>
                <w:szCs w:val="24"/>
                <w:highlight w:val="none"/>
              </w:rPr>
              <w:t>沼气净化脱硫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2</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药品疫苗</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4"/>
                <w:highlight w:val="none"/>
                <w:lang w:val="en-US" w:eastAsia="zh-CN"/>
              </w:rPr>
            </w:pPr>
            <w:r>
              <w:rPr>
                <w:rFonts w:ascii="Times New Roman" w:hAnsi="Times New Roman" w:cs="Times New Roman"/>
                <w:color w:val="000000"/>
                <w:sz w:val="21"/>
                <w:szCs w:val="24"/>
                <w:highlight w:val="none"/>
              </w:rPr>
              <w:t>0.</w:t>
            </w:r>
            <w:r>
              <w:rPr>
                <w:rFonts w:hint="eastAsia" w:cs="Times New Roman"/>
                <w:color w:val="000000"/>
                <w:sz w:val="21"/>
                <w:szCs w:val="24"/>
                <w:highlight w:val="none"/>
                <w:lang w:val="en-US" w:eastAsia="zh-CN"/>
              </w:rPr>
              <w:t>48</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4"/>
                <w:highlight w:val="none"/>
              </w:rPr>
            </w:pPr>
            <w:r>
              <w:rPr>
                <w:rFonts w:ascii="Times New Roman" w:hAnsi="Times New Roman" w:cs="Times New Roman"/>
                <w:sz w:val="21"/>
                <w:szCs w:val="24"/>
                <w:highlight w:val="none"/>
              </w:rPr>
              <w:t>防疫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3</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植物除臭剂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4"/>
                <w:highlight w:val="none"/>
                <w:lang w:val="en-US" w:eastAsia="zh-CN"/>
              </w:rPr>
            </w:pPr>
            <w:r>
              <w:rPr>
                <w:rFonts w:hint="eastAsia" w:cs="Times New Roman"/>
                <w:color w:val="000000"/>
                <w:sz w:val="21"/>
                <w:szCs w:val="24"/>
                <w:highlight w:val="none"/>
                <w:lang w:val="en-US" w:eastAsia="zh-CN"/>
              </w:rPr>
              <w:t>0.4</w:t>
            </w:r>
          </w:p>
        </w:tc>
        <w:tc>
          <w:tcPr>
            <w:tcW w:w="224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sz w:val="21"/>
                <w:szCs w:val="24"/>
                <w:highlight w:val="none"/>
                <w:lang w:eastAsia="zh-CN"/>
              </w:rPr>
            </w:pPr>
            <w:r>
              <w:rPr>
                <w:rFonts w:hint="eastAsia" w:cs="Times New Roman"/>
                <w:sz w:val="21"/>
                <w:szCs w:val="24"/>
                <w:highlight w:val="none"/>
                <w:lang w:eastAsia="zh-CN"/>
              </w:rPr>
              <w:t>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eastAsia="zh-CN"/>
              </w:rPr>
            </w:pPr>
            <w:r>
              <w:rPr>
                <w:rFonts w:hint="eastAsia" w:cs="Times New Roman"/>
                <w:bCs/>
                <w:sz w:val="21"/>
                <w:szCs w:val="21"/>
                <w:highlight w:val="none"/>
                <w:lang w:val="en-US" w:eastAsia="zh-CN"/>
              </w:rPr>
              <w:t>4</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消毒剂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3.75</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对人员，猪舍及进出厂区的车辆进行消毒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kern w:val="0"/>
                <w:sz w:val="21"/>
                <w:szCs w:val="21"/>
                <w:highlight w:val="none"/>
              </w:rPr>
            </w:pPr>
            <w:r>
              <w:rPr>
                <w:rFonts w:hint="eastAsia" w:cs="Times New Roman"/>
                <w:kern w:val="0"/>
                <w:sz w:val="21"/>
                <w:szCs w:val="21"/>
                <w:highlight w:val="none"/>
                <w:lang w:eastAsia="zh-CN"/>
              </w:rPr>
              <w:t>饲料加工区原辅材料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hint="eastAsia" w:ascii="Times New Roman" w:hAnsi="Times New Roman" w:cs="Times New Roman"/>
                <w:bCs/>
                <w:sz w:val="21"/>
                <w:szCs w:val="21"/>
                <w:highlight w:val="none"/>
              </w:rPr>
              <w:t>大原料</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10.2万</w:t>
            </w:r>
          </w:p>
        </w:tc>
        <w:tc>
          <w:tcPr>
            <w:tcW w:w="224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kern w:val="0"/>
                <w:sz w:val="21"/>
                <w:szCs w:val="21"/>
                <w:highlight w:val="none"/>
                <w:lang w:eastAsia="zh-CN"/>
              </w:rPr>
            </w:pPr>
            <w:r>
              <w:rPr>
                <w:rFonts w:hint="eastAsia" w:cs="Times New Roman"/>
                <w:kern w:val="0"/>
                <w:sz w:val="21"/>
                <w:szCs w:val="21"/>
                <w:highlight w:val="none"/>
                <w:lang w:eastAsia="zh-CN"/>
              </w:rPr>
              <w:t>主要有玉米、高粕46、麸皮、鱼粉、膨化大豆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default" w:cs="Times New Roman"/>
                <w:bCs/>
                <w:sz w:val="21"/>
                <w:szCs w:val="21"/>
                <w:highlight w:val="none"/>
                <w:lang w:val="en-US" w:eastAsia="zh-CN"/>
              </w:rPr>
            </w:pPr>
            <w:r>
              <w:rPr>
                <w:rFonts w:hint="eastAsia" w:cs="Times New Roman"/>
                <w:bCs/>
                <w:sz w:val="21"/>
                <w:szCs w:val="21"/>
                <w:highlight w:val="none"/>
                <w:lang w:val="en-US" w:eastAsia="zh-CN"/>
              </w:rPr>
              <w:t>2</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hint="eastAsia" w:ascii="Times New Roman" w:hAnsi="Times New Roman" w:cs="Times New Roman"/>
                <w:bCs/>
                <w:sz w:val="21"/>
                <w:szCs w:val="21"/>
                <w:highlight w:val="none"/>
              </w:rPr>
              <w:t>预混剂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1.8万</w:t>
            </w:r>
          </w:p>
        </w:tc>
        <w:tc>
          <w:tcPr>
            <w:tcW w:w="224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kern w:val="0"/>
                <w:sz w:val="21"/>
                <w:szCs w:val="21"/>
                <w:highlight w:val="none"/>
                <w:lang w:eastAsia="zh-CN"/>
              </w:rPr>
            </w:pPr>
            <w:r>
              <w:rPr>
                <w:rFonts w:hint="eastAsia" w:cs="Times New Roman"/>
                <w:kern w:val="0"/>
                <w:sz w:val="21"/>
                <w:szCs w:val="21"/>
                <w:highlight w:val="none"/>
                <w:lang w:eastAsia="zh-CN"/>
              </w:rPr>
              <w:t>主要有蛋氨酸、赖氨酸98、苏氨酸、色氨酸、缬氨酸、磷酸氢钙、硫酸锰、五水硫酸铜、硫酸锌、硫酸亚铁、石粉、食盐、小苏打、亚硒酸钠、碘酸钙、拉曼硒、VE、氯化胆碱60、种猪多维、VC、种猪齐乐、肉碱、有机铬、植酸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5"/>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hint="eastAsia" w:cs="Times New Roman"/>
                <w:kern w:val="0"/>
                <w:sz w:val="21"/>
                <w:szCs w:val="21"/>
                <w:highlight w:val="none"/>
                <w:lang w:eastAsia="zh-CN"/>
              </w:rPr>
              <w:t>能源消耗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default" w:cs="Times New Roman"/>
                <w:bCs/>
                <w:sz w:val="21"/>
                <w:szCs w:val="21"/>
                <w:highlight w:val="none"/>
                <w:lang w:val="en-US" w:eastAsia="zh-CN"/>
              </w:rPr>
            </w:pPr>
            <w:r>
              <w:rPr>
                <w:rFonts w:hint="eastAsia" w:cs="Times New Roman"/>
                <w:bCs/>
                <w:color w:val="000000"/>
                <w:sz w:val="21"/>
                <w:szCs w:val="21"/>
                <w:highlight w:val="none"/>
                <w:lang w:val="en-US" w:eastAsia="zh-CN"/>
              </w:rPr>
              <w:t>5</w:t>
            </w:r>
          </w:p>
        </w:tc>
        <w:tc>
          <w:tcPr>
            <w:tcW w:w="85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sz w:val="21"/>
                <w:szCs w:val="21"/>
                <w:highlight w:val="none"/>
                <w:lang w:eastAsia="zh-CN"/>
              </w:rPr>
            </w:pPr>
            <w:r>
              <w:rPr>
                <w:rFonts w:ascii="Times New Roman" w:hAnsi="Times New Roman" w:cs="Times New Roman"/>
                <w:bCs/>
                <w:sz w:val="21"/>
                <w:szCs w:val="21"/>
                <w:highlight w:val="none"/>
              </w:rPr>
              <w:t>新鲜水</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m</w:t>
            </w:r>
            <w:r>
              <w:rPr>
                <w:rFonts w:ascii="Times New Roman" w:hAnsi="Times New Roman" w:cs="Times New Roman"/>
                <w:bCs/>
                <w:sz w:val="21"/>
                <w:szCs w:val="21"/>
                <w:highlight w:val="none"/>
                <w:vertAlign w:val="superscript"/>
              </w:rPr>
              <w:t>3</w:t>
            </w:r>
            <w:r>
              <w:rPr>
                <w:rFonts w:ascii="Times New Roman" w:hAnsi="Times New Roman" w:cs="Times New Roman"/>
                <w:bCs/>
                <w:sz w:val="21"/>
                <w:szCs w:val="21"/>
                <w:highlight w:val="none"/>
              </w:rPr>
              <w:t>/a</w:t>
            </w:r>
          </w:p>
        </w:tc>
        <w:tc>
          <w:tcPr>
            <w:tcW w:w="794" w:type="pct"/>
            <w:tcBorders>
              <w:tl2br w:val="nil"/>
              <w:tr2bl w:val="nil"/>
            </w:tcBorders>
            <w:noWrap w:val="0"/>
            <w:vAlign w:val="center"/>
          </w:tcPr>
          <w:p>
            <w:pPr>
              <w:widowControl w:val="0"/>
              <w:spacing w:line="360" w:lineRule="exact"/>
              <w:ind w:firstLine="0" w:firstLineChars="0"/>
              <w:jc w:val="center"/>
              <w:rPr>
                <w:rFonts w:hint="default" w:eastAsia="宋体" w:cs="Times New Roman"/>
                <w:color w:val="000000"/>
                <w:sz w:val="21"/>
                <w:szCs w:val="21"/>
                <w:highlight w:val="none"/>
                <w:lang w:val="en-US" w:eastAsia="zh-CN"/>
              </w:rPr>
            </w:pPr>
            <w:r>
              <w:rPr>
                <w:rFonts w:hint="eastAsia" w:cs="Times New Roman"/>
                <w:bCs/>
                <w:sz w:val="21"/>
                <w:szCs w:val="21"/>
                <w:highlight w:val="none"/>
                <w:lang w:val="en-US" w:eastAsia="zh-CN"/>
              </w:rPr>
              <w:t>221544.656</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ascii="Times New Roman" w:hAnsi="Times New Roman" w:cs="Times New Roman"/>
                <w:bCs/>
                <w:sz w:val="21"/>
                <w:szCs w:val="21"/>
                <w:highlight w:val="none"/>
              </w:rPr>
              <w:t>场区自备井水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val="en-US" w:eastAsia="zh-CN"/>
              </w:rPr>
            </w:pPr>
            <w:r>
              <w:rPr>
                <w:rFonts w:hint="eastAsia" w:cs="Times New Roman"/>
                <w:bCs/>
                <w:sz w:val="21"/>
                <w:szCs w:val="21"/>
                <w:highlight w:val="none"/>
                <w:lang w:val="en-US" w:eastAsia="zh-CN"/>
              </w:rPr>
              <w:t>6</w:t>
            </w:r>
          </w:p>
        </w:tc>
        <w:tc>
          <w:tcPr>
            <w:tcW w:w="858"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eastAsia="zh-CN"/>
              </w:rPr>
            </w:pPr>
            <w:r>
              <w:rPr>
                <w:rFonts w:ascii="Times New Roman" w:hAnsi="Times New Roman" w:cs="Times New Roman"/>
                <w:bCs/>
                <w:sz w:val="21"/>
                <w:szCs w:val="21"/>
                <w:highlight w:val="none"/>
              </w:rPr>
              <w:t>电</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sz w:val="21"/>
                <w:szCs w:val="21"/>
                <w:highlight w:val="none"/>
              </w:rPr>
            </w:pPr>
            <w:r>
              <w:rPr>
                <w:rFonts w:ascii="Times New Roman" w:hAnsi="Times New Roman" w:cs="Times New Roman"/>
                <w:bCs/>
                <w:sz w:val="21"/>
                <w:szCs w:val="21"/>
                <w:highlight w:val="none"/>
              </w:rPr>
              <w:t>kW·h/a</w:t>
            </w:r>
          </w:p>
        </w:tc>
        <w:tc>
          <w:tcPr>
            <w:tcW w:w="794" w:type="pct"/>
            <w:tcBorders>
              <w:tl2br w:val="nil"/>
              <w:tr2bl w:val="nil"/>
            </w:tcBorders>
            <w:noWrap w:val="0"/>
            <w:vAlign w:val="center"/>
          </w:tcPr>
          <w:p>
            <w:pPr>
              <w:widowControl w:val="0"/>
              <w:spacing w:line="360" w:lineRule="exact"/>
              <w:ind w:firstLine="0" w:firstLineChars="0"/>
              <w:jc w:val="center"/>
              <w:rPr>
                <w:rFonts w:hint="eastAsia" w:cs="Times New Roman"/>
                <w:color w:val="000000"/>
                <w:sz w:val="21"/>
                <w:szCs w:val="21"/>
                <w:highlight w:val="none"/>
                <w:lang w:val="en-US" w:eastAsia="zh-CN"/>
              </w:rPr>
            </w:pPr>
            <w:r>
              <w:rPr>
                <w:rFonts w:ascii="Times New Roman" w:hAnsi="Times New Roman" w:cs="Times New Roman"/>
                <w:color w:val="000000"/>
                <w:sz w:val="21"/>
                <w:szCs w:val="21"/>
                <w:highlight w:val="none"/>
              </w:rPr>
              <w:t>2</w:t>
            </w:r>
            <w:r>
              <w:rPr>
                <w:rFonts w:hint="eastAsia" w:cs="Times New Roman"/>
                <w:color w:val="000000"/>
                <w:sz w:val="21"/>
                <w:szCs w:val="21"/>
                <w:highlight w:val="none"/>
                <w:lang w:val="en-US" w:eastAsia="zh-CN"/>
              </w:rPr>
              <w:t>6</w:t>
            </w:r>
            <w:r>
              <w:rPr>
                <w:rFonts w:ascii="Times New Roman" w:hAnsi="Times New Roman" w:cs="Times New Roman"/>
                <w:color w:val="000000"/>
                <w:sz w:val="21"/>
                <w:szCs w:val="21"/>
                <w:highlight w:val="none"/>
              </w:rPr>
              <w:t>0万</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kern w:val="0"/>
                <w:sz w:val="21"/>
                <w:szCs w:val="21"/>
                <w:highlight w:val="none"/>
                <w:lang w:eastAsia="zh-CN"/>
              </w:rPr>
            </w:pPr>
            <w:r>
              <w:rPr>
                <w:rFonts w:hint="eastAsia" w:ascii="Times New Roman" w:hAnsi="Times New Roman" w:cs="Times New Roman"/>
                <w:kern w:val="0"/>
                <w:sz w:val="21"/>
                <w:szCs w:val="21"/>
                <w:highlight w:val="none"/>
              </w:rPr>
              <w:t>当地供电电网，厂区内设置电房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val="en-US" w:eastAsia="zh-CN"/>
              </w:rPr>
            </w:pPr>
            <w:r>
              <w:rPr>
                <w:rFonts w:hint="eastAsia" w:cs="Times New Roman"/>
                <w:bCs/>
                <w:sz w:val="21"/>
                <w:szCs w:val="21"/>
                <w:highlight w:val="none"/>
                <w:lang w:val="en-US" w:eastAsia="zh-CN"/>
              </w:rPr>
              <w:t>3</w:t>
            </w:r>
          </w:p>
        </w:tc>
        <w:tc>
          <w:tcPr>
            <w:tcW w:w="858" w:type="pct"/>
            <w:tcBorders>
              <w:tl2br w:val="nil"/>
              <w:tr2bl w:val="nil"/>
            </w:tcBorders>
            <w:noWrap w:val="0"/>
            <w:vAlign w:val="center"/>
          </w:tcPr>
          <w:p>
            <w:pPr>
              <w:widowControl w:val="0"/>
              <w:spacing w:line="360" w:lineRule="exact"/>
              <w:ind w:firstLine="0" w:firstLineChars="0"/>
              <w:jc w:val="center"/>
              <w:rPr>
                <w:rFonts w:hint="eastAsia" w:cs="Times New Roman"/>
                <w:bCs/>
                <w:sz w:val="21"/>
                <w:szCs w:val="21"/>
                <w:highlight w:val="none"/>
                <w:lang w:eastAsia="zh-CN"/>
              </w:rPr>
            </w:pPr>
            <w:r>
              <w:rPr>
                <w:rFonts w:hint="eastAsia" w:cs="Times New Roman"/>
                <w:bCs/>
                <w:sz w:val="21"/>
                <w:szCs w:val="21"/>
                <w:highlight w:val="none"/>
                <w:lang w:eastAsia="zh-CN"/>
              </w:rPr>
              <w:t>天然气</w:t>
            </w:r>
          </w:p>
        </w:tc>
        <w:tc>
          <w:tcPr>
            <w:tcW w:w="661"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Cs/>
                <w:sz w:val="21"/>
                <w:szCs w:val="21"/>
                <w:highlight w:val="none"/>
                <w:lang w:val="en-US" w:eastAsia="zh-CN"/>
              </w:rPr>
            </w:pPr>
            <w:r>
              <w:rPr>
                <w:rFonts w:ascii="Times New Roman" w:hAnsi="Times New Roman" w:cs="Times New Roman"/>
                <w:bCs/>
                <w:sz w:val="21"/>
                <w:szCs w:val="21"/>
                <w:highlight w:val="none"/>
              </w:rPr>
              <w:t>m</w:t>
            </w:r>
            <w:r>
              <w:rPr>
                <w:rFonts w:ascii="Times New Roman" w:hAnsi="Times New Roman" w:cs="Times New Roman"/>
                <w:bCs/>
                <w:sz w:val="21"/>
                <w:szCs w:val="21"/>
                <w:highlight w:val="none"/>
                <w:vertAlign w:val="superscript"/>
              </w:rPr>
              <w:t>3</w:t>
            </w:r>
            <w:r>
              <w:rPr>
                <w:rFonts w:ascii="Times New Roman" w:hAnsi="Times New Roman" w:cs="Times New Roman"/>
                <w:bCs/>
                <w:sz w:val="21"/>
                <w:szCs w:val="21"/>
                <w:highlight w:val="none"/>
              </w:rPr>
              <w:t>/a</w:t>
            </w:r>
          </w:p>
        </w:tc>
        <w:tc>
          <w:tcPr>
            <w:tcW w:w="794" w:type="pct"/>
            <w:tcBorders>
              <w:tl2br w:val="nil"/>
              <w:tr2bl w:val="nil"/>
            </w:tcBorders>
            <w:noWrap w:val="0"/>
            <w:vAlign w:val="center"/>
          </w:tcPr>
          <w:p>
            <w:pPr>
              <w:widowControl w:val="0"/>
              <w:spacing w:line="360" w:lineRule="exact"/>
              <w:ind w:firstLine="0" w:firstLineChars="0"/>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445824.894</w:t>
            </w:r>
          </w:p>
        </w:tc>
        <w:tc>
          <w:tcPr>
            <w:tcW w:w="2247" w:type="pct"/>
            <w:tcBorders>
              <w:tl2br w:val="nil"/>
              <w:tr2bl w:val="nil"/>
            </w:tcBorders>
            <w:noWrap w:val="0"/>
            <w:vAlign w:val="center"/>
          </w:tcPr>
          <w:p>
            <w:pPr>
              <w:widowControl w:val="0"/>
              <w:spacing w:line="360" w:lineRule="exact"/>
              <w:ind w:firstLine="0" w:firstLineChars="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w:t>
            </w:r>
          </w:p>
        </w:tc>
      </w:tr>
    </w:tbl>
    <w:p>
      <w:pPr>
        <w:pStyle w:val="6"/>
        <w:spacing w:beforeLines="0"/>
        <w:rPr>
          <w:rFonts w:cs="Times New Roman"/>
          <w:highlight w:val="none"/>
        </w:rPr>
      </w:pPr>
      <w:bookmarkStart w:id="17" w:name="_Toc10907"/>
      <w:r>
        <w:rPr>
          <w:rFonts w:cs="Times New Roman"/>
          <w:highlight w:val="none"/>
        </w:rPr>
        <w:t>2.</w:t>
      </w:r>
      <w:r>
        <w:rPr>
          <w:rFonts w:hint="eastAsia" w:cs="Times New Roman"/>
          <w:highlight w:val="none"/>
        </w:rPr>
        <w:t>4</w:t>
      </w:r>
      <w:r>
        <w:rPr>
          <w:rFonts w:cs="Times New Roman"/>
          <w:highlight w:val="none"/>
        </w:rPr>
        <w:t>生产设备</w:t>
      </w:r>
      <w:bookmarkEnd w:id="17"/>
    </w:p>
    <w:p>
      <w:pPr>
        <w:ind w:firstLine="480"/>
        <w:rPr>
          <w:highlight w:val="none"/>
        </w:rPr>
      </w:pPr>
      <w:r>
        <w:rPr>
          <w:rFonts w:hint="eastAsia"/>
          <w:highlight w:val="none"/>
        </w:rPr>
        <w:t>项目</w:t>
      </w:r>
      <w:r>
        <w:rPr>
          <w:highlight w:val="none"/>
        </w:rPr>
        <w:t>主要生产设备详见表2.</w:t>
      </w:r>
      <w:r>
        <w:rPr>
          <w:rFonts w:hint="eastAsia"/>
          <w:highlight w:val="none"/>
        </w:rPr>
        <w:t>4</w:t>
      </w:r>
      <w:r>
        <w:rPr>
          <w:highlight w:val="none"/>
        </w:rPr>
        <w:t>-</w:t>
      </w:r>
      <w:r>
        <w:rPr>
          <w:rFonts w:hint="eastAsia"/>
          <w:highlight w:val="none"/>
        </w:rPr>
        <w:t>1。</w:t>
      </w:r>
    </w:p>
    <w:p>
      <w:pPr>
        <w:pStyle w:val="40"/>
        <w:rPr>
          <w:rFonts w:hint="eastAsia" w:cs="Times New Roman"/>
          <w:highlight w:val="none"/>
        </w:rPr>
      </w:pPr>
      <w:r>
        <w:rPr>
          <w:rFonts w:hint="eastAsia" w:cs="Times New Roman"/>
          <w:highlight w:val="none"/>
        </w:rPr>
        <w:t>表2.4-1 项目主要设备一览表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36"/>
        <w:gridCol w:w="846"/>
        <w:gridCol w:w="1601"/>
        <w:gridCol w:w="705"/>
        <w:gridCol w:w="816"/>
        <w:gridCol w:w="869"/>
        <w:gridCol w:w="1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36" w:type="pct"/>
            <w:gridSpan w:val="3"/>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1、养殖场舍构筑物</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blHeader/>
        </w:trPr>
        <w:tc>
          <w:tcPr>
            <w:tcW w:w="1140" w:type="pct"/>
            <w:gridSpan w:val="2"/>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名称</w:t>
            </w:r>
          </w:p>
        </w:tc>
        <w:tc>
          <w:tcPr>
            <w:tcW w:w="496"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数量（个）</w:t>
            </w:r>
          </w:p>
        </w:tc>
        <w:tc>
          <w:tcPr>
            <w:tcW w:w="940"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饲料罐（个）</w:t>
            </w:r>
          </w:p>
        </w:tc>
        <w:tc>
          <w:tcPr>
            <w:tcW w:w="893"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风机（套）</w:t>
            </w:r>
          </w:p>
        </w:tc>
        <w:tc>
          <w:tcPr>
            <w:tcW w:w="15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饮水器（个）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140" w:type="pct"/>
            <w:gridSpan w:val="2"/>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96"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940"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1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每舍</w:t>
            </w:r>
          </w:p>
        </w:tc>
        <w:tc>
          <w:tcPr>
            <w:tcW w:w="479"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总数</w:t>
            </w:r>
          </w:p>
        </w:tc>
        <w:tc>
          <w:tcPr>
            <w:tcW w:w="510"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每舍</w:t>
            </w:r>
          </w:p>
        </w:tc>
        <w:tc>
          <w:tcPr>
            <w:tcW w:w="101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怀孕舍</w:t>
            </w:r>
          </w:p>
        </w:tc>
        <w:tc>
          <w:tcPr>
            <w:tcW w:w="496"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27</w:t>
            </w:r>
          </w:p>
        </w:tc>
        <w:tc>
          <w:tcPr>
            <w:tcW w:w="940" w:type="pct"/>
            <w:vMerge w:val="restar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p>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p>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p>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val="0"/>
                <w:bCs w:val="0"/>
                <w:sz w:val="21"/>
                <w:szCs w:val="21"/>
                <w:highlight w:val="none"/>
                <w:lang w:val="en-US" w:eastAsia="zh-CN"/>
              </w:rPr>
              <w:t>60</w:t>
            </w:r>
            <w:r>
              <w:rPr>
                <w:rFonts w:hint="default" w:ascii="Times New Roman" w:hAnsi="Times New Roman" w:cs="Times New Roman"/>
                <w:b w:val="0"/>
                <w:bCs w:val="0"/>
                <w:sz w:val="21"/>
                <w:szCs w:val="21"/>
                <w:highlight w:val="none"/>
                <w:lang w:val="en-US" w:eastAsia="zh-CN"/>
              </w:rPr>
              <w:t xml:space="preserve"> </w:t>
            </w:r>
          </w:p>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p>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p>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  </w:t>
            </w:r>
          </w:p>
        </w:tc>
        <w:tc>
          <w:tcPr>
            <w:tcW w:w="41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w:t>
            </w:r>
          </w:p>
        </w:tc>
        <w:tc>
          <w:tcPr>
            <w:tcW w:w="479"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162</w:t>
            </w:r>
          </w:p>
        </w:tc>
        <w:tc>
          <w:tcPr>
            <w:tcW w:w="510"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w:t>
            </w:r>
          </w:p>
        </w:tc>
        <w:tc>
          <w:tcPr>
            <w:tcW w:w="101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哺乳舍</w:t>
            </w:r>
          </w:p>
        </w:tc>
        <w:tc>
          <w:tcPr>
            <w:tcW w:w="496"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24</w:t>
            </w:r>
          </w:p>
        </w:tc>
        <w:tc>
          <w:tcPr>
            <w:tcW w:w="940" w:type="pct"/>
            <w:vMerge w:val="continue"/>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p>
        </w:tc>
        <w:tc>
          <w:tcPr>
            <w:tcW w:w="41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w:t>
            </w:r>
          </w:p>
        </w:tc>
        <w:tc>
          <w:tcPr>
            <w:tcW w:w="479"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144</w:t>
            </w:r>
          </w:p>
        </w:tc>
        <w:tc>
          <w:tcPr>
            <w:tcW w:w="510"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w:t>
            </w:r>
          </w:p>
        </w:tc>
        <w:tc>
          <w:tcPr>
            <w:tcW w:w="101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育肥舍</w:t>
            </w:r>
          </w:p>
        </w:tc>
        <w:tc>
          <w:tcPr>
            <w:tcW w:w="496"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73</w:t>
            </w:r>
          </w:p>
        </w:tc>
        <w:tc>
          <w:tcPr>
            <w:tcW w:w="940" w:type="pct"/>
            <w:vMerge w:val="continue"/>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p>
        </w:tc>
        <w:tc>
          <w:tcPr>
            <w:tcW w:w="41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w:t>
            </w:r>
          </w:p>
        </w:tc>
        <w:tc>
          <w:tcPr>
            <w:tcW w:w="479"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365</w:t>
            </w:r>
          </w:p>
        </w:tc>
        <w:tc>
          <w:tcPr>
            <w:tcW w:w="510"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14</w:t>
            </w:r>
          </w:p>
        </w:tc>
        <w:tc>
          <w:tcPr>
            <w:tcW w:w="1017"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blHeader/>
        </w:trPr>
        <w:tc>
          <w:tcPr>
            <w:tcW w:w="1140" w:type="pct"/>
            <w:gridSpan w:val="2"/>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保育舍</w:t>
            </w:r>
          </w:p>
        </w:tc>
        <w:tc>
          <w:tcPr>
            <w:tcW w:w="49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48</w:t>
            </w:r>
          </w:p>
        </w:tc>
        <w:tc>
          <w:tcPr>
            <w:tcW w:w="940" w:type="pct"/>
            <w:vMerge w:val="continue"/>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p>
        </w:tc>
        <w:tc>
          <w:tcPr>
            <w:tcW w:w="414"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w:t>
            </w:r>
          </w:p>
        </w:tc>
        <w:tc>
          <w:tcPr>
            <w:tcW w:w="47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144</w:t>
            </w:r>
          </w:p>
        </w:tc>
        <w:tc>
          <w:tcPr>
            <w:tcW w:w="51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12</w:t>
            </w:r>
          </w:p>
        </w:tc>
        <w:tc>
          <w:tcPr>
            <w:tcW w:w="1017"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1140" w:type="pct"/>
            <w:gridSpan w:val="2"/>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后备舍</w:t>
            </w:r>
          </w:p>
        </w:tc>
        <w:tc>
          <w:tcPr>
            <w:tcW w:w="49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w:t>
            </w:r>
          </w:p>
        </w:tc>
        <w:tc>
          <w:tcPr>
            <w:tcW w:w="940" w:type="pct"/>
            <w:vMerge w:val="continue"/>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p>
        </w:tc>
        <w:tc>
          <w:tcPr>
            <w:tcW w:w="414"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w:t>
            </w:r>
          </w:p>
        </w:tc>
        <w:tc>
          <w:tcPr>
            <w:tcW w:w="47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36</w:t>
            </w:r>
          </w:p>
        </w:tc>
        <w:tc>
          <w:tcPr>
            <w:tcW w:w="51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16</w:t>
            </w:r>
          </w:p>
        </w:tc>
        <w:tc>
          <w:tcPr>
            <w:tcW w:w="1017"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36" w:type="pct"/>
            <w:gridSpan w:val="3"/>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2、辅助设施构筑物</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装猪台</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36" w:type="pct"/>
            <w:gridSpan w:val="3"/>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3、污水处理构筑物</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收集池</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两相流泵1个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cs="Times New Roman"/>
                <w:b w:val="0"/>
                <w:bCs w:val="0"/>
                <w:sz w:val="21"/>
                <w:szCs w:val="21"/>
                <w:highlight w:val="none"/>
              </w:rPr>
              <w:t>黑膜</w:t>
            </w:r>
            <w:r>
              <w:rPr>
                <w:rFonts w:ascii="Times New Roman" w:hAnsi="Times New Roman" w:cs="Times New Roman"/>
                <w:b w:val="0"/>
                <w:bCs w:val="0"/>
                <w:sz w:val="21"/>
                <w:szCs w:val="21"/>
                <w:highlight w:val="none"/>
              </w:rPr>
              <w:t>沼气池</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管道泵1个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沼气净化装置</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沼气脱硫器1台、沼气脱水器1台、阻火器1台、沼气燃烧器1个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沼液储存池</w:t>
            </w:r>
          </w:p>
        </w:tc>
        <w:tc>
          <w:tcPr>
            <w:tcW w:w="49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沼液储存池总容积</w:t>
            </w:r>
            <w:r>
              <w:rPr>
                <w:rFonts w:hint="eastAsia" w:cs="Times New Roman"/>
                <w:b w:val="0"/>
                <w:bCs w:val="0"/>
                <w:sz w:val="21"/>
                <w:szCs w:val="21"/>
                <w:highlight w:val="none"/>
                <w:lang w:val="en-US" w:eastAsia="zh-CN"/>
              </w:rPr>
              <w:t>10</w:t>
            </w:r>
            <w:r>
              <w:rPr>
                <w:rFonts w:ascii="Times New Roman" w:hAnsi="Times New Roman" w:cs="Times New Roman"/>
                <w:b w:val="0"/>
                <w:bCs w:val="0"/>
                <w:sz w:val="21"/>
                <w:szCs w:val="21"/>
                <w:highlight w:val="none"/>
              </w:rPr>
              <w:t>0000m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，配套管网</w:t>
            </w:r>
            <w:r>
              <w:rPr>
                <w:rFonts w:hint="eastAsia"/>
                <w:sz w:val="21"/>
                <w:szCs w:val="21"/>
                <w:highlight w:val="none"/>
                <w:lang w:val="en-US" w:eastAsia="zh-CN"/>
              </w:rPr>
              <w:t>10800</w:t>
            </w:r>
            <w:r>
              <w:rPr>
                <w:rFonts w:ascii="Times New Roman" w:hAnsi="Times New Roman" w:cs="Times New Roman"/>
                <w:b w:val="0"/>
                <w:bCs w:val="0"/>
                <w:sz w:val="21"/>
                <w:szCs w:val="21"/>
                <w:highlight w:val="none"/>
              </w:rPr>
              <w:t>m；储存池配压力罐1个、潜污泵1个；配套消纳地面积</w:t>
            </w:r>
            <w:r>
              <w:rPr>
                <w:rFonts w:hint="eastAsia" w:cs="Times New Roman"/>
                <w:b w:val="0"/>
                <w:bCs w:val="0"/>
                <w:sz w:val="21"/>
                <w:szCs w:val="21"/>
                <w:highlight w:val="none"/>
                <w:lang w:val="en-US" w:eastAsia="zh-CN"/>
              </w:rPr>
              <w:t>6000</w:t>
            </w:r>
            <w:r>
              <w:rPr>
                <w:rFonts w:ascii="Times New Roman" w:hAnsi="Times New Roman" w:cs="Times New Roman"/>
                <w:b w:val="0"/>
                <w:bCs w:val="0"/>
                <w:sz w:val="21"/>
                <w:szCs w:val="21"/>
                <w:highlight w:val="none"/>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36" w:type="pct"/>
            <w:gridSpan w:val="3"/>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4、粪便处理构筑物</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40"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固粪处理区</w:t>
            </w:r>
          </w:p>
        </w:tc>
        <w:tc>
          <w:tcPr>
            <w:tcW w:w="496"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2</w:t>
            </w:r>
          </w:p>
        </w:tc>
        <w:tc>
          <w:tcPr>
            <w:tcW w:w="3363"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eastAsia="宋体" w:cs="Times New Roman"/>
                <w:sz w:val="21"/>
                <w:szCs w:val="21"/>
                <w:highlight w:val="none"/>
                <w:lang w:val="en-US" w:eastAsia="zh-CN"/>
              </w:rPr>
              <w:t>总建筑面积1120m</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36" w:type="pct"/>
            <w:gridSpan w:val="3"/>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5、饲料加工区</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配套设备（型号）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圆筒初清筛</w:t>
            </w:r>
          </w:p>
        </w:tc>
        <w:tc>
          <w:tcPr>
            <w:tcW w:w="518"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SCY80b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永磁筒</w:t>
            </w:r>
          </w:p>
        </w:tc>
        <w:tc>
          <w:tcPr>
            <w:tcW w:w="518"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TCXT30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锤片式粉碎机</w:t>
            </w:r>
          </w:p>
        </w:tc>
        <w:tc>
          <w:tcPr>
            <w:tcW w:w="518"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SFSP66×140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单轴桨叶式混合机</w:t>
            </w:r>
          </w:p>
        </w:tc>
        <w:tc>
          <w:tcPr>
            <w:tcW w:w="518"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SJHS4.0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自清式斗式提升机</w:t>
            </w:r>
          </w:p>
        </w:tc>
        <w:tc>
          <w:tcPr>
            <w:tcW w:w="518"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TDTG50/28≈30M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制粒机</w:t>
            </w:r>
          </w:p>
        </w:tc>
        <w:tc>
          <w:tcPr>
            <w:tcW w:w="518" w:type="pct"/>
            <w:gridSpan w:val="2"/>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SCY80b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1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锅炉</w:t>
            </w:r>
          </w:p>
        </w:tc>
        <w:tc>
          <w:tcPr>
            <w:tcW w:w="518" w:type="pct"/>
            <w:gridSpan w:val="2"/>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3363" w:type="pct"/>
            <w:gridSpan w:val="5"/>
            <w:tcBorders>
              <w:tl2br w:val="nil"/>
              <w:tr2bl w:val="nil"/>
            </w:tcBorders>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2t，低氮锅炉（氮氧化物30mg/m</w:t>
            </w:r>
            <w:r>
              <w:rPr>
                <w:rFonts w:hint="eastAsia" w:cs="Times New Roman"/>
                <w:b w:val="0"/>
                <w:bCs w:val="0"/>
                <w:sz w:val="21"/>
                <w:szCs w:val="21"/>
                <w:highlight w:val="none"/>
                <w:vertAlign w:val="superscript"/>
                <w:lang w:val="en-US" w:eastAsia="zh-CN"/>
              </w:rPr>
              <w:t>3</w:t>
            </w:r>
            <w:r>
              <w:rPr>
                <w:rFonts w:hint="eastAsia" w:cs="Times New Roman"/>
                <w:b w:val="0"/>
                <w:bCs w:val="0"/>
                <w:sz w:val="21"/>
                <w:szCs w:val="21"/>
                <w:highlight w:val="none"/>
                <w:lang w:val="en-US" w:eastAsia="zh-CN"/>
              </w:rPr>
              <w:t>）</w:t>
            </w:r>
          </w:p>
        </w:tc>
      </w:tr>
    </w:tbl>
    <w:p>
      <w:pPr>
        <w:pStyle w:val="6"/>
        <w:spacing w:beforeLines="0"/>
        <w:rPr>
          <w:rFonts w:cs="Times New Roman"/>
          <w:highlight w:val="none"/>
        </w:rPr>
      </w:pPr>
      <w:bookmarkStart w:id="18" w:name="_Toc13830"/>
      <w:r>
        <w:rPr>
          <w:rFonts w:hint="eastAsia" w:cs="Times New Roman"/>
          <w:highlight w:val="none"/>
        </w:rPr>
        <w:t>2.5</w:t>
      </w:r>
      <w:r>
        <w:rPr>
          <w:rFonts w:cs="Times New Roman"/>
          <w:highlight w:val="none"/>
        </w:rPr>
        <w:t>公用工程</w:t>
      </w:r>
      <w:r>
        <w:rPr>
          <w:rFonts w:hint="eastAsia" w:cs="Times New Roman"/>
          <w:highlight w:val="none"/>
        </w:rPr>
        <w:t>及辅助设施</w:t>
      </w:r>
      <w:bookmarkEnd w:id="18"/>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（1）给</w:t>
      </w:r>
      <w:r>
        <w:rPr>
          <w:highlight w:val="none"/>
        </w:rPr>
        <w:t>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rFonts w:hint="eastAsia" w:ascii="Times New Roman" w:hAnsi="Times New Roman"/>
          <w:color w:val="000000"/>
          <w:sz w:val="24"/>
          <w:highlight w:val="none"/>
        </w:rPr>
        <w:t>本项目用水来源为厂区自备地下水井</w:t>
      </w:r>
      <w:r>
        <w:rPr>
          <w:rFonts w:ascii="Times New Roman" w:hAnsi="Times New Roman"/>
          <w:color w:val="000000"/>
          <w:sz w:val="24"/>
          <w:highlight w:val="none"/>
        </w:rPr>
        <w:t>。</w:t>
      </w:r>
      <w:r>
        <w:rPr>
          <w:highlight w:val="none"/>
        </w:rPr>
        <w:t>主要用水为</w:t>
      </w:r>
      <w:r>
        <w:rPr>
          <w:rFonts w:hint="eastAsia"/>
          <w:highlight w:val="none"/>
        </w:rPr>
        <w:t>生活用水</w:t>
      </w:r>
      <w:r>
        <w:rPr>
          <w:rFonts w:hint="eastAsia"/>
          <w:highlight w:val="none"/>
          <w:lang w:eastAsia="zh-CN"/>
        </w:rPr>
        <w:t>和生产用水</w:t>
      </w:r>
      <w:r>
        <w:rPr>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ighlight w:val="none"/>
          <w:lang w:eastAsia="zh-CN"/>
        </w:rPr>
      </w:pPr>
      <w:r>
        <w:rPr>
          <w:rFonts w:hint="default" w:ascii="Times New Roman" w:hAnsi="Times New Roman" w:cs="Times New Roman"/>
          <w:highlight w:val="none"/>
        </w:rPr>
        <w:t>①</w:t>
      </w:r>
      <w:r>
        <w:rPr>
          <w:rFonts w:hint="eastAsia"/>
          <w:highlight w:val="none"/>
          <w:lang w:eastAsia="zh-CN"/>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highlight w:val="none"/>
        </w:rPr>
        <w:t>本项目劳动定员</w:t>
      </w:r>
      <w:r>
        <w:rPr>
          <w:rFonts w:hint="eastAsia"/>
          <w:highlight w:val="none"/>
          <w:lang w:val="en-US" w:eastAsia="zh-CN"/>
        </w:rPr>
        <w:t>90</w:t>
      </w:r>
      <w:r>
        <w:rPr>
          <w:highlight w:val="none"/>
        </w:rPr>
        <w:t>人，</w:t>
      </w:r>
      <w:r>
        <w:rPr>
          <w:rFonts w:ascii="Times New Roman" w:hAnsi="Times New Roman" w:cs="Times New Roman"/>
          <w:sz w:val="24"/>
          <w:szCs w:val="24"/>
          <w:highlight w:val="none"/>
        </w:rPr>
        <w:t>年工作时间365d，场区设置洗浴。</w:t>
      </w:r>
      <w:r>
        <w:rPr>
          <w:rFonts w:ascii="Times New Roman" w:hAnsi="Times New Roman" w:cs="Times New Roman"/>
          <w:sz w:val="24"/>
          <w:szCs w:val="22"/>
          <w:highlight w:val="none"/>
        </w:rPr>
        <w:t>参考《河南省地方标准用水定额》中有给排水住宅且具备洗浴条件的用水定额为130L/人·d，调节系数0.9-1.1，本次</w:t>
      </w:r>
      <w:r>
        <w:rPr>
          <w:rFonts w:ascii="Times New Roman" w:hAnsi="Times New Roman" w:cs="Times New Roman"/>
          <w:sz w:val="24"/>
          <w:szCs w:val="24"/>
          <w:highlight w:val="none"/>
        </w:rPr>
        <w:t>职工用水量平均按120L/人·d计，则项目生活用水量为</w:t>
      </w:r>
      <w:r>
        <w:rPr>
          <w:rFonts w:hint="eastAsia" w:cs="Times New Roman"/>
          <w:sz w:val="24"/>
          <w:szCs w:val="24"/>
          <w:highlight w:val="none"/>
          <w:lang w:val="en-US" w:eastAsia="zh-CN"/>
        </w:rPr>
        <w:t>10.8</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/d、</w:t>
      </w:r>
      <w:r>
        <w:rPr>
          <w:rFonts w:hint="eastAsia" w:cs="Times New Roman"/>
          <w:sz w:val="24"/>
          <w:szCs w:val="24"/>
          <w:highlight w:val="none"/>
          <w:lang w:val="en-US" w:eastAsia="zh-CN"/>
        </w:rPr>
        <w:t>3942</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lang w:eastAsia="zh-CN"/>
        </w:rPr>
      </w:pPr>
      <w:r>
        <w:rPr>
          <w:rFonts w:hint="default" w:ascii="Times New Roman" w:hAnsi="Times New Roman" w:cs="Times New Roman"/>
          <w:highlight w:val="none"/>
        </w:rPr>
        <w:t>②</w:t>
      </w:r>
      <w:r>
        <w:rPr>
          <w:rFonts w:hint="eastAsia" w:cs="Times New Roman"/>
          <w:highlight w:val="none"/>
          <w:lang w:eastAsia="zh-CN"/>
        </w:rPr>
        <w:t>生产用水</w:t>
      </w:r>
    </w:p>
    <w:p>
      <w:pPr>
        <w:pStyle w:val="10"/>
        <w:numPr>
          <w:ilvl w:val="0"/>
          <w:numId w:val="6"/>
        </w:numPr>
        <w:rPr>
          <w:rFonts w:hint="eastAsia" w:cs="Times New Roman"/>
          <w:highlight w:val="none"/>
          <w:lang w:val="en-US" w:eastAsia="zh-CN"/>
        </w:rPr>
      </w:pPr>
      <w:r>
        <w:rPr>
          <w:rFonts w:hint="eastAsia" w:cs="Times New Roman"/>
          <w:highlight w:val="none"/>
          <w:lang w:val="en-US" w:eastAsia="zh-CN"/>
        </w:rPr>
        <w:t>养殖用水</w:t>
      </w:r>
    </w:p>
    <w:p>
      <w:pPr>
        <w:pStyle w:val="10"/>
        <w:numPr>
          <w:ilvl w:val="0"/>
          <w:numId w:val="0"/>
        </w:numPr>
        <w:rPr>
          <w:rFonts w:hint="eastAsia" w:cs="Times New Roman"/>
          <w:highlight w:val="none"/>
          <w:lang w:val="en-US" w:eastAsia="zh-CN"/>
        </w:rPr>
      </w:pPr>
      <w:r>
        <w:rPr>
          <w:rFonts w:hint="eastAsia" w:cs="Times New Roman"/>
          <w:highlight w:val="none"/>
          <w:lang w:val="en-US" w:eastAsia="zh-CN"/>
        </w:rPr>
        <w:t>养殖过程用水主要分为猪舍冲洗水及猪饮用水两类，具体见下表2.5-1。</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.5</w:t>
      </w:r>
      <w:r>
        <w:rPr>
          <w:rFonts w:hint="eastAsia" w:cs="Times New Roman"/>
          <w:highlight w:val="none"/>
        </w:rPr>
        <w:t>-</w:t>
      </w:r>
      <w:r>
        <w:rPr>
          <w:rFonts w:hint="eastAsia" w:cs="Times New Roman"/>
          <w:highlight w:val="none"/>
          <w:lang w:val="en-US" w:eastAsia="zh-CN"/>
        </w:rPr>
        <w:t>1</w:t>
      </w:r>
      <w:r>
        <w:rPr>
          <w:rFonts w:hint="eastAsia" w:cs="Times New Roman"/>
          <w:highlight w:val="none"/>
        </w:rPr>
        <w:t xml:space="preserve"> 项目养殖过程用水参数表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665"/>
        <w:gridCol w:w="640"/>
        <w:gridCol w:w="640"/>
        <w:gridCol w:w="640"/>
        <w:gridCol w:w="903"/>
        <w:gridCol w:w="846"/>
        <w:gridCol w:w="1214"/>
        <w:gridCol w:w="7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0" w:type="auto"/>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种类</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保育舍</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育肥舍</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ascii="Times New Roman" w:hAnsi="Times New Roman" w:cs="Times New Roman"/>
                <w:b w:val="0"/>
                <w:bCs w:val="0"/>
                <w:sz w:val="21"/>
                <w:szCs w:val="21"/>
                <w:highlight w:val="none"/>
              </w:rPr>
              <w:t>后备</w:t>
            </w:r>
            <w:r>
              <w:rPr>
                <w:rFonts w:hint="eastAsia" w:cs="Times New Roman"/>
                <w:b w:val="0"/>
                <w:bCs w:val="0"/>
                <w:sz w:val="21"/>
                <w:szCs w:val="21"/>
                <w:highlight w:val="none"/>
                <w:lang w:eastAsia="zh-CN"/>
              </w:rPr>
              <w:t>舍</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eastAsia="zh-CN"/>
              </w:rPr>
            </w:pPr>
            <w:r>
              <w:rPr>
                <w:rFonts w:ascii="Times New Roman" w:hAnsi="Times New Roman" w:cs="Times New Roman"/>
                <w:b w:val="0"/>
                <w:bCs w:val="0"/>
                <w:sz w:val="21"/>
                <w:szCs w:val="21"/>
                <w:highlight w:val="none"/>
              </w:rPr>
              <w:t>怀孕</w:t>
            </w:r>
            <w:r>
              <w:rPr>
                <w:rFonts w:hint="eastAsia" w:ascii="Times New Roman" w:hAnsi="Times New Roman" w:cs="Times New Roman"/>
                <w:b w:val="0"/>
                <w:bCs w:val="0"/>
                <w:sz w:val="21"/>
                <w:szCs w:val="21"/>
                <w:highlight w:val="none"/>
                <w:lang w:eastAsia="zh-CN"/>
              </w:rPr>
              <w:t>舍</w:t>
            </w:r>
          </w:p>
        </w:tc>
        <w:tc>
          <w:tcPr>
            <w:tcW w:w="0" w:type="auto"/>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ascii="Times New Roman" w:hAnsi="Times New Roman" w:cs="Times New Roman"/>
                <w:b w:val="0"/>
                <w:bCs w:val="0"/>
                <w:sz w:val="21"/>
                <w:szCs w:val="21"/>
                <w:highlight w:val="none"/>
              </w:rPr>
              <w:t>哺乳</w:t>
            </w:r>
            <w:r>
              <w:rPr>
                <w:rFonts w:hint="eastAsia" w:cs="Times New Roman"/>
                <w:b w:val="0"/>
                <w:bCs w:val="0"/>
                <w:sz w:val="21"/>
                <w:szCs w:val="21"/>
                <w:highlight w:val="none"/>
                <w:lang w:eastAsia="zh-CN"/>
              </w:rPr>
              <w:t>舍</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合计</w:t>
            </w:r>
          </w:p>
        </w:tc>
        <w:tc>
          <w:tcPr>
            <w:tcW w:w="0" w:type="auto"/>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单元个数</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48</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73</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6</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27</w:t>
            </w:r>
          </w:p>
        </w:tc>
        <w:tc>
          <w:tcPr>
            <w:tcW w:w="0" w:type="auto"/>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24</w:t>
            </w:r>
          </w:p>
        </w:tc>
        <w:tc>
          <w:tcPr>
            <w:tcW w:w="0" w:type="auto"/>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178</w:t>
            </w:r>
          </w:p>
        </w:tc>
        <w:tc>
          <w:tcPr>
            <w:tcW w:w="0" w:type="auto"/>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清圈周期（d）</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ascii="Times New Roman" w:hAnsi="Times New Roman" w:cs="Times New Roman"/>
                <w:b w:val="0"/>
                <w:bCs w:val="0"/>
                <w:sz w:val="21"/>
                <w:szCs w:val="21"/>
                <w:highlight w:val="none"/>
              </w:rPr>
              <w:t>4</w:t>
            </w:r>
            <w:r>
              <w:rPr>
                <w:rFonts w:hint="eastAsia" w:cs="Times New Roman"/>
                <w:b w:val="0"/>
                <w:bCs w:val="0"/>
                <w:sz w:val="21"/>
                <w:szCs w:val="21"/>
                <w:highlight w:val="none"/>
                <w:lang w:val="en-US" w:eastAsia="zh-CN"/>
              </w:rPr>
              <w:t>9</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96</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77</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114</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30</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清圈次数（次/a）</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8</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4</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val="en-US" w:eastAsia="zh-CN"/>
              </w:rPr>
              <w:t>5</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3</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12</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猪舍冲洗水</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/次·单元）</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12</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r>
              <w:rPr>
                <w:rFonts w:hint="default" w:cs="Times New Roman"/>
                <w:b w:val="0"/>
                <w:bCs w:val="0"/>
                <w:sz w:val="21"/>
                <w:szCs w:val="21"/>
                <w:highlight w:val="none"/>
                <w:lang w:val="en-US" w:eastAsia="zh-CN"/>
              </w:rPr>
              <w:t>24</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12</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15</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12</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总用水量（m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4608</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r>
              <w:rPr>
                <w:rFonts w:hint="default" w:cs="Times New Roman"/>
                <w:b w:val="0"/>
                <w:bCs w:val="0"/>
                <w:sz w:val="21"/>
                <w:szCs w:val="21"/>
                <w:highlight w:val="none"/>
                <w:lang w:val="en-US" w:eastAsia="zh-CN"/>
              </w:rPr>
              <w:t>7008</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cs="Times New Roman"/>
                <w:b w:val="0"/>
                <w:bCs w:val="0"/>
                <w:sz w:val="21"/>
                <w:szCs w:val="21"/>
                <w:highlight w:val="none"/>
                <w:lang w:val="en-US" w:eastAsia="zh-CN"/>
              </w:rPr>
              <w:t>36</w:t>
            </w:r>
            <w:r>
              <w:rPr>
                <w:rFonts w:ascii="Times New Roman" w:hAnsi="Times New Roman" w:cs="Times New Roman"/>
                <w:b w:val="0"/>
                <w:bCs w:val="0"/>
                <w:sz w:val="21"/>
                <w:szCs w:val="21"/>
                <w:highlight w:val="none"/>
              </w:rPr>
              <w:t>0</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1215</w:t>
            </w:r>
          </w:p>
        </w:tc>
        <w:tc>
          <w:tcPr>
            <w:tcW w:w="0" w:type="auto"/>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cs="Times New Roman"/>
                <w:b w:val="0"/>
                <w:bCs w:val="0"/>
                <w:sz w:val="21"/>
                <w:szCs w:val="21"/>
                <w:highlight w:val="none"/>
                <w:lang w:val="en-US" w:eastAsia="zh-CN"/>
              </w:rPr>
              <w:t>3456</w:t>
            </w:r>
          </w:p>
        </w:tc>
        <w:tc>
          <w:tcPr>
            <w:tcW w:w="0" w:type="auto"/>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sz w:val="21"/>
                <w:szCs w:val="21"/>
                <w:highlight w:val="none"/>
                <w:lang w:val="en-US" w:eastAsia="zh-CN"/>
              </w:rPr>
            </w:pPr>
            <w:r>
              <w:rPr>
                <w:rFonts w:ascii="Times New Roman" w:hAnsi="Times New Roman" w:cs="Times New Roman"/>
                <w:b w:val="0"/>
                <w:bCs w:val="0"/>
                <w:sz w:val="21"/>
                <w:szCs w:val="21"/>
                <w:highlight w:val="none"/>
              </w:rPr>
              <w:t>1</w:t>
            </w:r>
            <w:r>
              <w:rPr>
                <w:rFonts w:hint="eastAsia" w:cs="Times New Roman"/>
                <w:b w:val="0"/>
                <w:bCs w:val="0"/>
                <w:sz w:val="21"/>
                <w:szCs w:val="21"/>
                <w:highlight w:val="none"/>
                <w:lang w:val="en-US" w:eastAsia="zh-CN"/>
              </w:rPr>
              <w:t>6647</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饮用水量</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夏季（L/ d·头）</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5.5</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11</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11</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20</w:t>
            </w:r>
          </w:p>
        </w:tc>
        <w:tc>
          <w:tcPr>
            <w:tcW w:w="0" w:type="auto"/>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sz w:val="21"/>
                <w:szCs w:val="21"/>
                <w:highlight w:val="none"/>
                <w:lang w:eastAsia="zh-CN"/>
              </w:rPr>
            </w:pPr>
            <w:r>
              <w:rPr>
                <w:rFonts w:ascii="Times New Roman" w:hAnsi="Times New Roman" w:cs="Times New Roman"/>
                <w:b w:val="0"/>
                <w:bCs w:val="0"/>
                <w:sz w:val="21"/>
                <w:szCs w:val="21"/>
                <w:highlight w:val="none"/>
              </w:rPr>
              <w:t>5</w:t>
            </w:r>
            <w:r>
              <w:rPr>
                <w:rFonts w:hint="eastAsia" w:cs="Times New Roman"/>
                <w:b w:val="0"/>
                <w:bCs w:val="0"/>
                <w:sz w:val="21"/>
                <w:szCs w:val="21"/>
                <w:highlight w:val="none"/>
                <w:lang w:val="en-US" w:eastAsia="zh-CN"/>
              </w:rPr>
              <w:t>5</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w:t>
            </w:r>
          </w:p>
        </w:tc>
        <w:tc>
          <w:tcPr>
            <w:tcW w:w="0" w:type="auto"/>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/d）</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110</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440</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13.2</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r>
              <w:rPr>
                <w:rFonts w:hint="eastAsia" w:cs="Times New Roman"/>
                <w:b w:val="0"/>
                <w:bCs w:val="0"/>
                <w:sz w:val="21"/>
                <w:szCs w:val="21"/>
                <w:highlight w:val="none"/>
                <w:lang w:val="en-US" w:eastAsia="zh-CN"/>
              </w:rPr>
              <w:t>98.88</w:t>
            </w:r>
          </w:p>
        </w:tc>
        <w:tc>
          <w:tcPr>
            <w:tcW w:w="0" w:type="auto"/>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r>
              <w:rPr>
                <w:rFonts w:hint="eastAsia" w:cs="Times New Roman"/>
                <w:b w:val="0"/>
                <w:bCs w:val="0"/>
                <w:sz w:val="21"/>
                <w:szCs w:val="21"/>
                <w:highlight w:val="none"/>
                <w:lang w:val="en-US" w:eastAsia="zh-CN"/>
              </w:rPr>
              <w:t>58.08</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720.16</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122天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0" w:type="auto"/>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left"/>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其他季（L/d·头）</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3</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6.5</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6.5</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13</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30</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0" w:type="auto"/>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/d）</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60</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260</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7.8</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r>
              <w:rPr>
                <w:rFonts w:hint="eastAsia" w:cs="Times New Roman"/>
                <w:b w:val="0"/>
                <w:bCs w:val="0"/>
                <w:sz w:val="21"/>
                <w:szCs w:val="21"/>
                <w:highlight w:val="none"/>
                <w:lang w:val="en-US" w:eastAsia="zh-CN"/>
              </w:rPr>
              <w:t>64.272</w:t>
            </w:r>
          </w:p>
        </w:tc>
        <w:tc>
          <w:tcPr>
            <w:tcW w:w="0" w:type="auto"/>
            <w:tcBorders>
              <w:tl2br w:val="nil"/>
              <w:tr2bl w:val="nil"/>
            </w:tcBorders>
            <w:noWrap w:val="0"/>
            <w:vAlign w:val="center"/>
          </w:tcPr>
          <w:p>
            <w:pPr>
              <w:widowControl w:val="0"/>
              <w:spacing w:line="360" w:lineRule="exact"/>
              <w:ind w:firstLine="0" w:firstLineChars="0"/>
              <w:jc w:val="center"/>
              <w:rPr>
                <w:rFonts w:hint="eastAsia" w:cs="Times New Roman"/>
                <w:b w:val="0"/>
                <w:bCs w:val="0"/>
                <w:sz w:val="21"/>
                <w:szCs w:val="21"/>
                <w:highlight w:val="none"/>
                <w:lang w:val="en-US" w:eastAsia="zh-CN"/>
              </w:rPr>
            </w:pPr>
            <w:r>
              <w:rPr>
                <w:rFonts w:hint="eastAsia" w:cs="Times New Roman"/>
                <w:b w:val="0"/>
                <w:bCs w:val="0"/>
                <w:sz w:val="21"/>
                <w:szCs w:val="21"/>
                <w:highlight w:val="none"/>
                <w:lang w:val="en-US" w:eastAsia="zh-CN"/>
              </w:rPr>
              <w:t>31.68</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423.75</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cs="Times New Roman"/>
                <w:b w:val="0"/>
                <w:bCs w:val="0"/>
                <w:sz w:val="21"/>
                <w:szCs w:val="21"/>
                <w:highlight w:val="none"/>
                <w:lang w:val="en-US" w:eastAsia="zh-CN"/>
              </w:rPr>
              <w:t>243天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0" w:type="auto"/>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总用水量（m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c>
          <w:tcPr>
            <w:tcW w:w="640" w:type="dxa"/>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28000 </w:t>
            </w:r>
          </w:p>
        </w:tc>
        <w:tc>
          <w:tcPr>
            <w:tcW w:w="640" w:type="dxa"/>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116860 </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3505.8</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27681.456</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14784</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190831.256</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0" w:type="auto"/>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hint="eastAsia" w:ascii="Times New Roman" w:hAnsi="Times New Roman"/>
                <w:b w:val="0"/>
                <w:bCs/>
                <w:color w:val="auto"/>
                <w:sz w:val="21"/>
                <w:szCs w:val="21"/>
                <w:highlight w:val="none"/>
                <w:u w:val="none"/>
                <w:lang w:val="en-US" w:eastAsia="zh-CN"/>
              </w:rPr>
              <w:t>猪舍用水合计</w:t>
            </w:r>
            <w:r>
              <w:rPr>
                <w:rFonts w:ascii="Times New Roman" w:hAnsi="Times New Roman"/>
                <w:b w:val="0"/>
                <w:bCs/>
                <w:color w:val="auto"/>
                <w:sz w:val="21"/>
                <w:szCs w:val="21"/>
                <w:highlight w:val="none"/>
                <w:u w:val="none"/>
              </w:rPr>
              <w:t>（m</w:t>
            </w:r>
            <w:r>
              <w:rPr>
                <w:rFonts w:ascii="Times New Roman" w:hAnsi="Times New Roman"/>
                <w:b w:val="0"/>
                <w:bCs/>
                <w:color w:val="auto"/>
                <w:sz w:val="21"/>
                <w:szCs w:val="21"/>
                <w:highlight w:val="none"/>
                <w:u w:val="none"/>
                <w:vertAlign w:val="superscript"/>
              </w:rPr>
              <w:t>3</w:t>
            </w:r>
            <w:r>
              <w:rPr>
                <w:rFonts w:ascii="Times New Roman" w:hAnsi="Times New Roman"/>
                <w:b w:val="0"/>
                <w:bCs/>
                <w:color w:val="auto"/>
                <w:sz w:val="21"/>
                <w:szCs w:val="21"/>
                <w:highlight w:val="none"/>
                <w:u w:val="none"/>
              </w:rPr>
              <w:t>/a）</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0" w:type="auto"/>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default" w:cs="Times New Roman"/>
                <w:b w:val="0"/>
                <w:bCs w:val="0"/>
                <w:sz w:val="21"/>
                <w:szCs w:val="21"/>
                <w:highlight w:val="none"/>
                <w:lang w:val="en-US" w:eastAsia="zh-CN"/>
              </w:rPr>
              <w:t>/</w:t>
            </w:r>
          </w:p>
        </w:tc>
        <w:tc>
          <w:tcPr>
            <w:tcW w:w="0" w:type="auto"/>
            <w:tcBorders>
              <w:tl2br w:val="nil"/>
              <w:tr2bl w:val="nil"/>
            </w:tcBorders>
            <w:noWrap w:val="0"/>
            <w:vAlign w:val="center"/>
          </w:tcPr>
          <w:p>
            <w:pPr>
              <w:widowControl w:val="0"/>
              <w:spacing w:line="360" w:lineRule="exact"/>
              <w:ind w:firstLine="0" w:firstLineChars="0"/>
              <w:jc w:val="center"/>
              <w:rPr>
                <w:rFonts w:hint="default"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207478.256</w:t>
            </w:r>
          </w:p>
        </w:tc>
        <w:tc>
          <w:tcPr>
            <w:tcW w:w="0" w:type="auto"/>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p>
        </w:tc>
      </w:tr>
    </w:tbl>
    <w:p>
      <w:pPr>
        <w:pStyle w:val="10"/>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eastAsia="宋体" w:cs="Times New Roman"/>
          <w:highlight w:val="none"/>
          <w:lang w:val="en-US" w:eastAsia="zh-CN"/>
        </w:rPr>
      </w:pPr>
      <w:r>
        <w:rPr>
          <w:rFonts w:ascii="Times New Roman" w:hAnsi="Times New Roman"/>
          <w:sz w:val="24"/>
          <w:szCs w:val="24"/>
          <w:highlight w:val="none"/>
        </w:rPr>
        <w:t>经计算，项目养殖过程用水总用水量</w:t>
      </w:r>
      <w:r>
        <w:rPr>
          <w:rFonts w:ascii="Times New Roman" w:hAnsi="Times New Roman"/>
          <w:color w:val="000000"/>
          <w:sz w:val="24"/>
          <w:szCs w:val="24"/>
          <w:highlight w:val="none"/>
        </w:rPr>
        <w:t>为</w:t>
      </w:r>
      <w:r>
        <w:rPr>
          <w:rFonts w:hint="eastAsia" w:ascii="Times New Roman" w:hAnsi="Times New Roman"/>
          <w:color w:val="000000"/>
          <w:sz w:val="24"/>
          <w:szCs w:val="24"/>
          <w:highlight w:val="none"/>
        </w:rPr>
        <w:t>207478.256</w:t>
      </w:r>
      <w:r>
        <w:rPr>
          <w:rFonts w:ascii="Times New Roman" w:hAnsi="Times New Roman"/>
          <w:color w:val="000000"/>
          <w:sz w:val="24"/>
          <w:szCs w:val="24"/>
          <w:highlight w:val="none"/>
        </w:rPr>
        <w:t>m</w:t>
      </w:r>
      <w:r>
        <w:rPr>
          <w:rFonts w:ascii="Times New Roman" w:hAnsi="Times New Roman"/>
          <w:color w:val="000000"/>
          <w:sz w:val="24"/>
          <w:szCs w:val="24"/>
          <w:highlight w:val="none"/>
          <w:vertAlign w:val="superscript"/>
        </w:rPr>
        <w:t>3</w:t>
      </w:r>
      <w:r>
        <w:rPr>
          <w:rFonts w:ascii="Times New Roman" w:hAnsi="Times New Roman"/>
          <w:color w:val="000000"/>
          <w:sz w:val="24"/>
          <w:szCs w:val="24"/>
          <w:highlight w:val="none"/>
        </w:rPr>
        <w:t>/a</w:t>
      </w:r>
      <w:r>
        <w:rPr>
          <w:rFonts w:hint="eastAsia"/>
          <w:color w:val="000000"/>
          <w:sz w:val="24"/>
          <w:szCs w:val="24"/>
          <w:highlight w:val="none"/>
          <w:lang w:eastAsia="zh-CN"/>
        </w:rPr>
        <w: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sz w:val="24"/>
          <w:highlight w:val="none"/>
        </w:rPr>
      </w:pPr>
      <w:r>
        <w:rPr>
          <w:rFonts w:ascii="Times New Roman" w:hAnsi="Times New Roman"/>
          <w:sz w:val="24"/>
          <w:szCs w:val="24"/>
          <w:highlight w:val="none"/>
        </w:rPr>
        <w:t>夏季</w:t>
      </w:r>
      <w:r>
        <w:rPr>
          <w:rFonts w:ascii="Times New Roman" w:hAnsi="Times New Roman"/>
          <w:sz w:val="24"/>
          <w:highlight w:val="none"/>
        </w:rPr>
        <w:t>猪舍降温喷雾降温用水</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imes New Roman" w:hAnsi="Times New Roman"/>
          <w:color w:val="000000"/>
          <w:sz w:val="24"/>
          <w:szCs w:val="24"/>
          <w:highlight w:val="none"/>
        </w:rPr>
        <w:t>保育</w:t>
      </w:r>
      <w:r>
        <w:rPr>
          <w:rFonts w:hint="eastAsia"/>
          <w:color w:val="000000"/>
          <w:sz w:val="24"/>
          <w:szCs w:val="24"/>
          <w:highlight w:val="none"/>
          <w:lang w:eastAsia="zh-CN"/>
        </w:rPr>
        <w:t>舍、</w:t>
      </w:r>
      <w:r>
        <w:rPr>
          <w:rFonts w:hint="eastAsia" w:ascii="Times New Roman" w:hAnsi="Times New Roman"/>
          <w:color w:val="000000"/>
          <w:sz w:val="24"/>
          <w:szCs w:val="24"/>
          <w:highlight w:val="none"/>
        </w:rPr>
        <w:t>育肥舍</w:t>
      </w:r>
      <w:r>
        <w:rPr>
          <w:rFonts w:hint="eastAsia"/>
          <w:color w:val="000000"/>
          <w:sz w:val="24"/>
          <w:szCs w:val="24"/>
          <w:highlight w:val="none"/>
          <w:lang w:eastAsia="zh-CN"/>
        </w:rPr>
        <w:t>、</w:t>
      </w:r>
      <w:r>
        <w:rPr>
          <w:rFonts w:hint="eastAsia" w:ascii="Times New Roman" w:hAnsi="Times New Roman"/>
          <w:color w:val="000000"/>
          <w:sz w:val="24"/>
          <w:szCs w:val="24"/>
          <w:highlight w:val="none"/>
        </w:rPr>
        <w:t>怀孕舍</w:t>
      </w:r>
      <w:r>
        <w:rPr>
          <w:rFonts w:hint="eastAsia"/>
          <w:color w:val="000000"/>
          <w:sz w:val="24"/>
          <w:szCs w:val="24"/>
          <w:highlight w:val="none"/>
          <w:lang w:eastAsia="zh-CN"/>
        </w:rPr>
        <w:t>、</w:t>
      </w:r>
      <w:r>
        <w:rPr>
          <w:rFonts w:hint="eastAsia" w:ascii="Times New Roman" w:hAnsi="Times New Roman"/>
          <w:color w:val="000000"/>
          <w:sz w:val="24"/>
          <w:szCs w:val="24"/>
          <w:highlight w:val="none"/>
        </w:rPr>
        <w:t>哺乳舍</w:t>
      </w:r>
      <w:r>
        <w:rPr>
          <w:rFonts w:hint="eastAsia"/>
          <w:color w:val="000000"/>
          <w:sz w:val="24"/>
          <w:szCs w:val="24"/>
          <w:highlight w:val="none"/>
          <w:lang w:eastAsia="zh-CN"/>
        </w:rPr>
        <w:t>、</w:t>
      </w:r>
      <w:r>
        <w:rPr>
          <w:rFonts w:hint="eastAsia" w:ascii="Times New Roman" w:hAnsi="Times New Roman"/>
          <w:color w:val="000000"/>
          <w:sz w:val="24"/>
          <w:szCs w:val="24"/>
          <w:highlight w:val="none"/>
        </w:rPr>
        <w:t>后备舍</w:t>
      </w:r>
      <w:r>
        <w:rPr>
          <w:rFonts w:ascii="Times New Roman" w:hAnsi="Times New Roman"/>
          <w:color w:val="000000"/>
          <w:sz w:val="24"/>
          <w:szCs w:val="24"/>
          <w:highlight w:val="none"/>
        </w:rPr>
        <w:t>夏季</w:t>
      </w:r>
      <w:r>
        <w:rPr>
          <w:rFonts w:hint="eastAsia"/>
          <w:color w:val="000000"/>
          <w:sz w:val="24"/>
          <w:szCs w:val="24"/>
          <w:highlight w:val="none"/>
          <w:lang w:eastAsia="zh-CN"/>
        </w:rPr>
        <w:t>均</w:t>
      </w:r>
      <w:r>
        <w:rPr>
          <w:rFonts w:ascii="Times New Roman" w:hAnsi="Times New Roman"/>
          <w:color w:val="000000"/>
          <w:sz w:val="24"/>
          <w:szCs w:val="24"/>
          <w:highlight w:val="none"/>
        </w:rPr>
        <w:t>采用喷雾降温</w:t>
      </w:r>
      <w:r>
        <w:rPr>
          <w:rFonts w:hint="eastAsia"/>
          <w:color w:val="000000"/>
          <w:sz w:val="24"/>
          <w:szCs w:val="24"/>
          <w:highlight w:val="none"/>
          <w:lang w:eastAsia="zh-CN"/>
        </w:rPr>
        <w:t>，降温喷淋时间为</w:t>
      </w:r>
      <w:r>
        <w:rPr>
          <w:rFonts w:hint="eastAsia"/>
          <w:color w:val="000000"/>
          <w:sz w:val="24"/>
          <w:szCs w:val="24"/>
          <w:highlight w:val="none"/>
          <w:lang w:val="en-US" w:eastAsia="zh-CN"/>
        </w:rPr>
        <w:t>60天</w:t>
      </w:r>
      <w:r>
        <w:rPr>
          <w:rFonts w:ascii="Times New Roman" w:hAnsi="Times New Roman"/>
          <w:color w:val="000000"/>
          <w:sz w:val="24"/>
          <w:szCs w:val="24"/>
          <w:highlight w:val="none"/>
        </w:rPr>
        <w:t>。本工程</w:t>
      </w:r>
      <w:r>
        <w:rPr>
          <w:rFonts w:hint="eastAsia"/>
          <w:color w:val="000000"/>
          <w:sz w:val="24"/>
          <w:szCs w:val="24"/>
          <w:highlight w:val="none"/>
          <w:lang w:eastAsia="zh-CN"/>
        </w:rPr>
        <w:t>保育舍</w:t>
      </w:r>
      <w:r>
        <w:rPr>
          <w:rFonts w:hint="eastAsia"/>
          <w:color w:val="000000"/>
          <w:sz w:val="24"/>
          <w:szCs w:val="24"/>
          <w:highlight w:val="none"/>
          <w:lang w:val="en-US" w:eastAsia="zh-CN"/>
        </w:rPr>
        <w:t>48个，育肥</w:t>
      </w:r>
      <w:r>
        <w:rPr>
          <w:rFonts w:ascii="Times New Roman" w:hAnsi="Times New Roman"/>
          <w:color w:val="000000"/>
          <w:sz w:val="24"/>
          <w:szCs w:val="24"/>
          <w:highlight w:val="none"/>
        </w:rPr>
        <w:t>舍</w:t>
      </w:r>
      <w:r>
        <w:rPr>
          <w:rFonts w:hint="eastAsia"/>
          <w:color w:val="000000"/>
          <w:sz w:val="24"/>
          <w:szCs w:val="24"/>
          <w:highlight w:val="none"/>
          <w:lang w:val="en-US" w:eastAsia="zh-CN"/>
        </w:rPr>
        <w:t>73</w:t>
      </w:r>
      <w:r>
        <w:rPr>
          <w:rFonts w:ascii="Times New Roman" w:hAnsi="Times New Roman"/>
          <w:color w:val="000000"/>
          <w:sz w:val="24"/>
          <w:szCs w:val="24"/>
          <w:highlight w:val="none"/>
        </w:rPr>
        <w:t>个，</w:t>
      </w:r>
      <w:r>
        <w:rPr>
          <w:rFonts w:hint="eastAsia"/>
          <w:color w:val="000000"/>
          <w:sz w:val="24"/>
          <w:szCs w:val="24"/>
          <w:highlight w:val="none"/>
          <w:lang w:eastAsia="zh-CN"/>
        </w:rPr>
        <w:t>后备舍</w:t>
      </w:r>
      <w:r>
        <w:rPr>
          <w:rFonts w:hint="eastAsia"/>
          <w:color w:val="000000"/>
          <w:sz w:val="24"/>
          <w:szCs w:val="24"/>
          <w:highlight w:val="none"/>
          <w:lang w:val="en-US" w:eastAsia="zh-CN"/>
        </w:rPr>
        <w:t>6个，怀孕舍27个，哺乳舍24个，共178个，</w:t>
      </w:r>
      <w:r>
        <w:rPr>
          <w:rFonts w:ascii="Times New Roman" w:hAnsi="Times New Roman"/>
          <w:sz w:val="24"/>
          <w:highlight w:val="none"/>
        </w:rPr>
        <w:t>喷雾用水量按0.198m</w:t>
      </w:r>
      <w:r>
        <w:rPr>
          <w:rFonts w:ascii="Times New Roman" w:hAnsi="Times New Roman"/>
          <w:sz w:val="24"/>
          <w:highlight w:val="none"/>
          <w:vertAlign w:val="superscript"/>
        </w:rPr>
        <w:t>3</w:t>
      </w:r>
      <w:r>
        <w:rPr>
          <w:rFonts w:ascii="Times New Roman" w:hAnsi="Times New Roman"/>
          <w:sz w:val="24"/>
          <w:highlight w:val="none"/>
        </w:rPr>
        <w:t>/（d•个）计，则用水量为</w:t>
      </w:r>
      <w:r>
        <w:rPr>
          <w:rFonts w:hint="eastAsia"/>
          <w:sz w:val="24"/>
          <w:highlight w:val="none"/>
          <w:lang w:val="en-US" w:eastAsia="zh-CN"/>
        </w:rPr>
        <w:t>35.24</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eastAsia="zh-CN"/>
        </w:rPr>
        <w:t>则夏季猪舍降温用水量为</w:t>
      </w:r>
      <w:r>
        <w:rPr>
          <w:rFonts w:hint="eastAsia"/>
          <w:sz w:val="24"/>
          <w:highlight w:val="none"/>
          <w:lang w:val="en-US" w:eastAsia="zh-CN"/>
        </w:rPr>
        <w:t>2114.4</w:t>
      </w:r>
      <w:r>
        <w:rPr>
          <w:rFonts w:ascii="Times New Roman" w:hAnsi="Times New Roman"/>
          <w:sz w:val="24"/>
          <w:highlight w:val="none"/>
        </w:rPr>
        <w:t>m</w:t>
      </w:r>
      <w:r>
        <w:rPr>
          <w:rFonts w:ascii="Times New Roman" w:hAnsi="Times New Roman"/>
          <w:sz w:val="24"/>
          <w:highlight w:val="none"/>
          <w:vertAlign w:val="superscript"/>
        </w:rPr>
        <w:t>3</w:t>
      </w:r>
      <w:r>
        <w:rPr>
          <w:rFonts w:hint="eastAsia"/>
          <w:sz w:val="24"/>
          <w:highlight w:val="none"/>
          <w:lang w:eastAsia="zh-CN"/>
        </w:rPr>
        <w:t>。</w:t>
      </w:r>
      <w:r>
        <w:rPr>
          <w:rFonts w:ascii="Times New Roman" w:hAnsi="Times New Roman"/>
          <w:sz w:val="24"/>
          <w:highlight w:val="none"/>
        </w:rPr>
        <w:t>喷雾水全部蒸发，损失量、新鲜水补充量为</w:t>
      </w:r>
      <w:r>
        <w:rPr>
          <w:rFonts w:hint="eastAsia"/>
          <w:sz w:val="24"/>
          <w:highlight w:val="none"/>
          <w:lang w:val="en-US" w:eastAsia="zh-CN"/>
        </w:rPr>
        <w:t>35</w:t>
      </w:r>
      <w:r>
        <w:rPr>
          <w:rFonts w:ascii="Times New Roman" w:hAnsi="Times New Roman"/>
          <w:sz w:val="24"/>
          <w:highlight w:val="none"/>
        </w:rPr>
        <w:t>.24m</w:t>
      </w:r>
      <w:r>
        <w:rPr>
          <w:rFonts w:ascii="Times New Roman" w:hAnsi="Times New Roman"/>
          <w:sz w:val="24"/>
          <w:highlight w:val="none"/>
          <w:vertAlign w:val="superscript"/>
        </w:rPr>
        <w:t>3</w:t>
      </w:r>
      <w:r>
        <w:rPr>
          <w:rFonts w:ascii="Times New Roman" w:hAnsi="Times New Roman"/>
          <w:sz w:val="24"/>
          <w:highlight w:val="none"/>
        </w:rPr>
        <w:t>/d，</w:t>
      </w:r>
      <w:r>
        <w:rPr>
          <w:rFonts w:hint="eastAsia"/>
          <w:sz w:val="24"/>
          <w:highlight w:val="none"/>
          <w:lang w:val="en-US" w:eastAsia="zh-CN"/>
        </w:rPr>
        <w:t>2114.4</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w:t>
      </w:r>
    </w:p>
    <w:p>
      <w:pPr>
        <w:pStyle w:val="10"/>
        <w:keepNext w:val="0"/>
        <w:keepLines w:val="0"/>
        <w:pageBreakBefore w:val="0"/>
        <w:widowControl/>
        <w:numPr>
          <w:ilvl w:val="0"/>
          <w:numId w:val="6"/>
        </w:numPr>
        <w:kinsoku/>
        <w:wordWrap/>
        <w:overflowPunct/>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饲料加工生产线锅炉用水</w:t>
      </w:r>
    </w:p>
    <w:p>
      <w:pPr>
        <w:pStyle w:val="37"/>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Cs/>
          <w:sz w:val="24"/>
          <w:highlight w:val="none"/>
          <w:lang w:eastAsia="zh-CN"/>
        </w:rPr>
      </w:pPr>
      <w:r>
        <w:rPr>
          <w:rFonts w:hint="eastAsia" w:ascii="Times New Roman" w:hAnsi="Times New Roman"/>
          <w:sz w:val="24"/>
          <w:szCs w:val="24"/>
          <w:highlight w:val="none"/>
          <w:lang w:val="en-US" w:eastAsia="zh-CN"/>
        </w:rPr>
        <w:t>本项目在饲料加工区配置了1台2t/h的燃气锅炉，用于饲料加工生产线，主要采用水蒸汽直接接触饲料将其蒸熟。锅炉用水量为2t/h，锅炉年运行时间3600h，每天运行12h，锅炉用水量为7200</w:t>
      </w:r>
      <w:r>
        <w:rPr>
          <w:rFonts w:hint="eastAsia" w:ascii="Times New Roman" w:hAnsi="Times New Roman"/>
          <w:sz w:val="24"/>
          <w:szCs w:val="24"/>
          <w:highlight w:val="none"/>
          <w:lang w:eastAsia="zh-CN"/>
        </w:rPr>
        <w:t>m</w:t>
      </w:r>
      <w:r>
        <w:rPr>
          <w:rFonts w:ascii="Times New Roman" w:hAnsi="Times New Roman"/>
          <w:sz w:val="24"/>
          <w:szCs w:val="24"/>
          <w:highlight w:val="none"/>
          <w:vertAlign w:val="superscript"/>
        </w:rPr>
        <w:t>3</w:t>
      </w:r>
      <w:r>
        <w:rPr>
          <w:rFonts w:ascii="Times New Roman" w:hAnsi="Times New Roman"/>
          <w:sz w:val="24"/>
          <w:szCs w:val="24"/>
          <w:highlight w:val="none"/>
        </w:rPr>
        <w:t>/a</w:t>
      </w:r>
      <w:r>
        <w:rPr>
          <w:rFonts w:hint="eastAsia" w:ascii="Times New Roman" w:hAnsi="Times New Roman"/>
          <w:sz w:val="24"/>
          <w:szCs w:val="24"/>
          <w:highlight w:val="none"/>
          <w:lang w:val="en-US" w:eastAsia="zh-CN"/>
        </w:rPr>
        <w:t>，锅炉蒸汽全部进入饲料产品不外排。</w:t>
      </w:r>
      <w:r>
        <w:rPr>
          <w:bCs/>
          <w:sz w:val="24"/>
          <w:highlight w:val="none"/>
        </w:rPr>
        <w:t>新鲜水在进入锅炉前需要进行软化处理，项目</w:t>
      </w:r>
      <w:r>
        <w:rPr>
          <w:bCs/>
          <w:sz w:val="24"/>
          <w:szCs w:val="28"/>
          <w:highlight w:val="none"/>
        </w:rPr>
        <w:t>锅炉所用软水采用钠型离子交换树脂制取，工作时</w:t>
      </w:r>
      <w:r>
        <w:rPr>
          <w:rFonts w:hint="default" w:ascii="Times New Roman" w:hAnsi="Times New Roman" w:cs="Times New Roman"/>
          <w:bCs/>
          <w:sz w:val="24"/>
          <w:szCs w:val="28"/>
          <w:highlight w:val="none"/>
        </w:rPr>
        <w:t>钠型树脂放出Na</w:t>
      </w:r>
      <w:r>
        <w:rPr>
          <w:rFonts w:hint="default" w:ascii="Times New Roman" w:hAnsi="Times New Roman" w:cs="Times New Roman"/>
          <w:bCs/>
          <w:sz w:val="24"/>
          <w:szCs w:val="28"/>
          <w:highlight w:val="none"/>
          <w:vertAlign w:val="superscript"/>
        </w:rPr>
        <w:t>+</w:t>
      </w:r>
      <w:r>
        <w:rPr>
          <w:rFonts w:hint="default" w:ascii="Times New Roman" w:hAnsi="Times New Roman" w:cs="Times New Roman"/>
          <w:bCs/>
          <w:sz w:val="24"/>
          <w:szCs w:val="28"/>
          <w:highlight w:val="none"/>
        </w:rPr>
        <w:t>与溶液中的Ca</w:t>
      </w:r>
      <w:r>
        <w:rPr>
          <w:rFonts w:hint="default" w:ascii="Times New Roman" w:hAnsi="Times New Roman" w:cs="Times New Roman"/>
          <w:bCs/>
          <w:sz w:val="24"/>
          <w:szCs w:val="28"/>
          <w:highlight w:val="none"/>
          <w:vertAlign w:val="superscript"/>
        </w:rPr>
        <w:t>2+</w:t>
      </w:r>
      <w:r>
        <w:rPr>
          <w:rFonts w:hint="default" w:ascii="Times New Roman" w:hAnsi="Times New Roman" w:cs="Times New Roman"/>
          <w:bCs/>
          <w:sz w:val="24"/>
          <w:szCs w:val="28"/>
          <w:highlight w:val="none"/>
        </w:rPr>
        <w:t>、Mg</w:t>
      </w:r>
      <w:r>
        <w:rPr>
          <w:rFonts w:hint="default" w:ascii="Times New Roman" w:hAnsi="Times New Roman" w:cs="Times New Roman"/>
          <w:bCs/>
          <w:sz w:val="24"/>
          <w:szCs w:val="28"/>
          <w:highlight w:val="none"/>
          <w:vertAlign w:val="superscript"/>
        </w:rPr>
        <w:t>2+</w:t>
      </w:r>
      <w:r>
        <w:rPr>
          <w:rFonts w:hint="default" w:ascii="Times New Roman" w:hAnsi="Times New Roman" w:cs="Times New Roman"/>
          <w:bCs/>
          <w:sz w:val="24"/>
          <w:szCs w:val="28"/>
          <w:highlight w:val="none"/>
        </w:rPr>
        <w:t>等阳离子</w:t>
      </w:r>
      <w:r>
        <w:rPr>
          <w:rFonts w:hint="default" w:ascii="Times New Roman" w:hAnsi="Times New Roman" w:cs="Times New Roman"/>
          <w:bCs/>
          <w:sz w:val="24"/>
          <w:szCs w:val="28"/>
          <w:highlight w:val="none"/>
          <w:lang w:eastAsia="zh-CN"/>
        </w:rPr>
        <w:t>产</w:t>
      </w:r>
      <w:r>
        <w:rPr>
          <w:rFonts w:hint="eastAsia"/>
          <w:bCs/>
          <w:sz w:val="24"/>
          <w:szCs w:val="28"/>
          <w:highlight w:val="none"/>
          <w:lang w:eastAsia="zh-CN"/>
        </w:rPr>
        <w:t>生置换</w:t>
      </w:r>
      <w:r>
        <w:rPr>
          <w:bCs/>
          <w:sz w:val="24"/>
          <w:szCs w:val="28"/>
          <w:highlight w:val="none"/>
        </w:rPr>
        <w:t>，除去</w:t>
      </w:r>
      <w:r>
        <w:rPr>
          <w:rFonts w:hint="eastAsia"/>
          <w:bCs/>
          <w:sz w:val="24"/>
          <w:szCs w:val="28"/>
          <w:highlight w:val="none"/>
        </w:rPr>
        <w:t>钙、镁</w:t>
      </w:r>
      <w:r>
        <w:rPr>
          <w:bCs/>
          <w:sz w:val="24"/>
          <w:szCs w:val="28"/>
          <w:highlight w:val="none"/>
        </w:rPr>
        <w:t>离子</w:t>
      </w:r>
      <w:r>
        <w:rPr>
          <w:rFonts w:hint="eastAsia"/>
          <w:bCs/>
          <w:sz w:val="24"/>
          <w:szCs w:val="28"/>
          <w:highlight w:val="none"/>
        </w:rPr>
        <w:t>，这样从交换器内流出的水就是去掉了硬度离子的软化水。随着交换过程的不断进行，树脂中Na+全部被置出来后就失去了交换功能，此时必须使用</w:t>
      </w:r>
      <w:r>
        <w:rPr>
          <w:rFonts w:hint="eastAsia"/>
          <w:bCs/>
          <w:sz w:val="24"/>
          <w:szCs w:val="28"/>
          <w:highlight w:val="none"/>
          <w:lang w:eastAsia="zh-CN"/>
        </w:rPr>
        <w:t>氯化钠</w:t>
      </w:r>
      <w:r>
        <w:rPr>
          <w:rFonts w:hint="eastAsia"/>
          <w:bCs/>
          <w:sz w:val="24"/>
          <w:szCs w:val="28"/>
          <w:highlight w:val="none"/>
        </w:rPr>
        <w:t>溶液对树脂进行再生，将树脂吸附的</w:t>
      </w:r>
      <w:r>
        <w:rPr>
          <w:rFonts w:hint="default" w:ascii="Times New Roman" w:hAnsi="Times New Roman" w:cs="Times New Roman"/>
          <w:bCs/>
          <w:sz w:val="24"/>
          <w:szCs w:val="28"/>
          <w:highlight w:val="none"/>
        </w:rPr>
        <w:t>Ca</w:t>
      </w:r>
      <w:r>
        <w:rPr>
          <w:rFonts w:hint="default" w:ascii="Times New Roman" w:hAnsi="Times New Roman" w:cs="Times New Roman"/>
          <w:bCs/>
          <w:sz w:val="24"/>
          <w:szCs w:val="28"/>
          <w:highlight w:val="none"/>
          <w:vertAlign w:val="superscript"/>
        </w:rPr>
        <w:t>2+</w:t>
      </w:r>
      <w:r>
        <w:rPr>
          <w:rFonts w:hint="default" w:ascii="Times New Roman" w:hAnsi="Times New Roman" w:cs="Times New Roman"/>
          <w:bCs/>
          <w:sz w:val="24"/>
          <w:szCs w:val="28"/>
          <w:highlight w:val="none"/>
        </w:rPr>
        <w:t>、Mg</w:t>
      </w:r>
      <w:r>
        <w:rPr>
          <w:rFonts w:hint="default" w:ascii="Times New Roman" w:hAnsi="Times New Roman" w:cs="Times New Roman"/>
          <w:bCs/>
          <w:sz w:val="24"/>
          <w:szCs w:val="28"/>
          <w:highlight w:val="none"/>
          <w:vertAlign w:val="superscript"/>
        </w:rPr>
        <w:t>2+</w:t>
      </w:r>
      <w:r>
        <w:rPr>
          <w:rFonts w:hint="default" w:ascii="Times New Roman" w:hAnsi="Times New Roman" w:cs="Times New Roman"/>
          <w:bCs/>
          <w:sz w:val="24"/>
          <w:szCs w:val="28"/>
          <w:highlight w:val="none"/>
        </w:rPr>
        <w:t>置换下</w:t>
      </w:r>
      <w:r>
        <w:rPr>
          <w:rFonts w:hint="eastAsia"/>
          <w:bCs/>
          <w:sz w:val="24"/>
          <w:szCs w:val="28"/>
          <w:highlight w:val="none"/>
        </w:rPr>
        <w:t>来，树脂重新吸附了钠离子，恢复了软化交换能力</w:t>
      </w:r>
      <w:r>
        <w:rPr>
          <w:rFonts w:hint="eastAsia"/>
          <w:bCs/>
          <w:sz w:val="24"/>
          <w:szCs w:val="28"/>
          <w:highlight w:val="none"/>
          <w:lang w:eastAsia="zh-CN"/>
        </w:rPr>
        <w:t>。</w:t>
      </w:r>
      <w:r>
        <w:rPr>
          <w:bCs/>
          <w:sz w:val="24"/>
          <w:szCs w:val="28"/>
          <w:highlight w:val="none"/>
        </w:rPr>
        <w:t>离子再生过程中会产生</w:t>
      </w:r>
      <w:r>
        <w:rPr>
          <w:bCs/>
          <w:sz w:val="24"/>
          <w:highlight w:val="none"/>
        </w:rPr>
        <w:t>离子交换树脂再生水，处理目的是去除水中的钙、镁离子，以防止水的硬度过高，影响锅炉的正常运行，软水制备效率取</w:t>
      </w:r>
      <w:r>
        <w:rPr>
          <w:rFonts w:hint="default" w:ascii="Times New Roman" w:hAnsi="Times New Roman" w:cs="Times New Roman"/>
          <w:bCs/>
          <w:sz w:val="24"/>
          <w:highlight w:val="none"/>
        </w:rPr>
        <w:t>9</w:t>
      </w:r>
      <w:r>
        <w:rPr>
          <w:rFonts w:hint="default" w:ascii="Times New Roman" w:hAnsi="Times New Roman" w:cs="Times New Roman"/>
          <w:bCs/>
          <w:sz w:val="24"/>
          <w:highlight w:val="none"/>
          <w:lang w:val="en-US" w:eastAsia="zh-CN"/>
        </w:rPr>
        <w:t>0</w:t>
      </w:r>
      <w:r>
        <w:rPr>
          <w:rFonts w:hint="default" w:ascii="Times New Roman" w:hAnsi="Times New Roman" w:cs="Times New Roman"/>
          <w:bCs/>
          <w:sz w:val="24"/>
          <w:highlight w:val="none"/>
        </w:rPr>
        <w:t>%，计算锅炉系统新鲜水用量为</w:t>
      </w:r>
      <w:r>
        <w:rPr>
          <w:rFonts w:hint="eastAsia" w:ascii="Times New Roman" w:hAnsi="Times New Roman" w:cs="Times New Roman"/>
          <w:bCs/>
          <w:sz w:val="24"/>
          <w:highlight w:val="none"/>
          <w:lang w:val="en-US" w:eastAsia="zh-CN"/>
        </w:rPr>
        <w:t>26.7</w:t>
      </w:r>
      <w:r>
        <w:rPr>
          <w:rFonts w:hint="default" w:ascii="Times New Roman" w:hAnsi="Times New Roman" w:cs="Times New Roman"/>
          <w:bCs/>
          <w:sz w:val="24"/>
          <w:highlight w:val="none"/>
        </w:rPr>
        <w:t>m</w:t>
      </w:r>
      <w:r>
        <w:rPr>
          <w:rFonts w:hint="default" w:ascii="Times New Roman" w:hAnsi="Times New Roman" w:cs="Times New Roman"/>
          <w:bCs/>
          <w:sz w:val="24"/>
          <w:highlight w:val="none"/>
          <w:vertAlign w:val="superscript"/>
        </w:rPr>
        <w:t>3</w:t>
      </w:r>
      <w:r>
        <w:rPr>
          <w:rFonts w:hint="default" w:ascii="Times New Roman" w:hAnsi="Times New Roman" w:cs="Times New Roman"/>
          <w:bCs/>
          <w:sz w:val="24"/>
          <w:highlight w:val="none"/>
          <w:vertAlign w:val="baseline"/>
        </w:rPr>
        <w:t>/</w:t>
      </w:r>
      <w:r>
        <w:rPr>
          <w:rFonts w:hint="default" w:ascii="Times New Roman" w:hAnsi="Times New Roman" w:cs="Times New Roman"/>
          <w:bCs/>
          <w:sz w:val="24"/>
          <w:highlight w:val="none"/>
        </w:rPr>
        <w:t>d</w:t>
      </w:r>
      <w:r>
        <w:rPr>
          <w:rFonts w:hint="eastAsia" w:ascii="Times New Roman" w:hAnsi="Times New Roman" w:cs="Times New Roman"/>
          <w:bCs/>
          <w:sz w:val="24"/>
          <w:highlight w:val="none"/>
          <w:lang w:val="en-US" w:eastAsia="zh-CN"/>
        </w:rPr>
        <w:t>（8010</w:t>
      </w:r>
      <w:r>
        <w:rPr>
          <w:rFonts w:hint="default" w:ascii="Times New Roman" w:hAnsi="Times New Roman" w:cs="Times New Roman"/>
          <w:bCs/>
          <w:sz w:val="24"/>
          <w:highlight w:val="none"/>
        </w:rPr>
        <w:t>m</w:t>
      </w:r>
      <w:r>
        <w:rPr>
          <w:rFonts w:hint="default" w:ascii="Times New Roman" w:hAnsi="Times New Roman" w:cs="Times New Roman"/>
          <w:bCs/>
          <w:sz w:val="24"/>
          <w:highlight w:val="none"/>
          <w:vertAlign w:val="superscript"/>
        </w:rPr>
        <w:t>3</w:t>
      </w:r>
      <w:r>
        <w:rPr>
          <w:rFonts w:hint="default" w:ascii="Times New Roman" w:hAnsi="Times New Roman" w:cs="Times New Roman"/>
          <w:bCs/>
          <w:sz w:val="24"/>
          <w:highlight w:val="none"/>
        </w:rPr>
        <w:t>/a</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eastAsia="zh-CN"/>
        </w:rPr>
        <w:t>。</w:t>
      </w:r>
    </w:p>
    <w:p>
      <w:pPr>
        <w:pStyle w:val="37"/>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szCs w:val="28"/>
          <w:highlight w:val="none"/>
          <w:lang w:val="en-US" w:eastAsia="zh-CN"/>
        </w:rPr>
        <w:t>综上，本项目生活用水、锅炉用水和养殖过程用水合计后项目总用水量为221544.656m</w:t>
      </w:r>
      <w:r>
        <w:rPr>
          <w:rFonts w:hint="default" w:ascii="Times New Roman" w:hAnsi="Times New Roman" w:cs="Times New Roman"/>
          <w:bCs/>
          <w:sz w:val="24"/>
          <w:szCs w:val="28"/>
          <w:highlight w:val="none"/>
          <w:vertAlign w:val="superscript"/>
          <w:lang w:val="en-US" w:eastAsia="zh-CN"/>
        </w:rPr>
        <w:t>3</w:t>
      </w:r>
      <w:r>
        <w:rPr>
          <w:rFonts w:hint="default" w:ascii="Times New Roman" w:hAnsi="Times New Roman" w:cs="Times New Roman"/>
          <w:bCs/>
          <w:sz w:val="24"/>
          <w:szCs w:val="28"/>
          <w:highlight w:val="none"/>
          <w:lang w:val="en-US" w:eastAsia="zh-CN"/>
        </w:rPr>
        <w:t>/a。</w:t>
      </w:r>
      <w:r>
        <w:rPr>
          <w:rFonts w:hint="default" w:ascii="Times New Roman" w:hAnsi="Times New Roman" w:cs="Times New Roman"/>
          <w:bCs/>
          <w:sz w:val="24"/>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w:t>
      </w:r>
      <w:r>
        <w:rPr>
          <w:highlight w:val="none"/>
        </w:rPr>
        <w:t>排水</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本项目主要排水为生活污水</w:t>
      </w:r>
      <w:r>
        <w:rPr>
          <w:rFonts w:hint="eastAsia"/>
          <w:highlight w:val="none"/>
          <w:lang w:eastAsia="zh-CN"/>
        </w:rPr>
        <w:t>和生产废水</w:t>
      </w:r>
      <w:r>
        <w:rPr>
          <w:highlight w:val="none"/>
        </w:rPr>
        <w: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生产废水</w:t>
      </w:r>
    </w:p>
    <w:p>
      <w:pPr>
        <w:pStyle w:val="10"/>
        <w:numPr>
          <w:ilvl w:val="0"/>
          <w:numId w:val="0"/>
        </w:numPr>
        <w:rPr>
          <w:rFonts w:hint="default"/>
          <w:highlight w:val="none"/>
          <w:lang w:val="en-US" w:eastAsia="zh-CN"/>
        </w:rPr>
      </w:pPr>
      <w:r>
        <w:rPr>
          <w:rFonts w:hint="eastAsia"/>
          <w:highlight w:val="none"/>
          <w:lang w:val="en-US" w:eastAsia="zh-CN"/>
        </w:rPr>
        <w:t xml:space="preserve">    项目产生的生产废水主要是养殖废水，含猪尿液、猪舍冲洗废水、猪粪固液分离产生的废水。</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猪尿液</w:t>
      </w:r>
    </w:p>
    <w:p>
      <w:pPr>
        <w:pStyle w:val="10"/>
        <w:rPr>
          <w:rFonts w:hint="eastAsia"/>
          <w:highlight w:val="none"/>
          <w:lang w:val="en-US" w:eastAsia="zh-CN"/>
        </w:rPr>
      </w:pPr>
      <w:r>
        <w:rPr>
          <w:rFonts w:hint="eastAsia"/>
          <w:highlight w:val="none"/>
          <w:lang w:val="en-US" w:eastAsia="zh-CN"/>
        </w:rPr>
        <w:t>根据环保部《规模畜禽养殖场污染防治最佳可行技术指南（试行）》（HJ-BAT-10），猪尿排泄量计算公式为：Yu=0.205+0.438W（kg）</w:t>
      </w:r>
    </w:p>
    <w:p>
      <w:pPr>
        <w:pStyle w:val="10"/>
        <w:rPr>
          <w:rFonts w:hint="eastAsia"/>
          <w:highlight w:val="none"/>
          <w:lang w:val="en-US" w:eastAsia="zh-CN"/>
        </w:rPr>
      </w:pPr>
      <w:r>
        <w:rPr>
          <w:rFonts w:hint="eastAsia"/>
          <w:highlight w:val="none"/>
          <w:lang w:val="en-US" w:eastAsia="zh-CN"/>
        </w:rPr>
        <w:t>式中，Y------为猪尿排泄量（kg/头猪·d），W-----为猪的饮水量</w:t>
      </w:r>
      <w:r>
        <w:rPr>
          <w:rFonts w:hint="eastAsia" w:ascii="Times New Roman" w:hAnsi="Times New Roman"/>
          <w:highlight w:val="none"/>
          <w:lang w:val="en-US" w:eastAsia="zh-CN"/>
        </w:rPr>
        <w:t>（kg/</w:t>
      </w:r>
      <w:r>
        <w:rPr>
          <w:rFonts w:hint="eastAsia"/>
          <w:highlight w:val="none"/>
          <w:lang w:val="en-US" w:eastAsia="zh-CN"/>
        </w:rPr>
        <w:t>头猪·d</w:t>
      </w:r>
      <w:r>
        <w:rPr>
          <w:rFonts w:hint="eastAsia" w:ascii="Times New Roman" w:hAnsi="Times New Roman"/>
          <w:highlight w:val="none"/>
          <w:lang w:val="en-US" w:eastAsia="zh-CN"/>
        </w:rPr>
        <w:t>）</w:t>
      </w:r>
      <w:r>
        <w:rPr>
          <w:rFonts w:hint="eastAsia"/>
          <w:highlight w:val="none"/>
          <w:lang w:val="en-US" w:eastAsia="zh-CN"/>
        </w:rPr>
        <w:t>。</w:t>
      </w:r>
    </w:p>
    <w:p>
      <w:pPr>
        <w:pStyle w:val="10"/>
        <w:rPr>
          <w:rFonts w:hint="eastAsia"/>
          <w:highlight w:val="none"/>
          <w:lang w:val="en-US" w:eastAsia="zh-CN"/>
        </w:rPr>
      </w:pPr>
      <w:r>
        <w:rPr>
          <w:rFonts w:hint="eastAsia"/>
          <w:highlight w:val="none"/>
          <w:lang w:val="en-US" w:eastAsia="zh-CN"/>
        </w:rPr>
        <w:t>则猪尿的产生量如下表所示。</w:t>
      </w:r>
    </w:p>
    <w:p>
      <w:pPr>
        <w:pStyle w:val="40"/>
        <w:rPr>
          <w:rFonts w:hint="eastAsia" w:cs="Times New Roman"/>
          <w:highlight w:val="none"/>
        </w:rPr>
      </w:pPr>
      <w:r>
        <w:rPr>
          <w:rFonts w:hint="eastAsia" w:cs="Times New Roman"/>
          <w:highlight w:val="none"/>
        </w:rPr>
        <w:t>表2</w:t>
      </w:r>
      <w:r>
        <w:rPr>
          <w:rFonts w:hint="eastAsia" w:cs="Times New Roman"/>
          <w:highlight w:val="none"/>
          <w:lang w:val="en-US" w:eastAsia="zh-CN"/>
        </w:rPr>
        <w:t>.5</w:t>
      </w:r>
      <w:r>
        <w:rPr>
          <w:rFonts w:hint="eastAsia" w:cs="Times New Roman"/>
          <w:highlight w:val="none"/>
        </w:rPr>
        <w:t>-</w:t>
      </w:r>
      <w:r>
        <w:rPr>
          <w:rFonts w:hint="eastAsia" w:cs="Times New Roman"/>
          <w:highlight w:val="none"/>
          <w:lang w:val="en-US" w:eastAsia="zh-CN"/>
        </w:rPr>
        <w:t>2</w:t>
      </w:r>
      <w:r>
        <w:rPr>
          <w:rFonts w:hint="eastAsia" w:cs="Times New Roman"/>
          <w:highlight w:val="none"/>
        </w:rPr>
        <w:t xml:space="preserve"> </w:t>
      </w:r>
      <w:r>
        <w:rPr>
          <w:rFonts w:hint="eastAsia" w:cs="Times New Roman"/>
          <w:highlight w:val="none"/>
          <w:lang w:val="en-US" w:eastAsia="zh-CN"/>
        </w:rPr>
        <w:t>项目</w:t>
      </w:r>
      <w:r>
        <w:rPr>
          <w:rFonts w:hint="eastAsia" w:cs="Times New Roman"/>
          <w:highlight w:val="none"/>
        </w:rPr>
        <w:t>猪尿排放参数一览表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794"/>
        <w:gridCol w:w="1020"/>
        <w:gridCol w:w="983"/>
        <w:gridCol w:w="1952"/>
        <w:gridCol w:w="1759"/>
        <w:gridCol w:w="1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restar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用水</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性质</w:t>
            </w:r>
          </w:p>
        </w:tc>
        <w:tc>
          <w:tcPr>
            <w:tcW w:w="1065" w:type="pct"/>
            <w:gridSpan w:val="2"/>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排尿量（L/头·d）</w:t>
            </w:r>
          </w:p>
        </w:tc>
        <w:tc>
          <w:tcPr>
            <w:tcW w:w="575" w:type="pct"/>
            <w:vMerge w:val="restar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排尿单位</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（头）</w:t>
            </w:r>
          </w:p>
        </w:tc>
        <w:tc>
          <w:tcPr>
            <w:tcW w:w="2896" w:type="pct"/>
            <w:gridSpan w:val="3"/>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排尿总量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continue"/>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46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w:t>
            </w:r>
          </w:p>
        </w:tc>
        <w:tc>
          <w:tcPr>
            <w:tcW w:w="598"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w:t>
            </w:r>
          </w:p>
        </w:tc>
        <w:tc>
          <w:tcPr>
            <w:tcW w:w="575" w:type="pct"/>
            <w:vMerge w:val="continue"/>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p>
        </w:tc>
        <w:tc>
          <w:tcPr>
            <w:tcW w:w="114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夏季122d</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hint="eastAsia" w:ascii="Times New Roman" w:hAnsi="Times New Roman" w:cs="Times New Roman"/>
                <w:b w:val="0"/>
                <w:bCs w:val="0"/>
                <w:sz w:val="21"/>
                <w:szCs w:val="21"/>
                <w:highlight w:val="none"/>
                <w:vertAlign w:val="baseline"/>
                <w:lang w:val="en-US" w:eastAsia="zh-CN"/>
              </w:rPr>
              <w:t>/d</w:t>
            </w:r>
            <w:r>
              <w:rPr>
                <w:rFonts w:ascii="Times New Roman" w:hAnsi="Times New Roman" w:cs="Times New Roman"/>
                <w:b w:val="0"/>
                <w:bCs w:val="0"/>
                <w:sz w:val="21"/>
                <w:szCs w:val="21"/>
                <w:highlight w:val="none"/>
              </w:rPr>
              <w:t>）</w:t>
            </w:r>
          </w:p>
        </w:tc>
        <w:tc>
          <w:tcPr>
            <w:tcW w:w="1033"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其他季节243d</w:t>
            </w:r>
          </w:p>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hint="eastAsia" w:ascii="Times New Roman" w:hAnsi="Times New Roman" w:cs="Times New Roman"/>
                <w:b w:val="0"/>
                <w:bCs w:val="0"/>
                <w:sz w:val="21"/>
                <w:szCs w:val="21"/>
                <w:highlight w:val="none"/>
                <w:vertAlign w:val="baseline"/>
                <w:lang w:val="en-US" w:eastAsia="zh-CN"/>
              </w:rPr>
              <w:t>/d</w:t>
            </w:r>
            <w:r>
              <w:rPr>
                <w:rFonts w:ascii="Times New Roman" w:hAnsi="Times New Roman" w:cs="Times New Roman"/>
                <w:b w:val="0"/>
                <w:bCs w:val="0"/>
                <w:sz w:val="21"/>
                <w:szCs w:val="21"/>
                <w:highlight w:val="none"/>
              </w:rPr>
              <w:t>）</w:t>
            </w:r>
          </w:p>
        </w:tc>
        <w:tc>
          <w:tcPr>
            <w:tcW w:w="716"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（m</w:t>
            </w:r>
            <w:r>
              <w:rPr>
                <w:rFonts w:ascii="Times New Roman" w:hAnsi="Times New Roman" w:cs="Times New Roman"/>
                <w:b w:val="0"/>
                <w:bCs w:val="0"/>
                <w:sz w:val="21"/>
                <w:szCs w:val="21"/>
                <w:highlight w:val="none"/>
                <w:vertAlign w:val="superscript"/>
              </w:rPr>
              <w:t>3</w:t>
            </w:r>
            <w:r>
              <w:rPr>
                <w:rFonts w:ascii="Times New Roman" w:hAnsi="Times New Roman" w:cs="Times New Roman"/>
                <w:b w:val="0"/>
                <w:bCs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保育猪</w:t>
            </w:r>
          </w:p>
        </w:tc>
        <w:tc>
          <w:tcPr>
            <w:tcW w:w="466"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2.614</w:t>
            </w:r>
          </w:p>
        </w:tc>
        <w:tc>
          <w:tcPr>
            <w:tcW w:w="598"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1.519</w:t>
            </w:r>
          </w:p>
        </w:tc>
        <w:tc>
          <w:tcPr>
            <w:tcW w:w="575"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20000</w:t>
            </w:r>
          </w:p>
        </w:tc>
        <w:tc>
          <w:tcPr>
            <w:tcW w:w="114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52.28</w:t>
            </w:r>
          </w:p>
        </w:tc>
        <w:tc>
          <w:tcPr>
            <w:tcW w:w="1033"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30.38</w:t>
            </w:r>
          </w:p>
        </w:tc>
        <w:tc>
          <w:tcPr>
            <w:tcW w:w="71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13760.5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育肥猪</w:t>
            </w:r>
          </w:p>
        </w:tc>
        <w:tc>
          <w:tcPr>
            <w:tcW w:w="46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5.023</w:t>
            </w:r>
          </w:p>
        </w:tc>
        <w:tc>
          <w:tcPr>
            <w:tcW w:w="598"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3.052</w:t>
            </w:r>
          </w:p>
        </w:tc>
        <w:tc>
          <w:tcPr>
            <w:tcW w:w="575"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40000</w:t>
            </w:r>
          </w:p>
        </w:tc>
        <w:tc>
          <w:tcPr>
            <w:tcW w:w="1146"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200.92</w:t>
            </w:r>
          </w:p>
        </w:tc>
        <w:tc>
          <w:tcPr>
            <w:tcW w:w="1033"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122.08</w:t>
            </w:r>
          </w:p>
        </w:tc>
        <w:tc>
          <w:tcPr>
            <w:tcW w:w="716"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54177.68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lang w:val="en-US" w:eastAsia="zh-CN"/>
              </w:rPr>
            </w:pPr>
            <w:r>
              <w:rPr>
                <w:rFonts w:ascii="Times New Roman" w:hAnsi="Times New Roman" w:cs="Times New Roman"/>
                <w:b w:val="0"/>
                <w:bCs w:val="0"/>
                <w:sz w:val="21"/>
                <w:szCs w:val="21"/>
                <w:highlight w:val="none"/>
              </w:rPr>
              <w:t>后备猪</w:t>
            </w:r>
          </w:p>
        </w:tc>
        <w:tc>
          <w:tcPr>
            <w:tcW w:w="46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5.023</w:t>
            </w:r>
          </w:p>
        </w:tc>
        <w:tc>
          <w:tcPr>
            <w:tcW w:w="598"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3.052</w:t>
            </w:r>
          </w:p>
        </w:tc>
        <w:tc>
          <w:tcPr>
            <w:tcW w:w="575"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1200</w:t>
            </w:r>
          </w:p>
        </w:tc>
        <w:tc>
          <w:tcPr>
            <w:tcW w:w="114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6.0276</w:t>
            </w:r>
          </w:p>
        </w:tc>
        <w:tc>
          <w:tcPr>
            <w:tcW w:w="1033"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3.6624</w:t>
            </w:r>
          </w:p>
        </w:tc>
        <w:tc>
          <w:tcPr>
            <w:tcW w:w="71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1625.33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怀孕猪</w:t>
            </w:r>
          </w:p>
        </w:tc>
        <w:tc>
          <w:tcPr>
            <w:tcW w:w="46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8.965</w:t>
            </w:r>
          </w:p>
        </w:tc>
        <w:tc>
          <w:tcPr>
            <w:tcW w:w="598"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5.899</w:t>
            </w:r>
          </w:p>
        </w:tc>
        <w:tc>
          <w:tcPr>
            <w:tcW w:w="575"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4944</w:t>
            </w:r>
          </w:p>
        </w:tc>
        <w:tc>
          <w:tcPr>
            <w:tcW w:w="114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44.32</w:t>
            </w:r>
          </w:p>
        </w:tc>
        <w:tc>
          <w:tcPr>
            <w:tcW w:w="1033"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29.16</w:t>
            </w:r>
          </w:p>
        </w:tc>
        <w:tc>
          <w:tcPr>
            <w:tcW w:w="71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12494.41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noWrap w:val="0"/>
            <w:vAlign w:val="center"/>
          </w:tcPr>
          <w:p>
            <w:pPr>
              <w:widowControl w:val="0"/>
              <w:spacing w:line="360" w:lineRule="exact"/>
              <w:ind w:firstLine="0" w:firstLineChars="0"/>
              <w:jc w:val="center"/>
              <w:rPr>
                <w:rFonts w:ascii="Times New Roman" w:hAnsi="Times New Roman" w:cs="Times New Roman"/>
                <w:b w:val="0"/>
                <w:bCs w:val="0"/>
                <w:sz w:val="21"/>
                <w:szCs w:val="21"/>
                <w:highlight w:val="none"/>
              </w:rPr>
            </w:pPr>
            <w:r>
              <w:rPr>
                <w:rFonts w:ascii="Times New Roman" w:hAnsi="Times New Roman" w:cs="Times New Roman"/>
                <w:b w:val="0"/>
                <w:bCs w:val="0"/>
                <w:sz w:val="21"/>
                <w:szCs w:val="21"/>
                <w:highlight w:val="none"/>
              </w:rPr>
              <w:t>哺乳猪</w:t>
            </w:r>
          </w:p>
        </w:tc>
        <w:tc>
          <w:tcPr>
            <w:tcW w:w="46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24.295</w:t>
            </w:r>
          </w:p>
        </w:tc>
        <w:tc>
          <w:tcPr>
            <w:tcW w:w="598"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13.345</w:t>
            </w:r>
          </w:p>
        </w:tc>
        <w:tc>
          <w:tcPr>
            <w:tcW w:w="575"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1056</w:t>
            </w:r>
          </w:p>
        </w:tc>
        <w:tc>
          <w:tcPr>
            <w:tcW w:w="114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25.6</w:t>
            </w:r>
            <w:r>
              <w:rPr>
                <w:rFonts w:hint="eastAsia" w:cs="Times New Roman"/>
                <w:b w:val="0"/>
                <w:bCs w:val="0"/>
                <w:sz w:val="21"/>
                <w:szCs w:val="21"/>
                <w:highlight w:val="none"/>
                <w:lang w:val="en-US" w:eastAsia="zh-CN"/>
              </w:rPr>
              <w:t>6</w:t>
            </w:r>
          </w:p>
        </w:tc>
        <w:tc>
          <w:tcPr>
            <w:tcW w:w="1033"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14.09</w:t>
            </w:r>
          </w:p>
        </w:tc>
        <w:tc>
          <w:tcPr>
            <w:tcW w:w="716" w:type="pct"/>
            <w:noWrap w:val="0"/>
            <w:vAlign w:val="center"/>
          </w:tcPr>
          <w:p>
            <w:pPr>
              <w:widowControl w:val="0"/>
              <w:spacing w:line="360" w:lineRule="exact"/>
              <w:ind w:firstLine="0" w:firstLineChars="0"/>
              <w:jc w:val="center"/>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6554.4</w:t>
            </w:r>
            <w:r>
              <w:rPr>
                <w:rFonts w:hint="eastAsia" w:cs="Times New Roman"/>
                <w:b w:val="0"/>
                <w:bCs w:val="0"/>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3" w:type="pct"/>
            <w:gridSpan w:val="4"/>
            <w:noWrap w:val="0"/>
            <w:vAlign w:val="center"/>
          </w:tcPr>
          <w:p>
            <w:pPr>
              <w:widowControl/>
              <w:jc w:val="center"/>
              <w:textAlignment w:val="center"/>
              <w:rPr>
                <w:rFonts w:ascii="Times New Roman" w:hAnsi="Times New Roman"/>
                <w:b w:val="0"/>
                <w:bCs w:val="0"/>
                <w:color w:val="auto"/>
                <w:kern w:val="0"/>
                <w:sz w:val="21"/>
                <w:szCs w:val="21"/>
                <w:highlight w:val="none"/>
                <w:u w:val="none"/>
                <w:lang w:bidi="ar"/>
              </w:rPr>
            </w:pPr>
            <w:r>
              <w:rPr>
                <w:rFonts w:ascii="Times New Roman" w:hAnsi="Times New Roman"/>
                <w:b w:val="0"/>
                <w:bCs w:val="0"/>
                <w:color w:val="auto"/>
                <w:kern w:val="0"/>
                <w:sz w:val="21"/>
                <w:szCs w:val="21"/>
                <w:highlight w:val="none"/>
                <w:u w:val="none"/>
                <w:lang w:bidi="ar"/>
              </w:rPr>
              <w:t>合    计</w:t>
            </w:r>
          </w:p>
        </w:tc>
        <w:tc>
          <w:tcPr>
            <w:tcW w:w="1146"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329.2</w:t>
            </w:r>
            <w:r>
              <w:rPr>
                <w:rFonts w:hint="eastAsia" w:cs="Times New Roman"/>
                <w:b w:val="0"/>
                <w:bCs w:val="0"/>
                <w:sz w:val="21"/>
                <w:szCs w:val="21"/>
                <w:highlight w:val="none"/>
                <w:lang w:val="en-US" w:eastAsia="zh-CN"/>
              </w:rPr>
              <w:t>1</w:t>
            </w:r>
          </w:p>
        </w:tc>
        <w:tc>
          <w:tcPr>
            <w:tcW w:w="1033"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199.3</w:t>
            </w:r>
            <w:r>
              <w:rPr>
                <w:rFonts w:hint="eastAsia" w:cs="Times New Roman"/>
                <w:b w:val="0"/>
                <w:bCs w:val="0"/>
                <w:sz w:val="21"/>
                <w:szCs w:val="21"/>
                <w:highlight w:val="none"/>
                <w:lang w:val="en-US" w:eastAsia="zh-CN"/>
              </w:rPr>
              <w:t>8</w:t>
            </w:r>
          </w:p>
        </w:tc>
        <w:tc>
          <w:tcPr>
            <w:tcW w:w="716" w:type="pct"/>
            <w:noWrap w:val="0"/>
            <w:vAlign w:val="center"/>
          </w:tcPr>
          <w:p>
            <w:pPr>
              <w:widowControl w:val="0"/>
              <w:spacing w:line="360" w:lineRule="exact"/>
              <w:ind w:firstLine="0" w:firstLineChars="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88612.33</w:t>
            </w:r>
          </w:p>
        </w:tc>
      </w:tr>
    </w:tbl>
    <w:p>
      <w:pPr>
        <w:pStyle w:val="10"/>
        <w:keepNext w:val="0"/>
        <w:keepLines w:val="0"/>
        <w:pageBreakBefore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猪舍冲洗废水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sz w:val="24"/>
          <w:szCs w:val="22"/>
          <w:highlight w:val="none"/>
        </w:rPr>
        <w:t>本项目采用环保部认定的干清粪工艺：猪生活在漏缝地板上，猪舍内产生的猪粪由于猪的踩踏及重力作用离开猪舍进入猪舍底部的粪污储存池，</w:t>
      </w:r>
      <w:r>
        <w:rPr>
          <w:rFonts w:ascii="Times New Roman" w:hAnsi="Times New Roman" w:cs="Times New Roman"/>
          <w:sz w:val="24"/>
          <w:szCs w:val="24"/>
          <w:highlight w:val="none"/>
        </w:rPr>
        <w:t>猪粪经猪脚踩踏及猪尿冲洗相对比较清洁，且采用高压水枪对猪舍进行冲洗，冲洗水量较小。根据牧原食品股份有限公司统计及上表2-</w:t>
      </w:r>
      <w:r>
        <w:rPr>
          <w:rFonts w:hint="eastAsia" w:cs="Times New Roman"/>
          <w:sz w:val="24"/>
          <w:szCs w:val="24"/>
          <w:highlight w:val="none"/>
          <w:lang w:val="en-US" w:eastAsia="zh-CN"/>
        </w:rPr>
        <w:t>5</w:t>
      </w:r>
      <w:r>
        <w:rPr>
          <w:rFonts w:ascii="Times New Roman" w:hAnsi="Times New Roman" w:cs="Times New Roman"/>
          <w:sz w:val="24"/>
          <w:szCs w:val="24"/>
          <w:highlight w:val="none"/>
        </w:rPr>
        <w:t>可知，</w:t>
      </w:r>
      <w:r>
        <w:rPr>
          <w:rFonts w:ascii="Times New Roman" w:hAnsi="Times New Roman" w:cs="Times New Roman"/>
          <w:bCs/>
          <w:sz w:val="24"/>
          <w:szCs w:val="22"/>
          <w:highlight w:val="none"/>
        </w:rPr>
        <w:t>项目猪舍冲洗水量总计</w:t>
      </w:r>
      <w:r>
        <w:rPr>
          <w:rFonts w:ascii="Times New Roman" w:hAnsi="Times New Roman" w:cs="Times New Roman"/>
          <w:sz w:val="24"/>
          <w:szCs w:val="22"/>
          <w:highlight w:val="none"/>
        </w:rPr>
        <w:t>为1</w:t>
      </w:r>
      <w:r>
        <w:rPr>
          <w:rFonts w:hint="eastAsia" w:cs="Times New Roman"/>
          <w:sz w:val="24"/>
          <w:szCs w:val="22"/>
          <w:highlight w:val="none"/>
          <w:lang w:val="en-US" w:eastAsia="zh-CN"/>
        </w:rPr>
        <w:t>6647</w:t>
      </w:r>
      <w:r>
        <w:rPr>
          <w:rFonts w:ascii="Times New Roman" w:hAnsi="Times New Roman" w:cs="Times New Roman"/>
          <w:sz w:val="24"/>
          <w:szCs w:val="22"/>
          <w:highlight w:val="none"/>
        </w:rPr>
        <w:t>m</w:t>
      </w:r>
      <w:r>
        <w:rPr>
          <w:rFonts w:ascii="Times New Roman" w:hAnsi="Times New Roman" w:cs="Times New Roman"/>
          <w:sz w:val="24"/>
          <w:szCs w:val="22"/>
          <w:highlight w:val="none"/>
          <w:vertAlign w:val="superscript"/>
        </w:rPr>
        <w:t>3</w:t>
      </w:r>
      <w:r>
        <w:rPr>
          <w:rFonts w:ascii="Times New Roman" w:hAnsi="Times New Roman" w:cs="Times New Roman"/>
          <w:sz w:val="24"/>
          <w:szCs w:val="22"/>
          <w:highlight w:val="none"/>
        </w:rPr>
        <w:t>/a</w:t>
      </w:r>
      <w:r>
        <w:rPr>
          <w:rFonts w:hint="eastAsia" w:cs="Times New Roman"/>
          <w:sz w:val="24"/>
          <w:szCs w:val="22"/>
          <w:highlight w:val="none"/>
          <w:lang w:eastAsia="zh-CN"/>
        </w:rPr>
        <w:t>，</w:t>
      </w:r>
      <w:r>
        <w:rPr>
          <w:rFonts w:ascii="Times New Roman" w:hAnsi="Times New Roman" w:cs="Times New Roman"/>
          <w:bCs/>
          <w:color w:val="000000"/>
          <w:sz w:val="24"/>
          <w:szCs w:val="24"/>
          <w:highlight w:val="none"/>
        </w:rPr>
        <w:t>冲洗过程损耗量按10%计，则猪舍冲洗废水产生量为</w:t>
      </w:r>
      <w:r>
        <w:rPr>
          <w:rFonts w:hint="eastAsia" w:cs="Times New Roman"/>
          <w:bCs/>
          <w:color w:val="000000"/>
          <w:sz w:val="24"/>
          <w:szCs w:val="24"/>
          <w:highlight w:val="none"/>
          <w:lang w:val="en-US" w:eastAsia="zh-CN"/>
        </w:rPr>
        <w:t>14982.3</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c、猪粪固液分离废水</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本项目采用环保部认定的干清粪工艺，粪尿产生后经粪污储存池暂存后用泵运至污水前处理系统进行固液分离，经固液分离后，分离出的猪粪运至固粪处置区，污水进入黑膜沼气池进行处理。</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新鲜猪粪含水率约为80%，养殖粪污在污水前处理区进行固液分离，固液分离效率按50%计，项目猪粪产生量为21348.21t/a（58.49t/d），则经固液分离后猪粪带入黑膜沼气池的总水量为38.02m</w:t>
      </w:r>
      <w:r>
        <w:rPr>
          <w:rFonts w:hint="eastAsia"/>
          <w:highlight w:val="none"/>
          <w:vertAlign w:val="superscript"/>
          <w:lang w:val="en-US" w:eastAsia="zh-CN"/>
        </w:rPr>
        <w:t>3</w:t>
      </w:r>
      <w:r>
        <w:rPr>
          <w:rFonts w:hint="eastAsia"/>
          <w:highlight w:val="none"/>
          <w:lang w:val="en-US" w:eastAsia="zh-CN"/>
        </w:rPr>
        <w:t>/d、13876.336m</w:t>
      </w:r>
      <w:r>
        <w:rPr>
          <w:rFonts w:hint="eastAsia"/>
          <w:highlight w:val="none"/>
          <w:vertAlign w:val="superscript"/>
          <w:lang w:val="en-US" w:eastAsia="zh-CN"/>
        </w:rPr>
        <w:t>3</w:t>
      </w:r>
      <w:r>
        <w:rPr>
          <w:rFonts w:hint="eastAsia"/>
          <w:highlight w:val="none"/>
          <w:lang w:val="en-US" w:eastAsia="zh-CN"/>
        </w:rPr>
        <w:t>/a。</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none"/>
          <w:lang w:val="en-US" w:eastAsia="zh-CN"/>
        </w:rPr>
      </w:pPr>
      <w:r>
        <w:rPr>
          <w:rFonts w:hint="eastAsia"/>
          <w:highlight w:val="none"/>
          <w:lang w:val="en-US" w:eastAsia="zh-CN"/>
        </w:rPr>
        <w:t>d、锅炉软化系统废水</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本项目饲料加工生产线使用1台2t/h锅炉，锅炉用水量为2t/h，锅炉年运行时间3600h，每天运行12h，锅炉用水量为7200m</w:t>
      </w:r>
      <w:r>
        <w:rPr>
          <w:rFonts w:hint="default"/>
          <w:highlight w:val="none"/>
          <w:vertAlign w:val="superscript"/>
          <w:lang w:val="en-US" w:eastAsia="zh-CN"/>
        </w:rPr>
        <w:t>3</w:t>
      </w:r>
      <w:r>
        <w:rPr>
          <w:rFonts w:hint="default"/>
          <w:highlight w:val="none"/>
          <w:lang w:val="en-US" w:eastAsia="zh-CN"/>
        </w:rPr>
        <w:t>/a，锅炉蒸汽全部进入饲料产品不外排。新鲜水在进入锅炉前需要进行软化处理，项目锅炉所用软水采用钠型离子交换树脂制取。软水制备过程中惠产生软化系统废水，软水制备效率取90%，则锅炉系统新鲜水用量为26.7m</w:t>
      </w:r>
      <w:r>
        <w:rPr>
          <w:rFonts w:hint="default"/>
          <w:highlight w:val="none"/>
          <w:vertAlign w:val="superscript"/>
          <w:lang w:val="en-US" w:eastAsia="zh-CN"/>
        </w:rPr>
        <w:t>3</w:t>
      </w:r>
      <w:r>
        <w:rPr>
          <w:rFonts w:hint="default"/>
          <w:highlight w:val="none"/>
          <w:lang w:val="en-US" w:eastAsia="zh-CN"/>
        </w:rPr>
        <w:t>/d(8010m</w:t>
      </w:r>
      <w:r>
        <w:rPr>
          <w:rFonts w:hint="default"/>
          <w:highlight w:val="none"/>
          <w:vertAlign w:val="superscript"/>
          <w:lang w:val="en-US" w:eastAsia="zh-CN"/>
        </w:rPr>
        <w:t>3</w:t>
      </w:r>
      <w:r>
        <w:rPr>
          <w:rFonts w:hint="default"/>
          <w:highlight w:val="none"/>
          <w:lang w:val="en-US" w:eastAsia="zh-CN"/>
        </w:rPr>
        <w:t>/a)，软化系统废水量为2.7m</w:t>
      </w:r>
      <w:r>
        <w:rPr>
          <w:rFonts w:hint="default"/>
          <w:highlight w:val="none"/>
          <w:vertAlign w:val="superscript"/>
          <w:lang w:val="en-US" w:eastAsia="zh-CN"/>
        </w:rPr>
        <w:t>3</w:t>
      </w:r>
      <w:r>
        <w:rPr>
          <w:rFonts w:hint="default"/>
          <w:highlight w:val="none"/>
          <w:lang w:val="en-US" w:eastAsia="zh-CN"/>
        </w:rPr>
        <w:t>/d(810m</w:t>
      </w:r>
      <w:r>
        <w:rPr>
          <w:rFonts w:hint="default"/>
          <w:highlight w:val="none"/>
          <w:vertAlign w:val="superscript"/>
          <w:lang w:val="en-US" w:eastAsia="zh-CN"/>
        </w:rPr>
        <w:t>3</w:t>
      </w:r>
      <w:r>
        <w:rPr>
          <w:rFonts w:hint="default"/>
          <w:highlight w:val="none"/>
          <w:lang w:val="en-US" w:eastAsia="zh-CN"/>
        </w:rPr>
        <w:t>/a)。软化系统废水中主要是Ca</w:t>
      </w:r>
      <w:r>
        <w:rPr>
          <w:rFonts w:hint="default"/>
          <w:highlight w:val="none"/>
          <w:vertAlign w:val="superscript"/>
          <w:lang w:val="en-US" w:eastAsia="zh-CN"/>
        </w:rPr>
        <w:t>2+</w:t>
      </w:r>
      <w:r>
        <w:rPr>
          <w:rFonts w:hint="default"/>
          <w:highlight w:val="none"/>
          <w:lang w:val="en-US" w:eastAsia="zh-CN"/>
        </w:rPr>
        <w:t>、Mg</w:t>
      </w:r>
      <w:r>
        <w:rPr>
          <w:rFonts w:hint="default"/>
          <w:highlight w:val="none"/>
          <w:vertAlign w:val="superscript"/>
          <w:lang w:val="en-US" w:eastAsia="zh-CN"/>
        </w:rPr>
        <w:t>2+</w:t>
      </w:r>
      <w:r>
        <w:rPr>
          <w:rFonts w:hint="default"/>
          <w:highlight w:val="none"/>
          <w:lang w:val="en-US" w:eastAsia="zh-CN"/>
        </w:rPr>
        <w:t>等离子浓度较高，但COD、NH</w:t>
      </w:r>
      <w:r>
        <w:rPr>
          <w:rFonts w:hint="default"/>
          <w:highlight w:val="none"/>
          <w:vertAlign w:val="subscript"/>
          <w:lang w:val="en-US" w:eastAsia="zh-CN"/>
        </w:rPr>
        <w:t>3</w:t>
      </w:r>
      <w:r>
        <w:rPr>
          <w:rFonts w:hint="default"/>
          <w:highlight w:val="none"/>
          <w:lang w:val="en-US" w:eastAsia="zh-CN"/>
        </w:rPr>
        <w:t>-N、SS浓度较低，可作为清净下水，不计入污水。本项目将软化系统废水用于场区洒水降尘，不外排。</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生活污水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项目生活用水量为</w:t>
      </w:r>
      <w:r>
        <w:rPr>
          <w:rFonts w:hint="eastAsia"/>
          <w:highlight w:val="none"/>
          <w:lang w:val="en-US" w:eastAsia="zh-CN"/>
        </w:rPr>
        <w:t>10.8</w:t>
      </w:r>
      <w:r>
        <w:rPr>
          <w:highlight w:val="none"/>
        </w:rPr>
        <w:t>m</w:t>
      </w:r>
      <w:r>
        <w:rPr>
          <w:highlight w:val="none"/>
          <w:vertAlign w:val="superscript"/>
        </w:rPr>
        <w:t>3</w:t>
      </w:r>
      <w:r>
        <w:rPr>
          <w:highlight w:val="none"/>
        </w:rPr>
        <w:t>/d（</w:t>
      </w:r>
      <w:r>
        <w:rPr>
          <w:rFonts w:hint="eastAsia"/>
          <w:highlight w:val="none"/>
          <w:lang w:val="en-US" w:eastAsia="zh-CN"/>
        </w:rPr>
        <w:t>3942</w:t>
      </w:r>
      <w:r>
        <w:rPr>
          <w:highlight w:val="none"/>
        </w:rPr>
        <w:t>m</w:t>
      </w:r>
      <w:r>
        <w:rPr>
          <w:highlight w:val="none"/>
          <w:vertAlign w:val="superscript"/>
        </w:rPr>
        <w:t>3</w:t>
      </w:r>
      <w:r>
        <w:rPr>
          <w:highlight w:val="none"/>
        </w:rPr>
        <w:t>/a），污水排放系数取0.8，则生活污水产生量为</w:t>
      </w:r>
      <w:r>
        <w:rPr>
          <w:rFonts w:hint="eastAsia"/>
          <w:highlight w:val="none"/>
          <w:lang w:val="en-US" w:eastAsia="zh-CN"/>
        </w:rPr>
        <w:t>8.64</w:t>
      </w:r>
      <w:r>
        <w:rPr>
          <w:highlight w:val="none"/>
        </w:rPr>
        <w:t>m</w:t>
      </w:r>
      <w:r>
        <w:rPr>
          <w:highlight w:val="none"/>
          <w:vertAlign w:val="superscript"/>
        </w:rPr>
        <w:t>3</w:t>
      </w:r>
      <w:r>
        <w:rPr>
          <w:highlight w:val="none"/>
        </w:rPr>
        <w:t>/d（</w:t>
      </w:r>
      <w:r>
        <w:rPr>
          <w:rFonts w:hint="eastAsia"/>
          <w:highlight w:val="none"/>
          <w:lang w:val="en-US" w:eastAsia="zh-CN"/>
        </w:rPr>
        <w:t>3153.6</w:t>
      </w:r>
      <w:r>
        <w:rPr>
          <w:highlight w:val="none"/>
        </w:rPr>
        <w:t>m</w:t>
      </w:r>
      <w:r>
        <w:rPr>
          <w:highlight w:val="none"/>
          <w:vertAlign w:val="superscript"/>
        </w:rPr>
        <w:t>3</w:t>
      </w:r>
      <w:r>
        <w:rPr>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（3）</w:t>
      </w:r>
      <w:r>
        <w:rPr>
          <w:highlight w:val="none"/>
        </w:rPr>
        <w:t>供电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厂区配备有</w:t>
      </w:r>
      <w:r>
        <w:rPr>
          <w:rFonts w:hint="eastAsia"/>
          <w:highlight w:val="none"/>
          <w:lang w:eastAsia="zh-CN"/>
        </w:rPr>
        <w:t>电房</w:t>
      </w:r>
      <w:r>
        <w:rPr>
          <w:highlight w:val="none"/>
        </w:rPr>
        <w:t>。</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eastAsia="宋体"/>
          <w:highlight w:val="none"/>
          <w:lang w:eastAsia="zh-CN"/>
        </w:rPr>
      </w:pPr>
      <w:r>
        <w:rPr>
          <w:rFonts w:hint="eastAsia"/>
          <w:highlight w:val="none"/>
        </w:rPr>
        <w:t>（4）</w:t>
      </w:r>
      <w:r>
        <w:rPr>
          <w:rFonts w:hint="eastAsia"/>
          <w:highlight w:val="none"/>
          <w:lang w:eastAsia="zh-CN"/>
        </w:rPr>
        <w:t>供暖</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highlight w:val="none"/>
        </w:rPr>
      </w:pPr>
      <w:r>
        <w:rPr>
          <w:rFonts w:ascii="Times New Roman" w:hAnsi="Times New Roman"/>
          <w:sz w:val="24"/>
          <w:highlight w:val="none"/>
        </w:rPr>
        <w:t>根据公司已建设项目运行实践和本次设计，猪舍冬季取暖采用保温为主辅助供暖的节能模式。通过猪舍墙体保温材料与外部绝热，猪舍通风采用全热交换器提高入舍新鲜空气温度</w:t>
      </w:r>
      <w:r>
        <w:rPr>
          <w:rFonts w:hint="eastAsia"/>
          <w:highlight w:val="none"/>
        </w:rPr>
        <w:t>。</w:t>
      </w:r>
    </w:p>
    <w:p>
      <w:pPr>
        <w:pStyle w:val="6"/>
        <w:spacing w:beforeLines="0"/>
        <w:rPr>
          <w:rFonts w:cs="Times New Roman"/>
          <w:highlight w:val="none"/>
        </w:rPr>
      </w:pPr>
      <w:bookmarkStart w:id="19" w:name="_Toc386"/>
      <w:r>
        <w:rPr>
          <w:rFonts w:hint="eastAsia" w:cs="Times New Roman"/>
          <w:highlight w:val="none"/>
        </w:rPr>
        <w:t>2.6</w:t>
      </w:r>
      <w:r>
        <w:rPr>
          <w:rFonts w:cs="Times New Roman"/>
          <w:highlight w:val="none"/>
        </w:rPr>
        <w:t>总体</w:t>
      </w:r>
      <w:r>
        <w:rPr>
          <w:rFonts w:hint="eastAsia" w:cs="Times New Roman"/>
          <w:highlight w:val="none"/>
        </w:rPr>
        <w:t>平面</w:t>
      </w:r>
      <w:r>
        <w:rPr>
          <w:rFonts w:cs="Times New Roman"/>
          <w:highlight w:val="none"/>
        </w:rPr>
        <w:t>布置</w:t>
      </w:r>
      <w:bookmarkEnd w:id="19"/>
    </w:p>
    <w:p>
      <w:pPr>
        <w:adjustRightInd w:val="0"/>
        <w:snapToGrid w:val="0"/>
        <w:ind w:firstLine="480"/>
        <w:rPr>
          <w:rFonts w:hint="eastAsia"/>
          <w:highlight w:val="none"/>
        </w:rPr>
      </w:pPr>
      <w:r>
        <w:rPr>
          <w:rFonts w:hint="eastAsia"/>
          <w:highlight w:val="none"/>
        </w:rPr>
        <w:t>场区实行生产区、办公区与污染治理区的三区分离，项目共分为办公生活区、养殖区</w:t>
      </w:r>
      <w:r>
        <w:rPr>
          <w:rFonts w:hint="eastAsia"/>
          <w:highlight w:val="none"/>
          <w:lang w:eastAsia="zh-CN"/>
        </w:rPr>
        <w:t>、治污区、饲料加工区四</w:t>
      </w:r>
      <w:r>
        <w:rPr>
          <w:rFonts w:hint="eastAsia"/>
          <w:highlight w:val="none"/>
        </w:rPr>
        <w:t>部分。生活区包括宿舍楼、食堂等；养殖区主要包括</w:t>
      </w:r>
      <w:r>
        <w:rPr>
          <w:rFonts w:hint="eastAsia"/>
          <w:highlight w:val="none"/>
          <w:lang w:eastAsia="zh-CN"/>
        </w:rPr>
        <w:t>哺乳</w:t>
      </w:r>
      <w:r>
        <w:rPr>
          <w:rFonts w:hint="eastAsia"/>
          <w:highlight w:val="none"/>
        </w:rPr>
        <w:t>舍、</w:t>
      </w:r>
      <w:r>
        <w:rPr>
          <w:rFonts w:hint="eastAsia"/>
          <w:highlight w:val="none"/>
          <w:lang w:eastAsia="zh-CN"/>
        </w:rPr>
        <w:t>怀孕</w:t>
      </w:r>
      <w:r>
        <w:rPr>
          <w:rFonts w:hint="eastAsia"/>
          <w:highlight w:val="none"/>
        </w:rPr>
        <w:t>舍、保育舍、育肥舍、后备舍等；</w:t>
      </w:r>
      <w:r>
        <w:rPr>
          <w:rFonts w:hint="eastAsia"/>
          <w:highlight w:val="none"/>
          <w:lang w:eastAsia="zh-CN"/>
        </w:rPr>
        <w:t>治污</w:t>
      </w:r>
      <w:r>
        <w:rPr>
          <w:rFonts w:hint="eastAsia"/>
          <w:highlight w:val="none"/>
        </w:rPr>
        <w:t>区包括</w:t>
      </w:r>
      <w:r>
        <w:rPr>
          <w:rFonts w:hint="eastAsia"/>
          <w:highlight w:val="none"/>
          <w:lang w:eastAsia="zh-CN"/>
        </w:rPr>
        <w:t>固粪处理区、</w:t>
      </w:r>
      <w:r>
        <w:rPr>
          <w:rFonts w:hint="eastAsia"/>
          <w:highlight w:val="none"/>
        </w:rPr>
        <w:t>收集池、</w:t>
      </w:r>
      <w:r>
        <w:rPr>
          <w:rFonts w:hint="eastAsia"/>
          <w:highlight w:val="none"/>
          <w:lang w:eastAsia="zh-CN"/>
        </w:rPr>
        <w:t>黑膜</w:t>
      </w:r>
      <w:r>
        <w:rPr>
          <w:rFonts w:hint="eastAsia"/>
          <w:highlight w:val="none"/>
        </w:rPr>
        <w:t>沼气池、沼液暂存池等</w:t>
      </w:r>
      <w:r>
        <w:rPr>
          <w:rFonts w:hint="eastAsia"/>
          <w:highlight w:val="none"/>
          <w:lang w:eastAsia="zh-CN"/>
        </w:rPr>
        <w:t>；饲料加工区包括原料暂存及生产加工车间、锅炉房、投料房、筒仓等</w:t>
      </w:r>
      <w:r>
        <w:rPr>
          <w:rFonts w:hint="eastAsia"/>
          <w:highlight w:val="none"/>
        </w:rPr>
        <w:t>。</w:t>
      </w:r>
    </w:p>
    <w:p>
      <w:pPr>
        <w:adjustRightInd w:val="0"/>
        <w:snapToGrid w:val="0"/>
        <w:ind w:firstLine="480"/>
        <w:rPr>
          <w:rFonts w:hint="eastAsia"/>
          <w:highlight w:val="none"/>
        </w:rPr>
      </w:pPr>
      <w:r>
        <w:rPr>
          <w:rFonts w:hint="eastAsia"/>
          <w:highlight w:val="none"/>
        </w:rPr>
        <w:t>根据企业设计，办公生活区设置在养殖区</w:t>
      </w:r>
      <w:r>
        <w:rPr>
          <w:rFonts w:hint="eastAsia"/>
          <w:highlight w:val="none"/>
          <w:lang w:eastAsia="zh-CN"/>
        </w:rPr>
        <w:t>西</w:t>
      </w:r>
      <w:r>
        <w:rPr>
          <w:rFonts w:hint="eastAsia"/>
          <w:highlight w:val="none"/>
        </w:rPr>
        <w:t>侧，和养殖区之间有绿化带相隔，生产人员进出场区时可以尽可能避开养殖区，有利于猪舍防疫，可最大程度减轻对场区内部的影响。</w:t>
      </w:r>
      <w:r>
        <w:rPr>
          <w:rFonts w:hint="eastAsia"/>
          <w:highlight w:val="none"/>
          <w:lang w:eastAsia="zh-CN"/>
        </w:rPr>
        <w:t>饲料加工区位于养殖区西侧，有助于生产的便利进行。</w:t>
      </w:r>
      <w:r>
        <w:rPr>
          <w:rFonts w:hint="eastAsia"/>
          <w:highlight w:val="none"/>
        </w:rPr>
        <w:t>污水处理区位于养殖区</w:t>
      </w:r>
      <w:r>
        <w:rPr>
          <w:rFonts w:hint="eastAsia"/>
          <w:highlight w:val="none"/>
          <w:lang w:eastAsia="zh-CN"/>
        </w:rPr>
        <w:t>北</w:t>
      </w:r>
      <w:r>
        <w:rPr>
          <w:rFonts w:hint="eastAsia"/>
          <w:highlight w:val="none"/>
        </w:rPr>
        <w:t>侧，以便于养殖区污水通过管道直接输送至污水处理区，污水处理后可自流至沼液储存池中。沼液储存池、固粪处理区、污水处理设施均位于养殖区及生活区的下风向，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w:t>
      </w:r>
    </w:p>
    <w:p>
      <w:pPr>
        <w:adjustRightInd w:val="0"/>
        <w:snapToGrid w:val="0"/>
        <w:ind w:firstLine="480"/>
        <w:rPr>
          <w:rFonts w:hint="eastAsia"/>
          <w:highlight w:val="none"/>
        </w:rPr>
      </w:pPr>
      <w:r>
        <w:rPr>
          <w:rFonts w:hint="eastAsia"/>
          <w:highlight w:val="none"/>
        </w:rPr>
        <w:t>根据场区布置情况，项目平面布置功能分区明确，场址平面布置可行，同时，要求项目建设时应严格按照《畜禽养殖业污染防治技术规范》（HJ/T81-2001）要求进行布置。</w:t>
      </w:r>
    </w:p>
    <w:p>
      <w:pPr>
        <w:adjustRightInd w:val="0"/>
        <w:snapToGrid w:val="0"/>
        <w:ind w:firstLine="480"/>
        <w:rPr>
          <w:highlight w:val="none"/>
        </w:rPr>
      </w:pPr>
      <w:r>
        <w:rPr>
          <w:highlight w:val="none"/>
        </w:rPr>
        <w:t>项目厂区平面布置图</w:t>
      </w:r>
      <w:r>
        <w:rPr>
          <w:rFonts w:hint="eastAsia"/>
          <w:highlight w:val="none"/>
        </w:rPr>
        <w:t>见附图二。</w:t>
      </w:r>
    </w:p>
    <w:p>
      <w:pPr>
        <w:pStyle w:val="6"/>
        <w:spacing w:beforeLines="0"/>
        <w:rPr>
          <w:rFonts w:cs="Times New Roman"/>
          <w:highlight w:val="none"/>
        </w:rPr>
      </w:pPr>
      <w:bookmarkStart w:id="20" w:name="_Toc26569"/>
      <w:r>
        <w:rPr>
          <w:rFonts w:hint="eastAsia" w:cs="Times New Roman"/>
          <w:highlight w:val="none"/>
        </w:rPr>
        <w:t>2.7劳动定员及工作制度</w:t>
      </w:r>
      <w:bookmarkEnd w:id="20"/>
    </w:p>
    <w:p>
      <w:pPr>
        <w:ind w:firstLine="480"/>
        <w:rPr>
          <w:highlight w:val="none"/>
        </w:rPr>
      </w:pPr>
      <w:r>
        <w:rPr>
          <w:rFonts w:hint="eastAsia"/>
          <w:highlight w:val="none"/>
        </w:rPr>
        <w:t>本项目劳动定员</w:t>
      </w:r>
      <w:r>
        <w:rPr>
          <w:rFonts w:hint="eastAsia"/>
          <w:highlight w:val="none"/>
          <w:lang w:val="en-US" w:eastAsia="zh-CN"/>
        </w:rPr>
        <w:t>90</w:t>
      </w:r>
      <w:r>
        <w:rPr>
          <w:rFonts w:hint="eastAsia"/>
          <w:highlight w:val="none"/>
        </w:rPr>
        <w:t>人，实行</w:t>
      </w:r>
      <w:r>
        <w:rPr>
          <w:rFonts w:hint="eastAsia"/>
          <w:highlight w:val="none"/>
          <w:lang w:eastAsia="zh-CN"/>
        </w:rPr>
        <w:t>三</w:t>
      </w:r>
      <w:r>
        <w:rPr>
          <w:rFonts w:hint="eastAsia"/>
          <w:highlight w:val="none"/>
        </w:rPr>
        <w:t>班制，每班8小时，年工作</w:t>
      </w:r>
      <w:r>
        <w:rPr>
          <w:rFonts w:hint="eastAsia"/>
          <w:highlight w:val="none"/>
          <w:lang w:val="en-US" w:eastAsia="zh-CN"/>
        </w:rPr>
        <w:t>365</w:t>
      </w:r>
      <w:r>
        <w:rPr>
          <w:rFonts w:hint="eastAsia"/>
          <w:highlight w:val="none"/>
        </w:rPr>
        <w:t>天。</w:t>
      </w:r>
    </w:p>
    <w:p>
      <w:pPr>
        <w:pStyle w:val="6"/>
        <w:spacing w:beforeLines="0"/>
        <w:rPr>
          <w:rFonts w:cs="Times New Roman"/>
          <w:highlight w:val="none"/>
        </w:rPr>
      </w:pPr>
      <w:bookmarkStart w:id="21" w:name="_Toc25837"/>
      <w:r>
        <w:rPr>
          <w:rFonts w:hint="eastAsia" w:cs="Times New Roman"/>
          <w:highlight w:val="none"/>
        </w:rPr>
        <w:t>2.8周边环境概况</w:t>
      </w:r>
      <w:bookmarkEnd w:id="21"/>
    </w:p>
    <w:p>
      <w:pPr>
        <w:ind w:firstLine="480"/>
        <w:rPr>
          <w:rFonts w:hint="eastAsia"/>
          <w:bCs/>
          <w:highlight w:val="none"/>
          <w:lang w:eastAsia="zh-CN"/>
        </w:rPr>
      </w:pPr>
      <w:r>
        <w:rPr>
          <w:highlight w:val="none"/>
        </w:rPr>
        <w:t>项目位于</w:t>
      </w:r>
      <w:r>
        <w:rPr>
          <w:rFonts w:hint="eastAsia"/>
          <w:bCs/>
          <w:highlight w:val="none"/>
        </w:rPr>
        <w:t>正阳县铜钟镇</w:t>
      </w:r>
      <w:r>
        <w:rPr>
          <w:rFonts w:hint="eastAsia"/>
          <w:bCs/>
          <w:highlight w:val="none"/>
          <w:lang w:eastAsia="zh-CN"/>
        </w:rPr>
        <w:t>崔塘村</w:t>
      </w:r>
      <w:r>
        <w:rPr>
          <w:bCs/>
          <w:highlight w:val="none"/>
        </w:rPr>
        <w:t>，</w:t>
      </w:r>
      <w:r>
        <w:rPr>
          <w:rFonts w:hint="eastAsia"/>
          <w:bCs/>
          <w:highlight w:val="none"/>
        </w:rPr>
        <w:t>主要为农田和村庄，厂区周围无大型工业企业</w:t>
      </w:r>
      <w:r>
        <w:rPr>
          <w:rFonts w:hint="eastAsia"/>
          <w:bCs/>
          <w:highlight w:val="none"/>
          <w:lang w:eastAsia="zh-CN"/>
        </w:rPr>
        <w:t>。</w:t>
      </w:r>
    </w:p>
    <w:p>
      <w:pPr>
        <w:pStyle w:val="6"/>
        <w:spacing w:before="132"/>
        <w:rPr>
          <w:rStyle w:val="45"/>
          <w:b/>
          <w:highlight w:val="none"/>
        </w:rPr>
      </w:pPr>
      <w:bookmarkStart w:id="22" w:name="_Toc32516"/>
      <w:r>
        <w:rPr>
          <w:rStyle w:val="45"/>
          <w:rFonts w:hint="eastAsia"/>
          <w:b/>
          <w:highlight w:val="none"/>
          <w:lang w:val="en-US" w:eastAsia="zh-CN"/>
        </w:rPr>
        <w:t>2</w:t>
      </w:r>
      <w:r>
        <w:rPr>
          <w:rStyle w:val="45"/>
          <w:rFonts w:hint="eastAsia"/>
          <w:b/>
          <w:highlight w:val="none"/>
        </w:rPr>
        <w:t>.</w:t>
      </w:r>
      <w:r>
        <w:rPr>
          <w:rStyle w:val="45"/>
          <w:rFonts w:hint="eastAsia"/>
          <w:b/>
          <w:highlight w:val="none"/>
          <w:lang w:val="en-US" w:eastAsia="zh-CN"/>
        </w:rPr>
        <w:t>9</w:t>
      </w:r>
      <w:r>
        <w:rPr>
          <w:rStyle w:val="45"/>
          <w:b/>
          <w:highlight w:val="none"/>
        </w:rPr>
        <w:t>工艺流程</w:t>
      </w:r>
      <w:bookmarkEnd w:id="22"/>
    </w:p>
    <w:p>
      <w:pPr>
        <w:pStyle w:val="7"/>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9</w:t>
      </w:r>
      <w:r>
        <w:rPr>
          <w:rFonts w:hint="eastAsia" w:cs="Times New Roman"/>
          <w:highlight w:val="none"/>
        </w:rPr>
        <w:t>.1施工期工艺流程及产排污情况</w:t>
      </w:r>
    </w:p>
    <w:p>
      <w:pPr>
        <w:ind w:firstLine="480"/>
        <w:rPr>
          <w:rFonts w:cs="Times New Roman"/>
          <w:highlight w:val="none"/>
        </w:rPr>
      </w:pPr>
      <w:r>
        <w:rPr>
          <w:rFonts w:hint="eastAsia" w:cs="Times New Roman"/>
          <w:highlight w:val="none"/>
        </w:rPr>
        <w:t>本项目为新建项目，施工期主要分为主体建筑与配套设施建设等土建施工、室内装修两个时段。在土建施工期间主要污染因子有建筑施工噪声、扬尘、建筑垃圾、建筑废水以及施工人员的生活污水与生活垃圾等。项目建成后，建筑室内装修过程中产生的装修垃圾、涂料废气以及装修噪声发生。</w:t>
      </w:r>
    </w:p>
    <w:p>
      <w:pPr>
        <w:spacing w:line="500" w:lineRule="exact"/>
        <w:ind w:firstLine="480"/>
        <w:rPr>
          <w:rFonts w:cs="Times New Roman"/>
          <w:highlight w:val="none"/>
        </w:rPr>
      </w:pPr>
      <w:r>
        <w:rPr>
          <w:rFonts w:hint="eastAsia" w:cs="Times New Roman"/>
          <w:highlight w:val="none"/>
        </w:rPr>
        <w:t>（1）废水</w:t>
      </w:r>
    </w:p>
    <w:p>
      <w:pPr>
        <w:spacing w:line="500" w:lineRule="exact"/>
        <w:ind w:firstLine="480"/>
        <w:rPr>
          <w:rFonts w:cs="Times New Roman"/>
          <w:highlight w:val="none"/>
        </w:rPr>
      </w:pPr>
      <w:r>
        <w:rPr>
          <w:rFonts w:hint="eastAsia" w:cs="Times New Roman"/>
          <w:highlight w:val="none"/>
        </w:rPr>
        <w:t>施工过程中产生的废水主要有施工作业废水以及施工人员生活污水。</w:t>
      </w:r>
    </w:p>
    <w:p>
      <w:pPr>
        <w:spacing w:line="500" w:lineRule="exact"/>
        <w:ind w:firstLine="480"/>
        <w:rPr>
          <w:rFonts w:cs="Times New Roman"/>
          <w:highlight w:val="none"/>
        </w:rPr>
      </w:pPr>
      <w:r>
        <w:rPr>
          <w:rFonts w:hint="eastAsia" w:cs="Times New Roman"/>
          <w:highlight w:val="none"/>
        </w:rPr>
        <w:t>①施工废水</w:t>
      </w:r>
    </w:p>
    <w:p>
      <w:pPr>
        <w:spacing w:line="500" w:lineRule="exact"/>
        <w:ind w:firstLine="480"/>
        <w:rPr>
          <w:rFonts w:cs="Times New Roman"/>
          <w:highlight w:val="none"/>
        </w:rPr>
      </w:pPr>
      <w:r>
        <w:rPr>
          <w:rFonts w:hint="eastAsia" w:cs="Times New Roman"/>
          <w:highlight w:val="none"/>
        </w:rPr>
        <w:t>施工作业废水主要为进出施工场地的运输车辆、施工机械和工具冲洗水、结构阶段混凝土养护排水、桩基施工产生的泥浆废水，以及雨水冲刷施工场地内裸露表土产生的含泥沙废水。水中污染因子主要为COD、SS、石油类，浓度分别为25~200mg/L、500~4000mg/L、10~30mg/L，施工废水经隔油沉淀后回用于施工或洒水抑尘。</w:t>
      </w:r>
    </w:p>
    <w:p>
      <w:pPr>
        <w:spacing w:line="500" w:lineRule="exact"/>
        <w:ind w:firstLine="480"/>
        <w:rPr>
          <w:rFonts w:cs="Times New Roman"/>
          <w:highlight w:val="none"/>
        </w:rPr>
      </w:pPr>
      <w:r>
        <w:rPr>
          <w:rFonts w:hint="eastAsia" w:cs="Times New Roman"/>
          <w:highlight w:val="none"/>
        </w:rPr>
        <w:t>②生活污水</w:t>
      </w:r>
    </w:p>
    <w:p>
      <w:pPr>
        <w:spacing w:line="500" w:lineRule="exact"/>
        <w:ind w:firstLine="480"/>
        <w:rPr>
          <w:rFonts w:cs="Times New Roman"/>
          <w:highlight w:val="none"/>
        </w:rPr>
      </w:pPr>
      <w:r>
        <w:rPr>
          <w:rFonts w:hint="eastAsia" w:cs="Times New Roman"/>
          <w:highlight w:val="none"/>
        </w:rPr>
        <w:t>本工程在施工过程中施工人员多为当地民工，食宿均不在厂内，生活用水多为清洗用水，水质简单。废水中主要污染物为SS、动植物油等。施工期生活污水经隔油沉淀后回用于施工或洒水抑尘。</w:t>
      </w:r>
    </w:p>
    <w:p>
      <w:pPr>
        <w:spacing w:line="500" w:lineRule="exact"/>
        <w:ind w:firstLine="480"/>
        <w:rPr>
          <w:rFonts w:cs="Times New Roman"/>
          <w:highlight w:val="none"/>
        </w:rPr>
      </w:pPr>
      <w:r>
        <w:rPr>
          <w:rFonts w:hint="eastAsia" w:cs="Times New Roman"/>
          <w:highlight w:val="none"/>
        </w:rPr>
        <w:t>（2）废气</w:t>
      </w:r>
    </w:p>
    <w:p>
      <w:pPr>
        <w:spacing w:line="500" w:lineRule="exact"/>
        <w:ind w:firstLine="480"/>
        <w:rPr>
          <w:rFonts w:cs="Times New Roman"/>
          <w:highlight w:val="none"/>
        </w:rPr>
      </w:pPr>
      <w:r>
        <w:rPr>
          <w:rFonts w:hint="eastAsia" w:cs="Times New Roman"/>
          <w:highlight w:val="none"/>
        </w:rPr>
        <w:t>项目施工过程中的气型污染源主要有施工扬尘、施工车辆机械排放的尾气、装修废气。</w:t>
      </w:r>
    </w:p>
    <w:p>
      <w:pPr>
        <w:spacing w:line="500" w:lineRule="exact"/>
        <w:ind w:firstLine="480"/>
        <w:rPr>
          <w:rFonts w:cs="Times New Roman"/>
          <w:highlight w:val="none"/>
        </w:rPr>
      </w:pPr>
      <w:r>
        <w:rPr>
          <w:rFonts w:hint="eastAsia" w:cs="Times New Roman"/>
          <w:highlight w:val="none"/>
        </w:rPr>
        <w:t>①</w:t>
      </w:r>
      <w:r>
        <w:rPr>
          <w:rFonts w:hint="eastAsia" w:cs="Times New Roman"/>
          <w:highlight w:val="none"/>
        </w:rPr>
        <w:tab/>
      </w:r>
      <w:r>
        <w:rPr>
          <w:rFonts w:hint="eastAsia" w:cs="Times New Roman"/>
          <w:highlight w:val="none"/>
        </w:rPr>
        <w:t>施工扬尘</w:t>
      </w:r>
    </w:p>
    <w:p>
      <w:pPr>
        <w:spacing w:line="500" w:lineRule="exact"/>
        <w:ind w:firstLine="480"/>
        <w:rPr>
          <w:rFonts w:cs="Times New Roman"/>
          <w:highlight w:val="none"/>
        </w:rPr>
      </w:pPr>
      <w:r>
        <w:rPr>
          <w:rFonts w:hint="eastAsia" w:cs="Times New Roman"/>
          <w:highlight w:val="none"/>
        </w:rPr>
        <w:t>本项目扬尘主要来源于场地平整、主体建筑基础施工产生的扬尘，建筑材料运输进场装、卸及堆放过程产生的扬尘，施工车辆行驶过程中扬起的灰尘、渣土等装卸时产生的扬尘及裸露地面因风蚀而产生的扬尘。</w:t>
      </w:r>
    </w:p>
    <w:p>
      <w:pPr>
        <w:spacing w:line="500" w:lineRule="exact"/>
        <w:ind w:firstLine="480"/>
        <w:rPr>
          <w:rFonts w:cs="Times New Roman"/>
          <w:highlight w:val="none"/>
        </w:rPr>
      </w:pPr>
      <w:r>
        <w:rPr>
          <w:rFonts w:hint="eastAsia" w:cs="Times New Roman"/>
          <w:highlight w:val="none"/>
        </w:rPr>
        <w:t>②施工车辆机械尾气</w:t>
      </w:r>
    </w:p>
    <w:p>
      <w:pPr>
        <w:spacing w:line="500" w:lineRule="exact"/>
        <w:ind w:firstLine="480"/>
        <w:rPr>
          <w:rFonts w:cs="Times New Roman"/>
          <w:highlight w:val="none"/>
        </w:rPr>
      </w:pPr>
      <w:r>
        <w:rPr>
          <w:rFonts w:hint="eastAsia" w:cs="Times New Roman"/>
          <w:highlight w:val="none"/>
        </w:rPr>
        <w:t>项目施工过程所使用的工程机械主要以柴油为燃料，重型机械尾气排放量较大，故尾气排放可能使项目所在区域内的大气环境受到污染。运输车辆在施工场地内和运输沿线道路均会排放少量汽车尾气，尾气中主要污染物有CO、NO</w:t>
      </w:r>
      <w:r>
        <w:rPr>
          <w:rFonts w:hint="eastAsia" w:cs="Times New Roman"/>
          <w:highlight w:val="none"/>
          <w:vertAlign w:val="subscript"/>
        </w:rPr>
        <w:t>2</w:t>
      </w:r>
      <w:r>
        <w:rPr>
          <w:rFonts w:hint="eastAsia" w:cs="Times New Roman"/>
          <w:highlight w:val="none"/>
        </w:rPr>
        <w:t>、总烃等。</w:t>
      </w:r>
    </w:p>
    <w:p>
      <w:pPr>
        <w:spacing w:line="500" w:lineRule="exact"/>
        <w:ind w:firstLine="480"/>
        <w:rPr>
          <w:rFonts w:cs="Times New Roman"/>
          <w:highlight w:val="none"/>
        </w:rPr>
      </w:pPr>
      <w:r>
        <w:rPr>
          <w:rFonts w:hint="eastAsia" w:cs="Times New Roman"/>
          <w:highlight w:val="none"/>
        </w:rPr>
        <w:t>（3）噪声</w:t>
      </w:r>
    </w:p>
    <w:p>
      <w:pPr>
        <w:spacing w:line="500" w:lineRule="exact"/>
        <w:ind w:firstLine="480"/>
        <w:rPr>
          <w:rFonts w:cs="Times New Roman"/>
          <w:highlight w:val="none"/>
        </w:rPr>
      </w:pPr>
      <w:r>
        <w:rPr>
          <w:rFonts w:hint="eastAsia" w:cs="Times New Roman"/>
          <w:highlight w:val="none"/>
        </w:rPr>
        <w:t>项目施工期噪声主要是施工机械设备噪声及车辆运输交通噪声。项目各施工阶段的主要噪声源及其声级见表</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9</w:t>
      </w:r>
      <w:r>
        <w:rPr>
          <w:rFonts w:hint="eastAsia" w:cs="Times New Roman"/>
          <w:highlight w:val="none"/>
        </w:rPr>
        <w:t>-1。</w:t>
      </w:r>
    </w:p>
    <w:p>
      <w:pPr>
        <w:spacing w:line="500" w:lineRule="exact"/>
        <w:ind w:firstLine="482"/>
        <w:jc w:val="center"/>
        <w:rPr>
          <w:rFonts w:cs="Times New Roman"/>
          <w:b/>
          <w:highlight w:val="none"/>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2</w:t>
      </w:r>
      <w:r>
        <w:rPr>
          <w:rFonts w:hint="eastAsia" w:ascii="Times New Roman" w:hAnsi="Times New Roman" w:eastAsia="宋体" w:cs="Times New Roman"/>
          <w:b/>
          <w:kern w:val="2"/>
          <w:sz w:val="21"/>
          <w:szCs w:val="24"/>
          <w:highlight w:val="none"/>
          <w:lang w:val="en-US" w:eastAsia="zh-CN" w:bidi="ar-SA"/>
        </w:rPr>
        <w:t>.</w:t>
      </w:r>
      <w:r>
        <w:rPr>
          <w:rFonts w:hint="eastAsia" w:cs="Times New Roman"/>
          <w:b/>
          <w:kern w:val="2"/>
          <w:sz w:val="21"/>
          <w:szCs w:val="24"/>
          <w:highlight w:val="none"/>
          <w:lang w:val="en-US" w:eastAsia="zh-CN" w:bidi="ar-SA"/>
        </w:rPr>
        <w:t>9</w:t>
      </w:r>
      <w:r>
        <w:rPr>
          <w:rFonts w:hint="eastAsia" w:ascii="Times New Roman" w:hAnsi="Times New Roman" w:eastAsia="宋体" w:cs="Times New Roman"/>
          <w:b/>
          <w:kern w:val="2"/>
          <w:sz w:val="21"/>
          <w:szCs w:val="24"/>
          <w:highlight w:val="none"/>
          <w:lang w:val="en-US" w:eastAsia="zh-CN" w:bidi="ar-SA"/>
        </w:rPr>
        <w:t>-1 各施工阶段的主要噪声源及其声级</w:t>
      </w:r>
    </w:p>
    <w:tbl>
      <w:tblPr>
        <w:tblStyle w:val="24"/>
        <w:tblW w:w="83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33"/>
        <w:gridCol w:w="1042"/>
        <w:gridCol w:w="1832"/>
        <w:gridCol w:w="4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序号</w:t>
            </w:r>
          </w:p>
        </w:tc>
        <w:tc>
          <w:tcPr>
            <w:tcW w:w="1042"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施工阶段</w:t>
            </w:r>
          </w:p>
        </w:tc>
        <w:tc>
          <w:tcPr>
            <w:tcW w:w="1832"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设备</w:t>
            </w:r>
          </w:p>
        </w:tc>
        <w:tc>
          <w:tcPr>
            <w:tcW w:w="4203" w:type="dxa"/>
            <w:tcBorders>
              <w:tl2br w:val="nil"/>
              <w:tr2bl w:val="nil"/>
            </w:tcBorders>
            <w:vAlign w:val="center"/>
          </w:tcPr>
          <w:p>
            <w:pPr>
              <w:ind w:firstLine="0" w:firstLineChars="0"/>
              <w:jc w:val="center"/>
              <w:rPr>
                <w:rFonts w:cs="Times New Roman"/>
                <w:b w:val="0"/>
                <w:bCs/>
                <w:sz w:val="21"/>
                <w:szCs w:val="21"/>
                <w:highlight w:val="none"/>
              </w:rPr>
            </w:pPr>
            <w:r>
              <w:rPr>
                <w:rFonts w:cs="Times New Roman"/>
                <w:b w:val="0"/>
                <w:bCs/>
                <w:sz w:val="21"/>
                <w:szCs w:val="21"/>
                <w:highlight w:val="none"/>
              </w:rPr>
              <w:t>单机最</w:t>
            </w:r>
            <w:r>
              <w:rPr>
                <w:rFonts w:hint="eastAsia" w:cs="Times New Roman"/>
                <w:b w:val="0"/>
                <w:bCs/>
                <w:sz w:val="21"/>
                <w:szCs w:val="21"/>
                <w:highlight w:val="none"/>
              </w:rPr>
              <w:t>大</w:t>
            </w:r>
            <w:r>
              <w:rPr>
                <w:rFonts w:cs="Times New Roman"/>
                <w:b w:val="0"/>
                <w:bCs/>
                <w:sz w:val="21"/>
                <w:szCs w:val="21"/>
                <w:highlight w:val="none"/>
              </w:rPr>
              <w:t>噪声值</w:t>
            </w:r>
            <w:r>
              <w:rPr>
                <w:rFonts w:hint="eastAsia" w:cs="Times New Roman"/>
                <w:b w:val="0"/>
                <w:bCs/>
                <w:sz w:val="21"/>
                <w:szCs w:val="21"/>
                <w:highlight w:val="none"/>
              </w:rPr>
              <w:t>d</w:t>
            </w:r>
            <w:r>
              <w:rPr>
                <w:rFonts w:cs="Times New Roman"/>
                <w:b w:val="0"/>
                <w:bCs/>
                <w:sz w:val="21"/>
                <w:szCs w:val="21"/>
                <w:highlight w:val="none"/>
              </w:rPr>
              <w:t>B（A）（</w:t>
            </w:r>
            <w:r>
              <w:rPr>
                <w:rFonts w:cs="Times New Roman"/>
                <w:b w:val="0"/>
                <w:bCs/>
                <w:sz w:val="21"/>
                <w:szCs w:val="21"/>
                <w:highlight w:val="none"/>
              </w:rPr>
              <w:cr/>
            </w:r>
            <w:r>
              <w:rPr>
                <w:rFonts w:cs="Times New Roman"/>
                <w:b w:val="0"/>
                <w:bCs/>
                <w:sz w:val="21"/>
                <w:szCs w:val="21"/>
                <w:highlight w:val="none"/>
              </w:rPr>
              <w:t>声源5m处）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推土机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2</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w:t>
            </w:r>
            <w:r>
              <w:rPr>
                <w:rFonts w:hint="eastAsia" w:ascii="Calibri" w:hAnsi="Calibri" w:cs="Calibri"/>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装载机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w:t>
            </w:r>
            <w:r>
              <w:rPr>
                <w:rFonts w:hint="eastAsia" w:cs="Times New Roman"/>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挖掘机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8</w:t>
            </w:r>
            <w:r>
              <w:rPr>
                <w:rFonts w:cs="Times New Roman"/>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翻斗机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土</w:t>
            </w:r>
            <w:r>
              <w:rPr>
                <w:rFonts w:hint="eastAsia" w:ascii="Calibri" w:hAnsi="Calibri" w:cs="Calibri"/>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压路机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钻孔机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hint="eastAsia" w:ascii="Calibri" w:hAnsi="Calibri" w:cs="Calibri"/>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ascii="Calibri" w:hAnsi="宋体" w:cs="Calibri"/>
                <w:sz w:val="21"/>
                <w:szCs w:val="21"/>
                <w:highlight w:val="none"/>
              </w:rPr>
              <w:t>夯</w:t>
            </w:r>
            <w:r>
              <w:rPr>
                <w:rFonts w:ascii="Calibri" w:hAnsi="Calibri" w:cs="Calibri"/>
                <w:sz w:val="21"/>
                <w:szCs w:val="21"/>
                <w:highlight w:val="none"/>
              </w:rPr>
              <w:t>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w:t>
            </w:r>
            <w:r>
              <w:rPr>
                <w:rFonts w:hint="eastAsia" w:ascii="Calibri" w:hAnsi="Calibri" w:cs="Calibri"/>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空压机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振捣机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11</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电焊机</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12</w:t>
            </w:r>
          </w:p>
        </w:tc>
        <w:tc>
          <w:tcPr>
            <w:tcW w:w="104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hint="eastAsia" w:ascii="Calibri" w:hAnsi="Calibri" w:cs="Calibri"/>
                <w:sz w:val="21"/>
                <w:szCs w:val="21"/>
                <w:highlight w:val="none"/>
              </w:rPr>
              <w:t>--</w:t>
            </w:r>
          </w:p>
        </w:tc>
        <w:tc>
          <w:tcPr>
            <w:tcW w:w="1832" w:type="dxa"/>
            <w:tcBorders>
              <w:tl2br w:val="nil"/>
              <w:tr2bl w:val="nil"/>
            </w:tcBorders>
            <w:vAlign w:val="center"/>
          </w:tcPr>
          <w:p>
            <w:pPr>
              <w:spacing w:line="240" w:lineRule="auto"/>
              <w:ind w:firstLine="0" w:firstLineChars="0"/>
              <w:jc w:val="center"/>
              <w:rPr>
                <w:rFonts w:ascii="Calibri" w:hAnsi="Calibri" w:cs="Calibri"/>
                <w:sz w:val="21"/>
                <w:szCs w:val="21"/>
                <w:highlight w:val="none"/>
              </w:rPr>
            </w:pPr>
            <w:r>
              <w:rPr>
                <w:rFonts w:ascii="Calibri" w:hAnsi="Calibri" w:cs="Calibri"/>
                <w:sz w:val="21"/>
                <w:szCs w:val="21"/>
                <w:highlight w:val="none"/>
              </w:rPr>
              <w:t>混凝土输送泵</w:t>
            </w:r>
          </w:p>
        </w:tc>
        <w:tc>
          <w:tcPr>
            <w:tcW w:w="4203" w:type="dxa"/>
            <w:tcBorders>
              <w:tl2br w:val="nil"/>
              <w:tr2bl w:val="nil"/>
            </w:tcBorders>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r>
    </w:tbl>
    <w:p>
      <w:pPr>
        <w:spacing w:line="500" w:lineRule="exact"/>
        <w:ind w:firstLine="480"/>
        <w:rPr>
          <w:rFonts w:cs="Times New Roman"/>
          <w:highlight w:val="none"/>
        </w:rPr>
      </w:pPr>
      <w:r>
        <w:rPr>
          <w:rFonts w:hint="eastAsia" w:cs="Times New Roman"/>
          <w:highlight w:val="none"/>
        </w:rPr>
        <w:t>（4）固体废物</w:t>
      </w:r>
    </w:p>
    <w:p>
      <w:pPr>
        <w:spacing w:line="500" w:lineRule="exact"/>
        <w:ind w:firstLine="480"/>
        <w:rPr>
          <w:rFonts w:cs="Times New Roman"/>
          <w:highlight w:val="none"/>
        </w:rPr>
      </w:pPr>
      <w:r>
        <w:rPr>
          <w:rFonts w:hint="eastAsia" w:cs="Times New Roman"/>
          <w:highlight w:val="none"/>
        </w:rPr>
        <w:t>本项目施工期的固体废物主要为多余渣土、施工建筑垃圾及生活垃圾等。</w:t>
      </w:r>
    </w:p>
    <w:p>
      <w:pPr>
        <w:spacing w:line="500" w:lineRule="exact"/>
        <w:ind w:firstLine="480"/>
        <w:rPr>
          <w:rFonts w:cs="Times New Roman"/>
          <w:highlight w:val="none"/>
        </w:rPr>
      </w:pPr>
      <w:r>
        <w:rPr>
          <w:rFonts w:hint="eastAsia" w:cs="Times New Roman"/>
          <w:highlight w:val="none"/>
        </w:rPr>
        <w:t>①渣土</w:t>
      </w:r>
    </w:p>
    <w:p>
      <w:pPr>
        <w:spacing w:line="500" w:lineRule="exact"/>
        <w:ind w:firstLine="480"/>
        <w:rPr>
          <w:rFonts w:cs="Times New Roman"/>
          <w:highlight w:val="none"/>
        </w:rPr>
      </w:pPr>
      <w:r>
        <w:rPr>
          <w:rFonts w:hint="eastAsia" w:cs="Times New Roman"/>
          <w:highlight w:val="none"/>
        </w:rPr>
        <w:t>项目建设过程中渣土主要来源于地基、各池体开挖，开挖的土方尽量回填，多余的渣土将在厂区回填。</w:t>
      </w:r>
    </w:p>
    <w:p>
      <w:pPr>
        <w:spacing w:line="500" w:lineRule="exact"/>
        <w:ind w:firstLine="480"/>
        <w:rPr>
          <w:rFonts w:cs="Times New Roman"/>
          <w:highlight w:val="none"/>
        </w:rPr>
      </w:pPr>
      <w:r>
        <w:rPr>
          <w:rFonts w:hint="eastAsia" w:cs="Times New Roman"/>
          <w:highlight w:val="none"/>
        </w:rPr>
        <w:t>②建筑垃圾</w:t>
      </w:r>
    </w:p>
    <w:p>
      <w:pPr>
        <w:spacing w:line="500" w:lineRule="exact"/>
        <w:ind w:firstLine="480"/>
        <w:rPr>
          <w:rFonts w:cs="Times New Roman"/>
          <w:highlight w:val="none"/>
        </w:rPr>
      </w:pPr>
      <w:r>
        <w:rPr>
          <w:rFonts w:hint="eastAsia" w:cs="Times New Roman"/>
          <w:highlight w:val="none"/>
        </w:rPr>
        <w:t>施工期建筑垃圾外售处理。</w:t>
      </w:r>
    </w:p>
    <w:p>
      <w:pPr>
        <w:spacing w:line="500" w:lineRule="exact"/>
        <w:ind w:firstLine="480"/>
        <w:rPr>
          <w:rFonts w:cs="Times New Roman"/>
          <w:highlight w:val="none"/>
        </w:rPr>
      </w:pPr>
      <w:r>
        <w:rPr>
          <w:rFonts w:hint="eastAsia" w:cs="Times New Roman"/>
          <w:highlight w:val="none"/>
        </w:rPr>
        <w:t>③生活垃圾</w:t>
      </w:r>
    </w:p>
    <w:p>
      <w:pPr>
        <w:spacing w:line="500" w:lineRule="exact"/>
        <w:ind w:firstLine="480"/>
        <w:rPr>
          <w:rFonts w:hint="eastAsia" w:eastAsia="宋体" w:cs="Times New Roman"/>
          <w:highlight w:val="none"/>
          <w:lang w:eastAsia="zh-CN"/>
        </w:rPr>
      </w:pPr>
      <w:r>
        <w:rPr>
          <w:rFonts w:hint="eastAsia" w:cs="Times New Roman"/>
          <w:highlight w:val="none"/>
        </w:rPr>
        <w:t>项目施工人员</w:t>
      </w:r>
      <w:r>
        <w:rPr>
          <w:rFonts w:hint="eastAsia" w:cs="Times New Roman"/>
          <w:highlight w:val="none"/>
          <w:lang w:eastAsia="zh-CN"/>
        </w:rPr>
        <w:t>产生的</w:t>
      </w:r>
      <w:r>
        <w:rPr>
          <w:rFonts w:hint="eastAsia" w:cs="Times New Roman"/>
          <w:highlight w:val="none"/>
        </w:rPr>
        <w:t>施工生活垃圾产生量为100kg/d。统一收集后由市政环卫部门清运处理</w:t>
      </w:r>
      <w:r>
        <w:rPr>
          <w:rFonts w:hint="eastAsia" w:cs="Times New Roman"/>
          <w:highlight w:val="none"/>
          <w:lang w:eastAsia="zh-CN"/>
        </w:rPr>
        <w:t>。</w:t>
      </w:r>
    </w:p>
    <w:p>
      <w:pPr>
        <w:pStyle w:val="7"/>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9</w:t>
      </w:r>
      <w:r>
        <w:rPr>
          <w:rFonts w:hint="eastAsia" w:cs="Times New Roman"/>
          <w:highlight w:val="none"/>
        </w:rPr>
        <w:t>.2营运期工艺流程及产排污情况</w:t>
      </w:r>
    </w:p>
    <w:p>
      <w:pPr>
        <w:ind w:firstLine="480"/>
        <w:rPr>
          <w:rFonts w:hint="eastAsia" w:cs="Times New Roman"/>
          <w:highlight w:val="none"/>
        </w:rPr>
      </w:pPr>
      <w:r>
        <w:rPr>
          <w:rFonts w:hint="eastAsia" w:cs="Times New Roman"/>
          <w:highlight w:val="none"/>
        </w:rPr>
        <w:t>本项目采用集约化养殖方式饲养生猪，项目场区分为主体工程和污染治理工程两个主要功能区块。</w:t>
      </w:r>
    </w:p>
    <w:p>
      <w:pPr>
        <w:pStyle w:val="8"/>
        <w:ind w:firstLine="482"/>
        <w:rPr>
          <w:rFonts w:hint="eastAsia"/>
          <w:highlight w:val="none"/>
          <w:lang w:val="en-US" w:eastAsia="zh-CN"/>
        </w:rPr>
      </w:pPr>
      <w:r>
        <w:rPr>
          <w:rFonts w:hint="eastAsia"/>
          <w:highlight w:val="none"/>
          <w:lang w:val="en-US" w:eastAsia="zh-CN"/>
        </w:rPr>
        <w:t>2.9.2.1主体工程</w:t>
      </w:r>
    </w:p>
    <w:p>
      <w:pPr>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本项目采用集约化养殖方式饲养生猪， 按照现代化养猪要求设计养殖工艺流程，实行流水生产工艺，即把猪群按照生产过程专业化的要求划分为配种妊娠阶段、分娩哺乳阶段、仔猪保育阶段、生长育肥阶段。</w:t>
      </w:r>
    </w:p>
    <w:p>
      <w:pPr>
        <w:pStyle w:val="10"/>
        <w:numPr>
          <w:ilvl w:val="0"/>
          <w:numId w:val="9"/>
        </w:numPr>
        <w:rPr>
          <w:rFonts w:hint="eastAsia"/>
          <w:highlight w:val="none"/>
          <w:lang w:val="en-US" w:eastAsia="zh-CN"/>
        </w:rPr>
      </w:pPr>
      <w:r>
        <w:rPr>
          <w:rFonts w:hint="eastAsia"/>
          <w:highlight w:val="none"/>
          <w:lang w:val="en-US" w:eastAsia="zh-CN"/>
        </w:rPr>
        <w:t>饲料加工</w:t>
      </w:r>
    </w:p>
    <w:p>
      <w:pPr>
        <w:pStyle w:val="10"/>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项目为生猪繁育，原料来自厂区自建的饲料加工生产线，包含原料接收与清理系统、配料混合系统、粉碎系统、制粒冷却系统、成品。饲料加工工艺流程如下：</w:t>
      </w:r>
    </w:p>
    <w:p>
      <w:pPr>
        <w:pStyle w:val="40"/>
        <w:rPr>
          <w:rStyle w:val="43"/>
          <w:b/>
          <w:highlight w:val="none"/>
        </w:rPr>
      </w:pPr>
      <w:r>
        <w:rPr>
          <w:highlight w:val="none"/>
        </w:rPr>
        <w:drawing>
          <wp:inline distT="0" distB="0" distL="114300" distR="114300">
            <wp:extent cx="4319905" cy="4232910"/>
            <wp:effectExtent l="0" t="0" r="444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4319905" cy="4232910"/>
                    </a:xfrm>
                    <a:prstGeom prst="rect">
                      <a:avLst/>
                    </a:prstGeom>
                    <a:noFill/>
                    <a:ln>
                      <a:noFill/>
                    </a:ln>
                  </pic:spPr>
                </pic:pic>
              </a:graphicData>
            </a:graphic>
          </wp:inline>
        </w:drawing>
      </w:r>
    </w:p>
    <w:p>
      <w:pPr>
        <w:pStyle w:val="40"/>
        <w:rPr>
          <w:rStyle w:val="43"/>
          <w:b/>
          <w:highlight w:val="none"/>
        </w:rPr>
      </w:pPr>
      <w:r>
        <w:rPr>
          <w:rStyle w:val="43"/>
          <w:b/>
          <w:highlight w:val="none"/>
        </w:rPr>
        <w:t>图</w:t>
      </w:r>
      <w:r>
        <w:rPr>
          <w:rStyle w:val="43"/>
          <w:rFonts w:hint="eastAsia"/>
          <w:b/>
          <w:highlight w:val="none"/>
          <w:lang w:val="en-US" w:eastAsia="zh-CN"/>
        </w:rPr>
        <w:t>2</w:t>
      </w:r>
      <w:r>
        <w:rPr>
          <w:rStyle w:val="43"/>
          <w:b/>
          <w:highlight w:val="none"/>
        </w:rPr>
        <w:t>.</w:t>
      </w:r>
      <w:r>
        <w:rPr>
          <w:rStyle w:val="43"/>
          <w:rFonts w:hint="eastAsia"/>
          <w:b/>
          <w:highlight w:val="none"/>
          <w:lang w:val="en-US" w:eastAsia="zh-CN"/>
        </w:rPr>
        <w:t>9</w:t>
      </w:r>
      <w:r>
        <w:rPr>
          <w:rStyle w:val="43"/>
          <w:b/>
          <w:highlight w:val="none"/>
        </w:rPr>
        <w:t>-1</w:t>
      </w:r>
      <w:r>
        <w:rPr>
          <w:rStyle w:val="43"/>
          <w:rFonts w:hint="eastAsia"/>
          <w:b/>
          <w:highlight w:val="none"/>
        </w:rPr>
        <w:t xml:space="preserve"> </w:t>
      </w:r>
      <w:r>
        <w:rPr>
          <w:rStyle w:val="43"/>
          <w:rFonts w:hint="eastAsia"/>
          <w:b/>
          <w:highlight w:val="none"/>
          <w:lang w:eastAsia="zh-CN"/>
        </w:rPr>
        <w:t>饲料加工</w:t>
      </w:r>
      <w:r>
        <w:rPr>
          <w:rStyle w:val="43"/>
          <w:b/>
          <w:highlight w:val="none"/>
        </w:rPr>
        <w:t>工艺流程</w:t>
      </w:r>
      <w:r>
        <w:rPr>
          <w:rStyle w:val="43"/>
          <w:rFonts w:hint="eastAsia"/>
          <w:b/>
          <w:highlight w:val="none"/>
        </w:rPr>
        <w:t>及产排污节点</w:t>
      </w:r>
    </w:p>
    <w:p>
      <w:pPr>
        <w:ind w:firstLine="0" w:firstLineChars="0"/>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ind w:firstLine="480"/>
        <w:rPr>
          <w:highlight w:val="none"/>
        </w:rPr>
      </w:pPr>
      <w:r>
        <w:rPr>
          <w:rFonts w:hint="eastAsia"/>
          <w:highlight w:val="none"/>
        </w:rPr>
        <w:t>工艺流程简述：</w:t>
      </w:r>
    </w:p>
    <w:p>
      <w:pPr>
        <w:ind w:firstLine="480"/>
        <w:rPr>
          <w:rFonts w:hint="eastAsia"/>
          <w:highlight w:val="none"/>
        </w:rPr>
      </w:pPr>
      <w:r>
        <w:rPr>
          <w:rFonts w:hint="eastAsia"/>
          <w:highlight w:val="none"/>
        </w:rPr>
        <w:t>①原料接收</w:t>
      </w:r>
    </w:p>
    <w:p>
      <w:pPr>
        <w:ind w:firstLine="480"/>
        <w:rPr>
          <w:rFonts w:hint="eastAsia"/>
          <w:highlight w:val="none"/>
        </w:rPr>
      </w:pPr>
      <w:r>
        <w:rPr>
          <w:rFonts w:hint="eastAsia"/>
          <w:highlight w:val="none"/>
        </w:rPr>
        <w:t>原料接收是饲料厂的先导工作</w:t>
      </w:r>
      <w:r>
        <w:rPr>
          <w:rFonts w:hint="eastAsia"/>
          <w:highlight w:val="none"/>
          <w:lang w:eastAsia="zh-CN"/>
        </w:rPr>
        <w:t>，</w:t>
      </w:r>
      <w:r>
        <w:rPr>
          <w:rFonts w:hint="eastAsia"/>
          <w:highlight w:val="none"/>
        </w:rPr>
        <w:t>接收路线为2条可同时工作，并配置原料的初清等设备</w:t>
      </w:r>
      <w:r>
        <w:rPr>
          <w:rFonts w:hint="eastAsia"/>
          <w:highlight w:val="none"/>
          <w:lang w:eastAsia="zh-CN"/>
        </w:rPr>
        <w:t>，</w:t>
      </w:r>
      <w:r>
        <w:rPr>
          <w:rFonts w:hint="eastAsia"/>
          <w:highlight w:val="none"/>
        </w:rPr>
        <w:t>以保证原料的质量。原料接收工艺灵活机动，在局部发生故障的情况下，可临时调整，以维持生产。</w:t>
      </w:r>
    </w:p>
    <w:p>
      <w:pPr>
        <w:ind w:firstLine="480"/>
        <w:rPr>
          <w:rFonts w:hint="eastAsia"/>
          <w:highlight w:val="none"/>
        </w:rPr>
      </w:pPr>
      <w:r>
        <w:rPr>
          <w:rFonts w:hint="eastAsia"/>
          <w:highlight w:val="none"/>
        </w:rPr>
        <w:t>（1）筒仓接收</w:t>
      </w:r>
    </w:p>
    <w:p>
      <w:pPr>
        <w:ind w:firstLine="480"/>
        <w:rPr>
          <w:rFonts w:hint="eastAsia"/>
          <w:highlight w:val="none"/>
        </w:rPr>
      </w:pPr>
      <w:r>
        <w:rPr>
          <w:rFonts w:hint="eastAsia"/>
          <w:highlight w:val="none"/>
        </w:rPr>
        <w:t>投料口→刮板输送机→提升机→原料清理设备→刮板输送机→提升机→刮板输送机→电动闸门</w:t>
      </w:r>
    </w:p>
    <w:p>
      <w:pPr>
        <w:ind w:firstLine="480"/>
        <w:rPr>
          <w:rFonts w:hint="eastAsia"/>
          <w:highlight w:val="none"/>
        </w:rPr>
      </w:pPr>
      <w:r>
        <w:rPr>
          <w:rFonts w:hint="eastAsia"/>
          <w:highlight w:val="none"/>
        </w:rPr>
        <w:t>主要原料（玉米</w:t>
      </w:r>
      <w:r>
        <w:rPr>
          <w:rFonts w:hint="eastAsia"/>
          <w:highlight w:val="none"/>
          <w:lang w:eastAsia="zh-CN"/>
        </w:rPr>
        <w:t>、高粕46、麸皮、鱼粉、膨化大豆</w:t>
      </w:r>
      <w:r>
        <w:rPr>
          <w:rFonts w:hint="eastAsia"/>
          <w:highlight w:val="none"/>
        </w:rPr>
        <w:t>等颗粒状原料）通过上述工艺流程分别进入3个1200T的立筒仓，以保证整套生产线的主要原料的供应。立筒仓配置温度检测仪及除潮风机，以保证随时检测并通风维持原料的长时间储藏的品质。</w:t>
      </w:r>
    </w:p>
    <w:p>
      <w:pPr>
        <w:ind w:firstLine="480"/>
        <w:rPr>
          <w:rFonts w:hint="eastAsia"/>
          <w:highlight w:val="none"/>
        </w:rPr>
      </w:pPr>
      <w:r>
        <w:rPr>
          <w:rFonts w:hint="eastAsia"/>
          <w:highlight w:val="none"/>
        </w:rPr>
        <w:t>（2）主原料接收线1条</w:t>
      </w:r>
    </w:p>
    <w:p>
      <w:pPr>
        <w:ind w:firstLine="480"/>
        <w:rPr>
          <w:rFonts w:hint="eastAsia"/>
          <w:highlight w:val="none"/>
        </w:rPr>
      </w:pPr>
      <w:r>
        <w:rPr>
          <w:rFonts w:hint="eastAsia"/>
          <w:highlight w:val="none"/>
        </w:rPr>
        <w:t>投料口→刮板输送机→提升机→永磁筒→圆筒初清筛→粉碎仓</w:t>
      </w:r>
    </w:p>
    <w:p>
      <w:pPr>
        <w:ind w:firstLine="480"/>
        <w:rPr>
          <w:rFonts w:hint="eastAsia"/>
          <w:highlight w:val="none"/>
        </w:rPr>
      </w:pPr>
      <w:r>
        <w:rPr>
          <w:rFonts w:hint="eastAsia"/>
          <w:highlight w:val="none"/>
        </w:rPr>
        <w:t>主原料（玉米</w:t>
      </w:r>
      <w:r>
        <w:rPr>
          <w:rFonts w:hint="eastAsia"/>
          <w:highlight w:val="none"/>
          <w:lang w:eastAsia="zh-CN"/>
        </w:rPr>
        <w:t>、高粕46、麸皮、鱼粉、膨化大豆</w:t>
      </w:r>
      <w:r>
        <w:rPr>
          <w:rFonts w:hint="eastAsia"/>
          <w:highlight w:val="none"/>
        </w:rPr>
        <w:t>等颗粒状原料），通过上述工艺流程进入待粉碎仓，经粉碎后进入配料仓，根据粉碎能力（直径3mm筛网粉碎玉米能力为10--15</w:t>
      </w:r>
      <w:r>
        <w:rPr>
          <w:rFonts w:hint="eastAsia"/>
          <w:highlight w:val="none"/>
          <w:lang w:val="en-US" w:eastAsia="zh-CN"/>
        </w:rPr>
        <w:t>t</w:t>
      </w:r>
      <w:r>
        <w:rPr>
          <w:rFonts w:hint="eastAsia"/>
          <w:highlight w:val="none"/>
        </w:rPr>
        <w:t>/h）考虑到和主原料接收线配套确定总接收能力为20--25</w:t>
      </w:r>
      <w:r>
        <w:rPr>
          <w:rFonts w:hint="eastAsia"/>
          <w:highlight w:val="none"/>
          <w:lang w:val="en-US" w:eastAsia="zh-CN"/>
        </w:rPr>
        <w:t>t</w:t>
      </w:r>
      <w:r>
        <w:rPr>
          <w:rFonts w:hint="eastAsia"/>
          <w:highlight w:val="none"/>
        </w:rPr>
        <w:t>/h。</w:t>
      </w:r>
    </w:p>
    <w:p>
      <w:pPr>
        <w:ind w:firstLine="480"/>
        <w:rPr>
          <w:rFonts w:hint="eastAsia"/>
          <w:highlight w:val="none"/>
        </w:rPr>
      </w:pPr>
      <w:r>
        <w:rPr>
          <w:rFonts w:hint="eastAsia"/>
          <w:highlight w:val="none"/>
        </w:rPr>
        <w:t>（3）辅料接收线1条</w:t>
      </w:r>
    </w:p>
    <w:p>
      <w:pPr>
        <w:ind w:firstLine="480"/>
        <w:rPr>
          <w:rFonts w:hint="eastAsia"/>
          <w:highlight w:val="none"/>
        </w:rPr>
      </w:pPr>
      <w:r>
        <w:rPr>
          <w:rFonts w:hint="eastAsia"/>
          <w:highlight w:val="none"/>
        </w:rPr>
        <w:t>辅料投料口→提升机→待混合仓。</w:t>
      </w:r>
    </w:p>
    <w:p>
      <w:pPr>
        <w:ind w:firstLine="480"/>
        <w:rPr>
          <w:rFonts w:hint="eastAsia"/>
          <w:highlight w:val="none"/>
        </w:rPr>
      </w:pPr>
      <w:r>
        <w:rPr>
          <w:rFonts w:hint="eastAsia"/>
          <w:highlight w:val="none"/>
        </w:rPr>
        <w:t>本工序主要用于饼粉料，鱼粉，麸皮等辅料以及面粉，沸石粉等不需要粉碎的原料接收，按典型配方这部分原料占配方的30--50%以上，即每小时8吨左右，考虑到工艺的通用性，调换配方的操作间隙及容量的变化，确定接收能力为10--15</w:t>
      </w:r>
      <w:r>
        <w:rPr>
          <w:rFonts w:hint="eastAsia"/>
          <w:highlight w:val="none"/>
          <w:lang w:val="en-US" w:eastAsia="zh-CN"/>
        </w:rPr>
        <w:t>t</w:t>
      </w:r>
      <w:r>
        <w:rPr>
          <w:rFonts w:hint="eastAsia"/>
          <w:highlight w:val="none"/>
        </w:rPr>
        <w:t>/h。</w:t>
      </w:r>
    </w:p>
    <w:p>
      <w:pPr>
        <w:ind w:firstLine="480"/>
        <w:rPr>
          <w:rFonts w:hint="eastAsia"/>
          <w:highlight w:val="none"/>
        </w:rPr>
      </w:pPr>
      <w:r>
        <w:rPr>
          <w:rFonts w:hint="eastAsia"/>
          <w:highlight w:val="none"/>
        </w:rPr>
        <w:t xml:space="preserve"> ②粉碎工艺</w:t>
      </w:r>
    </w:p>
    <w:p>
      <w:pPr>
        <w:ind w:firstLine="480"/>
        <w:rPr>
          <w:rFonts w:hint="eastAsia"/>
          <w:highlight w:val="none"/>
        </w:rPr>
      </w:pPr>
      <w:r>
        <w:rPr>
          <w:rFonts w:hint="eastAsia"/>
          <w:highlight w:val="none"/>
        </w:rPr>
        <w:t>待粉碎仓→气动闸门→叶轮除铁喂料机→锤片式粉碎机→提升机→待混合仓。</w:t>
      </w:r>
    </w:p>
    <w:p>
      <w:pPr>
        <w:ind w:firstLine="480"/>
        <w:rPr>
          <w:rFonts w:hint="eastAsia"/>
          <w:highlight w:val="none"/>
        </w:rPr>
      </w:pPr>
      <w:r>
        <w:rPr>
          <w:rFonts w:hint="eastAsia"/>
          <w:highlight w:val="none"/>
        </w:rPr>
        <w:t>粉碎工段是饲料生产主要工段，约占总装机容量的四分之一。采用开路粉碎工艺，具有工艺简单，产量高的优点。通过永磁筒及磁性叶轮喂料机进行磁选，最大程度的除去了物料里可能含有的铁丝、螺栓等铁性杂物，确保粉碎机安全运转，同时配备粉碎机喂料负荷自动控制仪，能最大限度发挥粉碎机效率，节省能源。</w:t>
      </w:r>
    </w:p>
    <w:p>
      <w:pPr>
        <w:ind w:firstLine="480"/>
        <w:rPr>
          <w:rFonts w:hint="eastAsia"/>
          <w:highlight w:val="none"/>
        </w:rPr>
      </w:pPr>
      <w:r>
        <w:rPr>
          <w:rFonts w:hint="eastAsia"/>
          <w:highlight w:val="none"/>
        </w:rPr>
        <w:t>共设置3个待粉碎仓，根据粉碎能力考虑到和主原料接收线配备配置粉碎能力为35吨锤片式粉碎机1台。</w:t>
      </w:r>
    </w:p>
    <w:p>
      <w:pPr>
        <w:ind w:firstLine="480"/>
        <w:rPr>
          <w:rFonts w:hint="eastAsia"/>
          <w:highlight w:val="none"/>
        </w:rPr>
      </w:pPr>
      <w:r>
        <w:rPr>
          <w:rFonts w:hint="eastAsia"/>
          <w:highlight w:val="none"/>
        </w:rPr>
        <w:t>③混合工艺</w:t>
      </w:r>
    </w:p>
    <w:p>
      <w:pPr>
        <w:ind w:firstLine="480"/>
        <w:rPr>
          <w:rFonts w:hint="eastAsia"/>
          <w:highlight w:val="none"/>
        </w:rPr>
      </w:pPr>
      <w:r>
        <w:rPr>
          <w:rFonts w:hint="eastAsia"/>
          <w:highlight w:val="none"/>
        </w:rPr>
        <w:t>混合机→刮板机→提升机→成品仓。</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选用1000KG/P快速双轴混合机一台，混合周期为4--5分钟，混合时间为45--60秒，混合均匀度变异系数小于等于百分之五。</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④制粒工艺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混合后的原料经通过刮板提升机进入制粒仓，配套</w:t>
      </w:r>
      <w:r>
        <w:rPr>
          <w:rFonts w:hint="eastAsia"/>
          <w:highlight w:val="none"/>
          <w:lang w:val="en-US" w:eastAsia="zh-CN"/>
        </w:rPr>
        <w:t>2</w:t>
      </w:r>
      <w:r>
        <w:rPr>
          <w:rFonts w:hint="eastAsia"/>
          <w:highlight w:val="none"/>
        </w:rPr>
        <w:t>t/h锅炉，设计一条制粒生产线，通过水蒸汽直接接触饲料将其蒸熟，熟料之后进行冷却筛分，不合格颗粒返回上一工序重新制粒。</w:t>
      </w:r>
    </w:p>
    <w:p>
      <w:pPr>
        <w:ind w:firstLine="480"/>
        <w:rPr>
          <w:rFonts w:hint="eastAsia"/>
          <w:highlight w:val="none"/>
        </w:rPr>
      </w:pPr>
      <w:r>
        <w:rPr>
          <w:rFonts w:hint="eastAsia"/>
          <w:highlight w:val="none"/>
        </w:rPr>
        <w:t>⑤成品包装工艺</w:t>
      </w:r>
    </w:p>
    <w:p>
      <w:pPr>
        <w:ind w:firstLine="480"/>
        <w:rPr>
          <w:highlight w:val="none"/>
        </w:rPr>
      </w:pPr>
      <w:r>
        <w:rPr>
          <w:rFonts w:hint="eastAsia"/>
          <w:highlight w:val="none"/>
        </w:rPr>
        <w:t>为了提高生产效率，配置了4个成品散装仓，粉料可以中间周转。完全满足生产需要。</w:t>
      </w:r>
    </w:p>
    <w:p>
      <w:pPr>
        <w:ind w:firstLine="480"/>
        <w:rPr>
          <w:highlight w:val="none"/>
        </w:rPr>
      </w:pPr>
      <w:r>
        <w:rPr>
          <w:rFonts w:hint="eastAsia"/>
          <w:highlight w:val="none"/>
        </w:rPr>
        <w:t>2、养殖工艺</w:t>
      </w:r>
    </w:p>
    <w:p>
      <w:pPr>
        <w:ind w:firstLine="480"/>
        <w:rPr>
          <w:rFonts w:hint="eastAsia"/>
          <w:highlight w:val="none"/>
        </w:rPr>
      </w:pPr>
      <w:r>
        <w:rPr>
          <w:rFonts w:hint="eastAsia"/>
          <w:highlight w:val="none"/>
        </w:rPr>
        <w:t>养殖工艺流程如下：</w:t>
      </w:r>
    </w:p>
    <w:p>
      <w:pPr>
        <w:pStyle w:val="10"/>
        <w:rPr>
          <w:rFonts w:hint="eastAsia"/>
          <w:highlight w:val="none"/>
        </w:rPr>
      </w:pPr>
      <w:r>
        <w:rPr>
          <w:highlight w:val="none"/>
        </w:rPr>
        <w:drawing>
          <wp:inline distT="0" distB="0" distL="114300" distR="114300">
            <wp:extent cx="5268595" cy="2002155"/>
            <wp:effectExtent l="0" t="0" r="8255" b="171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3"/>
                    <a:stretch>
                      <a:fillRect/>
                    </a:stretch>
                  </pic:blipFill>
                  <pic:spPr>
                    <a:xfrm>
                      <a:off x="0" y="0"/>
                      <a:ext cx="5268595" cy="2002155"/>
                    </a:xfrm>
                    <a:prstGeom prst="rect">
                      <a:avLst/>
                    </a:prstGeom>
                    <a:noFill/>
                    <a:ln>
                      <a:noFill/>
                    </a:ln>
                  </pic:spPr>
                </pic:pic>
              </a:graphicData>
            </a:graphic>
          </wp:inline>
        </w:drawing>
      </w:r>
    </w:p>
    <w:p>
      <w:pPr>
        <w:pStyle w:val="10"/>
        <w:jc w:val="center"/>
        <w:rPr>
          <w:rStyle w:val="43"/>
          <w:rFonts w:hint="eastAsia"/>
          <w:highlight w:val="none"/>
          <w:lang w:eastAsia="zh-CN"/>
        </w:rPr>
      </w:pPr>
      <w:r>
        <w:rPr>
          <w:rStyle w:val="43"/>
          <w:highlight w:val="none"/>
        </w:rPr>
        <w:t>图</w:t>
      </w:r>
      <w:r>
        <w:rPr>
          <w:rStyle w:val="43"/>
          <w:rFonts w:hint="eastAsia"/>
          <w:highlight w:val="none"/>
          <w:lang w:val="en-US" w:eastAsia="zh-CN"/>
        </w:rPr>
        <w:t>2</w:t>
      </w:r>
      <w:r>
        <w:rPr>
          <w:rStyle w:val="43"/>
          <w:highlight w:val="none"/>
        </w:rPr>
        <w:t>.</w:t>
      </w:r>
      <w:r>
        <w:rPr>
          <w:rStyle w:val="43"/>
          <w:rFonts w:hint="eastAsia"/>
          <w:highlight w:val="none"/>
          <w:lang w:val="en-US" w:eastAsia="zh-CN"/>
        </w:rPr>
        <w:t>9</w:t>
      </w:r>
      <w:r>
        <w:rPr>
          <w:rStyle w:val="43"/>
          <w:highlight w:val="none"/>
        </w:rPr>
        <w:t>-</w:t>
      </w:r>
      <w:r>
        <w:rPr>
          <w:rStyle w:val="43"/>
          <w:rFonts w:hint="eastAsia"/>
          <w:highlight w:val="none"/>
        </w:rPr>
        <w:t>2 配种、分娩养殖过程工艺流程</w:t>
      </w:r>
      <w:r>
        <w:rPr>
          <w:rStyle w:val="43"/>
          <w:rFonts w:hint="eastAsia"/>
          <w:highlight w:val="none"/>
          <w:lang w:eastAsia="zh-CN"/>
        </w:rPr>
        <w:t>及产排污节点</w:t>
      </w:r>
    </w:p>
    <w:p>
      <w:pPr>
        <w:pStyle w:val="10"/>
        <w:jc w:val="center"/>
        <w:rPr>
          <w:highlight w:val="none"/>
        </w:rPr>
      </w:pPr>
      <w:r>
        <w:rPr>
          <w:highlight w:val="none"/>
        </w:rPr>
        <w:drawing>
          <wp:inline distT="0" distB="0" distL="114300" distR="114300">
            <wp:extent cx="4695825" cy="3352800"/>
            <wp:effectExtent l="0" t="0" r="9525"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4"/>
                    <a:stretch>
                      <a:fillRect/>
                    </a:stretch>
                  </pic:blipFill>
                  <pic:spPr>
                    <a:xfrm>
                      <a:off x="0" y="0"/>
                      <a:ext cx="4695825" cy="3352800"/>
                    </a:xfrm>
                    <a:prstGeom prst="rect">
                      <a:avLst/>
                    </a:prstGeom>
                    <a:noFill/>
                    <a:ln>
                      <a:noFill/>
                    </a:ln>
                  </pic:spPr>
                </pic:pic>
              </a:graphicData>
            </a:graphic>
          </wp:inline>
        </w:drawing>
      </w:r>
    </w:p>
    <w:p>
      <w:pPr>
        <w:pStyle w:val="10"/>
        <w:jc w:val="center"/>
        <w:rPr>
          <w:rStyle w:val="43"/>
          <w:rFonts w:hint="eastAsia"/>
          <w:highlight w:val="none"/>
          <w:lang w:eastAsia="zh-CN"/>
        </w:rPr>
      </w:pPr>
      <w:r>
        <w:rPr>
          <w:rStyle w:val="43"/>
          <w:highlight w:val="none"/>
        </w:rPr>
        <w:t>图</w:t>
      </w:r>
      <w:r>
        <w:rPr>
          <w:rStyle w:val="43"/>
          <w:rFonts w:hint="eastAsia"/>
          <w:highlight w:val="none"/>
          <w:lang w:val="en-US" w:eastAsia="zh-CN"/>
        </w:rPr>
        <w:t>2</w:t>
      </w:r>
      <w:r>
        <w:rPr>
          <w:rStyle w:val="43"/>
          <w:highlight w:val="none"/>
        </w:rPr>
        <w:t>.</w:t>
      </w:r>
      <w:r>
        <w:rPr>
          <w:rStyle w:val="43"/>
          <w:rFonts w:hint="eastAsia"/>
          <w:highlight w:val="none"/>
          <w:lang w:val="en-US" w:eastAsia="zh-CN"/>
        </w:rPr>
        <w:t>9</w:t>
      </w:r>
      <w:r>
        <w:rPr>
          <w:rStyle w:val="43"/>
          <w:highlight w:val="none"/>
        </w:rPr>
        <w:t>-</w:t>
      </w:r>
      <w:r>
        <w:rPr>
          <w:rStyle w:val="43"/>
          <w:rFonts w:hint="eastAsia"/>
          <w:highlight w:val="none"/>
          <w:lang w:val="en-US" w:eastAsia="zh-CN"/>
        </w:rPr>
        <w:t>3</w:t>
      </w:r>
      <w:r>
        <w:rPr>
          <w:rStyle w:val="43"/>
          <w:rFonts w:hint="eastAsia"/>
          <w:highlight w:val="none"/>
        </w:rPr>
        <w:t xml:space="preserve"> 后备养殖过程工艺流程及产</w:t>
      </w:r>
      <w:r>
        <w:rPr>
          <w:rStyle w:val="43"/>
          <w:rFonts w:hint="eastAsia"/>
          <w:highlight w:val="none"/>
          <w:lang w:eastAsia="zh-CN"/>
        </w:rPr>
        <w:t>排</w:t>
      </w:r>
      <w:r>
        <w:rPr>
          <w:rStyle w:val="43"/>
          <w:rFonts w:hint="eastAsia"/>
          <w:highlight w:val="none"/>
        </w:rPr>
        <w:t>污</w:t>
      </w:r>
      <w:r>
        <w:rPr>
          <w:rStyle w:val="43"/>
          <w:rFonts w:hint="eastAsia"/>
          <w:highlight w:val="none"/>
          <w:lang w:eastAsia="zh-CN"/>
        </w:rPr>
        <w:t>节点</w:t>
      </w:r>
      <w:r>
        <w:rPr>
          <w:rStyle w:val="43"/>
          <w:rFonts w:hint="eastAsia"/>
          <w:highlight w:val="none"/>
        </w:rPr>
        <w:t>图</w:t>
      </w:r>
    </w:p>
    <w:p>
      <w:pPr>
        <w:ind w:firstLine="480"/>
        <w:rPr>
          <w:highlight w:val="none"/>
        </w:rPr>
      </w:pPr>
      <w:r>
        <w:rPr>
          <w:rFonts w:hint="eastAsia"/>
          <w:highlight w:val="none"/>
        </w:rPr>
        <w:t>工艺流程简述：</w:t>
      </w:r>
    </w:p>
    <w:p>
      <w:pPr>
        <w:ind w:firstLine="422"/>
        <w:jc w:val="both"/>
        <w:rPr>
          <w:rFonts w:hint="eastAsia"/>
          <w:highlight w:val="none"/>
        </w:rPr>
      </w:pPr>
      <w:r>
        <w:rPr>
          <w:rFonts w:hint="eastAsia"/>
          <w:highlight w:val="none"/>
        </w:rPr>
        <w:t>（1）配种妊娠阶段</w:t>
      </w:r>
    </w:p>
    <w:p>
      <w:pPr>
        <w:ind w:firstLine="422"/>
        <w:jc w:val="both"/>
        <w:rPr>
          <w:rFonts w:hint="eastAsia"/>
          <w:highlight w:val="none"/>
        </w:rPr>
      </w:pPr>
      <w:r>
        <w:rPr>
          <w:rFonts w:hint="eastAsia"/>
          <w:highlight w:val="none"/>
        </w:rPr>
        <w:t>配种妊娠阶段生猪要完成配种并度过妊娠期。配种周期为1~1.5周，确认受孕后的生猪在怀孕舍进行饲养，怀孕舍生猪单头限位栏饲养，控制膘情，减少争食应激，提高受胎率及乳猪初生重，饲养周期14~15周。</w:t>
      </w:r>
    </w:p>
    <w:p>
      <w:pPr>
        <w:ind w:firstLine="422"/>
        <w:jc w:val="both"/>
        <w:rPr>
          <w:rFonts w:hint="eastAsia"/>
          <w:highlight w:val="none"/>
        </w:rPr>
      </w:pPr>
      <w:r>
        <w:rPr>
          <w:rFonts w:hint="eastAsia"/>
          <w:highlight w:val="none"/>
        </w:rPr>
        <w:t>（2）分娩哺乳阶段</w:t>
      </w:r>
    </w:p>
    <w:p>
      <w:pPr>
        <w:ind w:firstLine="422"/>
        <w:jc w:val="both"/>
        <w:rPr>
          <w:rFonts w:hint="eastAsia"/>
          <w:highlight w:val="none"/>
        </w:rPr>
      </w:pPr>
      <w:r>
        <w:rPr>
          <w:rFonts w:hint="eastAsia"/>
          <w:highlight w:val="none"/>
        </w:rPr>
        <w:t>分娩哺乳阶段生猪要完成分娩和对仔猪的哺育，生猪产前一周入哺乳舍，仔猪哺乳期一般为28~35d（4~5周）。哺乳期结束后，仔猪全部运至其场内保育育肥一体化舍，生猪回配种舍，进入下一个繁殖周期，配种舍内生猪进行小群饲养（每栏3~5头），有利发情。</w:t>
      </w:r>
    </w:p>
    <w:p>
      <w:pPr>
        <w:ind w:firstLine="422"/>
        <w:jc w:val="both"/>
        <w:rPr>
          <w:rFonts w:hint="eastAsia"/>
          <w:highlight w:val="none"/>
        </w:rPr>
      </w:pPr>
      <w:r>
        <w:rPr>
          <w:rFonts w:hint="eastAsia"/>
          <w:highlight w:val="none"/>
          <w:lang w:eastAsia="zh-CN"/>
        </w:rPr>
        <w:t>配种、分娩哺乳过程</w:t>
      </w:r>
      <w:r>
        <w:rPr>
          <w:rFonts w:hint="eastAsia"/>
          <w:highlight w:val="none"/>
        </w:rPr>
        <w:t>工艺流程见图</w:t>
      </w:r>
      <w:r>
        <w:rPr>
          <w:rFonts w:hint="eastAsia"/>
          <w:highlight w:val="none"/>
          <w:lang w:val="en-US" w:eastAsia="zh-CN"/>
        </w:rPr>
        <w:t>2.9</w:t>
      </w:r>
      <w:r>
        <w:rPr>
          <w:rFonts w:hint="eastAsia"/>
          <w:highlight w:val="none"/>
        </w:rPr>
        <w:t>-</w:t>
      </w:r>
      <w:r>
        <w:rPr>
          <w:rFonts w:hint="eastAsia"/>
          <w:highlight w:val="none"/>
          <w:lang w:val="en-US" w:eastAsia="zh-CN"/>
        </w:rPr>
        <w:t>2</w:t>
      </w:r>
      <w:r>
        <w:rPr>
          <w:rFonts w:hint="eastAsia"/>
          <w:highlight w:val="none"/>
        </w:rPr>
        <w:t>。</w:t>
      </w:r>
    </w:p>
    <w:p>
      <w:pPr>
        <w:pStyle w:val="1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）保育阶段</w:t>
      </w:r>
    </w:p>
    <w:p>
      <w:pPr>
        <w:pStyle w:val="10"/>
        <w:rPr>
          <w:rFonts w:hint="eastAsia"/>
          <w:highlight w:val="none"/>
          <w:lang w:eastAsia="zh-CN"/>
        </w:rPr>
      </w:pPr>
      <w:r>
        <w:rPr>
          <w:rFonts w:hint="eastAsia"/>
          <w:highlight w:val="none"/>
          <w:lang w:eastAsia="zh-CN"/>
        </w:rPr>
        <w:t>这一阶段，仔猪从其他厂区运送过来，保育阶段的主要任务是创造条件，减少应激，缩短适应期，保持快速生长，防止拉痢掉膘。</w:t>
      </w:r>
    </w:p>
    <w:p>
      <w:pPr>
        <w:pStyle w:val="10"/>
        <w:rPr>
          <w:rFonts w:hint="eastAsia"/>
          <w:highlight w:val="none"/>
          <w:lang w:eastAsia="zh-CN"/>
        </w:rPr>
      </w:pPr>
      <w:r>
        <w:rPr>
          <w:rFonts w:hint="eastAsia"/>
          <w:highlight w:val="none"/>
          <w:lang w:eastAsia="zh-CN"/>
        </w:rPr>
        <w:t>保育的适宜温度和相对湿度控制在20℃～22℃和65％～70％，并注意良好的通风换气，保持圈舍清洁、干燥，饮水充足。进入保育舍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pStyle w:val="10"/>
        <w:rPr>
          <w:rFonts w:hint="eastAsia"/>
          <w:highlight w:val="none"/>
          <w:lang w:eastAsia="zh-CN"/>
        </w:rPr>
      </w:pPr>
      <w:r>
        <w:rPr>
          <w:rFonts w:hint="eastAsia"/>
          <w:highlight w:val="none"/>
          <w:lang w:eastAsia="zh-CN"/>
        </w:rPr>
        <w:t>（4）后备生长育肥阶段</w:t>
      </w:r>
    </w:p>
    <w:p>
      <w:pPr>
        <w:pStyle w:val="10"/>
        <w:rPr>
          <w:rFonts w:hint="eastAsia"/>
          <w:highlight w:val="none"/>
          <w:lang w:eastAsia="zh-CN"/>
        </w:rPr>
      </w:pPr>
      <w:r>
        <w:rPr>
          <w:rFonts w:hint="eastAsia"/>
          <w:highlight w:val="none"/>
          <w:lang w:eastAsia="zh-CN"/>
        </w:rPr>
        <w:t>后备舍在进猪前应进行维修和彻底地冲洗、消毒。进猪后保持舍内清洁、干燥、通风良好、饮水充足，温度控制在18~22℃，夏季注意防暑降温。转群时应将原圈猪按体重大小、性别、强弱分群，每群大小应视圈舍大小而定，一般为10~20头。</w:t>
      </w:r>
    </w:p>
    <w:p>
      <w:pPr>
        <w:pStyle w:val="10"/>
        <w:rPr>
          <w:rFonts w:hint="eastAsia"/>
          <w:highlight w:val="none"/>
          <w:lang w:eastAsia="zh-CN"/>
        </w:rPr>
      </w:pPr>
      <w:r>
        <w:rPr>
          <w:rFonts w:hint="eastAsia"/>
          <w:highlight w:val="none"/>
          <w:lang w:eastAsia="zh-CN"/>
        </w:rPr>
        <w:t>每月要定期称重，以检查饲喂效果。经常检查猪群的采食、发育等情况，及时调整饲料配方，发现疫病及时报告，采取有效措施进行治疗和处理。</w:t>
      </w:r>
    </w:p>
    <w:p>
      <w:pPr>
        <w:pStyle w:val="10"/>
        <w:rPr>
          <w:rFonts w:hint="eastAsia" w:eastAsia="宋体"/>
          <w:highlight w:val="none"/>
          <w:lang w:eastAsia="zh-CN"/>
        </w:rPr>
      </w:pPr>
      <w:r>
        <w:rPr>
          <w:rFonts w:hint="eastAsia"/>
          <w:highlight w:val="none"/>
          <w:lang w:eastAsia="zh-CN"/>
        </w:rPr>
        <w:t>保育猪和育肥猪养殖过程工艺流程见图</w:t>
      </w:r>
      <w:r>
        <w:rPr>
          <w:rFonts w:hint="eastAsia"/>
          <w:highlight w:val="none"/>
          <w:lang w:val="en-US" w:eastAsia="zh-CN"/>
        </w:rPr>
        <w:t>2.9</w:t>
      </w:r>
      <w:r>
        <w:rPr>
          <w:rFonts w:hint="eastAsia"/>
          <w:highlight w:val="none"/>
          <w:lang w:eastAsia="zh-CN"/>
        </w:rPr>
        <w:t>-</w:t>
      </w:r>
      <w:r>
        <w:rPr>
          <w:rFonts w:hint="eastAsia"/>
          <w:highlight w:val="none"/>
          <w:lang w:val="en-US" w:eastAsia="zh-CN"/>
        </w:rPr>
        <w:t>3</w:t>
      </w:r>
      <w:r>
        <w:rPr>
          <w:rFonts w:hint="eastAsia"/>
          <w:highlight w:val="none"/>
          <w:lang w:eastAsia="zh-CN"/>
        </w:rPr>
        <w:t>。</w:t>
      </w:r>
    </w:p>
    <w:p>
      <w:pPr>
        <w:ind w:firstLine="480"/>
        <w:rPr>
          <w:rFonts w:hint="eastAsia"/>
          <w:highlight w:val="none"/>
        </w:rPr>
      </w:pPr>
      <w:r>
        <w:rPr>
          <w:rFonts w:hint="eastAsia"/>
          <w:highlight w:val="none"/>
        </w:rPr>
        <w:t>3、养殖其他相关工艺说明</w:t>
      </w:r>
    </w:p>
    <w:p>
      <w:pPr>
        <w:ind w:firstLine="480"/>
        <w:rPr>
          <w:rFonts w:hint="eastAsia"/>
          <w:highlight w:val="none"/>
        </w:rPr>
      </w:pPr>
      <w:r>
        <w:rPr>
          <w:rFonts w:hint="eastAsia"/>
          <w:highlight w:val="none"/>
        </w:rPr>
        <w:t>①上料系统工艺说明</w:t>
      </w:r>
    </w:p>
    <w:p>
      <w:pPr>
        <w:ind w:firstLine="480"/>
        <w:rPr>
          <w:rFonts w:hint="eastAsia"/>
          <w:highlight w:val="none"/>
        </w:rPr>
      </w:pPr>
      <w:r>
        <w:rPr>
          <w:rFonts w:hint="eastAsia"/>
          <w:highlight w:val="none"/>
        </w:rPr>
        <w:t>项目采用全自动配送上料系统和限位猪槽（专利证号ZL2009 20223840.9），机械化操作，定时定量供应饲料，保证生猪饮食需求，同时减少浪费，节约人力和饲料用量，降低生产成本。</w:t>
      </w:r>
    </w:p>
    <w:p>
      <w:pPr>
        <w:ind w:firstLine="480"/>
        <w:rPr>
          <w:rFonts w:hint="eastAsia"/>
          <w:highlight w:val="none"/>
        </w:rPr>
      </w:pPr>
      <w:r>
        <w:rPr>
          <w:rFonts w:hint="eastAsia"/>
          <w:highlight w:val="none"/>
        </w:rPr>
        <w:t>②饮水系统工艺说明</w:t>
      </w:r>
    </w:p>
    <w:p>
      <w:pPr>
        <w:ind w:firstLine="480"/>
        <w:rPr>
          <w:rFonts w:hint="eastAsia"/>
          <w:highlight w:val="none"/>
        </w:rPr>
      </w:pPr>
      <w:r>
        <w:rPr>
          <w:rFonts w:hint="eastAsia"/>
          <w:highlight w:val="none"/>
        </w:rPr>
        <w:t>项目采用先进的限位饮水器，限位饮水器的底部槽体液面始终维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ind w:firstLine="480"/>
        <w:rPr>
          <w:rFonts w:hint="eastAsia"/>
          <w:highlight w:val="none"/>
        </w:rPr>
      </w:pPr>
      <w:r>
        <w:rPr>
          <w:rFonts w:hint="eastAsia"/>
          <w:highlight w:val="none"/>
        </w:rPr>
        <w:t>③控温系统工艺说明</w:t>
      </w:r>
    </w:p>
    <w:p>
      <w:pPr>
        <w:pStyle w:val="10"/>
        <w:rPr>
          <w:rFonts w:hint="eastAsia"/>
          <w:highlight w:val="none"/>
        </w:rPr>
      </w:pPr>
      <w:r>
        <w:rPr>
          <w:rFonts w:hint="eastAsia"/>
          <w:highlight w:val="none"/>
        </w:rPr>
        <w:t>项目通过优化猪舍结构设计、墙体做隔热保温层来切断单元内外热传递。同时，猪舍冬季通风换气时，通过热交换系统对进、出风实行热交换，使单元内温度保持在猪适宜的温度范围内。具体措施如下：</w:t>
      </w:r>
    </w:p>
    <w:p>
      <w:pPr>
        <w:pStyle w:val="10"/>
        <w:rPr>
          <w:rFonts w:hint="eastAsia"/>
          <w:highlight w:val="none"/>
        </w:rPr>
      </w:pPr>
      <w:r>
        <w:rPr>
          <w:rFonts w:hint="eastAsia"/>
          <w:highlight w:val="none"/>
        </w:rPr>
        <w:t>猪舍结构：墙体由挤塑式聚苯乙烯隔热保温板（简称“挤塑板”）来切断单元内外热传递，该材料具有高热阻、低线性、膨胀比低的特点，其结构的闭孔率达到了99%以上，形成真空层，避免空气流动散热，确保其保温性能的持久和稳定。</w:t>
      </w:r>
    </w:p>
    <w:p>
      <w:pPr>
        <w:pStyle w:val="10"/>
        <w:rPr>
          <w:rFonts w:hint="eastAsia"/>
          <w:highlight w:val="none"/>
        </w:rPr>
      </w:pPr>
      <w:r>
        <w:rPr>
          <w:rFonts w:hint="eastAsia"/>
          <w:highlight w:val="none"/>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猪舍内设有自动温控、湿控装置，当猪舍内温度、湿度达到一定要求时，变速风机自动启动，无固定规律。变速风机启动后，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pStyle w:val="10"/>
        <w:rPr>
          <w:rFonts w:hint="eastAsia"/>
          <w:highlight w:val="none"/>
        </w:rPr>
      </w:pPr>
      <w:r>
        <w:rPr>
          <w:rFonts w:hint="eastAsia"/>
          <w:highlight w:val="none"/>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pStyle w:val="10"/>
        <w:rPr>
          <w:rFonts w:hint="eastAsia"/>
          <w:highlight w:val="none"/>
        </w:rPr>
      </w:pPr>
      <w:r>
        <w:rPr>
          <w:rFonts w:hint="eastAsia"/>
          <w:highlight w:val="none"/>
        </w:rPr>
        <w:t>冬季保温：主要是通过猪舍墙体保温材料与外部断绝热交换，猪舍内部通风通过全热交换器进行，实施最小通风量，既保证猪需要的氧气量，又保证单元内有害气体不超标，防止过度通风降低单元温度。</w:t>
      </w:r>
    </w:p>
    <w:p>
      <w:pPr>
        <w:pStyle w:val="10"/>
        <w:rPr>
          <w:rFonts w:hint="eastAsia"/>
          <w:highlight w:val="none"/>
        </w:rPr>
      </w:pPr>
      <w:r>
        <w:rPr>
          <w:rFonts w:hint="eastAsia"/>
          <w:highlight w:val="none"/>
        </w:rPr>
        <w:t>根据牧原食品股份有限公司在已有几个场区的试验结果，0℃左右的空气可被升温10-15℃左右。公司已经在部分场区进行了改造使用，效果比试验预期还要好。另外，热交换主要在单元装猪的第一个月猪群还未长大时进行使用，当猪群成长一个月左右，仅依靠猪群自身散热即可达到对温度的需求，最后甚至还要打开侧窗进行散热。</w:t>
      </w:r>
    </w:p>
    <w:p>
      <w:pPr>
        <w:pStyle w:val="10"/>
        <w:rPr>
          <w:rFonts w:hint="eastAsia"/>
          <w:highlight w:val="none"/>
        </w:rPr>
      </w:pPr>
      <w:r>
        <w:rPr>
          <w:rFonts w:hint="eastAsia"/>
          <w:highlight w:val="none"/>
        </w:rPr>
        <w:t>夏季降温：停止热交换器工作，同时打开密闭的风机，利用风机通风；同时夏季育肥舍采用喷雾降温：在专门的降温水管上装有喷头，水雾喷到猪群身上，通过猪舍内的风机作用，促进蒸发降温。降温通过电脑控制，室温高于30℃时，喷淋喷雾每喷30s，停15分钟；保育舍通过通风系统即可满足降温需求，无须喷雾降温。</w:t>
      </w:r>
    </w:p>
    <w:p>
      <w:pPr>
        <w:pStyle w:val="10"/>
        <w:rPr>
          <w:rFonts w:hint="eastAsia"/>
          <w:highlight w:val="none"/>
        </w:rPr>
      </w:pPr>
      <w:r>
        <w:rPr>
          <w:rFonts w:hint="eastAsia"/>
          <w:highlight w:val="none"/>
        </w:rPr>
        <w:t>④卫生防疫</w:t>
      </w:r>
    </w:p>
    <w:p>
      <w:pPr>
        <w:pStyle w:val="10"/>
        <w:rPr>
          <w:rFonts w:hint="eastAsia"/>
          <w:highlight w:val="none"/>
        </w:rPr>
      </w:pPr>
      <w:r>
        <w:rPr>
          <w:rFonts w:hint="eastAsia"/>
          <w:highlight w:val="none"/>
        </w:rPr>
        <w:t>在各阶段猪出栏后，通过高压水枪喷淋烧碱水或石灰水对猪舍进行消毒处理，发生特别疫情时用高锰酸钾消毒液进行消毒处理。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highlight w:val="none"/>
        </w:rPr>
      </w:pPr>
      <w:r>
        <w:rPr>
          <w:rFonts w:hint="eastAsia"/>
          <w:highlight w:val="none"/>
        </w:rPr>
        <w:t>4、猪舍设计规模与清粪模式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highlight w:val="none"/>
          <w:lang w:eastAsia="zh-CN"/>
        </w:rPr>
      </w:pPr>
      <w:r>
        <w:rPr>
          <w:rFonts w:hint="eastAsia"/>
          <w:highlight w:val="none"/>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固液分离机进行干湿分离，粪渣制肥，粪液厌氧发酵，沼液贮存在沼液储存池内用于周围土地消纳，全部综合利用</w:t>
      </w:r>
      <w:r>
        <w:rPr>
          <w:rFonts w:hint="eastAsia"/>
          <w:highlight w:val="none"/>
          <w:lang w:eastAsia="zh-CN"/>
        </w:rPr>
        <w:t>。</w:t>
      </w:r>
    </w:p>
    <w:p>
      <w:pPr>
        <w:pStyle w:val="10"/>
        <w:jc w:val="center"/>
        <w:rPr>
          <w:rFonts w:hint="eastAsia"/>
          <w:highlight w:val="none"/>
          <w:lang w:eastAsia="zh-CN"/>
        </w:rPr>
      </w:pPr>
      <w:r>
        <w:rPr>
          <w:highlight w:val="none"/>
        </w:rPr>
        <w:drawing>
          <wp:inline distT="0" distB="0" distL="114300" distR="114300">
            <wp:extent cx="5255895" cy="2483485"/>
            <wp:effectExtent l="0" t="0" r="1905" b="1206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stretch>
                      <a:fillRect/>
                    </a:stretch>
                  </pic:blipFill>
                  <pic:spPr>
                    <a:xfrm>
                      <a:off x="0" y="0"/>
                      <a:ext cx="5255895" cy="2483485"/>
                    </a:xfrm>
                    <a:prstGeom prst="rect">
                      <a:avLst/>
                    </a:prstGeom>
                    <a:noFill/>
                    <a:ln>
                      <a:noFill/>
                    </a:ln>
                  </pic:spPr>
                </pic:pic>
              </a:graphicData>
            </a:graphic>
          </wp:inline>
        </w:drawing>
      </w:r>
    </w:p>
    <w:p>
      <w:pPr>
        <w:pStyle w:val="10"/>
        <w:jc w:val="center"/>
        <w:rPr>
          <w:rStyle w:val="43"/>
          <w:rFonts w:hint="eastAsia" w:ascii="Times New Roman" w:hAnsi="Times New Roman"/>
          <w:szCs w:val="22"/>
          <w:highlight w:val="none"/>
          <w:lang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szCs w:val="22"/>
          <w:highlight w:val="none"/>
          <w:lang w:val="en-US" w:eastAsia="zh-CN"/>
        </w:rPr>
        <w:t>4</w:t>
      </w:r>
      <w:r>
        <w:rPr>
          <w:rStyle w:val="43"/>
          <w:rFonts w:hint="eastAsia" w:ascii="Times New Roman" w:hAnsi="Times New Roman"/>
          <w:szCs w:val="22"/>
          <w:highlight w:val="none"/>
          <w:lang w:eastAsia="zh-CN"/>
        </w:rPr>
        <w:t xml:space="preserve"> 本项目清粪工艺示意图</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本项目干清粪工艺具有以下特点：</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1、养殖圈舍不注入清水，也不将清水用于圈舍粪尿日常清理，仅在转栏时用高压水枪进行冲洗，大大减少了粪污产生量。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2、养殖舍内粪尿产生即依靠重力经漏缝地板离开猪舍进入猪舍下部粪污储存池，粪污在储存池内可做到充分的厌氧杀菌、适度降低有机物浓度，避免在施用农田过程中出现二次发酵的现象。粪污储存池实现定期及时清理，由人工打开排污塞，粪污水排入污水处理系统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3、粪污水离开粪污储存池后即进行干湿分离和无害化处理，经干湿分离后固体粪便、沼渣后送固粪处理区制有机肥基肥，废水经厌氧发酵后沼液、沼渣综合利用，可以实现粪污离开粪池即进行干湿分离和无害化并全部实现综合利用，不混合排出。</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highlight w:val="none"/>
          <w:lang w:eastAsia="zh-CN"/>
        </w:rPr>
      </w:pPr>
      <w:r>
        <w:rPr>
          <w:rFonts w:hint="eastAsia" w:ascii="Times New Roman" w:hAnsi="Times New Roman"/>
          <w:highlight w:val="none"/>
          <w:lang w:eastAsia="zh-CN"/>
        </w:rPr>
        <w:t>综上，根据国家环保部、农业部多次组织专家对牧原公司所采用模式的考察、论证，最终认定该模式属于干清粪工艺的一种（环办函[2015]425号）。</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5、项目节水方式</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①漏缝地板可维持猪舍环境清洁，日常免冲；</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按照设计工艺，每个单元仅转换栏时进行一次冲洗消毒，圈舍冲洗用水量远远小于通仓式养殖用水量。</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②利用限位式饮水器，严格控制养猪的耗水量；</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限位式饮水器利用压差自动启闭供水，生猪需饮水时，饮水器卸压，内部压力大于外部压力，水自动地从管内流出直至液面高度在2cm时饮水器自动停止供水。限位式饮水器能保证生猪随时饮用新鲜水，无抛洒。经实践，对比传统的挤压式饮水器可减少60%左右的饮用水供用量；</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③电脑控制单元降温用水，减少水量浪费；</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④各单元安装水表，实行绩效管理，定量控制用水量；</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各个猪舍单元都安装有水表，选用优质阀门，减少跑、冒、滴、漏，计量到每个饲养员，严格定量控制用水量，达到节约用水的目的；</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⑤高压水枪冲洗猪舍，减少转出栏单元冲洗水量；</w:t>
      </w:r>
    </w:p>
    <w:p>
      <w:pPr>
        <w:pStyle w:val="10"/>
        <w:rPr>
          <w:rFonts w:hint="eastAsia" w:ascii="Times New Roman" w:hAnsi="Times New Roman"/>
          <w:highlight w:val="none"/>
          <w:lang w:val="en-US" w:eastAsia="zh-CN"/>
        </w:rPr>
      </w:pPr>
      <w:r>
        <w:rPr>
          <w:rFonts w:hint="eastAsia" w:ascii="Times New Roman" w:hAnsi="Times New Roman"/>
          <w:highlight w:val="none"/>
          <w:lang w:val="en-US" w:eastAsia="zh-CN"/>
        </w:rPr>
        <w:t>⑥应用自主研发的自动化饲喂系统可有效降低饲料搅拌过程用水量和饲料输送过程水分损耗，其节水效果远远高于全国同行业平均水平。</w:t>
      </w:r>
    </w:p>
    <w:p>
      <w:pPr>
        <w:pStyle w:val="10"/>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6、猪舍、粪污池除臭工艺</w:t>
      </w:r>
    </w:p>
    <w:p>
      <w:pPr>
        <w:pStyle w:val="10"/>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①项目采用环保部认定的干清粪工艺，项目采用墙体集热板、猪舍内通风管、红外灯和风机相结合进行猪舍内温度控制，降低舍内有害气体浓度。</w:t>
      </w:r>
    </w:p>
    <w:p>
      <w:pPr>
        <w:pStyle w:val="10"/>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②在猪舍设置通风口，定期进行通风换气，加快排除有害气体。</w:t>
      </w:r>
    </w:p>
    <w:p>
      <w:pPr>
        <w:pStyle w:val="10"/>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③养殖场场区等消毒应采用环境友好的消毒剂和消毒措施，防止产生氯代有机物及其他二次污染物。</w:t>
      </w:r>
    </w:p>
    <w:p>
      <w:pPr>
        <w:pStyle w:val="10"/>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④加强场区及场界的绿化，场区绿化以完全消灭裸露地面为原则，选择适宜吸臭植物种类，广种花草树木，场界边缘地带种植双季槐等高大树种形成多层防护林带，以降低恶臭污染的影响程度。</w:t>
      </w:r>
    </w:p>
    <w:p>
      <w:pPr>
        <w:pStyle w:val="10"/>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⑤对猪舍、收集池、沼液储存池周边、固粪处理区喷洒除臭剂。</w:t>
      </w:r>
    </w:p>
    <w:p>
      <w:pPr>
        <w:pStyle w:val="8"/>
        <w:ind w:firstLine="482"/>
        <w:rPr>
          <w:rFonts w:hint="eastAsia"/>
          <w:highlight w:val="none"/>
          <w:lang w:val="en-US" w:eastAsia="zh-CN"/>
        </w:rPr>
      </w:pPr>
      <w:r>
        <w:rPr>
          <w:rFonts w:hint="eastAsia"/>
          <w:highlight w:val="none"/>
          <w:lang w:val="en-US" w:eastAsia="zh-CN"/>
        </w:rPr>
        <w:t>2.9.2.2污染治理工程</w:t>
      </w:r>
    </w:p>
    <w:p>
      <w:pPr>
        <w:numPr>
          <w:ilvl w:val="0"/>
          <w:numId w:val="10"/>
        </w:numPr>
        <w:rPr>
          <w:rFonts w:hint="eastAsia" w:cs="Times New Roman"/>
          <w:highlight w:val="none"/>
          <w:lang w:val="en-US" w:eastAsia="zh-CN"/>
        </w:rPr>
      </w:pPr>
      <w:r>
        <w:rPr>
          <w:rFonts w:hint="eastAsia" w:cs="Times New Roman"/>
          <w:highlight w:val="none"/>
          <w:lang w:val="en-US" w:eastAsia="zh-CN"/>
        </w:rPr>
        <w:t>粪污水处理工艺</w:t>
      </w:r>
    </w:p>
    <w:p>
      <w:pPr>
        <w:pStyle w:val="10"/>
        <w:numPr>
          <w:ilvl w:val="0"/>
          <w:numId w:val="0"/>
        </w:numPr>
        <w:jc w:val="center"/>
        <w:rPr>
          <w:rFonts w:hint="eastAsia"/>
          <w:highlight w:val="none"/>
          <w:lang w:val="en-US" w:eastAsia="zh-CN"/>
        </w:rPr>
      </w:pPr>
      <w:r>
        <w:rPr>
          <w:rFonts w:hint="eastAsia"/>
          <w:highlight w:val="none"/>
          <w:lang w:val="en-US" w:eastAsia="zh-CN"/>
        </w:rPr>
        <w:drawing>
          <wp:inline distT="0" distB="0" distL="114300" distR="114300">
            <wp:extent cx="4686300" cy="4229100"/>
            <wp:effectExtent l="0" t="0" r="0" b="0"/>
            <wp:docPr id="17" name="图片 1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5"/>
                    <pic:cNvPicPr>
                      <a:picLocks noChangeAspect="1"/>
                    </pic:cNvPicPr>
                  </pic:nvPicPr>
                  <pic:blipFill>
                    <a:blip r:embed="rId26"/>
                    <a:stretch>
                      <a:fillRect/>
                    </a:stretch>
                  </pic:blipFill>
                  <pic:spPr>
                    <a:xfrm>
                      <a:off x="0" y="0"/>
                      <a:ext cx="4686300" cy="4229100"/>
                    </a:xfrm>
                    <a:prstGeom prst="rect">
                      <a:avLst/>
                    </a:prstGeom>
                  </pic:spPr>
                </pic:pic>
              </a:graphicData>
            </a:graphic>
          </wp:inline>
        </w:drawing>
      </w:r>
    </w:p>
    <w:p>
      <w:pPr>
        <w:pStyle w:val="10"/>
        <w:numPr>
          <w:ilvl w:val="0"/>
          <w:numId w:val="0"/>
        </w:numPr>
        <w:jc w:val="center"/>
        <w:rPr>
          <w:rFonts w:hint="default"/>
          <w:sz w:val="21"/>
          <w:szCs w:val="21"/>
          <w:highlight w:val="none"/>
          <w:lang w:val="en-US"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szCs w:val="22"/>
          <w:highlight w:val="none"/>
          <w:lang w:val="en-US" w:eastAsia="zh-CN"/>
        </w:rPr>
        <w:t>5</w:t>
      </w:r>
      <w:r>
        <w:rPr>
          <w:rStyle w:val="43"/>
          <w:rFonts w:hint="eastAsia" w:ascii="Times New Roman" w:hAnsi="Times New Roman"/>
          <w:szCs w:val="22"/>
          <w:highlight w:val="none"/>
          <w:lang w:eastAsia="zh-CN"/>
        </w:rPr>
        <w:t xml:space="preserve"> 本项目污水处理工艺流程图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rPr>
        <w:t>工艺流程简述：</w:t>
      </w:r>
      <w:r>
        <w:rPr>
          <w:rFonts w:hint="eastAsia"/>
          <w:highlight w:val="none"/>
          <w:lang w:val="en-US" w:eastAsia="zh-CN"/>
        </w:rPr>
        <w:t xml:space="preserve">  </w:t>
      </w:r>
    </w:p>
    <w:p>
      <w:pPr>
        <w:keepNext w:val="0"/>
        <w:keepLines w:val="0"/>
        <w:pageBreakBefore w:val="0"/>
        <w:widowControl/>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keepNext w:val="0"/>
        <w:keepLines w:val="0"/>
        <w:pageBreakBefore w:val="0"/>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本项目粪污处理系统的核心技术是“</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沼气池”，粪便污水经固液分离后污水进入</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沼气池，在沼气池内进行厌氧发酵，经厌氧发酵去除了大部分有机物，设计发酵周期为30天，发酵结束后，沼渣进入收集池进行固液分离</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由泵抽出来输送至收集池，再经过分离机分离，分离后进行堆肥，形成有机肥基料外售</w:t>
      </w:r>
      <w:r>
        <w:rPr>
          <w:rFonts w:ascii="Times New Roman" w:hAnsi="Times New Roman"/>
          <w:color w:val="auto"/>
          <w:sz w:val="24"/>
          <w:highlight w:val="none"/>
        </w:rPr>
        <w:t>。厌氧发酵产生的沼气经净化后，用于食堂</w:t>
      </w:r>
      <w:r>
        <w:rPr>
          <w:rFonts w:hint="eastAsia" w:ascii="Times New Roman" w:hAnsi="Times New Roman"/>
          <w:color w:val="auto"/>
          <w:sz w:val="24"/>
          <w:highlight w:val="none"/>
          <w:lang w:eastAsia="zh-CN"/>
        </w:rPr>
        <w:t>、饲料生产线沼气</w:t>
      </w:r>
      <w:r>
        <w:rPr>
          <w:rFonts w:hint="eastAsia" w:ascii="Times New Roman" w:hAnsi="Times New Roman"/>
          <w:color w:val="auto"/>
          <w:sz w:val="24"/>
          <w:highlight w:val="none"/>
          <w:lang w:val="en-US" w:eastAsia="zh-CN"/>
        </w:rPr>
        <w:t>/天然气两用</w:t>
      </w:r>
      <w:r>
        <w:rPr>
          <w:rFonts w:ascii="Times New Roman" w:hAnsi="Times New Roman"/>
          <w:color w:val="auto"/>
          <w:sz w:val="24"/>
          <w:highlight w:val="none"/>
        </w:rPr>
        <w:t>锅炉。</w:t>
      </w:r>
    </w:p>
    <w:p>
      <w:pPr>
        <w:pStyle w:val="134"/>
        <w:keepNext w:val="0"/>
        <w:keepLines w:val="0"/>
        <w:pageBreakBefore w:val="0"/>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lang w:eastAsia="zh-CN"/>
        </w:rPr>
        <w:t>黑膜</w:t>
      </w:r>
      <w:r>
        <w:rPr>
          <w:color w:val="auto"/>
          <w:highlight w:val="none"/>
        </w:rPr>
        <w:t>沼气池：</w:t>
      </w:r>
      <w:r>
        <w:rPr>
          <w:rFonts w:hint="eastAsia"/>
          <w:color w:val="auto"/>
          <w:highlight w:val="none"/>
          <w:lang w:val="en-US" w:eastAsia="zh-CN"/>
        </w:rPr>
        <w:t>1座</w:t>
      </w:r>
      <w:r>
        <w:rPr>
          <w:color w:val="auto"/>
          <w:highlight w:val="none"/>
        </w:rPr>
        <w:t>，总容积</w:t>
      </w:r>
      <w:r>
        <w:rPr>
          <w:rFonts w:hint="eastAsia"/>
          <w:color w:val="auto"/>
          <w:highlight w:val="none"/>
          <w:lang w:val="en-US" w:eastAsia="zh-CN"/>
        </w:rPr>
        <w:t>17000</w:t>
      </w:r>
      <w:r>
        <w:rPr>
          <w:color w:val="auto"/>
          <w:highlight w:val="none"/>
        </w:rPr>
        <w:t>m</w:t>
      </w:r>
      <w:r>
        <w:rPr>
          <w:color w:val="auto"/>
          <w:highlight w:val="none"/>
          <w:vertAlign w:val="superscript"/>
        </w:rPr>
        <w:t>3</w:t>
      </w:r>
      <w:r>
        <w:rPr>
          <w:color w:val="auto"/>
          <w:highlight w:val="none"/>
        </w:rPr>
        <w:t>，主要处理经固液分离后的粪污水。</w:t>
      </w:r>
    </w:p>
    <w:p>
      <w:pPr>
        <w:pStyle w:val="134"/>
        <w:keepNext w:val="0"/>
        <w:keepLines w:val="0"/>
        <w:pageBreakBefore w:val="0"/>
        <w:kinsoku/>
        <w:wordWrap/>
        <w:overflowPunct/>
        <w:topLinePunct w:val="0"/>
        <w:autoSpaceDE/>
        <w:autoSpaceDN/>
        <w:bidi w:val="0"/>
        <w:adjustRightInd/>
        <w:snapToGrid/>
        <w:spacing w:line="360" w:lineRule="auto"/>
        <w:ind w:firstLine="480"/>
        <w:textAlignment w:val="auto"/>
        <w:rPr>
          <w:color w:val="auto"/>
          <w:highlight w:val="none"/>
        </w:rPr>
      </w:pPr>
      <w:r>
        <w:rPr>
          <w:color w:val="auto"/>
          <w:highlight w:val="none"/>
        </w:rPr>
        <w:t>沼液储存池：</w:t>
      </w:r>
      <w:r>
        <w:rPr>
          <w:rFonts w:hint="eastAsia"/>
          <w:color w:val="auto"/>
          <w:highlight w:val="none"/>
          <w:lang w:val="en-US" w:eastAsia="zh-CN"/>
        </w:rPr>
        <w:t>1座</w:t>
      </w:r>
      <w:r>
        <w:rPr>
          <w:color w:val="auto"/>
          <w:highlight w:val="none"/>
        </w:rPr>
        <w:t>，容积</w:t>
      </w:r>
      <w:r>
        <w:rPr>
          <w:rFonts w:hint="eastAsia"/>
          <w:color w:val="auto"/>
          <w:highlight w:val="none"/>
          <w:lang w:val="en-US" w:eastAsia="zh-CN"/>
        </w:rPr>
        <w:t>100000</w:t>
      </w:r>
      <w:r>
        <w:rPr>
          <w:color w:val="auto"/>
          <w:highlight w:val="none"/>
        </w:rPr>
        <w:t>m</w:t>
      </w:r>
      <w:r>
        <w:rPr>
          <w:color w:val="auto"/>
          <w:highlight w:val="none"/>
          <w:vertAlign w:val="superscript"/>
        </w:rPr>
        <w:t>3</w:t>
      </w:r>
      <w:r>
        <w:rPr>
          <w:color w:val="auto"/>
          <w:highlight w:val="none"/>
        </w:rPr>
        <w:t>，主要用于在非施肥季节期间储存沼液。</w:t>
      </w:r>
    </w:p>
    <w:p>
      <w:pPr>
        <w:keepNext w:val="0"/>
        <w:keepLines w:val="0"/>
        <w:pageBreakBefore w:val="0"/>
        <w:numPr>
          <w:ilvl w:val="0"/>
          <w:numId w:val="10"/>
        </w:numPr>
        <w:kinsoku/>
        <w:wordWrap/>
        <w:overflowPunct/>
        <w:topLinePunct w:val="0"/>
        <w:bidi w:val="0"/>
        <w:adjustRightInd/>
        <w:snapToGrid/>
        <w:spacing w:line="360" w:lineRule="auto"/>
        <w:textAlignment w:val="auto"/>
        <w:rPr>
          <w:rFonts w:hint="eastAsia" w:cs="Times New Roman"/>
          <w:highlight w:val="none"/>
          <w:lang w:val="en-US" w:eastAsia="zh-CN"/>
        </w:rPr>
      </w:pPr>
      <w:r>
        <w:rPr>
          <w:rFonts w:hint="eastAsia" w:cs="Times New Roman"/>
          <w:highlight w:val="none"/>
          <w:lang w:val="en-US" w:eastAsia="zh-CN"/>
        </w:rPr>
        <w:t>沼气利用工艺</w:t>
      </w:r>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sz w:val="24"/>
          <w:highlight w:val="none"/>
        </w:rPr>
        <w:t>根据《畜禽养殖业污染防治技术政策》（环发[2010]151号）中有关内容，厌氧发酵产生的沼气应进行收集，并根据利用途径进行脱水、脱硫等净化处理。沼气宜作为燃料直接利用。根据牧原食品股份有限公司实际运营经验</w:t>
      </w:r>
      <w:r>
        <w:rPr>
          <w:rFonts w:ascii="Times New Roman" w:hAnsi="Times New Roman"/>
          <w:color w:val="171717"/>
          <w:sz w:val="24"/>
          <w:highlight w:val="none"/>
        </w:rPr>
        <w:t>，</w:t>
      </w:r>
      <w:r>
        <w:rPr>
          <w:rFonts w:ascii="Times New Roman" w:hAnsi="Times New Roman"/>
          <w:color w:val="000000"/>
          <w:sz w:val="24"/>
          <w:highlight w:val="none"/>
        </w:rPr>
        <w:t>每去除1kgCOD可产生0.25m</w:t>
      </w:r>
      <w:r>
        <w:rPr>
          <w:rFonts w:ascii="Times New Roman" w:hAnsi="Times New Roman"/>
          <w:color w:val="000000"/>
          <w:sz w:val="24"/>
          <w:highlight w:val="none"/>
          <w:vertAlign w:val="superscript"/>
        </w:rPr>
        <w:t>3</w:t>
      </w:r>
      <w:r>
        <w:rPr>
          <w:rFonts w:ascii="Times New Roman" w:hAnsi="Times New Roman"/>
          <w:color w:val="000000"/>
          <w:sz w:val="24"/>
          <w:highlight w:val="none"/>
        </w:rPr>
        <w:t>沼气进行计算</w:t>
      </w:r>
      <w:r>
        <w:rPr>
          <w:rFonts w:hint="eastAsia"/>
          <w:color w:val="000000"/>
          <w:sz w:val="24"/>
          <w:highlight w:val="none"/>
          <w:lang w:eastAsia="zh-CN"/>
        </w:rPr>
        <w:t>，COD去除率为</w:t>
      </w:r>
      <w:r>
        <w:rPr>
          <w:rFonts w:hint="eastAsia"/>
          <w:color w:val="000000"/>
          <w:sz w:val="24"/>
          <w:highlight w:val="none"/>
          <w:lang w:val="en-US" w:eastAsia="zh-CN"/>
        </w:rPr>
        <w:t>79.5</w:t>
      </w:r>
      <w:r>
        <w:rPr>
          <w:rFonts w:hint="eastAsia"/>
          <w:color w:val="000000"/>
          <w:sz w:val="24"/>
          <w:highlight w:val="none"/>
          <w:lang w:eastAsia="zh-CN"/>
        </w:rPr>
        <w:t>%，本项目废水处理量为1</w:t>
      </w:r>
      <w:r>
        <w:rPr>
          <w:rFonts w:hint="eastAsia"/>
          <w:color w:val="000000"/>
          <w:sz w:val="24"/>
          <w:highlight w:val="none"/>
          <w:lang w:val="en-US" w:eastAsia="zh-CN"/>
        </w:rPr>
        <w:t>20624.57</w:t>
      </w:r>
      <w:r>
        <w:rPr>
          <w:rFonts w:hint="eastAsia"/>
          <w:color w:val="000000"/>
          <w:sz w:val="24"/>
          <w:highlight w:val="none"/>
          <w:lang w:eastAsia="zh-CN"/>
        </w:rPr>
        <w:t>m</w:t>
      </w:r>
      <w:r>
        <w:rPr>
          <w:rFonts w:hint="eastAsia"/>
          <w:color w:val="000000"/>
          <w:sz w:val="24"/>
          <w:highlight w:val="none"/>
          <w:vertAlign w:val="superscript"/>
          <w:lang w:eastAsia="zh-CN"/>
        </w:rPr>
        <w:t>3</w:t>
      </w:r>
      <w:r>
        <w:rPr>
          <w:rFonts w:hint="eastAsia"/>
          <w:color w:val="000000"/>
          <w:sz w:val="24"/>
          <w:highlight w:val="none"/>
          <w:lang w:eastAsia="zh-CN"/>
        </w:rPr>
        <w:t>/a，COD产生量为1763.01t/a，</w:t>
      </w:r>
      <w:r>
        <w:rPr>
          <w:rFonts w:ascii="Times New Roman" w:hAnsi="Times New Roman"/>
          <w:color w:val="000000"/>
          <w:sz w:val="24"/>
          <w:highlight w:val="none"/>
        </w:rPr>
        <w:t>因此本项目全年沼气产生量</w:t>
      </w:r>
      <w:r>
        <w:rPr>
          <w:rFonts w:hint="eastAsia" w:ascii="Times New Roman" w:hAnsi="Times New Roman"/>
          <w:color w:val="000000"/>
          <w:sz w:val="24"/>
          <w:highlight w:val="none"/>
        </w:rPr>
        <w:t>350398.2</w:t>
      </w:r>
      <w:r>
        <w:rPr>
          <w:rFonts w:hint="eastAsia"/>
          <w:color w:val="000000"/>
          <w:sz w:val="24"/>
          <w:highlight w:val="none"/>
          <w:lang w:val="en-US" w:eastAsia="zh-CN"/>
        </w:rPr>
        <w:t>4</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/a。</w:t>
      </w:r>
    </w:p>
    <w:p>
      <w:pPr>
        <w:keepNext w:val="0"/>
        <w:keepLines w:val="0"/>
        <w:pageBreakBefore w:val="0"/>
        <w:kinsoku/>
        <w:wordWrap/>
        <w:overflowPunct/>
        <w:topLinePunct w:val="0"/>
        <w:bidi w:val="0"/>
        <w:adjustRightInd/>
        <w:snapToGrid/>
        <w:spacing w:line="360" w:lineRule="auto"/>
        <w:ind w:firstLine="480" w:firstLineChars="200"/>
        <w:textAlignment w:val="auto"/>
        <w:rPr>
          <w:rFonts w:ascii="Times New Roman" w:hAnsi="Times New Roman"/>
          <w:bCs/>
          <w:sz w:val="24"/>
          <w:szCs w:val="24"/>
          <w:highlight w:val="none"/>
        </w:rPr>
      </w:pPr>
      <w:r>
        <w:rPr>
          <w:rFonts w:ascii="Times New Roman" w:hAnsi="Times New Roman"/>
          <w:bCs/>
          <w:sz w:val="24"/>
          <w:szCs w:val="24"/>
          <w:highlight w:val="none"/>
        </w:rPr>
        <w:t>沼气收集、净化工艺如图</w:t>
      </w:r>
      <w:r>
        <w:rPr>
          <w:rFonts w:hint="eastAsia"/>
          <w:bCs/>
          <w:sz w:val="24"/>
          <w:szCs w:val="24"/>
          <w:highlight w:val="none"/>
          <w:lang w:val="en-US" w:eastAsia="zh-CN"/>
        </w:rPr>
        <w:t>2.9</w:t>
      </w:r>
      <w:r>
        <w:rPr>
          <w:rFonts w:ascii="Times New Roman" w:hAnsi="Times New Roman"/>
          <w:bCs/>
          <w:sz w:val="24"/>
          <w:szCs w:val="24"/>
          <w:highlight w:val="none"/>
        </w:rPr>
        <w:t>-</w:t>
      </w:r>
      <w:r>
        <w:rPr>
          <w:rFonts w:hint="eastAsia" w:ascii="Times New Roman" w:hAnsi="Times New Roman"/>
          <w:bCs/>
          <w:sz w:val="24"/>
          <w:szCs w:val="24"/>
          <w:highlight w:val="none"/>
        </w:rPr>
        <w:t>6</w:t>
      </w:r>
      <w:r>
        <w:rPr>
          <w:rFonts w:ascii="Times New Roman" w:hAnsi="Times New Roman"/>
          <w:bCs/>
          <w:sz w:val="24"/>
          <w:szCs w:val="24"/>
          <w:highlight w:val="none"/>
        </w:rPr>
        <w:t>。</w:t>
      </w:r>
    </w:p>
    <w:p>
      <w:pPr>
        <w:pStyle w:val="10"/>
        <w:keepNext w:val="0"/>
        <w:keepLines w:val="0"/>
        <w:pageBreakBefore w:val="0"/>
        <w:kinsoku/>
        <w:wordWrap/>
        <w:overflowPunct/>
        <w:topLinePunct w:val="0"/>
        <w:bidi w:val="0"/>
        <w:spacing w:line="360" w:lineRule="auto"/>
        <w:textAlignment w:val="auto"/>
        <w:rPr>
          <w:rFonts w:hint="eastAsia"/>
          <w:highlight w:val="none"/>
          <w:lang w:val="en-US" w:eastAsia="zh-CN"/>
        </w:rPr>
      </w:pPr>
      <w:r>
        <w:rPr>
          <w:highlight w:val="none"/>
        </w:rPr>
        <w:drawing>
          <wp:inline distT="0" distB="0" distL="114300" distR="114300">
            <wp:extent cx="5124450" cy="1447800"/>
            <wp:effectExtent l="0" t="0" r="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7"/>
                    <a:stretch>
                      <a:fillRect/>
                    </a:stretch>
                  </pic:blipFill>
                  <pic:spPr>
                    <a:xfrm>
                      <a:off x="0" y="0"/>
                      <a:ext cx="5124450" cy="1447800"/>
                    </a:xfrm>
                    <a:prstGeom prst="rect">
                      <a:avLst/>
                    </a:prstGeom>
                    <a:noFill/>
                    <a:ln>
                      <a:noFill/>
                    </a:ln>
                  </pic:spPr>
                </pic:pic>
              </a:graphicData>
            </a:graphic>
          </wp:inline>
        </w:drawing>
      </w:r>
    </w:p>
    <w:p>
      <w:pPr>
        <w:pStyle w:val="10"/>
        <w:numPr>
          <w:ilvl w:val="0"/>
          <w:numId w:val="0"/>
        </w:numPr>
        <w:jc w:val="center"/>
        <w:rPr>
          <w:rFonts w:hint="default"/>
          <w:sz w:val="21"/>
          <w:szCs w:val="21"/>
          <w:highlight w:val="none"/>
          <w:lang w:val="en-US"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ascii="Times New Roman" w:hAnsi="Times New Roman"/>
          <w:szCs w:val="22"/>
          <w:highlight w:val="none"/>
          <w:lang w:val="en-US" w:eastAsia="zh-CN"/>
        </w:rPr>
        <w:t>6</w:t>
      </w:r>
      <w:r>
        <w:rPr>
          <w:rStyle w:val="43"/>
          <w:rFonts w:hint="eastAsia" w:ascii="Times New Roman" w:hAnsi="Times New Roman"/>
          <w:szCs w:val="22"/>
          <w:highlight w:val="none"/>
          <w:lang w:eastAsia="zh-CN"/>
        </w:rPr>
        <w:t xml:space="preserve"> 沼气利用流程及产污环节图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沼气经过脱硫装置脱硫，其目的是净化沼气，净化后的沼气进入后续沼气利用系统。</w:t>
      </w:r>
    </w:p>
    <w:p>
      <w:pPr>
        <w:spacing w:line="520" w:lineRule="exact"/>
        <w:ind w:firstLine="480" w:firstLineChars="200"/>
        <w:rPr>
          <w:rFonts w:ascii="Times New Roman" w:hAnsi="Times New Roman"/>
          <w:bCs/>
          <w:color w:val="auto"/>
          <w:sz w:val="24"/>
          <w:szCs w:val="24"/>
          <w:highlight w:val="none"/>
        </w:rPr>
      </w:pPr>
      <w:r>
        <w:rPr>
          <w:rFonts w:ascii="Times New Roman" w:hAnsi="Times New Roman"/>
          <w:bCs/>
          <w:color w:val="auto"/>
          <w:sz w:val="24"/>
          <w:szCs w:val="24"/>
          <w:highlight w:val="none"/>
        </w:rPr>
        <w:t>（1）脱水脱硫器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根据沼气技术培训资料及大理州农科院《沼气的主要成分及用途》，沼气中H</w:t>
      </w:r>
      <w:r>
        <w:rPr>
          <w:rFonts w:ascii="Times New Roman" w:hAnsi="Times New Roman"/>
          <w:color w:val="auto"/>
          <w:sz w:val="24"/>
          <w:highlight w:val="none"/>
          <w:vertAlign w:val="subscript"/>
        </w:rPr>
        <w:t>2</w:t>
      </w:r>
      <w:r>
        <w:rPr>
          <w:rFonts w:ascii="Times New Roman" w:hAnsi="Times New Roman"/>
          <w:color w:val="auto"/>
          <w:sz w:val="24"/>
          <w:highlight w:val="none"/>
        </w:rPr>
        <w:t>S平均含量为0.034%。沼气需要进行脱硫处理，以防止对沼气输送管道的腐蚀影响。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本项目脱硫剂为氧化铁，采用常温Fe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干式脱硫法。将Fe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屑（或粉）和木屑混合制成脱硫剂，以湿态（含水40%左右）填充于脱硫装置内。Fe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脱硫剂为条状多孔结构固体，对H</w:t>
      </w:r>
      <w:r>
        <w:rPr>
          <w:rFonts w:ascii="Times New Roman" w:hAnsi="Times New Roman"/>
          <w:color w:val="auto"/>
          <w:sz w:val="24"/>
          <w:highlight w:val="none"/>
          <w:vertAlign w:val="subscript"/>
        </w:rPr>
        <w:t>2</w:t>
      </w:r>
      <w:r>
        <w:rPr>
          <w:rFonts w:ascii="Times New Roman" w:hAnsi="Times New Roman"/>
          <w:color w:val="auto"/>
          <w:sz w:val="24"/>
          <w:highlight w:val="none"/>
        </w:rPr>
        <w:t>S能进行快速的不可逆化学吸附，数秒内可将 H</w:t>
      </w:r>
      <w:r>
        <w:rPr>
          <w:rFonts w:ascii="Times New Roman" w:hAnsi="Times New Roman"/>
          <w:color w:val="auto"/>
          <w:sz w:val="24"/>
          <w:highlight w:val="none"/>
          <w:vertAlign w:val="subscript"/>
        </w:rPr>
        <w:t>2</w:t>
      </w:r>
      <w:r>
        <w:rPr>
          <w:rFonts w:ascii="Times New Roman" w:hAnsi="Times New Roman"/>
          <w:color w:val="auto"/>
          <w:sz w:val="24"/>
          <w:highlight w:val="none"/>
        </w:rPr>
        <w:t>S脱除到1×10</w:t>
      </w:r>
      <w:r>
        <w:rPr>
          <w:rFonts w:ascii="Times New Roman" w:hAnsi="Times New Roman"/>
          <w:color w:val="auto"/>
          <w:sz w:val="24"/>
          <w:highlight w:val="none"/>
          <w:vertAlign w:val="superscript"/>
        </w:rPr>
        <w:t>- 6</w:t>
      </w:r>
      <w:r>
        <w:rPr>
          <w:rFonts w:ascii="Times New Roman" w:hAnsi="Times New Roman"/>
          <w:color w:val="auto"/>
          <w:sz w:val="24"/>
          <w:highlight w:val="none"/>
        </w:rPr>
        <w:t>以下。当沼气通过时，经如下反应，达到脱硫目的：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1423670</wp:posOffset>
                </wp:positionH>
                <wp:positionV relativeFrom="paragraph">
                  <wp:posOffset>155575</wp:posOffset>
                </wp:positionV>
                <wp:extent cx="252730" cy="635"/>
                <wp:effectExtent l="0" t="37465" r="13970" b="38100"/>
                <wp:wrapNone/>
                <wp:docPr id="416" name="直接箭头连接符 416"/>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1pt;margin-top:12.25pt;height:0.05pt;width:19.9pt;z-index:251749376;mso-width-relative:page;mso-height-relative:page;" filled="f" stroked="t" coordsize="21600,21600" o:gfxdata="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nKy/2QAAAAkBAAAPAAAAAAAAAAEAIAAAACIAAABkcnMvZG93bnJl&#10;di54bWxQSwECFAAUAAAACACHTuJAYjCKIPwBAACxAwAADgAAAAAAAAABACAAAAAoAQAAZHJzL2Uy&#10;b0RvYy54bWxQSwUGAAAAAAYABgBZAQAAlgUAAA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Fe</w:t>
      </w:r>
      <w:r>
        <w:rPr>
          <w:rFonts w:ascii="Times New Roman" w:hAnsi="Times New Roman"/>
          <w:color w:val="auto"/>
          <w:sz w:val="24"/>
          <w:highlight w:val="none"/>
          <w:vertAlign w:val="subscript"/>
        </w:rPr>
        <w:t>2</w:t>
      </w:r>
      <w:r>
        <w:rPr>
          <w:rFonts w:ascii="Times New Roman" w:hAnsi="Times New Roman"/>
          <w:color w:val="auto"/>
          <w:sz w:val="24"/>
          <w:highlight w:val="none"/>
        </w:rPr>
        <w:t>S</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1428115</wp:posOffset>
                </wp:positionH>
                <wp:positionV relativeFrom="paragraph">
                  <wp:posOffset>164465</wp:posOffset>
                </wp:positionV>
                <wp:extent cx="252730" cy="635"/>
                <wp:effectExtent l="0" t="37465" r="13970" b="38100"/>
                <wp:wrapNone/>
                <wp:docPr id="415" name="直接箭头连接符 415"/>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45pt;margin-top:12.95pt;height:0.05pt;width:19.9pt;z-index:251751424;mso-width-relative:page;mso-height-relative:page;" filled="f" stroked="t" coordsize="21600,21600" o:gfxdata="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tQjBtkAAAAJAQAADwAAAAAAAAABACAAAAAiAAAAZHJzL2Rvd25y&#10;ZXYueG1sUEsBAhQAFAAAAAgAh07iQNGiBhD9AQAAsQMAAA4AAAAAAAAAAQAgAAAAKAEAAGRycy9l&#10;Mm9Eb2MueG1sUEsFBgAAAAAGAAYAWQEAAJcFAAAA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2FeS+S+4H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脱硫剂工作一定时间后，其活性会逐渐下降，脱硫效果逐渐变差。当脱硫装置出口沼气中H</w:t>
      </w:r>
      <w:r>
        <w:rPr>
          <w:rFonts w:ascii="Times New Roman" w:hAnsi="Times New Roman"/>
          <w:color w:val="auto"/>
          <w:sz w:val="24"/>
          <w:highlight w:val="none"/>
          <w:vertAlign w:val="subscript"/>
        </w:rPr>
        <w:t>2</w:t>
      </w:r>
      <w:r>
        <w:rPr>
          <w:rFonts w:ascii="Times New Roman" w:hAnsi="Times New Roman"/>
          <w:color w:val="auto"/>
          <w:sz w:val="24"/>
          <w:highlight w:val="none"/>
        </w:rPr>
        <w:t>S的含量超过20mg·m</w:t>
      </w:r>
      <w:r>
        <w:rPr>
          <w:rFonts w:ascii="Times New Roman" w:hAnsi="Times New Roman"/>
          <w:color w:val="auto"/>
          <w:sz w:val="24"/>
          <w:highlight w:val="none"/>
          <w:vertAlign w:val="superscript"/>
        </w:rPr>
        <w:t>-3</w:t>
      </w:r>
      <w:r>
        <w:rPr>
          <w:rFonts w:ascii="Times New Roman" w:hAnsi="Times New Roman"/>
          <w:color w:val="auto"/>
          <w:sz w:val="24"/>
          <w:highlight w:val="none"/>
        </w:rPr>
        <w:t>时，就需要对脱硫剂进行处理。若脱硫剂硫容超过30%时，就要更新脱硫剂。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同时经类比同规模养殖场污水处理设施竣工环保验收监测，经采用专用沼气脱硫剂脱硫后，硫去除率可达到85%以上，经核算沼气净化后H</w:t>
      </w:r>
      <w:r>
        <w:rPr>
          <w:rFonts w:ascii="Times New Roman" w:hAnsi="Times New Roman"/>
          <w:color w:val="auto"/>
          <w:sz w:val="24"/>
          <w:highlight w:val="none"/>
          <w:vertAlign w:val="subscript"/>
        </w:rPr>
        <w:t>2</w:t>
      </w:r>
      <w:r>
        <w:rPr>
          <w:rFonts w:ascii="Times New Roman" w:hAnsi="Times New Roman"/>
          <w:color w:val="auto"/>
          <w:sz w:val="24"/>
          <w:highlight w:val="none"/>
        </w:rPr>
        <w:t>S含量不高于</w:t>
      </w:r>
      <w:r>
        <w:rPr>
          <w:rFonts w:hint="eastAsia" w:ascii="Times New Roman" w:hAnsi="Times New Roman"/>
          <w:color w:val="auto"/>
          <w:sz w:val="24"/>
          <w:highlight w:val="none"/>
          <w:lang w:val="en-US" w:eastAsia="zh-CN"/>
        </w:rPr>
        <w:t>20</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。一般储气装置设计时，采取有防腐措施，经脱硫处理后的沼气不会对储气装置产生大的腐蚀影响，即其因腐蚀导致沼气泄露的可能性很小。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）沼气用途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2"/>
          <w:highlight w:val="none"/>
          <w:u w:val="none"/>
          <w:lang w:val="en-US" w:eastAsia="zh-CN"/>
        </w:rPr>
      </w:pPr>
      <w:r>
        <w:rPr>
          <w:rFonts w:hint="eastAsia"/>
          <w:highlight w:val="none"/>
          <w:lang w:eastAsia="zh-CN"/>
        </w:rPr>
        <w:t>项目全年沼气产生量350398.24m</w:t>
      </w:r>
      <w:r>
        <w:rPr>
          <w:rFonts w:hint="eastAsia"/>
          <w:highlight w:val="none"/>
          <w:vertAlign w:val="superscript"/>
          <w:lang w:eastAsia="zh-CN"/>
        </w:rPr>
        <w:t>3</w:t>
      </w:r>
      <w:r>
        <w:rPr>
          <w:rFonts w:hint="eastAsia"/>
          <w:highlight w:val="none"/>
          <w:lang w:eastAsia="zh-CN"/>
        </w:rPr>
        <w:t>/a，主要用于食堂及饲料线锅炉用。</w:t>
      </w:r>
      <w:r>
        <w:rPr>
          <w:rFonts w:ascii="Times New Roman" w:hAnsi="Times New Roman" w:cs="Times New Roman"/>
          <w:b w:val="0"/>
          <w:bCs/>
          <w:color w:val="auto"/>
          <w:sz w:val="24"/>
          <w:szCs w:val="22"/>
          <w:highlight w:val="none"/>
          <w:u w:val="none"/>
        </w:rPr>
        <w:t>经查阅相关资料，项目职工食堂人均用沼气量按1.28m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/d，项目劳动定</w:t>
      </w:r>
      <w:r>
        <w:rPr>
          <w:rFonts w:hint="eastAsia" w:ascii="Times New Roman" w:hAnsi="Times New Roman" w:cs="Times New Roman"/>
          <w:b w:val="0"/>
          <w:bCs/>
          <w:color w:val="auto"/>
          <w:sz w:val="24"/>
          <w:szCs w:val="22"/>
          <w:highlight w:val="none"/>
          <w:u w:val="none"/>
          <w:lang w:val="en-US" w:eastAsia="zh-CN"/>
        </w:rPr>
        <w:t>90</w:t>
      </w:r>
      <w:r>
        <w:rPr>
          <w:rFonts w:ascii="Times New Roman" w:hAnsi="Times New Roman" w:cs="Times New Roman"/>
          <w:b w:val="0"/>
          <w:bCs/>
          <w:color w:val="auto"/>
          <w:sz w:val="24"/>
          <w:szCs w:val="22"/>
          <w:highlight w:val="none"/>
          <w:u w:val="none"/>
        </w:rPr>
        <w:t>人，项目食堂灶台沼气用量为</w:t>
      </w:r>
      <w:r>
        <w:rPr>
          <w:rFonts w:hint="eastAsia" w:ascii="Times New Roman" w:hAnsi="Times New Roman" w:cs="Times New Roman"/>
          <w:b w:val="0"/>
          <w:bCs/>
          <w:color w:val="auto"/>
          <w:sz w:val="24"/>
          <w:szCs w:val="22"/>
          <w:highlight w:val="none"/>
          <w:u w:val="none"/>
          <w:lang w:val="en-US" w:eastAsia="zh-CN"/>
        </w:rPr>
        <w:t>115.2</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w:t>
      </w:r>
      <w:r>
        <w:rPr>
          <w:rFonts w:hint="eastAsia" w:ascii="Times New Roman" w:hAnsi="Times New Roman" w:cs="Times New Roman"/>
          <w:b w:val="0"/>
          <w:bCs/>
          <w:color w:val="auto"/>
          <w:sz w:val="24"/>
          <w:szCs w:val="22"/>
          <w:highlight w:val="none"/>
          <w:u w:val="none"/>
          <w:lang w:eastAsia="zh-CN"/>
        </w:rPr>
        <w:t>、</w:t>
      </w:r>
      <w:r>
        <w:rPr>
          <w:rFonts w:hint="eastAsia" w:ascii="Times New Roman" w:hAnsi="Times New Roman" w:cs="Times New Roman"/>
          <w:b w:val="0"/>
          <w:bCs/>
          <w:color w:val="auto"/>
          <w:sz w:val="24"/>
          <w:szCs w:val="22"/>
          <w:highlight w:val="none"/>
          <w:u w:val="none"/>
          <w:lang w:val="en-US" w:eastAsia="zh-CN"/>
        </w:rPr>
        <w:t>42048</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；饲料生产线锅炉燃烧所需天然气量为</w:t>
      </w:r>
      <w:r>
        <w:rPr>
          <w:rFonts w:hint="eastAsia" w:cs="Times New Roman"/>
          <w:b w:val="0"/>
          <w:bCs/>
          <w:color w:val="auto"/>
          <w:sz w:val="24"/>
          <w:szCs w:val="22"/>
          <w:highlight w:val="none"/>
          <w:u w:val="none"/>
          <w:lang w:val="en-US" w:eastAsia="zh-CN"/>
        </w:rPr>
        <w:t>60万</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。由于沼气热值是天然气的一半，所以饲料生产线锅炉燃烧可用沼气量为308350.24</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，还需要使用天然气445824.894</w:t>
      </w:r>
      <w:r>
        <w:rPr>
          <w:rFonts w:ascii="Times New Roman" w:hAnsi="Times New Roman"/>
          <w:bCs/>
          <w:color w:val="000000"/>
          <w:sz w:val="24"/>
          <w:highlight w:val="none"/>
        </w:rPr>
        <w:t>m</w:t>
      </w:r>
      <w:r>
        <w:rPr>
          <w:rFonts w:ascii="Times New Roman" w:hAnsi="Times New Roman"/>
          <w:bCs/>
          <w:color w:val="000000"/>
          <w:sz w:val="24"/>
          <w:highlight w:val="none"/>
          <w:vertAlign w:val="superscript"/>
        </w:rPr>
        <w:t>3</w:t>
      </w:r>
      <w:r>
        <w:rPr>
          <w:rFonts w:ascii="Times New Roman" w:hAnsi="Times New Roman"/>
          <w:bCs/>
          <w:color w:val="000000"/>
          <w:sz w:val="24"/>
          <w:highlight w:val="none"/>
        </w:rPr>
        <w:t>/a</w:t>
      </w:r>
      <w:r>
        <w:rPr>
          <w:rFonts w:hint="eastAsia" w:cs="Times New Roman"/>
          <w:b w:val="0"/>
          <w:bCs/>
          <w:color w:val="auto"/>
          <w:sz w:val="24"/>
          <w:szCs w:val="22"/>
          <w:highlight w:val="none"/>
          <w:u w:val="none"/>
          <w:lang w:eastAsia="zh-CN"/>
        </w:rPr>
        <w:t>。</w:t>
      </w:r>
    </w:p>
    <w:p>
      <w:pPr>
        <w:pStyle w:val="10"/>
        <w:keepNext w:val="0"/>
        <w:keepLines w:val="0"/>
        <w:pageBreakBefore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val="0"/>
          <w:bCs/>
          <w:color w:val="auto"/>
          <w:sz w:val="24"/>
          <w:szCs w:val="22"/>
          <w:highlight w:val="none"/>
          <w:u w:val="none"/>
          <w:lang w:val="en-US" w:eastAsia="zh-CN"/>
        </w:rPr>
      </w:pPr>
      <w:r>
        <w:rPr>
          <w:rFonts w:hint="eastAsia" w:ascii="Times New Roman" w:hAnsi="Times New Roman" w:cs="Times New Roman"/>
          <w:b w:val="0"/>
          <w:bCs/>
          <w:color w:val="auto"/>
          <w:sz w:val="24"/>
          <w:szCs w:val="22"/>
          <w:highlight w:val="none"/>
          <w:u w:val="none"/>
          <w:lang w:val="en-US" w:eastAsia="zh-CN"/>
        </w:rPr>
        <w:t>有机肥基料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hint="eastAsia" w:cs="Times New Roman"/>
          <w:sz w:val="24"/>
          <w:szCs w:val="22"/>
          <w:highlight w:val="none"/>
          <w:lang w:val="en-US" w:eastAsia="zh-CN"/>
        </w:rPr>
        <w:t>a、</w:t>
      </w:r>
      <w:r>
        <w:rPr>
          <w:rFonts w:ascii="Times New Roman" w:hAnsi="Times New Roman" w:cs="Times New Roman"/>
          <w:sz w:val="24"/>
          <w:szCs w:val="22"/>
          <w:highlight w:val="none"/>
        </w:rPr>
        <w:t>有机肥生产构筑物及设备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rFonts w:ascii="Times New Roman" w:hAnsi="Times New Roman" w:cs="Times New Roman"/>
          <w:sz w:val="24"/>
          <w:szCs w:val="24"/>
          <w:highlight w:val="none"/>
        </w:rPr>
        <w:t>场区拟建</w:t>
      </w:r>
      <w:r>
        <w:rPr>
          <w:rFonts w:hint="eastAsia" w:ascii="Times New Roman" w:hAnsi="Times New Roman" w:cs="Times New Roman"/>
          <w:sz w:val="24"/>
          <w:szCs w:val="24"/>
          <w:highlight w:val="none"/>
        </w:rPr>
        <w:t>固粪处理区</w:t>
      </w:r>
      <w:r>
        <w:rPr>
          <w:rFonts w:hint="eastAsia" w:cs="Times New Roman"/>
          <w:sz w:val="24"/>
          <w:szCs w:val="24"/>
          <w:highlight w:val="none"/>
          <w:lang w:val="en-US" w:eastAsia="zh-CN"/>
        </w:rPr>
        <w:t>2个</w:t>
      </w:r>
      <w:r>
        <w:rPr>
          <w:rFonts w:ascii="Times New Roman" w:hAnsi="Times New Roman" w:cs="Times New Roman"/>
          <w:sz w:val="24"/>
          <w:szCs w:val="24"/>
          <w:highlight w:val="none"/>
        </w:rPr>
        <w:t>，</w:t>
      </w:r>
      <w:r>
        <w:rPr>
          <w:rFonts w:hint="eastAsia" w:cs="Times New Roman"/>
          <w:sz w:val="24"/>
          <w:szCs w:val="24"/>
          <w:highlight w:val="none"/>
          <w:lang w:eastAsia="zh-CN"/>
        </w:rPr>
        <w:t>总</w:t>
      </w:r>
      <w:r>
        <w:rPr>
          <w:rFonts w:ascii="Times New Roman" w:hAnsi="Times New Roman" w:cs="Times New Roman"/>
          <w:sz w:val="24"/>
          <w:szCs w:val="24"/>
          <w:highlight w:val="none"/>
        </w:rPr>
        <w:t>占地面积</w:t>
      </w:r>
      <w:r>
        <w:rPr>
          <w:rFonts w:hint="eastAsia" w:cs="Times New Roman"/>
          <w:sz w:val="24"/>
          <w:szCs w:val="24"/>
          <w:highlight w:val="none"/>
          <w:lang w:val="en-US" w:eastAsia="zh-CN"/>
        </w:rPr>
        <w:t>112</w:t>
      </w:r>
      <w:r>
        <w:rPr>
          <w:rFonts w:ascii="Times New Roman" w:hAnsi="Times New Roman" w:cs="Times New Roman"/>
          <w:sz w:val="24"/>
          <w:szCs w:val="24"/>
          <w:highlight w:val="none"/>
        </w:rPr>
        <w:t>0m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，钢框架结构，半封闭车间设置顶棚，内部分为混料区、条垛发酵区、成品区。地面采用混凝土防渗，生产设备主要为铲车翻堆机1台。</w:t>
      </w:r>
    </w:p>
    <w:p>
      <w:pPr>
        <w:spacing w:line="500" w:lineRule="exact"/>
        <w:ind w:firstLine="482"/>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2</w:t>
      </w:r>
      <w:r>
        <w:rPr>
          <w:rFonts w:hint="eastAsia" w:ascii="Times New Roman" w:hAnsi="Times New Roman" w:eastAsia="宋体" w:cs="Times New Roman"/>
          <w:b/>
          <w:kern w:val="2"/>
          <w:sz w:val="21"/>
          <w:szCs w:val="24"/>
          <w:highlight w:val="none"/>
          <w:lang w:val="en-US" w:eastAsia="zh-CN" w:bidi="ar-SA"/>
        </w:rPr>
        <w:t>.</w:t>
      </w:r>
      <w:r>
        <w:rPr>
          <w:rFonts w:hint="eastAsia" w:cs="Times New Roman"/>
          <w:b/>
          <w:kern w:val="2"/>
          <w:sz w:val="21"/>
          <w:szCs w:val="24"/>
          <w:highlight w:val="none"/>
          <w:lang w:val="en-US" w:eastAsia="zh-CN" w:bidi="ar-SA"/>
        </w:rPr>
        <w:t>9</w:t>
      </w:r>
      <w:r>
        <w:rPr>
          <w:rFonts w:hint="eastAsia" w:ascii="Times New Roman" w:hAnsi="Times New Roman" w:eastAsia="宋体" w:cs="Times New Roman"/>
          <w:b/>
          <w:kern w:val="2"/>
          <w:sz w:val="21"/>
          <w:szCs w:val="24"/>
          <w:highlight w:val="none"/>
          <w:lang w:val="en-US" w:eastAsia="zh-CN" w:bidi="ar-SA"/>
        </w:rPr>
        <w:t>-2 固粪处理区构筑物及设备一览表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628"/>
        <w:gridCol w:w="1244"/>
        <w:gridCol w:w="830"/>
        <w:gridCol w:w="50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932" w:type="pct"/>
            <w:tcBorders>
              <w:top w:val="single" w:color="auto" w:sz="12" w:space="0"/>
              <w:left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项目</w:t>
            </w:r>
          </w:p>
        </w:tc>
        <w:tc>
          <w:tcPr>
            <w:tcW w:w="712" w:type="pct"/>
            <w:tcBorders>
              <w:top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规格（m</w:t>
            </w:r>
            <w:r>
              <w:rPr>
                <w:rFonts w:ascii="Times New Roman" w:hAnsi="Times New Roman" w:cs="Times New Roman"/>
                <w:sz w:val="21"/>
                <w:szCs w:val="21"/>
                <w:highlight w:val="none"/>
                <w:vertAlign w:val="superscript"/>
              </w:rPr>
              <w:t>2</w:t>
            </w:r>
            <w:r>
              <w:rPr>
                <w:rFonts w:ascii="Times New Roman" w:hAnsi="Times New Roman" w:cs="Times New Roman"/>
                <w:sz w:val="21"/>
                <w:szCs w:val="21"/>
                <w:highlight w:val="none"/>
              </w:rPr>
              <w:t>）</w:t>
            </w:r>
          </w:p>
        </w:tc>
        <w:tc>
          <w:tcPr>
            <w:tcW w:w="475" w:type="pct"/>
            <w:tcBorders>
              <w:top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数量</w:t>
            </w:r>
          </w:p>
        </w:tc>
        <w:tc>
          <w:tcPr>
            <w:tcW w:w="2879" w:type="pct"/>
            <w:tcBorders>
              <w:top w:val="single" w:color="auto" w:sz="12" w:space="0"/>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932" w:type="pct"/>
            <w:tcBorders>
              <w:left w:val="single" w:color="auto" w:sz="12" w:space="0"/>
            </w:tcBorders>
            <w:noWrap w:val="0"/>
            <w:vAlign w:val="center"/>
          </w:tcPr>
          <w:p>
            <w:pPr>
              <w:widowControl w:val="0"/>
              <w:spacing w:line="360" w:lineRule="exact"/>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固粪处理区</w:t>
            </w:r>
          </w:p>
        </w:tc>
        <w:tc>
          <w:tcPr>
            <w:tcW w:w="712" w:type="pct"/>
            <w:noWrap w:val="0"/>
            <w:vAlign w:val="center"/>
          </w:tcPr>
          <w:p>
            <w:pPr>
              <w:widowControl w:val="0"/>
              <w:spacing w:line="36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1120</w:t>
            </w:r>
          </w:p>
        </w:tc>
        <w:tc>
          <w:tcPr>
            <w:tcW w:w="475" w:type="pct"/>
            <w:noWrap w:val="0"/>
            <w:vAlign w:val="center"/>
          </w:tcPr>
          <w:p>
            <w:pPr>
              <w:widowControl w:val="0"/>
              <w:spacing w:line="360" w:lineRule="exact"/>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2个</w:t>
            </w:r>
          </w:p>
        </w:tc>
        <w:tc>
          <w:tcPr>
            <w:tcW w:w="2879" w:type="pct"/>
            <w:tcBorders>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地面铺设混凝土防渗，设置顶棚，三面设置围栏，每条垛宽约1.8m，高1.2~1.6m，发酵时间为15~30天</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932" w:type="pct"/>
            <w:tcBorders>
              <w:left w:val="single" w:color="auto" w:sz="12" w:space="0"/>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铲车翻堆机</w:t>
            </w:r>
          </w:p>
        </w:tc>
        <w:tc>
          <w:tcPr>
            <w:tcW w:w="712" w:type="pct"/>
            <w:tcBorders>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475" w:type="pct"/>
            <w:tcBorders>
              <w:bottom w:val="single" w:color="auto" w:sz="12" w:space="0"/>
            </w:tcBorders>
            <w:noWrap w:val="0"/>
            <w:vAlign w:val="center"/>
          </w:tcPr>
          <w:p>
            <w:pPr>
              <w:widowControl w:val="0"/>
              <w:spacing w:line="36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1台</w:t>
            </w:r>
          </w:p>
        </w:tc>
        <w:tc>
          <w:tcPr>
            <w:tcW w:w="2879" w:type="pct"/>
            <w:tcBorders>
              <w:bottom w:val="single" w:color="auto" w:sz="12" w:space="0"/>
              <w:right w:val="single" w:color="auto" w:sz="12" w:space="0"/>
            </w:tcBorders>
            <w:noWrap w:val="0"/>
            <w:vAlign w:val="center"/>
          </w:tcPr>
          <w:p>
            <w:pPr>
              <w:widowControl w:val="0"/>
              <w:spacing w:line="360" w:lineRule="exact"/>
              <w:ind w:firstLine="0" w:firstLineChars="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混合后的物料用铲车翻堆机在发酵区堆成条垛状，发酵期内每天翻堆一次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hint="eastAsia" w:cs="Times New Roman"/>
          <w:sz w:val="24"/>
          <w:szCs w:val="22"/>
          <w:highlight w:val="none"/>
          <w:lang w:val="en-US" w:eastAsia="zh-CN"/>
        </w:rPr>
        <w:t>b</w:t>
      </w:r>
      <w:r>
        <w:rPr>
          <w:rFonts w:hint="eastAsia" w:cs="Times New Roman"/>
          <w:sz w:val="24"/>
          <w:szCs w:val="22"/>
          <w:highlight w:val="none"/>
          <w:lang w:eastAsia="zh-CN"/>
        </w:rPr>
        <w:t>、</w:t>
      </w:r>
      <w:r>
        <w:rPr>
          <w:rFonts w:ascii="Times New Roman" w:hAnsi="Times New Roman" w:cs="Times New Roman"/>
          <w:sz w:val="24"/>
          <w:szCs w:val="22"/>
          <w:highlight w:val="none"/>
        </w:rPr>
        <w:t>堆肥工艺介绍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sz w:val="24"/>
          <w:szCs w:val="22"/>
          <w:highlight w:val="none"/>
        </w:rPr>
        <w:t>本</w:t>
      </w:r>
      <w:r>
        <w:rPr>
          <w:rFonts w:ascii="Times New Roman" w:hAnsi="Times New Roman" w:cs="Times New Roman"/>
          <w:bCs/>
          <w:sz w:val="24"/>
          <w:szCs w:val="24"/>
          <w:highlight w:val="none"/>
        </w:rPr>
        <w:t>项目采用改良后的条垛堆肥工艺进行粪污堆肥处理，处理工艺如下：</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原料预处理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牧原公司对猪粪堆肥的C/N比设为28，本项目利用比较廉价且有机物含量高、吸附能力强的谷糠为辅料进行碳氮比调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场区运营初期产生的新鲜猪粪经晾晒后，添加菌种进行发酵；后续产生的新鲜猪粪与初期产生的半成品有机肥混合发酵。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（2）发酵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2"/>
          <w:highlight w:val="none"/>
        </w:rPr>
      </w:pPr>
      <w:r>
        <w:rPr>
          <w:rFonts w:ascii="Times New Roman" w:hAnsi="Times New Roman" w:cs="Times New Roman"/>
          <w:bCs/>
          <w:sz w:val="24"/>
          <w:szCs w:val="22"/>
          <w:highlight w:val="none"/>
        </w:rPr>
        <w:t>本项目发酵为好氧发酵，夏季发酵时间为15-20天，冬季发酵时间为25-30天。好氧发酵充氧条件由翻堆机翻拋实现。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sz w:val="24"/>
          <w:szCs w:val="24"/>
          <w:highlight w:val="none"/>
        </w:rPr>
        <w:t>混合后的物料用铲车翻堆机在发酵区堆成条垛状，条垛每条宽约1.8m，高1.2~1.6m。</w:t>
      </w:r>
      <w:r>
        <w:rPr>
          <w:rFonts w:ascii="Times New Roman" w:hAnsi="Times New Roman" w:cs="Times New Roman"/>
          <w:bCs/>
          <w:color w:val="000000"/>
          <w:sz w:val="24"/>
          <w:szCs w:val="22"/>
          <w:highlight w:val="none"/>
        </w:rPr>
        <w:t>发酵过程为好氧发酵，通过铲车堆垛翻抛，每天一次。</w:t>
      </w:r>
      <w:r>
        <w:rPr>
          <w:rFonts w:ascii="Times New Roman" w:hAnsi="Times New Roman" w:cs="Times New Roman"/>
          <w:bCs/>
          <w:sz w:val="24"/>
          <w:szCs w:val="24"/>
          <w:highlight w:val="none"/>
        </w:rPr>
        <w:t>堆体在1~3天内温度上升至25~45</w:t>
      </w:r>
      <w:r>
        <w:rPr>
          <w:rFonts w:hint="eastAsia" w:ascii="宋体" w:hAnsi="宋体" w:cs="宋体"/>
          <w:bCs/>
          <w:sz w:val="24"/>
          <w:szCs w:val="24"/>
          <w:highlight w:val="none"/>
        </w:rPr>
        <w:t>℃</w:t>
      </w:r>
      <w:r>
        <w:rPr>
          <w:rFonts w:ascii="Times New Roman" w:hAnsi="Times New Roman" w:cs="Times New Roman"/>
          <w:bCs/>
          <w:sz w:val="24"/>
          <w:szCs w:val="24"/>
          <w:highlight w:val="none"/>
        </w:rPr>
        <w:t>，堆体温度达到60~70</w:t>
      </w:r>
      <w:r>
        <w:rPr>
          <w:rFonts w:hint="eastAsia" w:ascii="宋体" w:hAnsi="宋体" w:cs="宋体"/>
          <w:bCs/>
          <w:sz w:val="24"/>
          <w:szCs w:val="24"/>
          <w:highlight w:val="none"/>
        </w:rPr>
        <w:t>℃</w:t>
      </w:r>
      <w:r>
        <w:rPr>
          <w:rFonts w:ascii="Times New Roman" w:hAnsi="Times New Roman" w:cs="Times New Roman"/>
          <w:bCs/>
          <w:sz w:val="24"/>
          <w:szCs w:val="24"/>
          <w:highlight w:val="none"/>
        </w:rPr>
        <w:t>后发酵稳定，</w:t>
      </w:r>
      <w:r>
        <w:rPr>
          <w:rFonts w:ascii="Times New Roman" w:hAnsi="Times New Roman" w:cs="Times New Roman"/>
          <w:bCs/>
          <w:color w:val="000000"/>
          <w:sz w:val="24"/>
          <w:szCs w:val="22"/>
          <w:highlight w:val="none"/>
        </w:rPr>
        <w:t>物料中纤维素和半纤维素也开始分解，腐殖质开始形成。堆体温度最高能达到80</w:t>
      </w:r>
      <w:r>
        <w:rPr>
          <w:rFonts w:hint="eastAsia" w:ascii="宋体" w:hAnsi="宋体" w:cs="宋体"/>
          <w:bCs/>
          <w:color w:val="000000"/>
          <w:sz w:val="24"/>
          <w:szCs w:val="22"/>
          <w:highlight w:val="none"/>
        </w:rPr>
        <w:t>℃</w:t>
      </w:r>
      <w:r>
        <w:rPr>
          <w:rFonts w:ascii="Times New Roman" w:hAnsi="Times New Roman" w:cs="Times New Roman"/>
          <w:bCs/>
          <w:color w:val="000000"/>
          <w:sz w:val="24"/>
          <w:szCs w:val="22"/>
          <w:highlight w:val="none"/>
        </w:rPr>
        <w:t>，充分发酵后温度逐步降低。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根据牧原食品股份有限公司日常统计数据可知，翻抛的同时可将物料充分混合均匀，经一次发酵后的物料含水率由80%降至40%。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本项目堆肥发酵过程分为4个阶段：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①</w:t>
      </w:r>
      <w:r>
        <w:rPr>
          <w:rFonts w:ascii="Times New Roman" w:hAnsi="Times New Roman" w:cs="Times New Roman"/>
          <w:bCs/>
          <w:sz w:val="24"/>
          <w:szCs w:val="24"/>
          <w:highlight w:val="none"/>
        </w:rPr>
        <w:t>升温阶段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堆肥初期，条垛内温度逐步从环境温度上升到45</w:t>
      </w:r>
      <w:r>
        <w:rPr>
          <w:rFonts w:hint="eastAsia" w:ascii="宋体" w:hAnsi="宋体" w:cs="宋体"/>
          <w:bCs/>
          <w:sz w:val="24"/>
          <w:szCs w:val="24"/>
          <w:highlight w:val="none"/>
        </w:rPr>
        <w:t>℃</w:t>
      </w:r>
      <w:r>
        <w:rPr>
          <w:rFonts w:ascii="Times New Roman" w:hAnsi="Times New Roman" w:cs="Times New Roman"/>
          <w:bCs/>
          <w:sz w:val="24"/>
          <w:szCs w:val="24"/>
          <w:highlight w:val="none"/>
        </w:rPr>
        <w:t>左右，主导微生物以嗜温性微生物为主，包括细菌、真菌和放线菌，分解底物以糖类和淀粉为主，期间能发现真菌的子实体，也有动物及原生动物参与分解。夏季升温阶段3-5天，冬季7-8天。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②</w:t>
      </w:r>
      <w:r>
        <w:rPr>
          <w:rFonts w:ascii="Times New Roman" w:hAnsi="Times New Roman" w:cs="Times New Roman"/>
          <w:bCs/>
          <w:sz w:val="24"/>
          <w:szCs w:val="24"/>
          <w:highlight w:val="none"/>
        </w:rPr>
        <w:t>高温阶段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堆温升至45</w:t>
      </w:r>
      <w:r>
        <w:rPr>
          <w:rFonts w:hint="eastAsia" w:ascii="宋体" w:hAnsi="宋体" w:cs="宋体"/>
          <w:bCs/>
          <w:sz w:val="24"/>
          <w:szCs w:val="24"/>
          <w:highlight w:val="none"/>
        </w:rPr>
        <w:t>℃</w:t>
      </w:r>
      <w:r>
        <w:rPr>
          <w:rFonts w:ascii="Times New Roman" w:hAnsi="Times New Roman" w:cs="Times New Roman"/>
          <w:bCs/>
          <w:sz w:val="24"/>
          <w:szCs w:val="24"/>
          <w:highlight w:val="none"/>
        </w:rPr>
        <w:t>以上即进入高温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w:t>
      </w:r>
      <w:r>
        <w:rPr>
          <w:rFonts w:hint="eastAsia" w:ascii="宋体" w:hAnsi="宋体" w:cs="宋体"/>
          <w:bCs/>
          <w:sz w:val="24"/>
          <w:szCs w:val="24"/>
          <w:highlight w:val="none"/>
        </w:rPr>
        <w:t>℃</w:t>
      </w:r>
      <w:r>
        <w:rPr>
          <w:rFonts w:ascii="Times New Roman" w:hAnsi="Times New Roman" w:cs="Times New Roman"/>
          <w:bCs/>
          <w:sz w:val="24"/>
          <w:szCs w:val="24"/>
          <w:highlight w:val="none"/>
        </w:rPr>
        <w:t>左右时最活跃的是嗜热性真菌和放线菌，温度上升到60</w:t>
      </w:r>
      <w:r>
        <w:rPr>
          <w:rFonts w:hint="eastAsia" w:ascii="宋体" w:hAnsi="宋体" w:cs="宋体"/>
          <w:bCs/>
          <w:sz w:val="24"/>
          <w:szCs w:val="24"/>
          <w:highlight w:val="none"/>
        </w:rPr>
        <w:t>℃</w:t>
      </w:r>
      <w:r>
        <w:rPr>
          <w:rFonts w:ascii="Times New Roman" w:hAnsi="Times New Roman" w:cs="Times New Roman"/>
          <w:bCs/>
          <w:sz w:val="24"/>
          <w:szCs w:val="24"/>
          <w:highlight w:val="none"/>
        </w:rPr>
        <w:t>时真菌几乎完全停止活动，仅有嗜热性细菌和放线菌活动，温度升到70</w:t>
      </w:r>
      <w:r>
        <w:rPr>
          <w:rFonts w:hint="eastAsia" w:ascii="宋体" w:hAnsi="宋体" w:cs="宋体"/>
          <w:bCs/>
          <w:sz w:val="24"/>
          <w:szCs w:val="24"/>
          <w:highlight w:val="none"/>
        </w:rPr>
        <w:t>℃</w:t>
      </w:r>
      <w:r>
        <w:rPr>
          <w:rFonts w:ascii="Times New Roman" w:hAnsi="Times New Roman" w:cs="Times New Roman"/>
          <w:bCs/>
          <w:sz w:val="24"/>
          <w:szCs w:val="24"/>
          <w:highlight w:val="none"/>
        </w:rPr>
        <w:t>时大多数嗜热性微生物已不再适应，并大批进入休眠和死亡阶段。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牧原食品股份有限公司采用现代化的工艺生产有机肥</w:t>
      </w:r>
      <w:r>
        <w:rPr>
          <w:rFonts w:hint="eastAsia" w:cs="Times New Roman"/>
          <w:bCs/>
          <w:sz w:val="24"/>
          <w:szCs w:val="24"/>
          <w:highlight w:val="none"/>
          <w:lang w:eastAsia="zh-CN"/>
        </w:rPr>
        <w:t>基料</w:t>
      </w:r>
      <w:r>
        <w:rPr>
          <w:rFonts w:ascii="Times New Roman" w:hAnsi="Times New Roman" w:cs="Times New Roman"/>
          <w:bCs/>
          <w:sz w:val="24"/>
          <w:szCs w:val="24"/>
          <w:highlight w:val="none"/>
        </w:rPr>
        <w:t>，最佳温度为55</w:t>
      </w:r>
      <w:r>
        <w:rPr>
          <w:rFonts w:hint="eastAsia" w:ascii="宋体" w:hAnsi="宋体" w:cs="宋体"/>
          <w:bCs/>
          <w:sz w:val="24"/>
          <w:szCs w:val="24"/>
          <w:highlight w:val="none"/>
        </w:rPr>
        <w:t>℃</w:t>
      </w:r>
      <w:r>
        <w:rPr>
          <w:rFonts w:ascii="Times New Roman" w:hAnsi="Times New Roman" w:cs="Times New Roman"/>
          <w:bCs/>
          <w:sz w:val="24"/>
          <w:szCs w:val="24"/>
          <w:highlight w:val="none"/>
        </w:rPr>
        <w:t>，这是因为大多数微生物在该温度范围内最活跃，最易分解有机物，而病原菌和寄生虫大多数可被杀死。夏季高温阶段2-3天，冬季6-8天。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③</w:t>
      </w:r>
      <w:r>
        <w:rPr>
          <w:rFonts w:ascii="Times New Roman" w:hAnsi="Times New Roman" w:cs="Times New Roman"/>
          <w:bCs/>
          <w:sz w:val="24"/>
          <w:szCs w:val="24"/>
          <w:highlight w:val="none"/>
        </w:rPr>
        <w:t>降温阶段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随着高温阶段微生物的死亡和活动减少，自然进入低温阶段。嗜温性微生物又开始占据优势，对残余较难分解的有机物作进一步的分解，但微生物活性普遍下降，堆体发热量减少，温度开始下降，有机物趋于稳定化，需氧量大大减少，堆肥进入腐熟或后熟阶段。夏季降温阶段8-10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hint="eastAsia" w:ascii="宋体" w:hAnsi="宋体" w:cs="宋体"/>
          <w:bCs/>
          <w:sz w:val="24"/>
          <w:szCs w:val="24"/>
          <w:highlight w:val="none"/>
        </w:rPr>
        <w:t>④</w:t>
      </w:r>
      <w:r>
        <w:rPr>
          <w:rFonts w:ascii="Times New Roman" w:hAnsi="Times New Roman" w:cs="Times New Roman"/>
          <w:bCs/>
          <w:sz w:val="24"/>
          <w:szCs w:val="24"/>
          <w:highlight w:val="none"/>
        </w:rPr>
        <w:t>腐熟保肥阶段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有机物大部分已经分解和稳定，温度下降，为了保持已形成的腐殖质和微量的氮、磷、钾肥等，要使腐熟的肥料保持平衡。堆肥腐熟后，体积缩小，堆温下降至稍高于气温，应将堆体压紧，有机成分处于厌氧条件下，以利于肥力的保存。夏季腐熟保肥阶段2-3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highlight w:val="none"/>
        </w:rPr>
      </w:pPr>
      <w:r>
        <w:rPr>
          <w:rFonts w:ascii="Times New Roman" w:hAnsi="Times New Roman" w:cs="Times New Roman"/>
          <w:bCs/>
          <w:sz w:val="24"/>
          <w:szCs w:val="24"/>
          <w:highlight w:val="none"/>
        </w:rPr>
        <w:t>发酵后的固体作为有机肥原料，</w:t>
      </w:r>
      <w:r>
        <w:rPr>
          <w:rFonts w:ascii="Times New Roman" w:hAnsi="Times New Roman" w:cs="Times New Roman"/>
          <w:sz w:val="24"/>
          <w:szCs w:val="24"/>
          <w:highlight w:val="none"/>
        </w:rPr>
        <w:t>经过腐熟度检测、质量检测、安全检测后</w:t>
      </w:r>
      <w:r>
        <w:rPr>
          <w:rFonts w:ascii="Times New Roman" w:hAnsi="Times New Roman" w:cs="Times New Roman"/>
          <w:bCs/>
          <w:sz w:val="24"/>
          <w:szCs w:val="24"/>
          <w:highlight w:val="none"/>
        </w:rPr>
        <w:t>进行装袋，外售。</w:t>
      </w:r>
      <w:r>
        <w:rPr>
          <w:rFonts w:ascii="Times New Roman" w:hAnsi="Times New Roman" w:cs="Times New Roman"/>
          <w:bCs/>
          <w:color w:val="000000"/>
          <w:sz w:val="24"/>
          <w:szCs w:val="22"/>
          <w:highlight w:val="none"/>
        </w:rPr>
        <w:t>产品满足《有机肥料》（NY525-2012）标准。</w:t>
      </w:r>
      <w:r>
        <w:rPr>
          <w:rFonts w:ascii="Times New Roman" w:hAnsi="Times New Roman" w:cs="Times New Roman"/>
          <w:sz w:val="24"/>
          <w:szCs w:val="24"/>
          <w:highlight w:val="none"/>
        </w:rPr>
        <w:t>有机肥工艺流程如图</w:t>
      </w:r>
      <w:r>
        <w:rPr>
          <w:rFonts w:hint="eastAsia" w:cs="Times New Roman"/>
          <w:sz w:val="24"/>
          <w:szCs w:val="24"/>
          <w:highlight w:val="none"/>
          <w:lang w:val="en-US" w:eastAsia="zh-CN"/>
        </w:rPr>
        <w:t>3.1</w:t>
      </w:r>
      <w:r>
        <w:rPr>
          <w:rFonts w:ascii="Times New Roman" w:hAnsi="Times New Roman" w:cs="Times New Roman"/>
          <w:sz w:val="24"/>
          <w:szCs w:val="24"/>
          <w:highlight w:val="none"/>
        </w:rPr>
        <w:t>-</w:t>
      </w:r>
      <w:r>
        <w:rPr>
          <w:rFonts w:hint="eastAsia" w:cs="Times New Roman"/>
          <w:sz w:val="24"/>
          <w:szCs w:val="24"/>
          <w:highlight w:val="none"/>
          <w:lang w:val="en-US" w:eastAsia="zh-CN"/>
        </w:rPr>
        <w:t>7</w:t>
      </w:r>
      <w:r>
        <w:rPr>
          <w:rFonts w:ascii="Times New Roman" w:hAnsi="Times New Roman" w:cs="Times New Roman"/>
          <w:sz w:val="24"/>
          <w:szCs w:val="24"/>
          <w:highlight w:val="none"/>
        </w:rPr>
        <w:t>所示。</w:t>
      </w:r>
    </w:p>
    <w:p>
      <w:pPr>
        <w:pStyle w:val="10"/>
        <w:rPr>
          <w:highlight w:val="none"/>
        </w:rPr>
      </w:pPr>
    </w:p>
    <w:p>
      <w:pPr>
        <w:pStyle w:val="10"/>
        <w:rPr>
          <w:highlight w:val="none"/>
        </w:rPr>
      </w:pPr>
      <w:r>
        <w:rPr>
          <w:highlight w:val="none"/>
        </w:rPr>
        <w:drawing>
          <wp:inline distT="0" distB="0" distL="114300" distR="114300">
            <wp:extent cx="5266690" cy="1471930"/>
            <wp:effectExtent l="0" t="0" r="10160" b="1397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8"/>
                    <a:stretch>
                      <a:fillRect/>
                    </a:stretch>
                  </pic:blipFill>
                  <pic:spPr>
                    <a:xfrm>
                      <a:off x="0" y="0"/>
                      <a:ext cx="5266690" cy="1471930"/>
                    </a:xfrm>
                    <a:prstGeom prst="rect">
                      <a:avLst/>
                    </a:prstGeom>
                    <a:noFill/>
                    <a:ln>
                      <a:noFill/>
                    </a:ln>
                  </pic:spPr>
                </pic:pic>
              </a:graphicData>
            </a:graphic>
          </wp:inline>
        </w:drawing>
      </w:r>
    </w:p>
    <w:p>
      <w:pPr>
        <w:pStyle w:val="10"/>
        <w:numPr>
          <w:ilvl w:val="0"/>
          <w:numId w:val="0"/>
        </w:numPr>
        <w:jc w:val="center"/>
        <w:rPr>
          <w:rStyle w:val="43"/>
          <w:rFonts w:hint="eastAsia" w:ascii="Times New Roman" w:hAnsi="Times New Roman"/>
          <w:szCs w:val="22"/>
          <w:highlight w:val="none"/>
          <w:lang w:eastAsia="zh-CN"/>
        </w:rPr>
      </w:pPr>
      <w:r>
        <w:rPr>
          <w:rStyle w:val="43"/>
          <w:rFonts w:hint="eastAsia" w:ascii="Times New Roman" w:hAnsi="Times New Roman"/>
          <w:szCs w:val="22"/>
          <w:highlight w:val="none"/>
          <w:lang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eastAsia" w:ascii="Times New Roman" w:hAnsi="Times New Roman"/>
          <w:szCs w:val="22"/>
          <w:highlight w:val="none"/>
          <w:lang w:eastAsia="zh-CN"/>
        </w:rPr>
        <w:t>-</w:t>
      </w:r>
      <w:r>
        <w:rPr>
          <w:rStyle w:val="43"/>
          <w:rFonts w:hint="eastAsia" w:ascii="Times New Roman" w:hAnsi="Times New Roman"/>
          <w:szCs w:val="22"/>
          <w:highlight w:val="none"/>
          <w:lang w:val="en-US" w:eastAsia="zh-CN"/>
        </w:rPr>
        <w:t>7</w:t>
      </w:r>
      <w:r>
        <w:rPr>
          <w:rStyle w:val="43"/>
          <w:rFonts w:hint="eastAsia" w:ascii="Times New Roman" w:hAnsi="Times New Roman"/>
          <w:szCs w:val="22"/>
          <w:highlight w:val="none"/>
          <w:lang w:eastAsia="zh-CN"/>
        </w:rPr>
        <w:t xml:space="preserve"> 制肥工艺流程及产污环节图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szCs w:val="24"/>
          <w:highlight w:val="none"/>
          <w:lang w:eastAsia="zh-CN"/>
        </w:rPr>
      </w:pPr>
      <w:r>
        <w:rPr>
          <w:rFonts w:hint="eastAsia" w:ascii="Times New Roman" w:hAnsi="Times New Roman" w:cs="Times New Roman"/>
          <w:bCs/>
          <w:sz w:val="24"/>
          <w:szCs w:val="24"/>
          <w:highlight w:val="none"/>
          <w:lang w:eastAsia="zh-CN"/>
        </w:rPr>
        <w:t>本项目猪粪（含沼渣）量为</w:t>
      </w:r>
      <w:r>
        <w:rPr>
          <w:rFonts w:hint="eastAsia" w:cs="Times New Roman"/>
          <w:bCs/>
          <w:sz w:val="24"/>
          <w:szCs w:val="24"/>
          <w:highlight w:val="none"/>
          <w:lang w:val="en-US" w:eastAsia="zh-CN"/>
        </w:rPr>
        <w:t>10369.99</w:t>
      </w:r>
      <w:r>
        <w:rPr>
          <w:rFonts w:hint="eastAsia" w:ascii="Times New Roman" w:hAnsi="Times New Roman" w:cs="Times New Roman"/>
          <w:bCs/>
          <w:sz w:val="24"/>
          <w:szCs w:val="24"/>
          <w:highlight w:val="none"/>
          <w:lang w:eastAsia="zh-CN"/>
        </w:rPr>
        <w:t>t/a，发酵原料按照一定比例掺入半成品有机肥基料（第一次使用菌种），有机肥基料产生量按原料总量的25%计，则有机肥基料产量约为</w:t>
      </w:r>
      <w:r>
        <w:rPr>
          <w:rFonts w:hint="eastAsia" w:cs="Times New Roman"/>
          <w:bCs/>
          <w:sz w:val="24"/>
          <w:szCs w:val="24"/>
          <w:highlight w:val="none"/>
          <w:lang w:val="en-US" w:eastAsia="zh-CN"/>
        </w:rPr>
        <w:t>3126.31</w:t>
      </w:r>
      <w:r>
        <w:rPr>
          <w:rFonts w:hint="eastAsia" w:ascii="Times New Roman" w:hAnsi="Times New Roman" w:cs="Times New Roman"/>
          <w:bCs/>
          <w:sz w:val="24"/>
          <w:szCs w:val="24"/>
          <w:highlight w:val="none"/>
          <w:lang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szCs w:val="24"/>
          <w:highlight w:val="none"/>
          <w:lang w:val="en-US" w:eastAsia="zh-CN"/>
        </w:rPr>
      </w:pPr>
      <w:r>
        <w:rPr>
          <w:rFonts w:hint="default" w:ascii="Times New Roman" w:hAnsi="Times New Roman" w:cs="Times New Roman"/>
          <w:bCs/>
          <w:sz w:val="24"/>
          <w:szCs w:val="24"/>
          <w:highlight w:val="none"/>
          <w:lang w:val="en-US" w:eastAsia="zh-CN"/>
        </w:rPr>
        <w:t>4、</w:t>
      </w:r>
      <w:r>
        <w:rPr>
          <w:rFonts w:hint="eastAsia" w:ascii="宋体" w:hAnsi="宋体" w:cs="宋体"/>
          <w:bCs/>
          <w:sz w:val="24"/>
          <w:szCs w:val="24"/>
          <w:highlight w:val="none"/>
          <w:lang w:val="en-US" w:eastAsia="zh-CN"/>
        </w:rPr>
        <w:t>无害化处理中心（病死猪处理）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highlight w:val="none"/>
          <w:lang w:val="en-US" w:eastAsia="zh-CN"/>
        </w:rPr>
      </w:pPr>
      <w:r>
        <w:rPr>
          <w:rFonts w:hint="default" w:ascii="Times New Roman" w:hAnsi="Times New Roman" w:cs="Times New Roman"/>
          <w:bCs/>
          <w:sz w:val="24"/>
          <w:szCs w:val="24"/>
          <w:highlight w:val="none"/>
          <w:lang w:val="en-US" w:eastAsia="zh-CN"/>
        </w:rPr>
        <w:t>本项目不设无害化处理中心，项目病死猪和胎盘等废物经消毒后在厂区暂存场暂存，运送至正阳一场无害化处置中心处置。该无害化处理车间位于正阳县彭桥乡彭桥村，距离本项目4.2公里，已于2016年11月28日拿到环评批复（驻环审2016）53号），2017年12月通过环保验收，日处理病死猪量为20t/d，采用干化化制法无害化处置病死猪，具体为处理工艺为：病死猪→预破碎→化制烘干（干化法）→脱脂→油脂净化（骨肉饼冷却）→成品，采用高温化制灭菌处理工艺对预破碎的病死畜禽尸体进行无害化处理，达到完全杀灭畜禽尸体病原体，最终处理后的骨肉饼物料做有机肥的原料，得到的油脂用于工业用油或提炼柴油。</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5、饲料加工废气治理</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a、粉尘治理</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饲料加工过程中原料接受工序在封闭环境中进行，采用负压收集，设置两套除尘系统，分别经2套脉冲袋式除尘器+15m排气筒排放；</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初清工序在封闭环境中进行，采用负压收集，设置1套除尘系统，分别经1套沙克龙除尘+脉冲袋式除尘器+15m排气筒排放；</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生产车间辅料投料系统设置1套脉冲袋式除尘器+15m排气筒排放；</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生产车间粉碎系统设置1套脉冲袋式除尘器+15m排气筒排放；</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生产车间制粒工序设置1套沙克龙除尘器+20m排气筒排放。</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b、锅炉废气处理</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饲料生产线设置1台2t/h的沼气/天然气两用锅炉，为低氮锅炉，处理后的废气通过8m排气筒排放。</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低氮型燃烧器是将空气分级、燃料分级和烟气循环技术相结合的方式改造燃烧器结构，降低燃烧区含氧量及燃烧温度，从而降低NOx的产生。</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燃料分级燃烧是将燃料燃烧过程中已经生成的NO</w:t>
      </w:r>
      <w:r>
        <w:rPr>
          <w:rFonts w:hint="eastAsia" w:cs="Times New Roman"/>
          <w:bCs/>
          <w:sz w:val="24"/>
          <w:szCs w:val="24"/>
          <w:highlight w:val="none"/>
          <w:vertAlign w:val="subscript"/>
          <w:lang w:val="en-US" w:eastAsia="zh-CN"/>
        </w:rPr>
        <w:t>X</w:t>
      </w:r>
      <w:r>
        <w:rPr>
          <w:rFonts w:hint="eastAsia" w:cs="Times New Roman"/>
          <w:bCs/>
          <w:sz w:val="24"/>
          <w:szCs w:val="24"/>
          <w:highlight w:val="none"/>
          <w:lang w:val="en-US" w:eastAsia="zh-CN"/>
        </w:rPr>
        <w:t>还原为N</w:t>
      </w:r>
      <w:r>
        <w:rPr>
          <w:rFonts w:hint="eastAsia" w:cs="Times New Roman"/>
          <w:bCs/>
          <w:sz w:val="24"/>
          <w:szCs w:val="24"/>
          <w:highlight w:val="none"/>
          <w:vertAlign w:val="subscript"/>
          <w:lang w:val="en-US" w:eastAsia="zh-CN"/>
        </w:rPr>
        <w:t>2</w:t>
      </w:r>
      <w:r>
        <w:rPr>
          <w:rFonts w:hint="eastAsia" w:cs="Times New Roman"/>
          <w:bCs/>
          <w:sz w:val="24"/>
          <w:szCs w:val="24"/>
          <w:highlight w:val="none"/>
          <w:lang w:val="en-US" w:eastAsia="zh-CN"/>
        </w:rPr>
        <w:t>，采用二次燃烧，在欠氧下燃烧形成活化原子团，用它还原主燃烧区产生的NO</w:t>
      </w:r>
      <w:r>
        <w:rPr>
          <w:rFonts w:hint="eastAsia" w:cs="Times New Roman"/>
          <w:bCs/>
          <w:sz w:val="24"/>
          <w:szCs w:val="24"/>
          <w:highlight w:val="none"/>
          <w:vertAlign w:val="subscript"/>
          <w:lang w:val="en-US" w:eastAsia="zh-CN"/>
        </w:rPr>
        <w:t>X</w:t>
      </w:r>
      <w:r>
        <w:rPr>
          <w:rFonts w:hint="eastAsia" w:cs="Times New Roman"/>
          <w:bCs/>
          <w:sz w:val="24"/>
          <w:szCs w:val="24"/>
          <w:highlight w:val="none"/>
          <w:lang w:val="en-US" w:eastAsia="zh-CN"/>
        </w:rPr>
        <w:t>。该法是将炉膛内的燃料燃烧过程设计成三个区域：主燃烧区、再燃还原区、燃尽区。在主燃区后注入二次燃料形成还原气氛，在高温（&gt;1200℃）和还原气氛下生成碳氢原子团，并与主燃区形成的NO</w:t>
      </w:r>
      <w:r>
        <w:rPr>
          <w:rFonts w:hint="eastAsia" w:cs="Times New Roman"/>
          <w:bCs/>
          <w:sz w:val="24"/>
          <w:szCs w:val="24"/>
          <w:highlight w:val="none"/>
          <w:vertAlign w:val="subscript"/>
          <w:lang w:val="en-US" w:eastAsia="zh-CN"/>
        </w:rPr>
        <w:t>X</w:t>
      </w:r>
      <w:r>
        <w:rPr>
          <w:rFonts w:hint="eastAsia" w:cs="Times New Roman"/>
          <w:bCs/>
          <w:sz w:val="24"/>
          <w:szCs w:val="24"/>
          <w:highlight w:val="none"/>
          <w:lang w:val="en-US" w:eastAsia="zh-CN"/>
        </w:rPr>
        <w:t>反应，将其还原。第三区送入燃尽区，完成燃尽过程，正常情况下，利用约20%的二次燃料可还原NO</w:t>
      </w:r>
      <w:r>
        <w:rPr>
          <w:rFonts w:hint="eastAsia" w:cs="Times New Roman"/>
          <w:bCs/>
          <w:sz w:val="24"/>
          <w:szCs w:val="24"/>
          <w:highlight w:val="none"/>
          <w:vertAlign w:val="subscript"/>
          <w:lang w:val="en-US" w:eastAsia="zh-CN"/>
        </w:rPr>
        <w:t>X</w:t>
      </w:r>
      <w:r>
        <w:rPr>
          <w:rFonts w:hint="eastAsia" w:cs="Times New Roman"/>
          <w:bCs/>
          <w:sz w:val="24"/>
          <w:szCs w:val="24"/>
          <w:highlight w:val="none"/>
          <w:lang w:val="en-US" w:eastAsia="zh-CN"/>
        </w:rPr>
        <w:t>总量的50%~60%。</w:t>
      </w:r>
    </w:p>
    <w:p>
      <w:pPr>
        <w:pStyle w:val="10"/>
        <w:rPr>
          <w:rFonts w:hint="eastAsia" w:cs="Times New Roman"/>
          <w:bCs/>
          <w:sz w:val="24"/>
          <w:szCs w:val="24"/>
          <w:highlight w:val="none"/>
          <w:lang w:val="en-US" w:eastAsia="zh-CN"/>
        </w:rPr>
      </w:pPr>
      <w:r>
        <w:rPr>
          <w:rFonts w:hint="eastAsia" w:cs="Times New Roman"/>
          <w:bCs/>
          <w:sz w:val="24"/>
          <w:szCs w:val="24"/>
          <w:highlight w:val="none"/>
          <w:lang w:val="en-US" w:eastAsia="zh-CN"/>
        </w:rPr>
        <w:t>综上所述，饲料加工生产过程中废气处置示意图如下所示：</w:t>
      </w:r>
    </w:p>
    <w:p>
      <w:pPr>
        <w:pStyle w:val="10"/>
        <w:jc w:val="left"/>
        <w:rPr>
          <w:rFonts w:hint="default" w:cs="Times New Roman"/>
          <w:bCs/>
          <w:sz w:val="24"/>
          <w:szCs w:val="24"/>
          <w:highlight w:val="none"/>
          <w:lang w:val="en-US" w:eastAsia="zh-CN"/>
        </w:rPr>
      </w:pPr>
      <w:r>
        <w:rPr>
          <w:highlight w:val="none"/>
        </w:rPr>
        <w:drawing>
          <wp:inline distT="0" distB="0" distL="114300" distR="114300">
            <wp:extent cx="5403850" cy="3618865"/>
            <wp:effectExtent l="0" t="0" r="6350" b="6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9"/>
                    <a:stretch>
                      <a:fillRect/>
                    </a:stretch>
                  </pic:blipFill>
                  <pic:spPr>
                    <a:xfrm>
                      <a:off x="0" y="0"/>
                      <a:ext cx="5403850" cy="3618865"/>
                    </a:xfrm>
                    <a:prstGeom prst="rect">
                      <a:avLst/>
                    </a:prstGeom>
                    <a:noFill/>
                    <a:ln>
                      <a:noFill/>
                    </a:ln>
                  </pic:spPr>
                </pic:pic>
              </a:graphicData>
            </a:graphic>
          </wp:inline>
        </w:drawing>
      </w:r>
    </w:p>
    <w:p>
      <w:pPr>
        <w:pStyle w:val="10"/>
        <w:numPr>
          <w:ilvl w:val="0"/>
          <w:numId w:val="0"/>
        </w:numPr>
        <w:jc w:val="center"/>
        <w:rPr>
          <w:rStyle w:val="43"/>
          <w:rFonts w:hint="default" w:ascii="Times New Roman" w:hAnsi="Times New Roman"/>
          <w:szCs w:val="22"/>
          <w:highlight w:val="none"/>
          <w:lang w:val="en-US" w:eastAsia="zh-CN"/>
        </w:rPr>
      </w:pPr>
      <w:r>
        <w:rPr>
          <w:rStyle w:val="43"/>
          <w:rFonts w:hint="default" w:ascii="Times New Roman" w:hAnsi="Times New Roman"/>
          <w:szCs w:val="22"/>
          <w:highlight w:val="none"/>
          <w:lang w:val="en-US" w:eastAsia="zh-CN"/>
        </w:rPr>
        <w:t>图</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9</w:t>
      </w:r>
      <w:r>
        <w:rPr>
          <w:rStyle w:val="43"/>
          <w:rFonts w:hint="default" w:ascii="Times New Roman" w:hAnsi="Times New Roman"/>
          <w:szCs w:val="22"/>
          <w:highlight w:val="none"/>
          <w:lang w:val="en-US" w:eastAsia="zh-CN"/>
        </w:rPr>
        <w:t>-</w:t>
      </w:r>
      <w:r>
        <w:rPr>
          <w:rStyle w:val="43"/>
          <w:rFonts w:hint="eastAsia" w:ascii="Times New Roman" w:hAnsi="Times New Roman"/>
          <w:szCs w:val="22"/>
          <w:highlight w:val="none"/>
          <w:lang w:val="en-US" w:eastAsia="zh-CN"/>
        </w:rPr>
        <w:t>8</w:t>
      </w:r>
      <w:r>
        <w:rPr>
          <w:rStyle w:val="43"/>
          <w:rFonts w:hint="default" w:ascii="Times New Roman" w:hAnsi="Times New Roman"/>
          <w:szCs w:val="22"/>
          <w:highlight w:val="none"/>
          <w:lang w:val="en-US" w:eastAsia="zh-CN"/>
        </w:rPr>
        <w:t xml:space="preserve"> </w:t>
      </w:r>
      <w:r>
        <w:rPr>
          <w:rStyle w:val="43"/>
          <w:rFonts w:hint="eastAsia" w:ascii="Times New Roman" w:hAnsi="Times New Roman"/>
          <w:szCs w:val="22"/>
          <w:highlight w:val="none"/>
          <w:lang w:val="en-US" w:eastAsia="zh-CN"/>
        </w:rPr>
        <w:t>饲料生产线</w:t>
      </w:r>
      <w:r>
        <w:rPr>
          <w:rStyle w:val="43"/>
          <w:rFonts w:hint="default" w:ascii="Times New Roman" w:hAnsi="Times New Roman"/>
          <w:szCs w:val="22"/>
          <w:highlight w:val="none"/>
          <w:lang w:val="en-US" w:eastAsia="zh-CN"/>
        </w:rPr>
        <w:t>废气处置示意图</w:t>
      </w:r>
    </w:p>
    <w:p>
      <w:pPr>
        <w:pStyle w:val="6"/>
        <w:spacing w:before="132"/>
        <w:rPr>
          <w:rStyle w:val="45"/>
          <w:rFonts w:hint="eastAsia" w:ascii="Times New Roman" w:hAnsi="Times New Roman"/>
          <w:b/>
          <w:highlight w:val="none"/>
          <w:lang w:eastAsia="zh-CN"/>
        </w:rPr>
      </w:pPr>
      <w:bookmarkStart w:id="23" w:name="_Toc22503"/>
      <w:r>
        <w:rPr>
          <w:rStyle w:val="45"/>
          <w:rFonts w:hint="eastAsia"/>
          <w:b/>
          <w:highlight w:val="none"/>
          <w:lang w:val="en-US" w:eastAsia="zh-CN"/>
        </w:rPr>
        <w:t>2</w:t>
      </w:r>
      <w:r>
        <w:rPr>
          <w:rStyle w:val="45"/>
          <w:rFonts w:hint="eastAsia" w:ascii="Times New Roman" w:hAnsi="Times New Roman"/>
          <w:b/>
          <w:highlight w:val="none"/>
        </w:rPr>
        <w:t>.</w:t>
      </w:r>
      <w:r>
        <w:rPr>
          <w:rStyle w:val="45"/>
          <w:rFonts w:hint="eastAsia"/>
          <w:b/>
          <w:highlight w:val="none"/>
          <w:lang w:val="en-US" w:eastAsia="zh-CN"/>
        </w:rPr>
        <w:t>10</w:t>
      </w:r>
      <w:r>
        <w:rPr>
          <w:rStyle w:val="45"/>
          <w:rFonts w:hint="eastAsia" w:ascii="Times New Roman" w:hAnsi="Times New Roman"/>
          <w:b/>
          <w:highlight w:val="none"/>
          <w:lang w:eastAsia="zh-CN"/>
        </w:rPr>
        <w:t>产污环节分析</w:t>
      </w:r>
      <w:bookmarkEnd w:id="23"/>
    </w:p>
    <w:p>
      <w:pPr>
        <w:rPr>
          <w:rFonts w:hint="eastAsia"/>
          <w:highlight w:val="none"/>
          <w:lang w:eastAsia="zh-CN"/>
        </w:rPr>
      </w:pPr>
      <w:r>
        <w:rPr>
          <w:rFonts w:hint="eastAsia"/>
          <w:highlight w:val="none"/>
          <w:lang w:eastAsia="zh-CN"/>
        </w:rPr>
        <w:t>本项目为新建项目，主要的污染源分为施工期污染源以及项目正常运营期污染源。</w:t>
      </w:r>
    </w:p>
    <w:p>
      <w:pPr>
        <w:pStyle w:val="7"/>
        <w:spacing w:before="66"/>
        <w:ind w:firstLine="0" w:firstLineChars="0"/>
        <w:rPr>
          <w:rFonts w:hint="eastAsia" w:cs="Times New Roman"/>
          <w:highlight w:val="none"/>
          <w:lang w:val="en-US" w:eastAsia="zh-CN"/>
        </w:rPr>
      </w:pPr>
      <w:r>
        <w:rPr>
          <w:rFonts w:hint="eastAsia" w:cs="Times New Roman"/>
          <w:highlight w:val="none"/>
          <w:lang w:val="en-US" w:eastAsia="zh-CN"/>
        </w:rPr>
        <w:t>2.10.1施工期产污情况</w:t>
      </w:r>
    </w:p>
    <w:p>
      <w:pPr>
        <w:ind w:firstLine="480"/>
        <w:rPr>
          <w:rFonts w:hint="eastAsia"/>
          <w:highlight w:val="none"/>
        </w:rPr>
      </w:pPr>
      <w:r>
        <w:rPr>
          <w:rFonts w:hint="eastAsia"/>
          <w:highlight w:val="none"/>
        </w:rPr>
        <w:t>主要为</w:t>
      </w:r>
      <w:r>
        <w:rPr>
          <w:rFonts w:hint="eastAsia" w:cs="Times New Roman"/>
          <w:highlight w:val="none"/>
        </w:rPr>
        <w:t>建筑施工噪声、扬尘、建筑垃圾、建筑废水以及施工人员的生活污水与生活垃圾</w:t>
      </w:r>
      <w:r>
        <w:rPr>
          <w:rFonts w:hint="eastAsia" w:cs="Times New Roman"/>
          <w:highlight w:val="none"/>
          <w:lang w:eastAsia="zh-CN"/>
        </w:rPr>
        <w:t>以及</w:t>
      </w:r>
      <w:r>
        <w:rPr>
          <w:rFonts w:hint="eastAsia" w:cs="Times New Roman"/>
          <w:highlight w:val="none"/>
        </w:rPr>
        <w:t>室内装修过程中产生的装修垃圾、涂料废气以及装修噪声等</w:t>
      </w:r>
      <w:r>
        <w:rPr>
          <w:rFonts w:hint="eastAsia"/>
          <w:highlight w:val="none"/>
        </w:rPr>
        <w:t>。</w:t>
      </w:r>
    </w:p>
    <w:p>
      <w:pPr>
        <w:pStyle w:val="7"/>
        <w:spacing w:before="66"/>
        <w:ind w:firstLine="0" w:firstLineChars="0"/>
        <w:rPr>
          <w:rFonts w:hint="eastAsia" w:cs="Times New Roman"/>
          <w:highlight w:val="none"/>
          <w:lang w:val="en-US" w:eastAsia="zh-CN"/>
        </w:rPr>
      </w:pPr>
      <w:r>
        <w:rPr>
          <w:rFonts w:hint="eastAsia" w:cs="Times New Roman"/>
          <w:highlight w:val="none"/>
          <w:lang w:val="en-US" w:eastAsia="zh-CN"/>
        </w:rPr>
        <w:t>2.10.2运营期产污情况</w:t>
      </w:r>
    </w:p>
    <w:p>
      <w:pPr>
        <w:pStyle w:val="134"/>
        <w:tabs>
          <w:tab w:val="left" w:pos="9214"/>
        </w:tabs>
        <w:rPr>
          <w:highlight w:val="none"/>
        </w:rPr>
      </w:pPr>
      <w:r>
        <w:rPr>
          <w:highlight w:val="none"/>
        </w:rPr>
        <w:t>营运期间的主要污染环节见表</w:t>
      </w:r>
      <w:r>
        <w:rPr>
          <w:rFonts w:hint="eastAsia"/>
          <w:highlight w:val="none"/>
          <w:lang w:val="en-US" w:eastAsia="zh-CN"/>
        </w:rPr>
        <w:t>2.10</w:t>
      </w:r>
      <w:r>
        <w:rPr>
          <w:highlight w:val="none"/>
        </w:rPr>
        <w:t>-1和图</w:t>
      </w:r>
      <w:r>
        <w:rPr>
          <w:rFonts w:hint="eastAsia"/>
          <w:highlight w:val="none"/>
          <w:lang w:val="en-US" w:eastAsia="zh-CN"/>
        </w:rPr>
        <w:t>2.10</w:t>
      </w:r>
      <w:r>
        <w:rPr>
          <w:highlight w:val="none"/>
        </w:rPr>
        <w:t>-1。</w:t>
      </w:r>
    </w:p>
    <w:p>
      <w:pPr>
        <w:pStyle w:val="22"/>
        <w:rPr>
          <w:rFonts w:hint="eastAsia" w:cs="Times New Roman"/>
          <w:highlight w:val="none"/>
          <w:lang w:val="en-US" w:eastAsia="zh-CN"/>
        </w:rPr>
      </w:pPr>
      <w:r>
        <w:rPr>
          <w:rFonts w:hint="eastAsia" w:cs="Times New Roman"/>
          <w:highlight w:val="none"/>
          <w:lang w:val="en-US" w:eastAsia="zh-CN"/>
        </w:rPr>
        <w:t>表2.10-1 运营期产污环节分析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95"/>
        <w:gridCol w:w="917"/>
        <w:gridCol w:w="1104"/>
        <w:gridCol w:w="2009"/>
        <w:gridCol w:w="2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089" w:type="pct"/>
            <w:gridSpan w:val="2"/>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产排污环节</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编号</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污染源</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成分</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猪舍</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G1</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W1</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猪尿液</w:t>
            </w:r>
          </w:p>
        </w:tc>
        <w:tc>
          <w:tcPr>
            <w:tcW w:w="1150"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COD、NH</w:t>
            </w:r>
            <w:r>
              <w:rPr>
                <w:rFonts w:ascii="Times New Roman" w:hAnsi="Times New Roman" w:cs="Times New Roman"/>
                <w:b w:val="0"/>
                <w:bCs/>
                <w:sz w:val="21"/>
                <w:szCs w:val="21"/>
                <w:highlight w:val="none"/>
                <w:vertAlign w:val="subscript"/>
              </w:rPr>
              <w:t>3</w:t>
            </w:r>
            <w:r>
              <w:rPr>
                <w:rFonts w:ascii="Times New Roman" w:hAnsi="Times New Roman" w:cs="Times New Roman"/>
                <w:b w:val="0"/>
                <w:bCs/>
                <w:sz w:val="21"/>
                <w:szCs w:val="21"/>
                <w:highlight w:val="none"/>
              </w:rPr>
              <w:t>-N</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经</w:t>
            </w:r>
            <w:r>
              <w:rPr>
                <w:rFonts w:hint="eastAsia" w:ascii="Times New Roman" w:hAnsi="Times New Roman" w:cs="Times New Roman"/>
                <w:b w:val="0"/>
                <w:bCs/>
                <w:sz w:val="21"/>
                <w:szCs w:val="21"/>
                <w:highlight w:val="none"/>
                <w:lang w:eastAsia="zh-CN"/>
              </w:rPr>
              <w:t>黑膜</w:t>
            </w:r>
            <w:r>
              <w:rPr>
                <w:rFonts w:ascii="Times New Roman" w:hAnsi="Times New Roman" w:cs="Times New Roman"/>
                <w:b w:val="0"/>
                <w:bCs/>
                <w:sz w:val="21"/>
                <w:szCs w:val="21"/>
                <w:highlight w:val="none"/>
              </w:rPr>
              <w:t>湖沼气池处理后作农肥还田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W2</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猪舍冲洗水</w:t>
            </w:r>
          </w:p>
        </w:tc>
        <w:tc>
          <w:tcPr>
            <w:tcW w:w="1150"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Z1</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猪叫</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Z2</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S1</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猪粪</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生产有机肥基肥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S2</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病死猪尸体</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运往</w:t>
            </w:r>
            <w:r>
              <w:rPr>
                <w:rFonts w:hint="eastAsia" w:ascii="Times New Roman" w:hAnsi="Times New Roman" w:cs="Times New Roman"/>
                <w:b w:val="0"/>
                <w:bCs/>
                <w:sz w:val="21"/>
                <w:szCs w:val="21"/>
                <w:highlight w:val="none"/>
              </w:rPr>
              <w:t>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S3</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医疗废物</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62"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粪污处理区</w:t>
            </w:r>
          </w:p>
        </w:tc>
        <w:tc>
          <w:tcPr>
            <w:tcW w:w="627"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沼气工程</w:t>
            </w: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G2</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Z3</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S4</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沼渣</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固粪处理区</w:t>
            </w:r>
            <w:r>
              <w:rPr>
                <w:rFonts w:hint="eastAsia" w:ascii="Times New Roman" w:hAnsi="Times New Roman" w:cs="Times New Roman"/>
                <w:b w:val="0"/>
                <w:bCs/>
                <w:sz w:val="21"/>
                <w:szCs w:val="21"/>
                <w:highlight w:val="none"/>
              </w:rPr>
              <w:t>进行堆肥，形成有机肥基料外售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固粪处理区</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3</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恶臭</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H</w:t>
            </w:r>
            <w:r>
              <w:rPr>
                <w:rFonts w:ascii="Times New Roman" w:hAnsi="Times New Roman" w:cs="Times New Roman"/>
                <w:b w:val="0"/>
                <w:bCs/>
                <w:sz w:val="21"/>
                <w:szCs w:val="21"/>
                <w:highlight w:val="none"/>
                <w:vertAlign w:val="subscript"/>
              </w:rPr>
              <w:t>2</w:t>
            </w:r>
            <w:r>
              <w:rPr>
                <w:rFonts w:ascii="Times New Roman" w:hAnsi="Times New Roman" w:cs="Times New Roman"/>
                <w:b w:val="0"/>
                <w:bCs/>
                <w:sz w:val="21"/>
                <w:szCs w:val="21"/>
                <w:highlight w:val="none"/>
              </w:rPr>
              <w:t>S、NH</w:t>
            </w:r>
            <w:r>
              <w:rPr>
                <w:rFonts w:ascii="Times New Roman" w:hAnsi="Times New Roman" w:cs="Times New Roman"/>
                <w:b w:val="0"/>
                <w:bCs/>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Z4</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机械噪声</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restar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饲料加工</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4</w:t>
            </w:r>
          </w:p>
        </w:tc>
        <w:tc>
          <w:tcPr>
            <w:tcW w:w="632"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原料接收粉尘</w:t>
            </w:r>
          </w:p>
        </w:tc>
        <w:tc>
          <w:tcPr>
            <w:tcW w:w="1150"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5</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原料接收粉尘</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6</w:t>
            </w:r>
          </w:p>
        </w:tc>
        <w:tc>
          <w:tcPr>
            <w:tcW w:w="632"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初清粉尘</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7</w:t>
            </w:r>
          </w:p>
        </w:tc>
        <w:tc>
          <w:tcPr>
            <w:tcW w:w="632"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辅料投料粉尘</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hint="eastAsia" w:cs="Times New Roman"/>
                <w:b w:val="0"/>
                <w:bCs/>
                <w:sz w:val="21"/>
                <w:szCs w:val="21"/>
                <w:highlight w:val="none"/>
                <w:lang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G8</w:t>
            </w:r>
          </w:p>
        </w:tc>
        <w:tc>
          <w:tcPr>
            <w:tcW w:w="632"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粉碎粉尘</w:t>
            </w:r>
          </w:p>
        </w:tc>
        <w:tc>
          <w:tcPr>
            <w:tcW w:w="1150"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G9</w:t>
            </w:r>
          </w:p>
        </w:tc>
        <w:tc>
          <w:tcPr>
            <w:tcW w:w="632"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制粒冷却粉尘</w:t>
            </w:r>
          </w:p>
        </w:tc>
        <w:tc>
          <w:tcPr>
            <w:tcW w:w="1150"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G10</w:t>
            </w:r>
          </w:p>
        </w:tc>
        <w:tc>
          <w:tcPr>
            <w:tcW w:w="632"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锅炉废气</w:t>
            </w:r>
          </w:p>
        </w:tc>
        <w:tc>
          <w:tcPr>
            <w:tcW w:w="1150" w:type="pct"/>
            <w:noWrap w:val="0"/>
            <w:vAlign w:val="center"/>
          </w:tcPr>
          <w:p>
            <w:pPr>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SO</w:t>
            </w:r>
            <w:r>
              <w:rPr>
                <w:rFonts w:hint="eastAsia" w:cs="Times New Roman"/>
                <w:b w:val="0"/>
                <w:bCs/>
                <w:sz w:val="21"/>
                <w:szCs w:val="21"/>
                <w:highlight w:val="none"/>
                <w:vertAlign w:val="subscript"/>
                <w:lang w:val="en-US" w:eastAsia="zh-CN"/>
              </w:rPr>
              <w:t>2</w:t>
            </w:r>
            <w:r>
              <w:rPr>
                <w:rFonts w:hint="eastAsia" w:cs="Times New Roman"/>
                <w:b w:val="0"/>
                <w:bCs/>
                <w:sz w:val="21"/>
                <w:szCs w:val="21"/>
                <w:highlight w:val="none"/>
                <w:lang w:val="en-US" w:eastAsia="zh-CN"/>
              </w:rPr>
              <w:t>、NOx、颗粒物</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kern w:val="2"/>
                <w:sz w:val="21"/>
                <w:szCs w:val="21"/>
                <w:highlight w:val="none"/>
                <w:lang w:val="en-US" w:eastAsia="zh-CN" w:bidi="ar-SA"/>
              </w:rPr>
            </w:pPr>
            <w:r>
              <w:rPr>
                <w:rFonts w:ascii="Times New Roman" w:hAnsi="Times New Roman" w:cs="Times New Roman"/>
                <w:b w:val="0"/>
                <w:bCs/>
                <w:sz w:val="21"/>
                <w:szCs w:val="21"/>
                <w:highlight w:val="none"/>
              </w:rPr>
              <w:t>S5</w:t>
            </w:r>
          </w:p>
        </w:tc>
        <w:tc>
          <w:tcPr>
            <w:tcW w:w="632"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除尘灰</w:t>
            </w:r>
          </w:p>
        </w:tc>
        <w:tc>
          <w:tcPr>
            <w:tcW w:w="1150" w:type="pct"/>
            <w:noWrap w:val="0"/>
            <w:vAlign w:val="center"/>
          </w:tcPr>
          <w:p>
            <w:pPr>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颗粒物</w:t>
            </w:r>
          </w:p>
        </w:tc>
        <w:tc>
          <w:tcPr>
            <w:tcW w:w="1603"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continue"/>
            <w:noWrap w:val="0"/>
            <w:vAlign w:val="center"/>
          </w:tcPr>
          <w:p>
            <w:pPr>
              <w:spacing w:line="240" w:lineRule="auto"/>
              <w:ind w:firstLine="0" w:firstLineChars="0"/>
              <w:jc w:val="center"/>
              <w:rPr>
                <w:rFonts w:hint="eastAsia" w:cs="Times New Roman"/>
                <w:b w:val="0"/>
                <w:bCs/>
                <w:sz w:val="21"/>
                <w:szCs w:val="21"/>
                <w:highlight w:val="none"/>
                <w:lang w:eastAsia="zh-CN"/>
              </w:rPr>
            </w:pP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kern w:val="2"/>
                <w:sz w:val="21"/>
                <w:szCs w:val="21"/>
                <w:highlight w:val="none"/>
                <w:lang w:val="en-US" w:eastAsia="zh-CN" w:bidi="ar-SA"/>
              </w:rPr>
            </w:pPr>
            <w:r>
              <w:rPr>
                <w:rFonts w:ascii="Times New Roman" w:hAnsi="Times New Roman" w:cs="Times New Roman"/>
                <w:b w:val="0"/>
                <w:bCs/>
                <w:sz w:val="21"/>
                <w:szCs w:val="21"/>
                <w:highlight w:val="none"/>
              </w:rPr>
              <w:t>S6</w:t>
            </w:r>
          </w:p>
        </w:tc>
        <w:tc>
          <w:tcPr>
            <w:tcW w:w="632" w:type="pct"/>
            <w:noWrap w:val="0"/>
            <w:vAlign w:val="center"/>
          </w:tcPr>
          <w:p>
            <w:pPr>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eastAsia="zh-CN"/>
              </w:rPr>
              <w:t>杂质</w:t>
            </w:r>
          </w:p>
        </w:tc>
        <w:tc>
          <w:tcPr>
            <w:tcW w:w="1150" w:type="pct"/>
            <w:noWrap w:val="0"/>
            <w:vAlign w:val="center"/>
          </w:tcPr>
          <w:p>
            <w:pPr>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一般固废</w:t>
            </w:r>
          </w:p>
        </w:tc>
        <w:tc>
          <w:tcPr>
            <w:tcW w:w="1603"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定期回收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职工生活</w:t>
            </w: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sz w:val="21"/>
                <w:szCs w:val="21"/>
                <w:highlight w:val="none"/>
                <w:lang w:val="en-US" w:eastAsia="zh-CN"/>
              </w:rPr>
            </w:pPr>
            <w:r>
              <w:rPr>
                <w:rFonts w:ascii="Times New Roman" w:hAnsi="Times New Roman" w:cs="Times New Roman"/>
                <w:b w:val="0"/>
                <w:bCs/>
                <w:sz w:val="21"/>
                <w:szCs w:val="21"/>
                <w:highlight w:val="none"/>
              </w:rPr>
              <w:t>G</w:t>
            </w:r>
            <w:r>
              <w:rPr>
                <w:rFonts w:hint="eastAsia" w:cs="Times New Roman"/>
                <w:b w:val="0"/>
                <w:bCs/>
                <w:sz w:val="21"/>
                <w:szCs w:val="21"/>
                <w:highlight w:val="none"/>
                <w:lang w:val="en-US" w:eastAsia="zh-CN"/>
              </w:rPr>
              <w:t>11</w:t>
            </w:r>
          </w:p>
        </w:tc>
        <w:tc>
          <w:tcPr>
            <w:tcW w:w="632"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食堂</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油烟</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W3</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生活污水</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COD、BOD</w:t>
            </w:r>
            <w:r>
              <w:rPr>
                <w:rFonts w:ascii="Times New Roman" w:hAnsi="Times New Roman" w:cs="Times New Roman"/>
                <w:b w:val="0"/>
                <w:bCs/>
                <w:sz w:val="21"/>
                <w:szCs w:val="21"/>
                <w:highlight w:val="none"/>
                <w:vertAlign w:val="subscript"/>
              </w:rPr>
              <w:t>5</w:t>
            </w:r>
            <w:r>
              <w:rPr>
                <w:rFonts w:ascii="Times New Roman" w:hAnsi="Times New Roman" w:cs="Times New Roman"/>
                <w:b w:val="0"/>
                <w:bCs/>
                <w:sz w:val="21"/>
                <w:szCs w:val="21"/>
                <w:highlight w:val="none"/>
              </w:rPr>
              <w:t>、</w:t>
            </w:r>
            <w:r>
              <w:rPr>
                <w:rFonts w:hint="eastAsia" w:ascii="Times New Roman" w:hAnsi="Times New Roman" w:cs="Times New Roman"/>
                <w:b w:val="0"/>
                <w:bCs/>
                <w:sz w:val="21"/>
                <w:szCs w:val="21"/>
                <w:highlight w:val="none"/>
                <w:lang w:val="en-US" w:eastAsia="zh-CN"/>
              </w:rPr>
              <w:t>SS、</w:t>
            </w:r>
            <w:r>
              <w:rPr>
                <w:rFonts w:ascii="Times New Roman" w:hAnsi="Times New Roman" w:cs="Times New Roman"/>
                <w:b w:val="0"/>
                <w:bCs/>
                <w:sz w:val="21"/>
                <w:szCs w:val="21"/>
                <w:highlight w:val="none"/>
              </w:rPr>
              <w:t>NH</w:t>
            </w:r>
            <w:r>
              <w:rPr>
                <w:rFonts w:ascii="Times New Roman" w:hAnsi="Times New Roman" w:cs="Times New Roman"/>
                <w:b w:val="0"/>
                <w:bCs/>
                <w:sz w:val="21"/>
                <w:szCs w:val="21"/>
                <w:highlight w:val="none"/>
                <w:vertAlign w:val="subscript"/>
              </w:rPr>
              <w:t>3</w:t>
            </w:r>
            <w:r>
              <w:rPr>
                <w:rFonts w:ascii="Times New Roman" w:hAnsi="Times New Roman" w:cs="Times New Roman"/>
                <w:b w:val="0"/>
                <w:bCs/>
                <w:sz w:val="21"/>
                <w:szCs w:val="21"/>
                <w:highlight w:val="none"/>
              </w:rPr>
              <w:t>-N</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经处理后作农肥还田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sz w:val="21"/>
                <w:szCs w:val="21"/>
                <w:highlight w:val="none"/>
              </w:rPr>
            </w:pP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S</w:t>
            </w:r>
            <w:r>
              <w:rPr>
                <w:rFonts w:hint="eastAsia" w:cs="Times New Roman"/>
                <w:b w:val="0"/>
                <w:bCs/>
                <w:sz w:val="21"/>
                <w:szCs w:val="21"/>
                <w:highlight w:val="none"/>
                <w:lang w:val="en-US" w:eastAsia="zh-CN"/>
              </w:rPr>
              <w:t>7</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生活垃圾</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沼气脱硫装置</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sz w:val="21"/>
                <w:szCs w:val="21"/>
                <w:highlight w:val="none"/>
                <w:lang w:eastAsia="zh-CN"/>
              </w:rPr>
            </w:pPr>
            <w:r>
              <w:rPr>
                <w:rFonts w:ascii="Times New Roman" w:hAnsi="Times New Roman" w:cs="Times New Roman"/>
                <w:b w:val="0"/>
                <w:bCs/>
                <w:sz w:val="21"/>
                <w:szCs w:val="21"/>
                <w:highlight w:val="none"/>
              </w:rPr>
              <w:t>S</w:t>
            </w:r>
            <w:r>
              <w:rPr>
                <w:rFonts w:hint="eastAsia" w:cs="Times New Roman"/>
                <w:b w:val="0"/>
                <w:bCs/>
                <w:sz w:val="21"/>
                <w:szCs w:val="21"/>
                <w:highlight w:val="none"/>
                <w:lang w:val="en-US" w:eastAsia="zh-CN"/>
              </w:rPr>
              <w:t>8</w:t>
            </w:r>
          </w:p>
        </w:tc>
        <w:tc>
          <w:tcPr>
            <w:tcW w:w="632"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废脱硫剂</w:t>
            </w:r>
          </w:p>
        </w:tc>
        <w:tc>
          <w:tcPr>
            <w:tcW w:w="1150"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生产厂家统一回收处置</w:t>
            </w:r>
          </w:p>
        </w:tc>
      </w:tr>
    </w:tbl>
    <w:p>
      <w:pPr>
        <w:pStyle w:val="10"/>
        <w:jc w:val="center"/>
        <w:rPr>
          <w:rFonts w:hint="eastAsia" w:eastAsia="宋体"/>
          <w:highlight w:val="none"/>
          <w:lang w:eastAsia="zh-CN"/>
        </w:rPr>
      </w:pPr>
      <w:r>
        <w:rPr>
          <w:rFonts w:hint="eastAsia" w:eastAsia="宋体"/>
          <w:highlight w:val="none"/>
          <w:lang w:eastAsia="zh-CN"/>
        </w:rPr>
        <w:drawing>
          <wp:inline distT="0" distB="0" distL="114300" distR="114300">
            <wp:extent cx="5407025" cy="3342640"/>
            <wp:effectExtent l="0" t="0" r="3175" b="10160"/>
            <wp:docPr id="14" name="图片 14" descr="修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修改4"/>
                    <pic:cNvPicPr>
                      <a:picLocks noChangeAspect="1"/>
                    </pic:cNvPicPr>
                  </pic:nvPicPr>
                  <pic:blipFill>
                    <a:blip r:embed="rId30"/>
                    <a:stretch>
                      <a:fillRect/>
                    </a:stretch>
                  </pic:blipFill>
                  <pic:spPr>
                    <a:xfrm>
                      <a:off x="0" y="0"/>
                      <a:ext cx="5407025" cy="3342640"/>
                    </a:xfrm>
                    <a:prstGeom prst="rect">
                      <a:avLst/>
                    </a:prstGeom>
                  </pic:spPr>
                </pic:pic>
              </a:graphicData>
            </a:graphic>
          </wp:inline>
        </w:drawing>
      </w:r>
    </w:p>
    <w:p>
      <w:pPr>
        <w:pStyle w:val="1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w:t>
      </w:r>
      <w:r>
        <w:rPr>
          <w:rStyle w:val="43"/>
          <w:rFonts w:hint="eastAsia"/>
          <w:szCs w:val="22"/>
          <w:highlight w:val="none"/>
          <w:lang w:val="en-US" w:eastAsia="zh-CN"/>
        </w:rPr>
        <w:t>2.10</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1</w:t>
      </w:r>
      <w:r>
        <w:rPr>
          <w:rStyle w:val="43"/>
          <w:rFonts w:hint="eastAsia" w:ascii="Times New Roman" w:hAnsi="Times New Roman"/>
          <w:szCs w:val="22"/>
          <w:highlight w:val="none"/>
          <w:lang w:val="en-US" w:eastAsia="zh-CN"/>
        </w:rPr>
        <w:t xml:space="preserve"> 产污环节图</w:t>
      </w:r>
    </w:p>
    <w:p>
      <w:pPr>
        <w:pStyle w:val="6"/>
        <w:spacing w:before="132"/>
        <w:rPr>
          <w:rStyle w:val="45"/>
          <w:rFonts w:hint="eastAsia" w:ascii="Times New Roman" w:hAnsi="Times New Roman"/>
          <w:b/>
          <w:highlight w:val="none"/>
        </w:rPr>
      </w:pPr>
      <w:bookmarkStart w:id="24" w:name="_Toc1209"/>
      <w:r>
        <w:rPr>
          <w:rStyle w:val="45"/>
          <w:rFonts w:hint="eastAsia"/>
          <w:b/>
          <w:highlight w:val="none"/>
          <w:lang w:val="en-US" w:eastAsia="zh-CN"/>
        </w:rPr>
        <w:t>2</w:t>
      </w:r>
      <w:r>
        <w:rPr>
          <w:rStyle w:val="45"/>
          <w:rFonts w:hint="eastAsia" w:ascii="Times New Roman" w:hAnsi="Times New Roman"/>
          <w:b/>
          <w:highlight w:val="none"/>
        </w:rPr>
        <w:t>.</w:t>
      </w:r>
      <w:r>
        <w:rPr>
          <w:rStyle w:val="45"/>
          <w:rFonts w:hint="eastAsia"/>
          <w:b/>
          <w:highlight w:val="none"/>
          <w:lang w:val="en-US" w:eastAsia="zh-CN"/>
        </w:rPr>
        <w:t>11</w:t>
      </w:r>
      <w:r>
        <w:rPr>
          <w:rStyle w:val="45"/>
          <w:rFonts w:hint="eastAsia"/>
          <w:b/>
          <w:highlight w:val="none"/>
          <w:lang w:eastAsia="zh-CN"/>
        </w:rPr>
        <w:t>项目</w:t>
      </w:r>
      <w:r>
        <w:rPr>
          <w:rStyle w:val="45"/>
          <w:rFonts w:hint="eastAsia" w:ascii="Times New Roman" w:hAnsi="Times New Roman"/>
          <w:b/>
          <w:highlight w:val="none"/>
        </w:rPr>
        <w:t>平衡</w:t>
      </w:r>
      <w:bookmarkEnd w:id="24"/>
    </w:p>
    <w:p>
      <w:pPr>
        <w:pStyle w:val="7"/>
        <w:spacing w:before="66"/>
        <w:ind w:firstLine="0" w:firstLineChars="0"/>
        <w:rPr>
          <w:rFonts w:hint="eastAsia" w:cs="Times New Roman"/>
          <w:highlight w:val="none"/>
          <w:lang w:val="en-US" w:eastAsia="zh-CN"/>
        </w:rPr>
      </w:pPr>
      <w:r>
        <w:rPr>
          <w:rFonts w:hint="eastAsia" w:cs="Times New Roman"/>
          <w:highlight w:val="none"/>
          <w:lang w:val="en-US" w:eastAsia="zh-CN"/>
        </w:rPr>
        <w:t>2.11.1水平衡</w:t>
      </w:r>
    </w:p>
    <w:p>
      <w:pPr>
        <w:ind w:firstLine="480"/>
        <w:rPr>
          <w:highlight w:val="none"/>
        </w:rPr>
      </w:pPr>
      <w:r>
        <w:rPr>
          <w:highlight w:val="none"/>
        </w:rPr>
        <w:t>项目</w:t>
      </w:r>
      <w:r>
        <w:rPr>
          <w:rFonts w:hint="eastAsia"/>
          <w:highlight w:val="none"/>
          <w:lang w:eastAsia="zh-CN"/>
        </w:rPr>
        <w:t>水</w:t>
      </w:r>
      <w:r>
        <w:rPr>
          <w:highlight w:val="none"/>
        </w:rPr>
        <w:t>平衡见</w:t>
      </w:r>
      <w:r>
        <w:rPr>
          <w:rFonts w:hint="eastAsia"/>
          <w:highlight w:val="none"/>
          <w:lang w:eastAsia="zh-CN"/>
        </w:rPr>
        <w:t>下</w:t>
      </w:r>
      <w:r>
        <w:rPr>
          <w:highlight w:val="none"/>
        </w:rPr>
        <w:t>图。</w:t>
      </w:r>
    </w:p>
    <w:p>
      <w:pPr>
        <w:pStyle w:val="10"/>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10"/>
        <w:ind w:left="0" w:leftChars="0" w:firstLine="0" w:firstLineChars="0"/>
        <w:jc w:val="both"/>
        <w:rPr>
          <w:rStyle w:val="43"/>
          <w:rFonts w:hint="eastAsia" w:ascii="Times New Roman" w:hAnsi="Times New Roman"/>
          <w:szCs w:val="22"/>
          <w:highlight w:val="none"/>
          <w:lang w:val="en-US" w:eastAsia="zh-CN"/>
        </w:rPr>
      </w:pPr>
      <w:r>
        <w:rPr>
          <w:rFonts w:ascii="Times New Roman" w:hAnsi="Times New Roman" w:cs="Times New Roman"/>
          <w:bCs/>
          <w:sz w:val="28"/>
          <w:szCs w:val="22"/>
          <w:highlight w:val="none"/>
        </w:rPr>
        <mc:AlternateContent>
          <mc:Choice Requires="wpc">
            <w:drawing>
              <wp:anchor distT="0" distB="0" distL="114300" distR="114300" simplePos="0" relativeHeight="254103552" behindDoc="0" locked="0" layoutInCell="1" allowOverlap="1">
                <wp:simplePos x="0" y="0"/>
                <wp:positionH relativeFrom="column">
                  <wp:posOffset>-93980</wp:posOffset>
                </wp:positionH>
                <wp:positionV relativeFrom="paragraph">
                  <wp:posOffset>156210</wp:posOffset>
                </wp:positionV>
                <wp:extent cx="5868670" cy="4617720"/>
                <wp:effectExtent l="4445" t="0" r="32385" b="0"/>
                <wp:wrapNone/>
                <wp:docPr id="262" name="画布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 name="矩形 213"/>
                        <wps:cNvSpPr/>
                        <wps:spPr>
                          <a:xfrm>
                            <a:off x="0" y="1867793"/>
                            <a:ext cx="322580" cy="642074"/>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177" name="直接连接符 214"/>
                        <wps:cNvCnPr/>
                        <wps:spPr>
                          <a:xfrm>
                            <a:off x="354965" y="2140881"/>
                            <a:ext cx="582295" cy="635"/>
                          </a:xfrm>
                          <a:prstGeom prst="line">
                            <a:avLst/>
                          </a:prstGeom>
                          <a:ln w="9525" cap="flat" cmpd="sng">
                            <a:solidFill>
                              <a:srgbClr val="000000"/>
                            </a:solidFill>
                            <a:prstDash val="solid"/>
                            <a:headEnd type="none" w="med" len="med"/>
                            <a:tailEnd type="triangle" w="med" len="med"/>
                          </a:ln>
                        </wps:spPr>
                        <wps:bodyPr upright="1"/>
                      </wps:wsp>
                      <wps:wsp>
                        <wps:cNvPr id="178" name="直接连接符 215"/>
                        <wps:cNvCnPr/>
                        <wps:spPr>
                          <a:xfrm>
                            <a:off x="968375" y="1179993"/>
                            <a:ext cx="0" cy="2700000"/>
                          </a:xfrm>
                          <a:prstGeom prst="line">
                            <a:avLst/>
                          </a:prstGeom>
                          <a:ln w="9525" cap="flat" cmpd="sng">
                            <a:solidFill>
                              <a:srgbClr val="000000"/>
                            </a:solidFill>
                            <a:prstDash val="solid"/>
                            <a:headEnd type="none" w="med" len="med"/>
                            <a:tailEnd type="none" w="med" len="med"/>
                          </a:ln>
                        </wps:spPr>
                        <wps:bodyPr upright="1"/>
                      </wps:wsp>
                      <wps:wsp>
                        <wps:cNvPr id="179" name="直接连接符 216"/>
                        <wps:cNvCnPr/>
                        <wps:spPr>
                          <a:xfrm flipV="1">
                            <a:off x="953135" y="1197141"/>
                            <a:ext cx="669925" cy="6986"/>
                          </a:xfrm>
                          <a:prstGeom prst="line">
                            <a:avLst/>
                          </a:prstGeom>
                          <a:ln w="9525" cap="flat" cmpd="sng">
                            <a:solidFill>
                              <a:srgbClr val="000000"/>
                            </a:solidFill>
                            <a:prstDash val="solid"/>
                            <a:headEnd type="none" w="med" len="med"/>
                            <a:tailEnd type="triangle" w="med" len="med"/>
                          </a:ln>
                        </wps:spPr>
                        <wps:bodyPr upright="1"/>
                      </wps:wsp>
                      <wps:wsp>
                        <wps:cNvPr id="180" name="直接连接符 217"/>
                        <wps:cNvCnPr/>
                        <wps:spPr>
                          <a:xfrm flipV="1">
                            <a:off x="967740" y="1906534"/>
                            <a:ext cx="1143000" cy="635"/>
                          </a:xfrm>
                          <a:prstGeom prst="line">
                            <a:avLst/>
                          </a:prstGeom>
                          <a:ln w="9525" cap="flat" cmpd="sng">
                            <a:solidFill>
                              <a:srgbClr val="000000"/>
                            </a:solidFill>
                            <a:prstDash val="solid"/>
                            <a:headEnd type="none" w="med" len="med"/>
                            <a:tailEnd type="triangle" w="med" len="med"/>
                          </a:ln>
                        </wps:spPr>
                        <wps:bodyPr upright="1"/>
                      </wps:wsp>
                      <wps:wsp>
                        <wps:cNvPr id="181" name="矩形 218"/>
                        <wps:cNvSpPr/>
                        <wps:spPr>
                          <a:xfrm>
                            <a:off x="1552575" y="1058691"/>
                            <a:ext cx="882650" cy="29722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182" name="矩形 219"/>
                        <wps:cNvSpPr/>
                        <wps:spPr>
                          <a:xfrm>
                            <a:off x="2126615" y="1795393"/>
                            <a:ext cx="850900" cy="26483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183" name="矩形 220"/>
                        <wps:cNvSpPr/>
                        <wps:spPr>
                          <a:xfrm>
                            <a:off x="4514215" y="2799467"/>
                            <a:ext cx="1158875" cy="274993"/>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184" name="直接连接符 221"/>
                        <wps:cNvCnPr/>
                        <wps:spPr>
                          <a:xfrm>
                            <a:off x="4733925" y="3094783"/>
                            <a:ext cx="635" cy="493463"/>
                          </a:xfrm>
                          <a:prstGeom prst="line">
                            <a:avLst/>
                          </a:prstGeom>
                          <a:ln w="9525" cap="flat" cmpd="sng">
                            <a:solidFill>
                              <a:srgbClr val="000000"/>
                            </a:solidFill>
                            <a:prstDash val="solid"/>
                            <a:headEnd type="none" w="med" len="med"/>
                            <a:tailEnd type="triangle" w="med" len="med"/>
                          </a:ln>
                        </wps:spPr>
                        <wps:bodyPr upright="1"/>
                      </wps:wsp>
                      <wps:wsp>
                        <wps:cNvPr id="185" name="矩形 222"/>
                        <wps:cNvSpPr/>
                        <wps:spPr>
                          <a:xfrm>
                            <a:off x="4463415" y="3555857"/>
                            <a:ext cx="49657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186" name="矩形 223"/>
                        <wps:cNvSpPr/>
                        <wps:spPr>
                          <a:xfrm>
                            <a:off x="354965" y="1867793"/>
                            <a:ext cx="551180" cy="331516"/>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506.85</w:t>
                              </w:r>
                            </w:p>
                          </w:txbxContent>
                        </wps:txbx>
                        <wps:bodyPr upright="1"/>
                      </wps:wsp>
                      <wps:wsp>
                        <wps:cNvPr id="187" name="矩形 224"/>
                        <wps:cNvSpPr/>
                        <wps:spPr>
                          <a:xfrm>
                            <a:off x="1056005" y="2853450"/>
                            <a:ext cx="490855"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45.6</w:t>
                              </w:r>
                            </w:p>
                          </w:txbxContent>
                        </wps:txbx>
                        <wps:bodyPr upright="1"/>
                      </wps:wsp>
                      <wps:wsp>
                        <wps:cNvPr id="188" name="矩形 225"/>
                        <wps:cNvSpPr/>
                        <wps:spPr>
                          <a:xfrm>
                            <a:off x="1074420" y="1641702"/>
                            <a:ext cx="691515" cy="267372"/>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w:t>
                              </w:r>
                            </w:p>
                          </w:txbxContent>
                        </wps:txbx>
                        <wps:bodyPr upright="1"/>
                      </wps:wsp>
                      <wps:wsp>
                        <wps:cNvPr id="189" name="直接连接符 226"/>
                        <wps:cNvCnPr/>
                        <wps:spPr>
                          <a:xfrm flipV="1">
                            <a:off x="2413000" y="1232070"/>
                            <a:ext cx="1890395" cy="21593"/>
                          </a:xfrm>
                          <a:prstGeom prst="line">
                            <a:avLst/>
                          </a:prstGeom>
                          <a:ln w="9525" cap="flat" cmpd="sng">
                            <a:solidFill>
                              <a:srgbClr val="000000"/>
                            </a:solidFill>
                            <a:prstDash val="solid"/>
                            <a:headEnd type="none" w="med" len="med"/>
                            <a:tailEnd type="triangle" w="med" len="med"/>
                          </a:ln>
                        </wps:spPr>
                        <wps:bodyPr upright="1"/>
                      </wps:wsp>
                      <wps:wsp>
                        <wps:cNvPr id="190" name="直接连接符 227"/>
                        <wps:cNvCnPr/>
                        <wps:spPr>
                          <a:xfrm flipV="1">
                            <a:off x="2974340" y="1907804"/>
                            <a:ext cx="1366520" cy="635"/>
                          </a:xfrm>
                          <a:prstGeom prst="line">
                            <a:avLst/>
                          </a:prstGeom>
                          <a:ln w="9525" cap="flat" cmpd="sng">
                            <a:solidFill>
                              <a:srgbClr val="000000"/>
                            </a:solidFill>
                            <a:prstDash val="solid"/>
                            <a:headEnd type="none" w="med" len="med"/>
                            <a:tailEnd type="triangle" w="med" len="med"/>
                          </a:ln>
                        </wps:spPr>
                        <wps:bodyPr upright="1"/>
                      </wps:wsp>
                      <wps:wsp>
                        <wps:cNvPr id="191" name="矩形 228"/>
                        <wps:cNvSpPr/>
                        <wps:spPr>
                          <a:xfrm>
                            <a:off x="3276600" y="2819155"/>
                            <a:ext cx="598170"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41.04</w:t>
                              </w:r>
                            </w:p>
                          </w:txbxContent>
                        </wps:txbx>
                        <wps:bodyPr upright="1"/>
                      </wps:wsp>
                      <wps:wsp>
                        <wps:cNvPr id="192" name="矩形 229"/>
                        <wps:cNvSpPr/>
                        <wps:spPr>
                          <a:xfrm>
                            <a:off x="3349625" y="1669011"/>
                            <a:ext cx="584200"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8.64</w:t>
                              </w:r>
                            </w:p>
                          </w:txbxContent>
                        </wps:txbx>
                        <wps:bodyPr upright="1"/>
                      </wps:wsp>
                      <wps:wsp>
                        <wps:cNvPr id="193" name="文本框 230"/>
                        <wps:cNvSpPr txBox="1"/>
                        <wps:spPr>
                          <a:xfrm>
                            <a:off x="1924685" y="350569"/>
                            <a:ext cx="1064260" cy="33088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46.79</w:t>
                              </w:r>
                            </w:p>
                          </w:txbxContent>
                        </wps:txbx>
                        <wps:bodyPr upright="1"/>
                      </wps:wsp>
                      <wps:wsp>
                        <wps:cNvPr id="194" name="直接连接符 231"/>
                        <wps:cNvCnPr/>
                        <wps:spPr>
                          <a:xfrm flipV="1">
                            <a:off x="2200275" y="671288"/>
                            <a:ext cx="12065" cy="401376"/>
                          </a:xfrm>
                          <a:prstGeom prst="line">
                            <a:avLst/>
                          </a:prstGeom>
                          <a:ln w="9525" cap="flat" cmpd="sng">
                            <a:solidFill>
                              <a:srgbClr val="000000"/>
                            </a:solidFill>
                            <a:prstDash val="lgDash"/>
                            <a:headEnd type="none" w="med" len="med"/>
                            <a:tailEnd type="triangle" w="med" len="med"/>
                          </a:ln>
                        </wps:spPr>
                        <wps:bodyPr upright="1"/>
                      </wps:wsp>
                      <wps:wsp>
                        <wps:cNvPr id="195" name="文本框 232"/>
                        <wps:cNvSpPr txBox="1"/>
                        <wps:spPr>
                          <a:xfrm>
                            <a:off x="2593975" y="2509867"/>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4.56</w:t>
                              </w:r>
                            </w:p>
                          </w:txbxContent>
                        </wps:txbx>
                        <wps:bodyPr upright="1">
                          <a:spAutoFit/>
                        </wps:bodyPr>
                      </wps:wsp>
                      <wps:wsp>
                        <wps:cNvPr id="196" name="直接连接符 233"/>
                        <wps:cNvCnPr/>
                        <wps:spPr>
                          <a:xfrm flipV="1">
                            <a:off x="2336165" y="1493727"/>
                            <a:ext cx="232410" cy="219105"/>
                          </a:xfrm>
                          <a:prstGeom prst="line">
                            <a:avLst/>
                          </a:prstGeom>
                          <a:ln w="9525" cap="flat" cmpd="sng">
                            <a:solidFill>
                              <a:srgbClr val="000000"/>
                            </a:solidFill>
                            <a:prstDash val="lgDash"/>
                            <a:headEnd type="none" w="med" len="med"/>
                            <a:tailEnd type="triangle" w="med" len="med"/>
                          </a:ln>
                        </wps:spPr>
                        <wps:bodyPr upright="1"/>
                      </wps:wsp>
                      <wps:wsp>
                        <wps:cNvPr id="197" name="文本框 234"/>
                        <wps:cNvSpPr txBox="1"/>
                        <wps:spPr>
                          <a:xfrm>
                            <a:off x="2494280" y="1333685"/>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2.16</w:t>
                              </w:r>
                            </w:p>
                          </w:txbxContent>
                        </wps:txbx>
                        <wps:bodyPr upright="1">
                          <a:spAutoFit/>
                        </wps:bodyPr>
                      </wps:wsp>
                      <wps:wsp>
                        <wps:cNvPr id="198" name="直接箭头连接符 235"/>
                        <wps:cNvCnPr/>
                        <wps:spPr>
                          <a:xfrm flipH="1">
                            <a:off x="4309745" y="1912885"/>
                            <a:ext cx="649605" cy="635"/>
                          </a:xfrm>
                          <a:prstGeom prst="straightConnector1">
                            <a:avLst/>
                          </a:prstGeom>
                          <a:ln w="9525" cap="flat" cmpd="sng">
                            <a:solidFill>
                              <a:srgbClr val="000000"/>
                            </a:solidFill>
                            <a:prstDash val="solid"/>
                            <a:headEnd type="none" w="med" len="med"/>
                            <a:tailEnd type="none" w="med" len="med"/>
                          </a:ln>
                        </wps:spPr>
                        <wps:bodyPr/>
                      </wps:wsp>
                      <wps:wsp>
                        <wps:cNvPr id="199" name="文本框 236"/>
                        <wps:cNvSpPr txBox="1"/>
                        <wps:spPr>
                          <a:xfrm>
                            <a:off x="4356735" y="1628365"/>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287.08</w:t>
                              </w:r>
                            </w:p>
                          </w:txbxContent>
                        </wps:txbx>
                        <wps:bodyPr upright="1">
                          <a:spAutoFit/>
                        </wps:bodyPr>
                      </wps:wsp>
                      <wps:wsp>
                        <wps:cNvPr id="200" name="文本框 237"/>
                        <wps:cNvSpPr txBox="1"/>
                        <wps:spPr>
                          <a:xfrm>
                            <a:off x="4114800" y="3231962"/>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277.13</w:t>
                              </w:r>
                            </w:p>
                          </w:txbxContent>
                        </wps:txbx>
                        <wps:bodyPr upright="1">
                          <a:spAutoFit/>
                        </wps:bodyPr>
                      </wps:wsp>
                      <wps:wsp>
                        <wps:cNvPr id="201" name="直接连接符 238"/>
                        <wps:cNvCnPr/>
                        <wps:spPr>
                          <a:xfrm>
                            <a:off x="4698365" y="3849268"/>
                            <a:ext cx="635" cy="276263"/>
                          </a:xfrm>
                          <a:prstGeom prst="line">
                            <a:avLst/>
                          </a:prstGeom>
                          <a:ln w="9525" cap="flat" cmpd="sng">
                            <a:solidFill>
                              <a:srgbClr val="000000"/>
                            </a:solidFill>
                            <a:prstDash val="solid"/>
                            <a:headEnd type="none" w="med" len="med"/>
                            <a:tailEnd type="triangle" w="med" len="med"/>
                          </a:ln>
                        </wps:spPr>
                        <wps:bodyPr upright="1"/>
                      </wps:wsp>
                      <wps:wsp>
                        <wps:cNvPr id="202" name="文本框 239"/>
                        <wps:cNvSpPr txBox="1"/>
                        <wps:spPr>
                          <a:xfrm>
                            <a:off x="4268470" y="4008675"/>
                            <a:ext cx="805180" cy="493463"/>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277.13</w:t>
                              </w:r>
                            </w:p>
                          </w:txbxContent>
                        </wps:txbx>
                        <wps:bodyPr upright="1"/>
                      </wps:wsp>
                      <wps:wsp>
                        <wps:cNvPr id="203" name="直接连接符 240"/>
                        <wps:cNvCnPr/>
                        <wps:spPr>
                          <a:xfrm>
                            <a:off x="5311775" y="3089702"/>
                            <a:ext cx="635" cy="489018"/>
                          </a:xfrm>
                          <a:prstGeom prst="line">
                            <a:avLst/>
                          </a:prstGeom>
                          <a:ln w="9525" cap="flat" cmpd="sng">
                            <a:solidFill>
                              <a:srgbClr val="000000"/>
                            </a:solidFill>
                            <a:prstDash val="solid"/>
                            <a:headEnd type="none" w="med" len="med"/>
                            <a:tailEnd type="triangle" w="med" len="med"/>
                          </a:ln>
                        </wps:spPr>
                        <wps:bodyPr upright="1"/>
                      </wps:wsp>
                      <wps:wsp>
                        <wps:cNvPr id="204" name="矩形 241"/>
                        <wps:cNvSpPr/>
                        <wps:spPr>
                          <a:xfrm>
                            <a:off x="5050155" y="3580625"/>
                            <a:ext cx="61722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205" name="文本框 242"/>
                        <wps:cNvSpPr txBox="1"/>
                        <wps:spPr>
                          <a:xfrm>
                            <a:off x="4958715" y="3282769"/>
                            <a:ext cx="4851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9.95</w:t>
                              </w:r>
                            </w:p>
                          </w:txbxContent>
                        </wps:txbx>
                        <wps:bodyPr upright="1">
                          <a:spAutoFit/>
                        </wps:bodyPr>
                      </wps:wsp>
                      <wps:wsp>
                        <wps:cNvPr id="206" name="矩形 243"/>
                        <wps:cNvSpPr/>
                        <wps:spPr>
                          <a:xfrm>
                            <a:off x="1043940" y="971684"/>
                            <a:ext cx="820420"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423.75</w:t>
                              </w:r>
                            </w:p>
                          </w:txbxContent>
                        </wps:txbx>
                        <wps:bodyPr upright="1"/>
                      </wps:wsp>
                      <wps:wsp>
                        <wps:cNvPr id="207" name="直接连接符 244"/>
                        <wps:cNvCnPr/>
                        <wps:spPr>
                          <a:xfrm>
                            <a:off x="953135" y="3050962"/>
                            <a:ext cx="1156970" cy="635"/>
                          </a:xfrm>
                          <a:prstGeom prst="line">
                            <a:avLst/>
                          </a:prstGeom>
                          <a:ln w="9525" cap="flat" cmpd="sng">
                            <a:solidFill>
                              <a:srgbClr val="000000"/>
                            </a:solidFill>
                            <a:prstDash val="solid"/>
                            <a:headEnd type="none" w="med" len="med"/>
                            <a:tailEnd type="triangle" w="med" len="med"/>
                          </a:ln>
                        </wps:spPr>
                        <wps:bodyPr upright="1"/>
                      </wps:wsp>
                      <wps:wsp>
                        <wps:cNvPr id="208" name="直接连接符 245"/>
                        <wps:cNvCnPr/>
                        <wps:spPr>
                          <a:xfrm>
                            <a:off x="3023870" y="3052232"/>
                            <a:ext cx="1355090" cy="6986"/>
                          </a:xfrm>
                          <a:prstGeom prst="line">
                            <a:avLst/>
                          </a:prstGeom>
                          <a:ln w="9525" cap="flat" cmpd="sng">
                            <a:solidFill>
                              <a:srgbClr val="000000"/>
                            </a:solidFill>
                            <a:prstDash val="solid"/>
                            <a:headEnd type="none" w="med" len="med"/>
                            <a:tailEnd type="triangle" w="med" len="med"/>
                          </a:ln>
                        </wps:spPr>
                        <wps:bodyPr upright="1"/>
                      </wps:wsp>
                      <wps:wsp>
                        <wps:cNvPr id="209" name="直接连接符 246"/>
                        <wps:cNvCnPr/>
                        <wps:spPr>
                          <a:xfrm flipV="1">
                            <a:off x="1752600" y="681449"/>
                            <a:ext cx="635" cy="401376"/>
                          </a:xfrm>
                          <a:prstGeom prst="line">
                            <a:avLst/>
                          </a:prstGeom>
                          <a:ln w="9525" cap="flat" cmpd="sng">
                            <a:solidFill>
                              <a:srgbClr val="000000"/>
                            </a:solidFill>
                            <a:prstDash val="lgDash"/>
                            <a:headEnd type="none" w="med" len="med"/>
                            <a:tailEnd type="triangle" w="med" len="med"/>
                          </a:ln>
                        </wps:spPr>
                        <wps:bodyPr upright="1"/>
                      </wps:wsp>
                      <wps:wsp>
                        <wps:cNvPr id="210" name="矩形 247"/>
                        <wps:cNvSpPr/>
                        <wps:spPr>
                          <a:xfrm>
                            <a:off x="836930" y="488383"/>
                            <a:ext cx="1224280" cy="326435"/>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ascii="Times New Roman" w:hAnsi="Times New Roman" w:cs="Times New Roman"/>
                                  <w:sz w:val="21"/>
                                  <w:szCs w:val="21"/>
                                </w:rPr>
                                <w:t>1</w:t>
                              </w:r>
                              <w:r>
                                <w:rPr>
                                  <w:rFonts w:hint="eastAsia" w:cs="Times New Roman"/>
                                  <w:sz w:val="21"/>
                                  <w:szCs w:val="21"/>
                                  <w:lang w:val="en-US" w:eastAsia="zh-CN"/>
                                </w:rPr>
                                <w:t>77.58</w:t>
                              </w:r>
                            </w:p>
                          </w:txbxContent>
                        </wps:txbx>
                        <wps:bodyPr upright="1"/>
                      </wps:wsp>
                      <wps:wsp>
                        <wps:cNvPr id="211" name="矩形 248"/>
                        <wps:cNvSpPr/>
                        <wps:spPr>
                          <a:xfrm>
                            <a:off x="2709545" y="1008520"/>
                            <a:ext cx="1156970" cy="294681"/>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ascii="Times New Roman" w:hAnsi="Times New Roman" w:cs="Times New Roman"/>
                                  <w:sz w:val="21"/>
                                  <w:szCs w:val="21"/>
                                </w:rPr>
                                <w:t>1</w:t>
                              </w:r>
                              <w:r>
                                <w:rPr>
                                  <w:rFonts w:hint="eastAsia" w:ascii="Times New Roman" w:hAnsi="Times New Roman" w:cs="Times New Roman"/>
                                  <w:sz w:val="21"/>
                                  <w:szCs w:val="21"/>
                                  <w:lang w:val="en-US" w:eastAsia="zh-CN"/>
                                </w:rPr>
                                <w:t>99.38</w:t>
                              </w:r>
                            </w:p>
                          </w:txbxContent>
                        </wps:txbx>
                        <wps:bodyPr upright="1"/>
                      </wps:wsp>
                      <wps:wsp>
                        <wps:cNvPr id="212" name="直接连接符 249"/>
                        <wps:cNvCnPr/>
                        <wps:spPr>
                          <a:xfrm flipV="1">
                            <a:off x="2466340" y="2680071"/>
                            <a:ext cx="170815" cy="247049"/>
                          </a:xfrm>
                          <a:prstGeom prst="line">
                            <a:avLst/>
                          </a:prstGeom>
                          <a:ln w="9525" cap="flat" cmpd="sng">
                            <a:solidFill>
                              <a:srgbClr val="000000"/>
                            </a:solidFill>
                            <a:prstDash val="lgDash"/>
                            <a:headEnd type="none" w="med" len="med"/>
                            <a:tailEnd type="triangle" w="med" len="med"/>
                          </a:ln>
                        </wps:spPr>
                        <wps:bodyPr upright="1"/>
                      </wps:wsp>
                      <wps:wsp>
                        <wps:cNvPr id="255" name="矩形 250"/>
                        <wps:cNvSpPr/>
                        <wps:spPr>
                          <a:xfrm>
                            <a:off x="2111375" y="2904892"/>
                            <a:ext cx="912495" cy="320084"/>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263" name="直接连接符 251"/>
                        <wps:cNvCnPr/>
                        <wps:spPr>
                          <a:xfrm>
                            <a:off x="2991485" y="583646"/>
                            <a:ext cx="474980" cy="6986"/>
                          </a:xfrm>
                          <a:prstGeom prst="line">
                            <a:avLst/>
                          </a:prstGeom>
                          <a:ln w="9525" cap="flat" cmpd="sng">
                            <a:solidFill>
                              <a:srgbClr val="000000"/>
                            </a:solidFill>
                            <a:prstDash val="solid"/>
                            <a:headEnd type="none" w="med" len="med"/>
                            <a:tailEnd type="triangle" w="med" len="med"/>
                          </a:ln>
                        </wps:spPr>
                        <wps:bodyPr upright="1"/>
                      </wps:wsp>
                      <wps:wsp>
                        <wps:cNvPr id="264" name="矩形 252"/>
                        <wps:cNvSpPr/>
                        <wps:spPr>
                          <a:xfrm>
                            <a:off x="3453130" y="437576"/>
                            <a:ext cx="812800" cy="28769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265" name="直接连接符 253"/>
                        <wps:cNvCnPr/>
                        <wps:spPr>
                          <a:xfrm>
                            <a:off x="3867785" y="736067"/>
                            <a:ext cx="635" cy="284519"/>
                          </a:xfrm>
                          <a:prstGeom prst="line">
                            <a:avLst/>
                          </a:prstGeom>
                          <a:ln w="9525" cap="flat" cmpd="sng">
                            <a:solidFill>
                              <a:srgbClr val="000000"/>
                            </a:solidFill>
                            <a:prstDash val="solid"/>
                            <a:headEnd type="none" w="med" len="med"/>
                            <a:tailEnd type="none" w="med" len="med"/>
                          </a:ln>
                        </wps:spPr>
                        <wps:bodyPr upright="1"/>
                      </wps:wsp>
                      <wps:wsp>
                        <wps:cNvPr id="266" name="直接连接符 254"/>
                        <wps:cNvCnPr/>
                        <wps:spPr>
                          <a:xfrm>
                            <a:off x="4323080" y="987562"/>
                            <a:ext cx="15240" cy="2081183"/>
                          </a:xfrm>
                          <a:prstGeom prst="line">
                            <a:avLst/>
                          </a:prstGeom>
                          <a:ln w="9525" cap="flat" cmpd="sng">
                            <a:solidFill>
                              <a:srgbClr val="000000"/>
                            </a:solidFill>
                            <a:prstDash val="solid"/>
                            <a:headEnd type="none" w="med" len="med"/>
                            <a:tailEnd type="none" w="med" len="med"/>
                          </a:ln>
                        </wps:spPr>
                        <wps:bodyPr upright="1"/>
                      </wps:wsp>
                      <wps:wsp>
                        <wps:cNvPr id="267" name="直接连接符 256"/>
                        <wps:cNvCnPr/>
                        <wps:spPr>
                          <a:xfrm>
                            <a:off x="3858260" y="1007249"/>
                            <a:ext cx="464820" cy="635"/>
                          </a:xfrm>
                          <a:prstGeom prst="line">
                            <a:avLst/>
                          </a:prstGeom>
                          <a:ln w="9525" cap="flat" cmpd="sng">
                            <a:solidFill>
                              <a:srgbClr val="000000"/>
                            </a:solidFill>
                            <a:prstDash val="solid"/>
                            <a:headEnd type="none" w="med" len="med"/>
                            <a:tailEnd type="arrow" w="med" len="med"/>
                          </a:ln>
                        </wps:spPr>
                        <wps:bodyPr upright="1"/>
                      </wps:wsp>
                      <wps:wsp>
                        <wps:cNvPr id="268" name="矩形 257"/>
                        <wps:cNvSpPr/>
                        <wps:spPr>
                          <a:xfrm>
                            <a:off x="3806825" y="725270"/>
                            <a:ext cx="584200" cy="27753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38.02</w:t>
                              </w:r>
                            </w:p>
                          </w:txbxContent>
                        </wps:txbx>
                        <wps:bodyPr upright="1"/>
                      </wps:wsp>
                      <wps:wsp>
                        <wps:cNvPr id="269" name="直接连接符 258"/>
                        <wps:cNvCnPr/>
                        <wps:spPr>
                          <a:xfrm>
                            <a:off x="4271645" y="591267"/>
                            <a:ext cx="889635" cy="635"/>
                          </a:xfrm>
                          <a:prstGeom prst="line">
                            <a:avLst/>
                          </a:prstGeom>
                          <a:ln w="9525" cap="flat" cmpd="sng">
                            <a:solidFill>
                              <a:srgbClr val="000000"/>
                            </a:solidFill>
                            <a:prstDash val="solid"/>
                            <a:headEnd type="none" w="med" len="med"/>
                            <a:tailEnd type="triangle" w="med" len="med"/>
                          </a:ln>
                        </wps:spPr>
                        <wps:bodyPr upright="1"/>
                      </wps:wsp>
                      <wps:wsp>
                        <wps:cNvPr id="270" name="矩形 259"/>
                        <wps:cNvSpPr/>
                        <wps:spPr>
                          <a:xfrm>
                            <a:off x="4156710" y="302302"/>
                            <a:ext cx="1211580" cy="294046"/>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8.77</w:t>
                              </w:r>
                            </w:p>
                          </w:txbxContent>
                        </wps:txbx>
                        <wps:bodyPr upright="1"/>
                      </wps:wsp>
                      <wps:wsp>
                        <wps:cNvPr id="271" name="矩形 260"/>
                        <wps:cNvSpPr/>
                        <wps:spPr>
                          <a:xfrm>
                            <a:off x="5143500" y="476951"/>
                            <a:ext cx="739775" cy="259116"/>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272" name="直接连接符 261"/>
                        <wps:cNvCnPr/>
                        <wps:spPr>
                          <a:xfrm flipH="1">
                            <a:off x="4935220" y="1910080"/>
                            <a:ext cx="14605" cy="883920"/>
                          </a:xfrm>
                          <a:prstGeom prst="line">
                            <a:avLst/>
                          </a:prstGeom>
                          <a:ln w="9525" cap="flat" cmpd="sng">
                            <a:solidFill>
                              <a:srgbClr val="000000"/>
                            </a:solidFill>
                            <a:prstDash val="solid"/>
                            <a:headEnd type="none" w="med" len="med"/>
                            <a:tailEnd type="triangle" w="med" len="med"/>
                          </a:ln>
                        </wps:spPr>
                        <wps:bodyPr upright="1"/>
                      </wps:wsp>
                      <wpg:wgp>
                        <wpg:cNvPr id="42" name="组合 42"/>
                        <wpg:cNvGrpSpPr/>
                        <wpg:grpSpPr>
                          <a:xfrm>
                            <a:off x="971550" y="3644900"/>
                            <a:ext cx="2714625" cy="944880"/>
                            <a:chOff x="1530" y="5740"/>
                            <a:chExt cx="4275" cy="1488"/>
                          </a:xfrm>
                        </wpg:grpSpPr>
                        <wps:wsp>
                          <wps:cNvPr id="21" name="矩形 250"/>
                          <wps:cNvSpPr/>
                          <wps:spPr>
                            <a:xfrm>
                              <a:off x="2569" y="5829"/>
                              <a:ext cx="1437" cy="504"/>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锅炉</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22" name="直接连接符 216"/>
                          <wps:cNvCnPr/>
                          <wps:spPr>
                            <a:xfrm flipV="1">
                              <a:off x="1530" y="6110"/>
                              <a:ext cx="1055" cy="11"/>
                            </a:xfrm>
                            <a:prstGeom prst="line">
                              <a:avLst/>
                            </a:prstGeom>
                            <a:ln w="9525" cap="flat" cmpd="sng">
                              <a:solidFill>
                                <a:srgbClr val="000000"/>
                              </a:solidFill>
                              <a:prstDash val="solid"/>
                              <a:headEnd type="none" w="med" len="med"/>
                              <a:tailEnd type="triangle" w="med" len="med"/>
                            </a:ln>
                          </wps:spPr>
                          <wps:bodyPr upright="1"/>
                        </wps:wsp>
                        <wps:wsp>
                          <wps:cNvPr id="24" name="直接连接符 216"/>
                          <wps:cNvCnPr/>
                          <wps:spPr>
                            <a:xfrm flipV="1">
                              <a:off x="4021" y="6110"/>
                              <a:ext cx="1055" cy="11"/>
                            </a:xfrm>
                            <a:prstGeom prst="line">
                              <a:avLst/>
                            </a:prstGeom>
                            <a:ln w="9525" cap="flat" cmpd="sng">
                              <a:solidFill>
                                <a:srgbClr val="000000"/>
                              </a:solidFill>
                              <a:prstDash val="solid"/>
                              <a:headEnd type="none" w="med" len="med"/>
                              <a:tailEnd type="triangle" w="med" len="med"/>
                            </a:ln>
                          </wps:spPr>
                          <wps:bodyPr upright="1"/>
                        </wps:wsp>
                        <wps:wsp>
                          <wps:cNvPr id="27" name="矩形 250"/>
                          <wps:cNvSpPr/>
                          <wps:spPr>
                            <a:xfrm>
                              <a:off x="5083" y="5845"/>
                              <a:ext cx="722" cy="504"/>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b/>
                                    <w:sz w:val="21"/>
                                    <w:szCs w:val="21"/>
                                  </w:rPr>
                                </w:pPr>
                                <w:r>
                                  <w:rPr>
                                    <w:rFonts w:hint="eastAsia" w:ascii="Calibri" w:hAnsi="Calibri" w:cs="Times New Roman"/>
                                    <w:sz w:val="21"/>
                                    <w:szCs w:val="21"/>
                                    <w:lang w:eastAsia="zh-CN"/>
                                  </w:rPr>
                                  <w:t>饲料</w:t>
                                </w:r>
                              </w:p>
                            </w:txbxContent>
                          </wps:txbx>
                          <wps:bodyPr lIns="0" tIns="45720" rIns="0" bIns="45720" upright="1"/>
                        </wps:wsp>
                        <wps:wsp>
                          <wps:cNvPr id="28" name="直接连接符 233"/>
                          <wps:cNvCnPr/>
                          <wps:spPr>
                            <a:xfrm>
                              <a:off x="3260" y="6351"/>
                              <a:ext cx="0" cy="377"/>
                            </a:xfrm>
                            <a:prstGeom prst="line">
                              <a:avLst/>
                            </a:prstGeom>
                            <a:ln w="9525" cap="flat" cmpd="sng">
                              <a:solidFill>
                                <a:srgbClr val="000000"/>
                              </a:solidFill>
                              <a:prstDash val="lgDash"/>
                              <a:headEnd type="none" w="med" len="med"/>
                              <a:tailEnd type="triangle" w="med" len="med"/>
                            </a:ln>
                          </wps:spPr>
                          <wps:bodyPr upright="1"/>
                        </wps:wsp>
                        <wps:wsp>
                          <wps:cNvPr id="29" name="文本框 234"/>
                          <wps:cNvSpPr txBox="1"/>
                          <wps:spPr>
                            <a:xfrm>
                              <a:off x="2614" y="6752"/>
                              <a:ext cx="1979" cy="476"/>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lang w:eastAsia="zh-CN"/>
                                  </w:rPr>
                                  <w:t>洒水降尘</w:t>
                                </w:r>
                                <w:r>
                                  <w:rPr>
                                    <w:rFonts w:hint="eastAsia" w:cs="Times New Roman"/>
                                    <w:sz w:val="21"/>
                                    <w:szCs w:val="21"/>
                                    <w:lang w:val="en-US" w:eastAsia="zh-CN"/>
                                  </w:rPr>
                                  <w:t>2.7</w:t>
                                </w:r>
                              </w:p>
                            </w:txbxContent>
                          </wps:txbx>
                          <wps:bodyPr wrap="square" upright="1">
                            <a:spAutoFit/>
                          </wps:bodyPr>
                        </wps:wsp>
                        <wps:wsp>
                          <wps:cNvPr id="31" name="矩形 224"/>
                          <wps:cNvSpPr/>
                          <wps:spPr>
                            <a:xfrm>
                              <a:off x="1714" y="5740"/>
                              <a:ext cx="773" cy="31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wps:txbx>
                          <wps:bodyPr upright="1"/>
                        </wps:wsp>
                        <wps:wsp>
                          <wps:cNvPr id="32" name="矩形 224"/>
                          <wps:cNvSpPr/>
                          <wps:spPr>
                            <a:xfrm>
                              <a:off x="4080" y="5798"/>
                              <a:ext cx="773" cy="31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w:t>
                                </w:r>
                              </w:p>
                            </w:txbxContent>
                          </wps:txbx>
                          <wps:bodyPr upright="1"/>
                        </wps:wsp>
                      </wpg:wgp>
                    </wpc:wpc>
                  </a:graphicData>
                </a:graphic>
              </wp:anchor>
            </w:drawing>
          </mc:Choice>
          <mc:Fallback>
            <w:pict>
              <v:group id="_x0000_s1026" o:spid="_x0000_s1026" o:spt="203" style="position:absolute;left:0pt;margin-left:-7.4pt;margin-top:12.3pt;height:363.6pt;width:462.1pt;z-index:254103552;mso-width-relative:page;mso-height-relative:page;" coordsize="5868670,4617720" editas="canvas"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">
                <o:lock v:ext="edit" aspectratio="f"/>
                <v:shape id="_x0000_s1026" o:spid="_x0000_s1026" style="position:absolute;left:0;top:0;height:4617720;width:5868670;" filled="f" stroked="f" coordsize="21600,21600"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">
                  <v:fill on="f" focussize="0,0"/>
                  <v:stroke on="f"/>
                  <v:imagedata o:title=""/>
                  <o:lock v:ext="edit" aspectratio="t"/>
                </v:shape>
                <v:rect id="矩形 213" o:spid="_x0000_s1026" o:spt="1" style="position:absolute;left:0;top:1867793;height:642074;width:32258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vadQtoAAAAKAQAADwAAAAAAAAABACAAAAAiAAAAZHJzL2Rv&#10;d25yZXYueG1sUEsBAhQAFAAAAAgAh07iQOrB1VL/AQAAAQQAAA4AAAAAAAAAAQAgAAAAKQEAAGRy&#10;cy9lMm9Eb2MueG1sUEsFBgAAAAAGAAYAWQEAAJoFAA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直接连接符 214" o:spid="_x0000_s1026" o:spt="20" style="position:absolute;left:354965;top:2140881;height:635;width:58229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ATLo3AAAAAoBAAAPAAAAAAAAAAEAIAAAACIAAABkcnMvZG93bnJldi54bWxQSwEC&#10;FAAUAAAACACHTuJAvaqFCfABAACqAwAADgAAAAAAAAABACAAAAArAQAAZHJzL2Uyb0RvYy54bWxQ&#10;SwUGAAAAAAYABgBZAQAAjQUAAAAA&#10;">
                  <v:fill on="f" focussize="0,0"/>
                  <v:stroke color="#000000" joinstyle="round" endarrow="block"/>
                  <v:imagedata o:title=""/>
                  <o:lock v:ext="edit" aspectratio="f"/>
                </v:line>
                <v:line id="直接连接符 215" o:spid="_x0000_s1026" o:spt="20" style="position:absolute;left:968375;top:1179993;height:2700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fC1U&#10;2QAAAAoBAAAPAAAAAAAAAAEAIAAAACIAAABkcnMvZG93bnJldi54bWxQSwECFAAUAAAACACHTuJA&#10;0PL8xucBAAClAwAADgAAAAAAAAABACAAAAAoAQAAZHJzL2Uyb0RvYy54bWxQSwUGAAAAAAYABgBZ&#10;AQAAgQUAAAAA&#10;">
                  <v:fill on="f" focussize="0,0"/>
                  <v:stroke color="#000000" joinstyle="round"/>
                  <v:imagedata o:title=""/>
                  <o:lock v:ext="edit" aspectratio="f"/>
                </v:line>
                <v:line id="直接连接符 216" o:spid="_x0000_s1026" o:spt="20" style="position:absolute;left:953135;top:1197141;flip:y;height:6986;width:66992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wmLpdsAAAAKAQAADwAAAAAAAAABACAAAAAiAAAAZHJzL2Rvd25yZXYu&#10;eG1sUEsBAhQAFAAAAAgAh07iQGjilzf4AQAAtQMAAA4AAAAAAAAAAQAgAAAAKgEAAGRycy9lMm9E&#10;b2MueG1sUEsFBgAAAAAGAAYAWQEAAJQFAAAAAA==&#10;">
                  <v:fill on="f" focussize="0,0"/>
                  <v:stroke color="#000000" joinstyle="round" endarrow="block"/>
                  <v:imagedata o:title=""/>
                  <o:lock v:ext="edit" aspectratio="f"/>
                </v:line>
                <v:line id="直接连接符 217" o:spid="_x0000_s1026" o:spt="20" style="position:absolute;left:967740;top:1906534;flip:y;height:635;width:1143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wmLpdsAAAAKAQAADwAAAAAAAAABACAAAAAiAAAAZHJzL2Rvd25yZXYu&#10;eG1sUEsBAhQAFAAAAAgAh07iQDAtZ874AQAAtQMAAA4AAAAAAAAAAQAgAAAAKgEAAGRycy9lMm9E&#10;b2MueG1sUEsFBgAAAAAGAAYAWQEAAJQFAAAAAA==&#10;">
                  <v:fill on="f" focussize="0,0"/>
                  <v:stroke color="#000000" joinstyle="round" endarrow="block"/>
                  <v:imagedata o:title=""/>
                  <o:lock v:ext="edit" aspectratio="f"/>
                </v:line>
                <v:rect id="矩形 218" o:spid="_x0000_s1026" o:spt="1" style="position:absolute;left:1552575;top:1058691;height:297221;width:88265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ZqoNsAAAAKAQAA&#10;DwAAAAAAAAABACAAAAAiAAAAZHJzL2Rvd25yZXYueG1sUEsBAhQAFAAAAAgAh07iQJI5crkWAgAA&#10;MwQAAA4AAAAAAAAAAQAgAAAAKgEAAGRycy9lMm9Eb2MueG1sUEsFBgAAAAAGAAYAWQEAALIFAAAA&#10;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矩形 219" o:spid="_x0000_s1026" o:spt="1" style="position:absolute;left:2126615;top:1795393;height:264832;width:85090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&#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9p1C2gAAAAoBAAAPAAAAAAAAAAEAIAAAACIAAABk&#10;cnMvZG93bnJldi54bWxQSwECFAAUAAAACACHTuJAyj0aPgQCAAAHBAAADgAAAAAAAAABACAAAAAp&#10;AQAAZHJzL2Uyb0RvYy54bWxQSwUGAAAAAAYABgBZAQAAnw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矩形 220" o:spid="_x0000_s1026" o:spt="1" style="position:absolute;left:4514215;top:2799467;height:274993;width:1158875;"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vadQtoAAAAKAQAADwAAAAAAAAABACAAAAAiAAAAZHJz&#10;L2Rvd25yZXYueG1sUEsBAhQAFAAAAAgAh07iQB1N3WMCAgAACAQAAA4AAAAAAAAAAQAgAAAAKQEA&#10;AGRycy9lMm9Eb2MueG1sUEsFBgAAAAAGAAYAWQEAAJ0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直接连接符 221" o:spid="_x0000_s1026" o:spt="20" style="position:absolute;left:4733925;top:3094783;height:4934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QEy6NwAAAAKAQAADwAAAAAAAAABACAAAAAiAAAAZHJzL2Rvd25yZXYueG1s&#10;UEsBAhQAFAAAAAgAh07iQDvAt/T0AQAAqwMAAA4AAAAAAAAAAQAgAAAAKwEAAGRycy9lMm9Eb2Mu&#10;eG1sUEsFBgAAAAAGAAYAWQEAAJEFAAAAAA==&#10;">
                  <v:fill on="f" focussize="0,0"/>
                  <v:stroke color="#000000" joinstyle="round" endarrow="block"/>
                  <v:imagedata o:title=""/>
                  <o:lock v:ext="edit" aspectratio="f"/>
                </v:line>
                <v:rect id="矩形 222" o:spid="_x0000_s1026" o:spt="1" style="position:absolute;left:4463415;top:3555857;height:270547;width:49657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72nULaAAAACgEAAA8AAAAAAAAAAQAgAAAAIgAA&#10;AGRycy9kb3ducmV2LnhtbFBLAQIUABQAAAAIAIdO4kCBGeqoBgIAAAcEAAAOAAAAAAAAAAEAIAAA&#10;ACkBAABkcnMvZTJvRG9jLnhtbFBLBQYAAAAABgAGAFkBAACh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矩形 223" o:spid="_x0000_s1026" o:spt="1" style="position:absolute;left:354965;top:1867793;height:331516;width:5511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T24u57YBAABHAwAADgAAAAAAAAABACAAAAApAQAAZHJzL2Uyb0RvYy54bWxQSwUG&#10;AAAAAAYABgBZAQAAUQU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506.85</w:t>
                        </w:r>
                      </w:p>
                    </w:txbxContent>
                  </v:textbox>
                </v:rect>
                <v:rect id="矩形 224" o:spid="_x0000_s1026" o:spt="1" style="position:absolute;left:1056005;top:2853450;height:198783;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H9lsuq3AQAASAMAAA4AAAAAAAAAAQAgAAAAKQEAAGRycy9lMm9Eb2MueG1sUEsF&#10;BgAAAAAGAAYAWQEAAFI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45.6</w:t>
                        </w:r>
                      </w:p>
                    </w:txbxContent>
                  </v:textbox>
                </v:rect>
                <v:rect id="矩形 225" o:spid="_x0000_s1026" o:spt="1" style="position:absolute;left:1074420;top:1641702;height:267372;width:69151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BaZbui3AQAASAMAAA4AAAAAAAAAAQAgAAAAKQEAAGRycy9lMm9Eb2MueG1sUEsF&#10;BgAAAAAGAAYAWQEAAFI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w:t>
                        </w:r>
                      </w:p>
                    </w:txbxContent>
                  </v:textbox>
                </v:rect>
                <v:line id="直接连接符 226" o:spid="_x0000_s1026" o:spt="20" style="position:absolute;left:2413000;top:1232070;flip:y;height:21593;width:189039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8Ji6XbAAAACgEAAA8AAAAAAAAAAQAgAAAAIgAAAGRycy9kb3ducmV2&#10;LnhtbFBLAQIUABQAAAAIAIdO4kCkTRP3+QEAALgDAAAOAAAAAAAAAAEAIAAAACoBAABkcnMvZTJv&#10;RG9jLnhtbFBLBQYAAAAABgAGAFkBAACVBQAAAAA=&#10;">
                  <v:fill on="f" focussize="0,0"/>
                  <v:stroke color="#000000" joinstyle="round" endarrow="block"/>
                  <v:imagedata o:title=""/>
                  <o:lock v:ext="edit" aspectratio="f"/>
                </v:line>
                <v:line id="直接连接符 227" o:spid="_x0000_s1026" o:spt="20" style="position:absolute;left:2974340;top:1907804;flip:y;height:635;width:136652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wmLpdsAAAAKAQAADwAAAAAAAAABACAAAAAiAAAAZHJzL2Rvd25yZXYu&#10;eG1sUEsBAhQAFAAAAAgAh07iQGF6ycj4AQAAtgMAAA4AAAAAAAAAAQAgAAAAKgEAAGRycy9lMm9E&#10;b2MueG1sUEsFBgAAAAAGAAYAWQEAAJQFAAAAAA==&#10;">
                  <v:fill on="f" focussize="0,0"/>
                  <v:stroke color="#000000" joinstyle="round" endarrow="block"/>
                  <v:imagedata o:title=""/>
                  <o:lock v:ext="edit" aspectratio="f"/>
                </v:line>
                <v:rect id="矩形 228" o:spid="_x0000_s1026" o:spt="1" style="position:absolute;left:3276600;top:2819155;height:198783;width:5981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nNfCg7YBAABI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41.04</w:t>
                        </w:r>
                      </w:p>
                    </w:txbxContent>
                  </v:textbox>
                </v:rect>
                <v:rect id="矩形 229" o:spid="_x0000_s1026" o:spt="1" style="position:absolute;left:3349625;top:1669011;height:198783;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Yg/aN7YBAABI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8.64</w:t>
                        </w:r>
                      </w:p>
                    </w:txbxContent>
                  </v:textbox>
                </v:rect>
                <v:shape id="文本框 230" o:spid="_x0000_s1026" o:spt="202" type="#_x0000_t202" style="position:absolute;left:1924685;top:350569;height:330881;width:1064260;" filled="f" stroked="t" coordsize="21600,21600" o:gfxdata="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8eN1wAAAAoBAAAPAAAAAAAAAAEAIAAAACIAAABkcnMvZG93bnJldi54bWxQ&#10;SwECFAAUAAAACACHTuJAkLW3hvgBAADOAwAADgAAAAAAAAABACAAAAAmAQAAZHJzL2Uyb0RvYy54&#10;bWxQSwUGAAAAAAYABgBZAQAAkAUAAAAA&#10;">
                  <v:fill on="f" focussize="0,0"/>
                  <v:stroke color="#000000" joinstyle="miter"/>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46.79</w:t>
                        </w:r>
                      </w:p>
                    </w:txbxContent>
                  </v:textbox>
                </v:shape>
                <v:line id="直接连接符 231" o:spid="_x0000_s1026" o:spt="20" style="position:absolute;left:2200275;top:671288;flip:y;height:401376;width:1206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aNXZ1wAAAAoBAAAPAAAAAAAAAAEAIAAAACIAAABkcnMvZG93bnJldi54&#10;bWxQSwECFAAUAAAACACHTuJAKLGJYfsBAAC3AwAADgAAAAAAAAABACAAAAAmAQAAZHJzL2Uyb0Rv&#10;Yy54bWxQSwUGAAAAAAYABgBZAQAAkwUAAAAA&#10;">
                  <v:fill on="f" focussize="0,0"/>
                  <v:stroke color="#000000" joinstyle="round" dashstyle="longDash" endarrow="block"/>
                  <v:imagedata o:title=""/>
                  <o:lock v:ext="edit" aspectratio="f"/>
                </v:line>
                <v:shape id="文本框 232" o:spid="_x0000_s1026" o:spt="202" type="#_x0000_t202" style="position:absolute;left:2593975;top:2509867;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gz9LHYAAAA&#10;CgEAAA8AAAAAAAAAAQAgAAAAIgAAAGRycy9kb3ducmV2LnhtbFBLAQIUABQAAAAIAIdO4kC1Xweb&#10;qwEAACkDAAAOAAAAAAAAAAEAIAAAACcBAABkcnMvZTJvRG9jLnhtbFBLBQYAAAAABgAGAFkBAABE&#10;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4.56</w:t>
                        </w:r>
                      </w:p>
                    </w:txbxContent>
                  </v:textbox>
                </v:shape>
                <v:line id="直接连接符 233" o:spid="_x0000_s1026" o:spt="20" style="position:absolute;left:2336165;top:1493727;flip:y;height:219105;width:232410;"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mjV2dcAAAAKAQAADwAAAAAAAAABACAAAAAiAAAAZHJzL2Rvd25yZXYu&#10;eG1sUEsBAhQAFAAAAAgAh07iQK+sjkD8AQAAuQMAAA4AAAAAAAAAAQAgAAAAJgEAAGRycy9lMm9E&#10;b2MueG1sUEsFBgAAAAAGAAYAWQEAAJQFAAAAAA==&#10;">
                  <v:fill on="f" focussize="0,0"/>
                  <v:stroke color="#000000" joinstyle="round" dashstyle="longDash" endarrow="block"/>
                  <v:imagedata o:title=""/>
                  <o:lock v:ext="edit" aspectratio="f"/>
                </v:line>
                <v:shape id="文本框 234" o:spid="_x0000_s1026" o:spt="202" type="#_x0000_t202" style="position:absolute;left:2494280;top:1333685;height:302260;width:84645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M/Sx2AAA&#10;AAoBAAAPAAAAAAAAAAEAIAAAACIAAABkcnMvZG93bnJldi54bWxQSwECFAAUAAAACACHTuJAk5aD&#10;nqwBAAApAwAADgAAAAAAAAABACAAAAAnAQAAZHJzL2Uyb0RvYy54bWxQSwUGAAAAAAYABgBZAQAA&#10;RQ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2.16</w:t>
                        </w:r>
                      </w:p>
                    </w:txbxContent>
                  </v:textbox>
                </v:shape>
                <v:shape id="直接箭头连接符 235" o:spid="_x0000_s1026" o:spt="32" type="#_x0000_t32" style="position:absolute;left:4309745;top:1912885;flip:x;height:635;width:649605;" filled="f" stroked="t" coordsize="21600,21600" o:gfxdata="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J+XaXZAAAACgEAAA8AAAAAAAAAAQAgAAAAIgAAAGRycy9kb3ducmV2&#10;LnhtbFBLAQIUABQAAAAIAIdO4kD2VSp9+wEAALkDAAAOAAAAAAAAAAEAIAAAACgBAABkcnMvZTJv&#10;RG9jLnhtbFBLBQYAAAAABgAGAFkBAACVBQAAAAA=&#10;">
                  <v:fill on="f" focussize="0,0"/>
                  <v:stroke color="#000000" joinstyle="round"/>
                  <v:imagedata o:title=""/>
                  <o:lock v:ext="edit" aspectratio="f"/>
                </v:shape>
                <v:shape id="文本框 236" o:spid="_x0000_s1026" o:spt="202" type="#_x0000_t202" style="position:absolute;left:4356735;top:1628365;height:302260;width:68008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M/Sx2AAA&#10;AAoBAAAPAAAAAAAAAAEAIAAAACIAAABkcnMvZG93bnJldi54bWxQSwECFAAUAAAACACHTuJAtW/C&#10;HKwBAAApAwAADgAAAAAAAAABACAAAAAnAQAAZHJzL2Uyb0RvYy54bWxQSwUGAAAAAAYABgBZAQAA&#10;R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287.08</w:t>
                        </w:r>
                      </w:p>
                    </w:txbxContent>
                  </v:textbox>
                </v:shape>
                <v:shape id="文本框 237" o:spid="_x0000_s1026" o:spt="202" type="#_x0000_t202" style="position:absolute;left:4114800;top:3231962;height:302260;width:67564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gz9LHYAAAA&#10;CgEAAA8AAAAAAAAAAQAgAAAAIgAAAGRycy9kb3ducmV2LnhtbFBLAQIUABQAAAAIAIdO4kA7UKxM&#10;qwEAACkDAAAOAAAAAAAAAAEAIAAAACcBAABkcnMvZTJvRG9jLnhtbFBLBQYAAAAABgAGAFkBAABE&#10;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277.13</w:t>
                        </w:r>
                      </w:p>
                    </w:txbxContent>
                  </v:textbox>
                </v:shape>
                <v:line id="直接连接符 238" o:spid="_x0000_s1026" o:spt="20" style="position:absolute;left:4698365;top:3849268;height:2762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Ey6NwAAAAKAQAADwAAAAAAAAABACAAAAAiAAAAZHJzL2Rvd25yZXYueG1sUEsB&#10;AhQAFAAAAAgAh07iQJMeVGnxAQAAqwMAAA4AAAAAAAAAAQAgAAAAKwEAAGRycy9lMm9Eb2MueG1s&#10;UEsFBgAAAAAGAAYAWQEAAI4FAAAAAA==&#10;">
                  <v:fill on="f" focussize="0,0"/>
                  <v:stroke color="#000000" joinstyle="round" endarrow="block"/>
                  <v:imagedata o:title=""/>
                  <o:lock v:ext="edit" aspectratio="f"/>
                </v:line>
                <v:shape id="文本框 239" o:spid="_x0000_s1026" o:spt="202" type="#_x0000_t202" style="position:absolute;left:4268470;top:4008675;height:493463;width:805180;" filled="f" stroked="f" coordsize="21600,21600" o:gfxdata="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WVFcPYAAAACgEAAA8AAAAAAAAA&#10;AQAgAAAAIgAAAGRycy9kb3ducmV2LnhtbFBLAQIUABQAAAAIAIdO4kDU+SygnwEAAA8DAAAOAAAA&#10;AAAAAAEAIAAAACcBAABkcnMvZTJvRG9jLnhtbFBLBQYAAAAABgAGAFkBAAA4BQ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277.13</w:t>
                        </w:r>
                      </w:p>
                    </w:txbxContent>
                  </v:textbox>
                </v:shape>
                <v:line id="直接连接符 240" o:spid="_x0000_s1026" o:spt="20" style="position:absolute;left:5311775;top:3089702;height:489018;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ATLo3AAAAAoBAAAPAAAAAAAAAAEAIAAAACIAAABkcnMvZG93bnJldi54bWxQSwEC&#10;FAAUAAAACACHTuJAXejBffABAACrAwAADgAAAAAAAAABACAAAAArAQAAZHJzL2Uyb0RvYy54bWxQ&#10;SwUGAAAAAAYABgBZAQAAjQUAAAAA&#10;">
                  <v:fill on="f" focussize="0,0"/>
                  <v:stroke color="#000000" joinstyle="round" endarrow="block"/>
                  <v:imagedata o:title=""/>
                  <o:lock v:ext="edit" aspectratio="f"/>
                </v:line>
                <v:rect id="矩形 241" o:spid="_x0000_s1026" o:spt="1" style="position:absolute;left:5050155;top:3580625;height:270547;width:61722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4GaqDbAAAACgEA&#10;AA8AAAAAAAAAAQAgAAAAIgAAAGRycy9kb3ducmV2LnhtbFBLAQIUABQAAAAIAIdO4kCuOn6fFwIA&#10;ADMEAAAOAAAAAAAAAAEAIAAAACoBAABkcnMvZTJvRG9jLnhtbFBLBQYAAAAABgAGAFkBAACzBQAA&#10;A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文本框 242" o:spid="_x0000_s1026" o:spt="202" type="#_x0000_t202" style="position:absolute;left:4958715;top:3282769;height:302260;width:48514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gz9LHYAAAA&#10;CgEAAA8AAAAAAAAAAQAgAAAAIgAAAGRycy9kb3ducmV2LnhtbFBLAQIUABQAAAAIAIdO4kCj+nhQ&#10;qwEAACkDAAAOAAAAAAAAAAEAIAAAACcBAABkcnMvZTJvRG9jLnhtbFBLBQYAAAAABgAGAFkBAABE&#10;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9.95</w:t>
                        </w:r>
                      </w:p>
                    </w:txbxContent>
                  </v:textbox>
                </v:shape>
                <v:rect id="矩形 243" o:spid="_x0000_s1026" o:spt="1" style="position:absolute;left:1043940;top:971684;height:198783;width:82042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DB11eLYBAABH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423.75</w:t>
                        </w:r>
                      </w:p>
                    </w:txbxContent>
                  </v:textbox>
                </v:rect>
                <v:line id="直接连接符 244" o:spid="_x0000_s1026" o:spt="20" style="position:absolute;left:953135;top:3050962;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BMujcAAAACgEAAA8AAAAAAAAAAQAgAAAAIgAAAGRycy9kb3ducmV2LnhtbFBL&#10;AQIUABQAAAAIAIdO4kCWFt4L8gEAAKsDAAAOAAAAAAAAAAEAIAAAACsBAABkcnMvZTJvRG9jLnht&#10;bFBLBQYAAAAABgAGAFkBAACPBQAAAAA=&#10;">
                  <v:fill on="f" focussize="0,0"/>
                  <v:stroke color="#000000" joinstyle="round" endarrow="block"/>
                  <v:imagedata o:title=""/>
                  <o:lock v:ext="edit" aspectratio="f"/>
                </v:line>
                <v:line id="直接连接符 245" o:spid="_x0000_s1026" o:spt="20" style="position:absolute;left:3023870;top:3052232;height:6986;width:135509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BMujcAAAACgEAAA8AAAAAAAAAAQAgAAAAIgAAAGRycy9kb3ducmV2LnhtbFBL&#10;AQIUABQAAAAIAIdO4kASRp5k8gEAAK0DAAAOAAAAAAAAAAEAIAAAACsBAABkcnMvZTJvRG9jLnht&#10;bFBLBQYAAAAABgAGAFkBAACPBQAAAAA=&#10;">
                  <v:fill on="f" focussize="0,0"/>
                  <v:stroke color="#000000" joinstyle="round" endarrow="block"/>
                  <v:imagedata o:title=""/>
                  <o:lock v:ext="edit" aspectratio="f"/>
                </v:line>
                <v:line id="直接连接符 246" o:spid="_x0000_s1026" o:spt="20" style="position:absolute;left:1752600;top:681449;flip:y;height:401376;width:63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o1dnXAAAACgEAAA8AAAAAAAAAAQAgAAAAIgAAAGRycy9kb3ducmV2&#10;LnhtbFBLAQIUABQAAAAIAIdO4kBZH05L/QEAALUDAAAOAAAAAAAAAAEAIAAAACYBAABkcnMvZTJv&#10;RG9jLnhtbFBLBQYAAAAABgAGAFkBAACVBQAAAAA=&#10;">
                  <v:fill on="f" focussize="0,0"/>
                  <v:stroke color="#000000" joinstyle="round" dashstyle="longDash" endarrow="block"/>
                  <v:imagedata o:title=""/>
                  <o:lock v:ext="edit" aspectratio="f"/>
                </v:line>
                <v:rect id="矩形 247" o:spid="_x0000_s1026" o:spt="1" style="position:absolute;left:836930;top:488383;height:326435;width:12242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I5IbcbYBAABHAwAADgAAAAAAAAABACAAAAApAQAAZHJzL2Uyb0RvYy54bWxQSwUG&#10;AAAAAAYABgBZAQAAUQU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ascii="Times New Roman" w:hAnsi="Times New Roman" w:cs="Times New Roman"/>
                            <w:sz w:val="21"/>
                            <w:szCs w:val="21"/>
                          </w:rPr>
                          <w:t>1</w:t>
                        </w:r>
                        <w:r>
                          <w:rPr>
                            <w:rFonts w:hint="eastAsia" w:cs="Times New Roman"/>
                            <w:sz w:val="21"/>
                            <w:szCs w:val="21"/>
                            <w:lang w:val="en-US" w:eastAsia="zh-CN"/>
                          </w:rPr>
                          <w:t>77.58</w:t>
                        </w:r>
                      </w:p>
                    </w:txbxContent>
                  </v:textbox>
                </v:rect>
                <v:rect id="矩形 248" o:spid="_x0000_s1026" o:spt="1" style="position:absolute;left:2709545;top:1008520;height:294681;width:11569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HeP0HC3AQAASQMAAA4AAAAAAAAAAQAgAAAAKQEAAGRycy9lMm9Eb2MueG1sUEsF&#10;BgAAAAAGAAYAWQEAAFI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ascii="Times New Roman" w:hAnsi="Times New Roman" w:cs="Times New Roman"/>
                            <w:sz w:val="21"/>
                            <w:szCs w:val="21"/>
                          </w:rPr>
                          <w:t>1</w:t>
                        </w:r>
                        <w:r>
                          <w:rPr>
                            <w:rFonts w:hint="eastAsia" w:ascii="Times New Roman" w:hAnsi="Times New Roman" w:cs="Times New Roman"/>
                            <w:sz w:val="21"/>
                            <w:szCs w:val="21"/>
                            <w:lang w:val="en-US" w:eastAsia="zh-CN"/>
                          </w:rPr>
                          <w:t>99.38</w:t>
                        </w:r>
                      </w:p>
                    </w:txbxContent>
                  </v:textbox>
                </v:rect>
                <v:line id="直接连接符 249" o:spid="_x0000_s1026" o:spt="20" style="position:absolute;left:2466340;top:2680071;flip:y;height:247049;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mjV2dcAAAAKAQAADwAAAAAAAAABACAAAAAiAAAAZHJzL2Rvd25yZXYu&#10;eG1sUEsBAhQAFAAAAAgAh07iQDj5OZH8AQAAuQMAAA4AAAAAAAAAAQAgAAAAJgEAAGRycy9lMm9E&#10;b2MueG1sUEsFBgAAAAAGAAYAWQEAAJQFAAAAAA==&#10;">
                  <v:fill on="f" focussize="0,0"/>
                  <v:stroke color="#000000" joinstyle="round" dashstyle="longDash" endarrow="block"/>
                  <v:imagedata o:title=""/>
                  <o:lock v:ext="edit" aspectratio="f"/>
                </v:line>
                <v:rect id="矩形 250" o:spid="_x0000_s1026" o:spt="1" style="position:absolute;left:2111375;top:2904892;height:320084;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Bmqg2wAAAAoBAAAPAAAA&#10;AAAAAAEAIAAAACIAAABkcnMvZG93bnJldi54bWxQSwECFAAUAAAACACHTuJAIOhZNRICAAAzBAAA&#10;DgAAAAAAAAABACAAAAAqAQAAZHJzL2Uyb0RvYy54bWxQSwUGAAAAAAYABgBZAQAArg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51" o:spid="_x0000_s1026" o:spt="20" style="position:absolute;left:2991485;top:583646;height:6986;width:47498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UBMujcAAAACgEAAA8AAAAAAAAAAQAgAAAAIgAAAGRycy9kb3ducmV2Lnht&#10;bFBLAQIUABQAAAAIAIdO4kC8FDD49QEAAKsDAAAOAAAAAAAAAAEAIAAAACsBAABkcnMvZTJvRG9j&#10;LnhtbFBLBQYAAAAABgAGAFkBAACSBQAAAAA=&#10;">
                  <v:fill on="f" focussize="0,0"/>
                  <v:stroke color="#000000" joinstyle="round" endarrow="block"/>
                  <v:imagedata o:title=""/>
                  <o:lock v:ext="edit" aspectratio="f"/>
                </v:line>
                <v:rect id="矩形 252" o:spid="_x0000_s1026" o:spt="1" style="position:absolute;left:3453130;top:437576;height:287695;width:812800;"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X5t3NkAAAAKAQAADwAAAAAAAAABACAAAAAiAAAAZHJzL2Rvd25yZXYueG1sUEsBAhQA&#10;FAAAAAgAh07iQKz3uxrxAQAAwAMAAA4AAAAAAAAAAQAgAAAAKAEAAGRycy9lMm9Eb2MueG1sUEsF&#10;BgAAAAAGAAYAWQEAAIsFA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直接连接符 253" o:spid="_x0000_s1026" o:spt="20" style="position:absolute;left:3867785;top:736067;height:284519;width:635;"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nwtVNkAAAAKAQAADwAAAAAAAAABACAAAAAiAAAAZHJzL2Rvd25yZXYueG1sUEsBAhQAFAAAAAgA&#10;h07iQC/cDE3rAQAApgMAAA4AAAAAAAAAAQAgAAAAKAEAAGRycy9lMm9Eb2MueG1sUEsFBgAAAAAG&#10;AAYAWQEAAIUFAAAAAA==&#10;">
                  <v:fill on="f" focussize="0,0"/>
                  <v:stroke color="#000000" joinstyle="round"/>
                  <v:imagedata o:title=""/>
                  <o:lock v:ext="edit" aspectratio="f"/>
                </v:line>
                <v:line id="直接连接符 254" o:spid="_x0000_s1026" o:spt="20" style="position:absolute;left:4323080;top:987562;height:2081183;width:1524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Z8LVTZAAAACgEAAA8AAAAAAAAAAQAgAAAAIgAAAGRycy9kb3ducmV2LnhtbFBLAQIUABQAAAAI&#10;AIdO4kC5AGTW7AEAAKkDAAAOAAAAAAAAAAEAIAAAACgBAABkcnMvZTJvRG9jLnhtbFBLBQYAAAAA&#10;BgAGAFkBAACGBQAAAAA=&#10;">
                  <v:fill on="f" focussize="0,0"/>
                  <v:stroke color="#000000" joinstyle="round"/>
                  <v:imagedata o:title=""/>
                  <o:lock v:ext="edit" aspectratio="f"/>
                </v:line>
                <v:line id="直接连接符 256" o:spid="_x0000_s1026" o:spt="20" style="position:absolute;left:3858260;top:1007249;height:635;width:464820;" filled="f" stroked="t" coordsize="21600,21600" o:gfxdata="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mWQX2wAAAAoBAAAPAAAAAAAAAAEAIAAAACIAAABkcnMvZG93bnJldi54bWxQSwEC&#10;FAAUAAAACACHTuJAzIyIoPEBAACoAwAADgAAAAAAAAABACAAAAAqAQAAZHJzL2Uyb0RvYy54bWxQ&#10;SwUGAAAAAAYABgBZAQAAjQUAAAAA&#10;">
                  <v:fill on="f" focussize="0,0"/>
                  <v:stroke color="#000000" joinstyle="round" endarrow="open"/>
                  <v:imagedata o:title=""/>
                  <o:lock v:ext="edit" aspectratio="f"/>
                </v:line>
                <v:rect id="矩形 257" o:spid="_x0000_s1026" o:spt="1" style="position:absolute;left:3806825;top:725270;height:277533;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4nceTaAAAACgEAAA8AAAAAAAAAAQAgAAAAIgAAAGRycy9kb3ducmV2LnhtbFBLAQIUABQA&#10;AAAIAIdO4kCGbObmtQEAAEcDAAAOAAAAAAAAAAEAIAAAACkBAABkcnMvZTJvRG9jLnhtbFBLBQYA&#10;AAAABgAGAFkBAABQ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38.02</w:t>
                        </w:r>
                      </w:p>
                    </w:txbxContent>
                  </v:textbox>
                </v:rect>
                <v:line id="直接连接符 258" o:spid="_x0000_s1026" o:spt="20" style="position:absolute;left:4271645;top:591267;height:635;width:889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Ey6NwAAAAKAQAADwAAAAAAAAABACAAAAAiAAAAZHJzL2Rvd25yZXYueG1sUEsB&#10;AhQAFAAAAAgAh07iQKgcTvrxAQAAqgMAAA4AAAAAAAAAAQAgAAAAKwEAAGRycy9lMm9Eb2MueG1s&#10;UEsFBgAAAAAGAAYAWQEAAI4FAAAAAA==&#10;">
                  <v:fill on="f" focussize="0,0"/>
                  <v:stroke color="#000000" joinstyle="round" endarrow="block"/>
                  <v:imagedata o:title=""/>
                  <o:lock v:ext="edit" aspectratio="f"/>
                </v:line>
                <v:rect id="矩形 259" o:spid="_x0000_s1026" o:spt="1" style="position:absolute;left:4156710;top:302302;height:294046;width:12115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M/LzX+3AQAASAMAAA4AAAAAAAAAAQAgAAAAKQEAAGRycy9lMm9Eb2MueG1sUEsF&#10;BgAAAAAGAAYAWQEAAFI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8.77</w:t>
                        </w:r>
                      </w:p>
                    </w:txbxContent>
                  </v:textbox>
                </v:rect>
                <v:rect id="矩形 260" o:spid="_x0000_s1026" o:spt="1" style="position:absolute;left:5143500;top:476951;height:259116;width:739775;"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dfm3c2QAAAAoBAAAPAAAAAAAAAAEAIAAAACIAAABkcnMvZG93bnJldi54bWxQSwECFAAUAAAA&#10;CACHTuJADHDk6O0BAADAAwAADgAAAAAAAAABACAAAAAoAQAAZHJzL2Uyb0RvYy54bWxQSwUGAAAA&#10;AAYABgBZAQAAhwU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直接连接符 261" o:spid="_x0000_s1026" o:spt="20" style="position:absolute;left:4935220;top:1910080;flip:x;height:883920;width:1460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8Ji6XbAAAACgEAAA8AAAAAAAAAAQAgAAAAIgAAAGRycy9kb3ducmV2&#10;LnhtbFBLAQIUABQAAAAIAIdO4kANYsXM+QEAALcDAAAOAAAAAAAAAAEAIAAAACoBAABkcnMvZTJv&#10;RG9jLnhtbFBLBQYAAAAABgAGAFkBAACVBQAAAAA=&#10;">
                  <v:fill on="f" focussize="0,0"/>
                  <v:stroke color="#000000" joinstyle="round" endarrow="block"/>
                  <v:imagedata o:title=""/>
                  <o:lock v:ext="edit" aspectratio="f"/>
                </v:line>
                <v:group id="_x0000_s1026" o:spid="_x0000_s1026" o:spt="203" style="position:absolute;left:971550;top:3644900;height:944880;width:2714625;" coordorigin="1530,5740" coordsize="4275,1488" o:gfxdata="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BOcR6vbAAAACgEAAA8AAAAAAAAAAQAgAAAAIgAAAGRycy9kb3du&#10;cmV2LnhtbFBLAQIUABQAAAAIAIdO4kBuGMCGNgQAADETAAAOAAAAAAAAAAEAIAAAACoBAABkcnMv&#10;ZTJvRG9jLnhtbFBLBQYAAAAABgAGAFkBAADSBwAAAAA=&#10;">
                  <o:lock v:ext="edit" aspectratio="f"/>
                  <v:rect id="矩形 250" o:spid="_x0000_s1026" o:spt="1" style="position:absolute;left:2569;top:5829;height:504;width:1437;" fillcolor="#FFFFFF" filled="t" stroked="t" coordsize="21600,21600" o:gfxdata="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z5W7vQAA&#10;ANs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锅炉</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16" o:spid="_x0000_s1026" o:spt="20" style="position:absolute;left:1530;top:6110;flip:y;height:11;width:1055;" filled="f" stroked="t" coordsize="21600,21600" o:gfxdata="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AK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6" o:spid="_x0000_s1026" o:spt="20" style="position:absolute;left:4021;top:6110;flip:y;height:11;width:1055;" filled="f" stroked="t" coordsize="21600,21600" o:gfxdata="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lFs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50" o:spid="_x0000_s1026" o:spt="1" style="position:absolute;left:5083;top:5845;height:504;width:722;" fillcolor="#FFFFFF" filled="t" stroked="t" coordsize="21600,21600" o:gfxdata="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hUvQAA&#10;ANs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b/>
                              <w:sz w:val="21"/>
                              <w:szCs w:val="21"/>
                            </w:rPr>
                          </w:pPr>
                          <w:r>
                            <w:rPr>
                              <w:rFonts w:hint="eastAsia" w:ascii="Calibri" w:hAnsi="Calibri" w:cs="Times New Roman"/>
                              <w:sz w:val="21"/>
                              <w:szCs w:val="21"/>
                              <w:lang w:eastAsia="zh-CN"/>
                            </w:rPr>
                            <w:t>饲料</w:t>
                          </w:r>
                        </w:p>
                      </w:txbxContent>
                    </v:textbox>
                  </v:rect>
                  <v:line id="直接连接符 233" o:spid="_x0000_s1026" o:spt="20" style="position:absolute;left:3260;top:6351;height:377;width:0;" filled="f" stroked="t" coordsize="21600,21600" o:gfxdata="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iYs+5AAAA2wAA&#10;AA8AAAAAAAAAAQAgAAAAIgAAAGRycy9kb3ducmV2LnhtbFBLAQIUABQAAAAIAIdO4kAzLwWeOwAA&#10;ADkAAAAQAAAAAAAAAAEAIAAAAAgBAABkcnMvc2hhcGV4bWwueG1sUEsFBgAAAAAGAAYAWwEAALID&#10;AAAAAA==&#10;">
                    <v:fill on="f" focussize="0,0"/>
                    <v:stroke color="#000000" joinstyle="round" dashstyle="longDash" endarrow="block"/>
                    <v:imagedata o:title=""/>
                    <o:lock v:ext="edit" aspectratio="f"/>
                  </v:line>
                  <v:shape id="文本框 234" o:spid="_x0000_s1026" o:spt="202" type="#_x0000_t202" style="position:absolute;left:2614;top:6752;height:476;width:1979;"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lang w:eastAsia="zh-CN"/>
                            </w:rPr>
                            <w:t>洒水降尘</w:t>
                          </w:r>
                          <w:r>
                            <w:rPr>
                              <w:rFonts w:hint="eastAsia" w:cs="Times New Roman"/>
                              <w:sz w:val="21"/>
                              <w:szCs w:val="21"/>
                              <w:lang w:val="en-US" w:eastAsia="zh-CN"/>
                            </w:rPr>
                            <w:t>2.7</w:t>
                          </w:r>
                        </w:p>
                      </w:txbxContent>
                    </v:textbox>
                  </v:shape>
                  <v:rect id="矩形 224" o:spid="_x0000_s1026" o:spt="1" style="position:absolute;left:1714;top:5740;height:313;width:773;" fillcolor="#FFFFFF" filled="t" stroked="f" coordsize="21600,21600" o:gfxdata="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Cecm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v:textbox>
                  </v:rect>
                  <v:rect id="矩形 224" o:spid="_x0000_s1026" o:spt="1" style="position:absolute;left:4080;top:5798;height:313;width:773;" fillcolor="#FFFFFF" filled="t" stroked="f" coordsize="21600,21600" o:gfxdata="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beVG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w:t>
                          </w:r>
                        </w:p>
                      </w:txbxContent>
                    </v:textbox>
                  </v:rect>
                </v:group>
              </v:group>
            </w:pict>
          </mc:Fallback>
        </mc:AlternateContent>
      </w: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w:t>
      </w:r>
      <w:r>
        <w:rPr>
          <w:rStyle w:val="43"/>
          <w:rFonts w:hint="eastAsia"/>
          <w:szCs w:val="22"/>
          <w:highlight w:val="none"/>
          <w:lang w:val="en-US" w:eastAsia="zh-CN"/>
        </w:rPr>
        <w:t>2.11</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1</w:t>
      </w:r>
      <w:r>
        <w:rPr>
          <w:rStyle w:val="43"/>
          <w:rFonts w:hint="eastAsia" w:ascii="Times New Roman" w:hAnsi="Times New Roman"/>
          <w:szCs w:val="22"/>
          <w:highlight w:val="none"/>
          <w:lang w:val="en-US" w:eastAsia="zh-CN"/>
        </w:rPr>
        <w:t xml:space="preserve">  项目</w:t>
      </w:r>
      <w:r>
        <w:rPr>
          <w:rStyle w:val="43"/>
          <w:rFonts w:hint="eastAsia"/>
          <w:szCs w:val="22"/>
          <w:highlight w:val="none"/>
          <w:lang w:val="en-US" w:eastAsia="zh-CN"/>
        </w:rPr>
        <w:t>其他</w:t>
      </w:r>
      <w:r>
        <w:rPr>
          <w:rStyle w:val="43"/>
          <w:rFonts w:hint="eastAsia" w:ascii="Times New Roman" w:hAnsi="Times New Roman"/>
          <w:szCs w:val="22"/>
          <w:highlight w:val="none"/>
          <w:lang w:val="en-US" w:eastAsia="zh-CN"/>
        </w:rPr>
        <w:t>季水平衡图（</w:t>
      </w:r>
      <w:r>
        <w:rPr>
          <w:rStyle w:val="43"/>
          <w:rFonts w:hint="eastAsia"/>
          <w:szCs w:val="22"/>
          <w:highlight w:val="none"/>
          <w:lang w:val="en-US" w:eastAsia="zh-CN"/>
        </w:rPr>
        <w:t>243</w:t>
      </w:r>
      <w:r>
        <w:rPr>
          <w:rStyle w:val="43"/>
          <w:rFonts w:hint="eastAsia" w:ascii="Times New Roman" w:hAnsi="Times New Roman"/>
          <w:szCs w:val="22"/>
          <w:highlight w:val="none"/>
          <w:lang w:val="en-US" w:eastAsia="zh-CN"/>
        </w:rPr>
        <w:t>天，单位：m</w:t>
      </w:r>
      <w:r>
        <w:rPr>
          <w:rStyle w:val="43"/>
          <w:rFonts w:hint="eastAsia" w:ascii="Times New Roman" w:hAnsi="Times New Roman"/>
          <w:szCs w:val="22"/>
          <w:highlight w:val="none"/>
          <w:vertAlign w:val="superscript"/>
          <w:lang w:val="en-US" w:eastAsia="zh-CN"/>
        </w:rPr>
        <w:t>3</w:t>
      </w:r>
      <w:r>
        <w:rPr>
          <w:rStyle w:val="43"/>
          <w:rFonts w:hint="eastAsia" w:ascii="Times New Roman" w:hAnsi="Times New Roman"/>
          <w:szCs w:val="22"/>
          <w:highlight w:val="none"/>
          <w:lang w:val="en-US" w:eastAsia="zh-CN"/>
        </w:rPr>
        <w:t>/d）</w:t>
      </w:r>
    </w:p>
    <w:p>
      <w:pPr>
        <w:pStyle w:val="10"/>
        <w:rPr>
          <w:highlight w:val="none"/>
        </w:rPr>
      </w:pPr>
    </w:p>
    <w:p>
      <w:pPr>
        <w:pStyle w:val="10"/>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10"/>
        <w:rPr>
          <w:highlight w:val="none"/>
        </w:rPr>
      </w:pPr>
      <w:r>
        <w:rPr>
          <w:rFonts w:ascii="Times New Roman" w:hAnsi="Times New Roman" w:eastAsia="宋体" w:cs="Times New Roman"/>
          <w:b/>
          <w:bCs/>
          <w:kern w:val="2"/>
          <w:sz w:val="28"/>
          <w:szCs w:val="22"/>
          <w:highlight w:val="none"/>
          <w:u w:val="single"/>
          <w:lang w:val="en-US" w:eastAsia="zh-CN" w:bidi="ar-SA"/>
        </w:rPr>
        <mc:AlternateContent>
          <mc:Choice Requires="wpc">
            <w:drawing>
              <wp:anchor distT="0" distB="0" distL="114300" distR="114300" simplePos="0" relativeHeight="251985920" behindDoc="0" locked="0" layoutInCell="1" allowOverlap="1">
                <wp:simplePos x="0" y="0"/>
                <wp:positionH relativeFrom="column">
                  <wp:posOffset>-156845</wp:posOffset>
                </wp:positionH>
                <wp:positionV relativeFrom="paragraph">
                  <wp:posOffset>150495</wp:posOffset>
                </wp:positionV>
                <wp:extent cx="5883275" cy="5210175"/>
                <wp:effectExtent l="4445" t="0" r="17780" b="0"/>
                <wp:wrapNone/>
                <wp:docPr id="373" name="画布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矩形 319"/>
                        <wps:cNvSpPr/>
                        <wps:spPr>
                          <a:xfrm>
                            <a:off x="0" y="1867535"/>
                            <a:ext cx="322580" cy="52197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320" name="直接连接符 320"/>
                        <wps:cNvCnPr/>
                        <wps:spPr>
                          <a:xfrm>
                            <a:off x="354965" y="2140585"/>
                            <a:ext cx="582295" cy="635"/>
                          </a:xfrm>
                          <a:prstGeom prst="line">
                            <a:avLst/>
                          </a:prstGeom>
                          <a:ln w="9525" cap="flat" cmpd="sng">
                            <a:solidFill>
                              <a:srgbClr val="000000"/>
                            </a:solidFill>
                            <a:prstDash val="solid"/>
                            <a:headEnd type="none" w="med" len="med"/>
                            <a:tailEnd type="triangle" w="med" len="med"/>
                          </a:ln>
                        </wps:spPr>
                        <wps:bodyPr upright="1"/>
                      </wps:wsp>
                      <wps:wsp>
                        <wps:cNvPr id="321" name="直接连接符 321"/>
                        <wps:cNvCnPr/>
                        <wps:spPr>
                          <a:xfrm flipH="1">
                            <a:off x="960755" y="1195705"/>
                            <a:ext cx="635" cy="3599815"/>
                          </a:xfrm>
                          <a:prstGeom prst="line">
                            <a:avLst/>
                          </a:prstGeom>
                          <a:ln w="9525" cap="flat" cmpd="sng">
                            <a:solidFill>
                              <a:srgbClr val="000000"/>
                            </a:solidFill>
                            <a:prstDash val="solid"/>
                            <a:headEnd type="none" w="med" len="med"/>
                            <a:tailEnd type="none" w="med" len="med"/>
                          </a:ln>
                        </wps:spPr>
                        <wps:bodyPr upright="1"/>
                      </wps:wsp>
                      <wps:wsp>
                        <wps:cNvPr id="322" name="直接连接符 322"/>
                        <wps:cNvCnPr/>
                        <wps:spPr>
                          <a:xfrm flipV="1">
                            <a:off x="953135" y="1196975"/>
                            <a:ext cx="669925" cy="6985"/>
                          </a:xfrm>
                          <a:prstGeom prst="line">
                            <a:avLst/>
                          </a:prstGeom>
                          <a:ln w="9525" cap="flat" cmpd="sng">
                            <a:solidFill>
                              <a:srgbClr val="000000"/>
                            </a:solidFill>
                            <a:prstDash val="solid"/>
                            <a:headEnd type="none" w="med" len="med"/>
                            <a:tailEnd type="triangle" w="med" len="med"/>
                          </a:ln>
                        </wps:spPr>
                        <wps:bodyPr upright="1"/>
                      </wps:wsp>
                      <wps:wsp>
                        <wps:cNvPr id="323" name="直接连接符 323"/>
                        <wps:cNvCnPr/>
                        <wps:spPr>
                          <a:xfrm flipV="1">
                            <a:off x="967740" y="1906270"/>
                            <a:ext cx="1143000" cy="635"/>
                          </a:xfrm>
                          <a:prstGeom prst="line">
                            <a:avLst/>
                          </a:prstGeom>
                          <a:ln w="9525" cap="flat" cmpd="sng">
                            <a:solidFill>
                              <a:srgbClr val="000000"/>
                            </a:solidFill>
                            <a:prstDash val="solid"/>
                            <a:headEnd type="none" w="med" len="med"/>
                            <a:tailEnd type="triangle" w="med" len="med"/>
                          </a:ln>
                        </wps:spPr>
                        <wps:bodyPr upright="1"/>
                      </wps:wsp>
                      <wps:wsp>
                        <wps:cNvPr id="324" name="矩形 324"/>
                        <wps:cNvSpPr/>
                        <wps:spPr>
                          <a:xfrm>
                            <a:off x="1552575" y="1058545"/>
                            <a:ext cx="882650" cy="2971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325" name="矩形 325"/>
                        <wps:cNvSpPr/>
                        <wps:spPr>
                          <a:xfrm>
                            <a:off x="2126615" y="1795145"/>
                            <a:ext cx="850900" cy="26479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326" name="矩形 326"/>
                        <wps:cNvSpPr/>
                        <wps:spPr>
                          <a:xfrm>
                            <a:off x="4514215" y="2799080"/>
                            <a:ext cx="1158875" cy="27495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327" name="直接连接符 327"/>
                        <wps:cNvCnPr/>
                        <wps:spPr>
                          <a:xfrm>
                            <a:off x="4733925" y="3094355"/>
                            <a:ext cx="635" cy="493395"/>
                          </a:xfrm>
                          <a:prstGeom prst="line">
                            <a:avLst/>
                          </a:prstGeom>
                          <a:ln w="9525" cap="flat" cmpd="sng">
                            <a:solidFill>
                              <a:srgbClr val="000000"/>
                            </a:solidFill>
                            <a:prstDash val="solid"/>
                            <a:headEnd type="none" w="med" len="med"/>
                            <a:tailEnd type="triangle" w="med" len="med"/>
                          </a:ln>
                        </wps:spPr>
                        <wps:bodyPr upright="1"/>
                      </wps:wsp>
                      <wps:wsp>
                        <wps:cNvPr id="328" name="矩形 328"/>
                        <wps:cNvSpPr/>
                        <wps:spPr>
                          <a:xfrm>
                            <a:off x="4463415" y="3555365"/>
                            <a:ext cx="49657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329" name="矩形 329"/>
                        <wps:cNvSpPr/>
                        <wps:spPr>
                          <a:xfrm>
                            <a:off x="354965" y="1867535"/>
                            <a:ext cx="551180"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544.83</w:t>
                              </w:r>
                            </w:p>
                          </w:txbxContent>
                        </wps:txbx>
                        <wps:bodyPr upright="1"/>
                      </wps:wsp>
                      <wps:wsp>
                        <wps:cNvPr id="330" name="矩形 330"/>
                        <wps:cNvSpPr/>
                        <wps:spPr>
                          <a:xfrm>
                            <a:off x="1056005" y="2853055"/>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45.6</w:t>
                              </w:r>
                            </w:p>
                          </w:txbxContent>
                        </wps:txbx>
                        <wps:bodyPr upright="1"/>
                      </wps:wsp>
                      <wps:wsp>
                        <wps:cNvPr id="331" name="矩形 331"/>
                        <wps:cNvSpPr/>
                        <wps:spPr>
                          <a:xfrm>
                            <a:off x="1074420" y="1641475"/>
                            <a:ext cx="691515" cy="2673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w:t>
                              </w:r>
                            </w:p>
                          </w:txbxContent>
                        </wps:txbx>
                        <wps:bodyPr upright="1"/>
                      </wps:wsp>
                      <wps:wsp>
                        <wps:cNvPr id="332" name="直接连接符 332"/>
                        <wps:cNvCnPr/>
                        <wps:spPr>
                          <a:xfrm flipV="1">
                            <a:off x="2413000" y="1231900"/>
                            <a:ext cx="1890395" cy="21590"/>
                          </a:xfrm>
                          <a:prstGeom prst="line">
                            <a:avLst/>
                          </a:prstGeom>
                          <a:ln w="9525" cap="flat" cmpd="sng">
                            <a:solidFill>
                              <a:srgbClr val="000000"/>
                            </a:solidFill>
                            <a:prstDash val="solid"/>
                            <a:headEnd type="none" w="med" len="med"/>
                            <a:tailEnd type="triangle" w="med" len="med"/>
                          </a:ln>
                        </wps:spPr>
                        <wps:bodyPr upright="1"/>
                      </wps:wsp>
                      <wps:wsp>
                        <wps:cNvPr id="333" name="直接连接符 333"/>
                        <wps:cNvCnPr/>
                        <wps:spPr>
                          <a:xfrm flipV="1">
                            <a:off x="2974340" y="1907540"/>
                            <a:ext cx="1366520" cy="635"/>
                          </a:xfrm>
                          <a:prstGeom prst="line">
                            <a:avLst/>
                          </a:prstGeom>
                          <a:ln w="9525" cap="flat" cmpd="sng">
                            <a:solidFill>
                              <a:srgbClr val="000000"/>
                            </a:solidFill>
                            <a:prstDash val="solid"/>
                            <a:headEnd type="none" w="med" len="med"/>
                            <a:tailEnd type="triangle" w="med" len="med"/>
                          </a:ln>
                        </wps:spPr>
                        <wps:bodyPr upright="1"/>
                      </wps:wsp>
                      <wps:wsp>
                        <wps:cNvPr id="334" name="矩形 334"/>
                        <wps:cNvSpPr/>
                        <wps:spPr>
                          <a:xfrm>
                            <a:off x="3276600" y="2818765"/>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41.04</w:t>
                              </w:r>
                            </w:p>
                          </w:txbxContent>
                        </wps:txbx>
                        <wps:bodyPr upright="1"/>
                      </wps:wsp>
                      <wps:wsp>
                        <wps:cNvPr id="335" name="矩形 335"/>
                        <wps:cNvSpPr/>
                        <wps:spPr>
                          <a:xfrm>
                            <a:off x="3349625" y="1668780"/>
                            <a:ext cx="58420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8.64</w:t>
                              </w:r>
                            </w:p>
                          </w:txbxContent>
                        </wps:txbx>
                        <wps:bodyPr upright="1"/>
                      </wps:wsp>
                      <wps:wsp>
                        <wps:cNvPr id="336" name="文本框 336"/>
                        <wps:cNvSpPr txBox="1"/>
                        <wps:spPr>
                          <a:xfrm>
                            <a:off x="1924685" y="350520"/>
                            <a:ext cx="1064260"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lang w:val="en-US" w:eastAsia="zh-CN"/>
                                </w:rPr>
                                <w:t>46.79</w:t>
                              </w:r>
                            </w:p>
                          </w:txbxContent>
                        </wps:txbx>
                        <wps:bodyPr upright="1"/>
                      </wps:wsp>
                      <wps:wsp>
                        <wps:cNvPr id="337" name="直接连接符 337"/>
                        <wps:cNvCnPr/>
                        <wps:spPr>
                          <a:xfrm flipV="1">
                            <a:off x="2200275" y="671195"/>
                            <a:ext cx="12065" cy="401320"/>
                          </a:xfrm>
                          <a:prstGeom prst="line">
                            <a:avLst/>
                          </a:prstGeom>
                          <a:ln w="9525" cap="flat" cmpd="sng">
                            <a:solidFill>
                              <a:srgbClr val="000000"/>
                            </a:solidFill>
                            <a:prstDash val="lgDash"/>
                            <a:headEnd type="none" w="med" len="med"/>
                            <a:tailEnd type="triangle" w="med" len="med"/>
                          </a:ln>
                        </wps:spPr>
                        <wps:bodyPr upright="1"/>
                      </wps:wsp>
                      <wps:wsp>
                        <wps:cNvPr id="338" name="文本框 338"/>
                        <wps:cNvSpPr txBox="1"/>
                        <wps:spPr>
                          <a:xfrm>
                            <a:off x="2593975" y="2509520"/>
                            <a:ext cx="806450" cy="302260"/>
                          </a:xfrm>
                          <a:prstGeom prst="rect">
                            <a:avLst/>
                          </a:prstGeom>
                          <a:noFill/>
                          <a:ln>
                            <a:noFill/>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4.5</w:t>
                              </w:r>
                              <w:r>
                                <w:rPr>
                                  <w:rFonts w:hint="eastAsia" w:ascii="Times New Roman" w:hAnsi="Times New Roman" w:cs="Times New Roman"/>
                                  <w:sz w:val="21"/>
                                  <w:szCs w:val="21"/>
                                </w:rPr>
                                <w:t>6</w:t>
                              </w:r>
                            </w:p>
                          </w:txbxContent>
                        </wps:txbx>
                        <wps:bodyPr upright="1">
                          <a:spAutoFit/>
                        </wps:bodyPr>
                      </wps:wsp>
                      <wps:wsp>
                        <wps:cNvPr id="339" name="直接连接符 339"/>
                        <wps:cNvCnPr/>
                        <wps:spPr>
                          <a:xfrm flipV="1">
                            <a:off x="2336165" y="1493520"/>
                            <a:ext cx="232410" cy="219075"/>
                          </a:xfrm>
                          <a:prstGeom prst="line">
                            <a:avLst/>
                          </a:prstGeom>
                          <a:ln w="9525" cap="flat" cmpd="sng">
                            <a:solidFill>
                              <a:srgbClr val="000000"/>
                            </a:solidFill>
                            <a:prstDash val="lgDash"/>
                            <a:headEnd type="none" w="med" len="med"/>
                            <a:tailEnd type="triangle" w="med" len="med"/>
                          </a:ln>
                        </wps:spPr>
                        <wps:bodyPr upright="1"/>
                      </wps:wsp>
                      <wps:wsp>
                        <wps:cNvPr id="340" name="文本框 340"/>
                        <wps:cNvSpPr txBox="1"/>
                        <wps:spPr>
                          <a:xfrm>
                            <a:off x="2494280" y="1333500"/>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2.16</w:t>
                              </w:r>
                            </w:p>
                          </w:txbxContent>
                        </wps:txbx>
                        <wps:bodyPr upright="1">
                          <a:spAutoFit/>
                        </wps:bodyPr>
                      </wps:wsp>
                      <wps:wsp>
                        <wps:cNvPr id="341" name="直接箭头连接符 341"/>
                        <wps:cNvCnPr/>
                        <wps:spPr>
                          <a:xfrm flipH="1">
                            <a:off x="4309745" y="1912620"/>
                            <a:ext cx="649605" cy="635"/>
                          </a:xfrm>
                          <a:prstGeom prst="straightConnector1">
                            <a:avLst/>
                          </a:prstGeom>
                          <a:ln w="9525" cap="flat" cmpd="sng">
                            <a:solidFill>
                              <a:srgbClr val="000000"/>
                            </a:solidFill>
                            <a:prstDash val="solid"/>
                            <a:headEnd type="none" w="med" len="med"/>
                            <a:tailEnd type="none" w="med" len="med"/>
                          </a:ln>
                        </wps:spPr>
                        <wps:bodyPr/>
                      </wps:wsp>
                      <wps:wsp>
                        <wps:cNvPr id="342" name="文本框 342"/>
                        <wps:cNvSpPr txBox="1"/>
                        <wps:spPr>
                          <a:xfrm>
                            <a:off x="4356735" y="1628140"/>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416.91</w:t>
                              </w:r>
                            </w:p>
                          </w:txbxContent>
                        </wps:txbx>
                        <wps:bodyPr upright="1">
                          <a:spAutoFit/>
                        </wps:bodyPr>
                      </wps:wsp>
                      <wps:wsp>
                        <wps:cNvPr id="343" name="文本框 343"/>
                        <wps:cNvSpPr txBox="1"/>
                        <wps:spPr>
                          <a:xfrm>
                            <a:off x="4114800" y="3231515"/>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406.96</w:t>
                              </w:r>
                            </w:p>
                          </w:txbxContent>
                        </wps:txbx>
                        <wps:bodyPr upright="1">
                          <a:spAutoFit/>
                        </wps:bodyPr>
                      </wps:wsp>
                      <wps:wsp>
                        <wps:cNvPr id="344" name="直接连接符 344"/>
                        <wps:cNvCnPr/>
                        <wps:spPr>
                          <a:xfrm>
                            <a:off x="4698365" y="3848735"/>
                            <a:ext cx="635" cy="276225"/>
                          </a:xfrm>
                          <a:prstGeom prst="line">
                            <a:avLst/>
                          </a:prstGeom>
                          <a:ln w="9525" cap="flat" cmpd="sng">
                            <a:solidFill>
                              <a:srgbClr val="000000"/>
                            </a:solidFill>
                            <a:prstDash val="solid"/>
                            <a:headEnd type="none" w="med" len="med"/>
                            <a:tailEnd type="triangle" w="med" len="med"/>
                          </a:ln>
                        </wps:spPr>
                        <wps:bodyPr upright="1"/>
                      </wps:wsp>
                      <wps:wsp>
                        <wps:cNvPr id="345" name="文本框 345"/>
                        <wps:cNvSpPr txBox="1"/>
                        <wps:spPr>
                          <a:xfrm>
                            <a:off x="4268470" y="4008120"/>
                            <a:ext cx="805180" cy="493395"/>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406.96</w:t>
                              </w:r>
                            </w:p>
                          </w:txbxContent>
                        </wps:txbx>
                        <wps:bodyPr upright="1"/>
                      </wps:wsp>
                      <wps:wsp>
                        <wps:cNvPr id="346" name="直接连接符 346"/>
                        <wps:cNvCnPr/>
                        <wps:spPr>
                          <a:xfrm>
                            <a:off x="5311775" y="3089275"/>
                            <a:ext cx="635" cy="488950"/>
                          </a:xfrm>
                          <a:prstGeom prst="line">
                            <a:avLst/>
                          </a:prstGeom>
                          <a:ln w="9525" cap="flat" cmpd="sng">
                            <a:solidFill>
                              <a:srgbClr val="000000"/>
                            </a:solidFill>
                            <a:prstDash val="solid"/>
                            <a:headEnd type="none" w="med" len="med"/>
                            <a:tailEnd type="triangle" w="med" len="med"/>
                          </a:ln>
                        </wps:spPr>
                        <wps:bodyPr upright="1"/>
                      </wps:wsp>
                      <wps:wsp>
                        <wps:cNvPr id="347" name="矩形 347"/>
                        <wps:cNvSpPr/>
                        <wps:spPr>
                          <a:xfrm>
                            <a:off x="5050155" y="3580130"/>
                            <a:ext cx="61722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348" name="文本框 348"/>
                        <wps:cNvSpPr txBox="1"/>
                        <wps:spPr>
                          <a:xfrm>
                            <a:off x="4958715" y="3282315"/>
                            <a:ext cx="4851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9.95</w:t>
                              </w:r>
                            </w:p>
                          </w:txbxContent>
                        </wps:txbx>
                        <wps:bodyPr upright="1">
                          <a:spAutoFit/>
                        </wps:bodyPr>
                      </wps:wsp>
                      <wps:wsp>
                        <wps:cNvPr id="349" name="矩形 349"/>
                        <wps:cNvSpPr/>
                        <wps:spPr>
                          <a:xfrm>
                            <a:off x="1043940" y="971550"/>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720.16</w:t>
                              </w:r>
                            </w:p>
                          </w:txbxContent>
                        </wps:txbx>
                        <wps:bodyPr upright="1"/>
                      </wps:wsp>
                      <wps:wsp>
                        <wps:cNvPr id="350" name="直接连接符 350"/>
                        <wps:cNvCnPr/>
                        <wps:spPr>
                          <a:xfrm>
                            <a:off x="953135" y="3050540"/>
                            <a:ext cx="1156970" cy="635"/>
                          </a:xfrm>
                          <a:prstGeom prst="line">
                            <a:avLst/>
                          </a:prstGeom>
                          <a:ln w="9525" cap="flat" cmpd="sng">
                            <a:solidFill>
                              <a:srgbClr val="000000"/>
                            </a:solidFill>
                            <a:prstDash val="solid"/>
                            <a:headEnd type="none" w="med" len="med"/>
                            <a:tailEnd type="triangle" w="med" len="med"/>
                          </a:ln>
                        </wps:spPr>
                        <wps:bodyPr upright="1"/>
                      </wps:wsp>
                      <wps:wsp>
                        <wps:cNvPr id="351" name="直接连接符 351"/>
                        <wps:cNvCnPr/>
                        <wps:spPr>
                          <a:xfrm>
                            <a:off x="3023870" y="3051810"/>
                            <a:ext cx="1355090" cy="6985"/>
                          </a:xfrm>
                          <a:prstGeom prst="line">
                            <a:avLst/>
                          </a:prstGeom>
                          <a:ln w="9525" cap="flat" cmpd="sng">
                            <a:solidFill>
                              <a:srgbClr val="000000"/>
                            </a:solidFill>
                            <a:prstDash val="solid"/>
                            <a:headEnd type="none" w="med" len="med"/>
                            <a:tailEnd type="triangle" w="med" len="med"/>
                          </a:ln>
                        </wps:spPr>
                        <wps:bodyPr upright="1"/>
                      </wps:wsp>
                      <wps:wsp>
                        <wps:cNvPr id="352" name="直接连接符 352"/>
                        <wps:cNvCnPr/>
                        <wps:spPr>
                          <a:xfrm flipV="1">
                            <a:off x="1752600" y="681355"/>
                            <a:ext cx="635" cy="401320"/>
                          </a:xfrm>
                          <a:prstGeom prst="line">
                            <a:avLst/>
                          </a:prstGeom>
                          <a:ln w="9525" cap="flat" cmpd="sng">
                            <a:solidFill>
                              <a:srgbClr val="000000"/>
                            </a:solidFill>
                            <a:prstDash val="lgDash"/>
                            <a:headEnd type="none" w="med" len="med"/>
                            <a:tailEnd type="triangle" w="med" len="med"/>
                          </a:ln>
                        </wps:spPr>
                        <wps:bodyPr upright="1"/>
                      </wps:wsp>
                      <wps:wsp>
                        <wps:cNvPr id="353" name="矩形 353"/>
                        <wps:cNvSpPr/>
                        <wps:spPr>
                          <a:xfrm>
                            <a:off x="836930" y="488315"/>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344.16</w:t>
                              </w:r>
                            </w:p>
                          </w:txbxContent>
                        </wps:txbx>
                        <wps:bodyPr upright="1"/>
                      </wps:wsp>
                      <wps:wsp>
                        <wps:cNvPr id="354" name="矩形 354"/>
                        <wps:cNvSpPr/>
                        <wps:spPr>
                          <a:xfrm>
                            <a:off x="2709545" y="1008380"/>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ascii="Times New Roman" w:hAnsi="Times New Roman" w:cs="Times New Roman"/>
                                  <w:sz w:val="21"/>
                                  <w:szCs w:val="21"/>
                                  <w:lang w:val="en-US" w:eastAsia="zh-CN"/>
                                </w:rPr>
                                <w:t>329.21</w:t>
                              </w:r>
                            </w:p>
                          </w:txbxContent>
                        </wps:txbx>
                        <wps:bodyPr upright="1"/>
                      </wps:wsp>
                      <wps:wsp>
                        <wps:cNvPr id="355" name="直接连接符 355"/>
                        <wps:cNvCnPr/>
                        <wps:spPr>
                          <a:xfrm flipV="1">
                            <a:off x="2466340" y="2679700"/>
                            <a:ext cx="170815" cy="247015"/>
                          </a:xfrm>
                          <a:prstGeom prst="line">
                            <a:avLst/>
                          </a:prstGeom>
                          <a:ln w="9525" cap="flat" cmpd="sng">
                            <a:solidFill>
                              <a:srgbClr val="000000"/>
                            </a:solidFill>
                            <a:prstDash val="lgDash"/>
                            <a:headEnd type="none" w="med" len="med"/>
                            <a:tailEnd type="triangle" w="med" len="med"/>
                          </a:ln>
                        </wps:spPr>
                        <wps:bodyPr upright="1"/>
                      </wps:wsp>
                      <wps:wsp>
                        <wps:cNvPr id="356" name="矩形 356"/>
                        <wps:cNvSpPr/>
                        <wps:spPr>
                          <a:xfrm>
                            <a:off x="2111375" y="290449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357" name="直接连接符 357"/>
                        <wps:cNvCnPr/>
                        <wps:spPr>
                          <a:xfrm>
                            <a:off x="2991485" y="583565"/>
                            <a:ext cx="474980" cy="6985"/>
                          </a:xfrm>
                          <a:prstGeom prst="line">
                            <a:avLst/>
                          </a:prstGeom>
                          <a:ln w="9525" cap="flat" cmpd="sng">
                            <a:solidFill>
                              <a:srgbClr val="000000"/>
                            </a:solidFill>
                            <a:prstDash val="solid"/>
                            <a:headEnd type="none" w="med" len="med"/>
                            <a:tailEnd type="triangle" w="med" len="med"/>
                          </a:ln>
                        </wps:spPr>
                        <wps:bodyPr upright="1"/>
                      </wps:wsp>
                      <wps:wsp>
                        <wps:cNvPr id="358" name="矩形 358"/>
                        <wps:cNvSpPr/>
                        <wps:spPr>
                          <a:xfrm>
                            <a:off x="3453130" y="437515"/>
                            <a:ext cx="812800" cy="28765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359" name="直接连接符 359"/>
                        <wps:cNvCnPr/>
                        <wps:spPr>
                          <a:xfrm>
                            <a:off x="3867785" y="735965"/>
                            <a:ext cx="635" cy="284480"/>
                          </a:xfrm>
                          <a:prstGeom prst="line">
                            <a:avLst/>
                          </a:prstGeom>
                          <a:ln w="9525" cap="flat" cmpd="sng">
                            <a:solidFill>
                              <a:srgbClr val="000000"/>
                            </a:solidFill>
                            <a:prstDash val="solid"/>
                            <a:headEnd type="none" w="med" len="med"/>
                            <a:tailEnd type="none" w="med" len="med"/>
                          </a:ln>
                        </wps:spPr>
                        <wps:bodyPr upright="1"/>
                      </wps:wsp>
                      <wps:wsp>
                        <wps:cNvPr id="360" name="直接连接符 360"/>
                        <wps:cNvCnPr/>
                        <wps:spPr>
                          <a:xfrm>
                            <a:off x="4323080" y="987425"/>
                            <a:ext cx="15240" cy="2080895"/>
                          </a:xfrm>
                          <a:prstGeom prst="line">
                            <a:avLst/>
                          </a:prstGeom>
                          <a:ln w="9525" cap="flat" cmpd="sng">
                            <a:solidFill>
                              <a:srgbClr val="000000"/>
                            </a:solidFill>
                            <a:prstDash val="solid"/>
                            <a:headEnd type="none" w="med" len="med"/>
                            <a:tailEnd type="none" w="med" len="med"/>
                          </a:ln>
                        </wps:spPr>
                        <wps:bodyPr upright="1"/>
                      </wps:wsp>
                      <wps:wsp>
                        <wps:cNvPr id="362" name="直接连接符 362"/>
                        <wps:cNvCnPr/>
                        <wps:spPr>
                          <a:xfrm>
                            <a:off x="3858260" y="1007110"/>
                            <a:ext cx="464820" cy="635"/>
                          </a:xfrm>
                          <a:prstGeom prst="line">
                            <a:avLst/>
                          </a:prstGeom>
                          <a:ln w="9525" cap="flat" cmpd="sng">
                            <a:solidFill>
                              <a:srgbClr val="000000"/>
                            </a:solidFill>
                            <a:prstDash val="solid"/>
                            <a:headEnd type="none" w="med" len="med"/>
                            <a:tailEnd type="arrow" w="med" len="med"/>
                          </a:ln>
                        </wps:spPr>
                        <wps:bodyPr upright="1"/>
                      </wps:wsp>
                      <wps:wsp>
                        <wps:cNvPr id="363" name="矩形 363"/>
                        <wps:cNvSpPr/>
                        <wps:spPr>
                          <a:xfrm>
                            <a:off x="3806825" y="72517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38.02</w:t>
                              </w:r>
                            </w:p>
                          </w:txbxContent>
                        </wps:txbx>
                        <wps:bodyPr upright="1"/>
                      </wps:wsp>
                      <wps:wsp>
                        <wps:cNvPr id="364" name="直接连接符 364"/>
                        <wps:cNvCnPr/>
                        <wps:spPr>
                          <a:xfrm>
                            <a:off x="4271645" y="591185"/>
                            <a:ext cx="889635" cy="635"/>
                          </a:xfrm>
                          <a:prstGeom prst="line">
                            <a:avLst/>
                          </a:prstGeom>
                          <a:ln w="9525" cap="flat" cmpd="sng">
                            <a:solidFill>
                              <a:srgbClr val="000000"/>
                            </a:solidFill>
                            <a:prstDash val="solid"/>
                            <a:headEnd type="none" w="med" len="med"/>
                            <a:tailEnd type="triangle" w="med" len="med"/>
                          </a:ln>
                        </wps:spPr>
                        <wps:bodyPr upright="1"/>
                      </wps:wsp>
                      <wps:wsp>
                        <wps:cNvPr id="365" name="矩形 365"/>
                        <wps:cNvSpPr/>
                        <wps:spPr>
                          <a:xfrm>
                            <a:off x="4156710" y="302260"/>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8.77</w:t>
                              </w:r>
                            </w:p>
                          </w:txbxContent>
                        </wps:txbx>
                        <wps:bodyPr upright="1"/>
                      </wps:wsp>
                      <wps:wsp>
                        <wps:cNvPr id="366" name="矩形 366"/>
                        <wps:cNvSpPr/>
                        <wps:spPr>
                          <a:xfrm>
                            <a:off x="5143500" y="476885"/>
                            <a:ext cx="739775" cy="2590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367" name="直接连接符 367"/>
                        <wps:cNvCnPr/>
                        <wps:spPr>
                          <a:xfrm flipH="1">
                            <a:off x="4927600" y="1901825"/>
                            <a:ext cx="14605" cy="883920"/>
                          </a:xfrm>
                          <a:prstGeom prst="line">
                            <a:avLst/>
                          </a:prstGeom>
                          <a:ln w="9525" cap="flat" cmpd="sng">
                            <a:solidFill>
                              <a:srgbClr val="000000"/>
                            </a:solidFill>
                            <a:prstDash val="solid"/>
                            <a:headEnd type="none" w="med" len="med"/>
                            <a:tailEnd type="triangle" w="med" len="med"/>
                          </a:ln>
                        </wps:spPr>
                        <wps:bodyPr upright="1"/>
                      </wps:wsp>
                      <wps:wsp>
                        <wps:cNvPr id="368" name="直接连接符 368"/>
                        <wps:cNvCnPr/>
                        <wps:spPr>
                          <a:xfrm>
                            <a:off x="985520" y="4028440"/>
                            <a:ext cx="538480" cy="635"/>
                          </a:xfrm>
                          <a:prstGeom prst="line">
                            <a:avLst/>
                          </a:prstGeom>
                          <a:ln w="9525" cap="flat" cmpd="sng">
                            <a:solidFill>
                              <a:srgbClr val="000000"/>
                            </a:solidFill>
                            <a:prstDash val="solid"/>
                            <a:headEnd type="none" w="med" len="med"/>
                            <a:tailEnd type="triangle" w="med" len="med"/>
                          </a:ln>
                        </wps:spPr>
                        <wps:bodyPr upright="1"/>
                      </wps:wsp>
                      <wpg:wgp>
                        <wpg:cNvPr id="33" name="组合 33"/>
                        <wpg:cNvGrpSpPr/>
                        <wpg:grpSpPr>
                          <a:xfrm>
                            <a:off x="1022350" y="3496945"/>
                            <a:ext cx="2182495" cy="673735"/>
                            <a:chOff x="1598" y="6049"/>
                            <a:chExt cx="3437" cy="1061"/>
                          </a:xfrm>
                        </wpg:grpSpPr>
                        <wps:wsp>
                          <wps:cNvPr id="369" name="矩形 369"/>
                          <wps:cNvSpPr/>
                          <wps:spPr>
                            <a:xfrm>
                              <a:off x="2388" y="6630"/>
                              <a:ext cx="1660" cy="4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wps:txbx>
                          <wps:bodyPr lIns="0" tIns="45720" rIns="0" bIns="45720" upright="1"/>
                        </wps:wsp>
                        <wps:wsp>
                          <wps:cNvPr id="370" name="文本框 370"/>
                          <wps:cNvSpPr txBox="1"/>
                          <wps:spPr>
                            <a:xfrm>
                              <a:off x="2215" y="6049"/>
                              <a:ext cx="2820" cy="4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ascii="Times New Roman" w:hAnsi="Times New Roman" w:cs="Times New Roman"/>
                                    <w:sz w:val="21"/>
                                    <w:szCs w:val="21"/>
                                    <w:lang w:val="en-US" w:eastAsia="zh-CN"/>
                                  </w:rPr>
                                  <w:t>35.24</w:t>
                                </w:r>
                              </w:p>
                            </w:txbxContent>
                          </wps:txbx>
                          <wps:bodyPr upright="1"/>
                        </wps:wsp>
                        <wps:wsp>
                          <wps:cNvPr id="371" name="直接连接符 371"/>
                          <wps:cNvCnPr/>
                          <wps:spPr>
                            <a:xfrm flipV="1">
                              <a:off x="2952" y="6356"/>
                              <a:ext cx="244" cy="274"/>
                            </a:xfrm>
                            <a:prstGeom prst="line">
                              <a:avLst/>
                            </a:prstGeom>
                            <a:ln w="9525" cap="flat" cmpd="sng">
                              <a:solidFill>
                                <a:srgbClr val="000000"/>
                              </a:solidFill>
                              <a:prstDash val="lgDash"/>
                              <a:headEnd type="none" w="med" len="med"/>
                              <a:tailEnd type="triangle" w="med" len="med"/>
                            </a:ln>
                          </wps:spPr>
                          <wps:bodyPr upright="1"/>
                        </wps:wsp>
                        <wps:wsp>
                          <wps:cNvPr id="372" name="矩形 372"/>
                          <wps:cNvSpPr/>
                          <wps:spPr>
                            <a:xfrm>
                              <a:off x="1598" y="6412"/>
                              <a:ext cx="980" cy="376"/>
                            </a:xfrm>
                            <a:prstGeom prst="rect">
                              <a:avLst/>
                            </a:prstGeom>
                            <a:solidFill>
                              <a:srgbClr val="FFFFFF">
                                <a:alpha val="0"/>
                              </a:srgbClr>
                            </a:solidFill>
                            <a:ln>
                              <a:noFill/>
                            </a:ln>
                          </wps:spPr>
                          <wps:txbx>
                            <w:txbxContent>
                              <w:p>
                                <w:pPr>
                                  <w:widowControl w:val="0"/>
                                  <w:spacing w:line="200" w:lineRule="exact"/>
                                  <w:ind w:firstLine="0" w:firstLineChars="0"/>
                                  <w:rPr>
                                    <w:rFonts w:ascii="Times New Roman" w:hAnsi="Times New Roman" w:cs="Times New Roman"/>
                                    <w:sz w:val="21"/>
                                    <w:szCs w:val="21"/>
                                  </w:rPr>
                                </w:pPr>
                                <w:r>
                                  <w:rPr>
                                    <w:rFonts w:hint="eastAsia" w:ascii="Times New Roman" w:hAnsi="Times New Roman" w:cs="Times New Roman"/>
                                    <w:sz w:val="21"/>
                                    <w:szCs w:val="21"/>
                                    <w:lang w:val="en-US" w:eastAsia="zh-CN"/>
                                  </w:rPr>
                                  <w:t>35</w:t>
                                </w:r>
                                <w:r>
                                  <w:rPr>
                                    <w:rFonts w:hint="eastAsia" w:ascii="Times New Roman" w:hAnsi="Times New Roman" w:cs="Times New Roman"/>
                                    <w:sz w:val="21"/>
                                    <w:szCs w:val="21"/>
                                  </w:rPr>
                                  <w:t>.2</w:t>
                                </w:r>
                                <w:r>
                                  <w:rPr>
                                    <w:rFonts w:ascii="Times New Roman" w:hAnsi="Times New Roman" w:cs="Times New Roman"/>
                                    <w:sz w:val="21"/>
                                    <w:szCs w:val="21"/>
                                  </w:rPr>
                                  <w:t>4</w:t>
                                </w:r>
                              </w:p>
                            </w:txbxContent>
                          </wps:txbx>
                          <wps:bodyPr upright="1"/>
                        </wps:wsp>
                      </wpg:wgp>
                    </wpc:wpc>
                  </a:graphicData>
                </a:graphic>
              </wp:anchor>
            </w:drawing>
          </mc:Choice>
          <mc:Fallback>
            <w:pict>
              <v:group id="_x0000_s1026" o:spid="_x0000_s1026" o:spt="203" style="position:absolute;left:0pt;margin-left:-12.35pt;margin-top:11.85pt;height:410.25pt;width:463.25pt;z-index:251985920;mso-width-relative:page;mso-height-relative:page;" coordsize="5883275,5210175" editas="canvas" o:gfxdata="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">
                <o:lock v:ext="edit" aspectratio="f"/>
                <v:shape id="_x0000_s1026" o:spid="_x0000_s1026" style="position:absolute;left:0;top:0;height:5210175;width:5883275;" filled="f" stroked="f" coordsize="21600,21600" o:gfxdata="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">
                  <v:fill on="f" focussize="0,0"/>
                  <v:stroke on="f"/>
                  <v:imagedata o:title=""/>
                  <o:lock v:ext="edit" aspectratio="t"/>
                </v:shape>
                <v:rect id="_x0000_s1026" o:spid="_x0000_s1026" o:spt="1" style="position:absolute;left:0;top:1867535;height:521970;width:322580;" fillcolor="#FFFFFF" filled="t" stroked="t" coordsize="21600,21600" o:gfxdata="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AwjH9oAAAAKAQAADwAAAAAAAAABACAAAAAiAAAAZHJzL2Rv&#10;d25yZXYueG1sUEsBAhQAFAAAAAgAh07iQB9MyOP/AQAAAQQAAA4AAAAAAAAAAQAgAAAAKQEAAGRy&#10;cy9lMm9Eb2MueG1sUEsFBgAAAAAGAAYAWQEAAJoFAA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_x0000_s1026" o:spid="_x0000_s1026" o:spt="20" style="position:absolute;left:354965;top:2140585;height:635;width:582295;"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4y12wAAAAoBAAAPAAAAAAAAAAEAIAAAACIAAABkcnMvZG93bnJldi54bWxQSwEC&#10;FAAUAAAACACHTuJA2lEjCvEBAACqAwAADgAAAAAAAAABACAAAAAqAQAAZHJzL2Uyb0RvYy54bWxQ&#10;SwUGAAAAAAYABgBZAQAAjQUAAAAA&#10;">
                  <v:fill on="f" focussize="0,0"/>
                  <v:stroke color="#000000" joinstyle="round" endarrow="block"/>
                  <v:imagedata o:title=""/>
                  <o:lock v:ext="edit" aspectratio="f"/>
                </v:line>
                <v:line id="_x0000_s1026" o:spid="_x0000_s1026" o:spt="20" style="position:absolute;left:960755;top:1195705;flip:x;height:3599815;width:635;" filled="f" stroked="t" coordsize="21600,21600" o:gfxdata="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2Gvsi2QAAAAoBAAAPAAAAAAAAAAEAIAAAACIAAABkcnMvZG93bnJldi54bWxQSwEC&#10;FAAUAAAACACHTuJAV65BgvMBAACxAwAADgAAAAAAAAABACAAAAAoAQAAZHJzL2Uyb0RvYy54bWxQ&#10;SwUGAAAAAAYABgBZAQAAjQUAAAAA&#10;">
                  <v:fill on="f" focussize="0,0"/>
                  <v:stroke color="#000000" joinstyle="round"/>
                  <v:imagedata o:title=""/>
                  <o:lock v:ext="edit" aspectratio="f"/>
                </v:line>
                <v:line id="_x0000_s1026" o:spid="_x0000_s1026" o:spt="20" style="position:absolute;left:953135;top:1196975;flip:y;height:6985;width:669925;" filled="f" stroked="t" coordsize="21600,21600" o:gfxdata="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nzNfjaAAAACgEAAA8AAAAAAAAAAQAgAAAAIgAAAGRycy9kb3ducmV2Lnht&#10;bFBLAQIUABQAAAAIAIdO4kDjegcn9wEAALUDAAAOAAAAAAAAAAEAIAAAACkBAABkcnMvZTJvRG9j&#10;LnhtbFBLBQYAAAAABgAGAFkBAACSBQAAAAA=&#10;">
                  <v:fill on="f" focussize="0,0"/>
                  <v:stroke color="#000000" joinstyle="round" endarrow="block"/>
                  <v:imagedata o:title=""/>
                  <o:lock v:ext="edit" aspectratio="f"/>
                </v:line>
                <v:line id="_x0000_s1026" o:spid="_x0000_s1026" o:spt="20" style="position:absolute;left:967740;top:1906270;flip:y;height:635;width:1143000;" filled="f" stroked="t" coordsize="21600,21600" o:gfxdata="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nzNfjaAAAACgEAAA8AAAAAAAAAAQAgAAAAIgAAAGRycy9kb3ducmV2Lnht&#10;bFBLAQIUABQAAAAIAIdO4kB1TxTj9wEAALUDAAAOAAAAAAAAAAEAIAAAACkBAABkcnMvZTJvRG9j&#10;LnhtbFBLBQYAAAAABgAGAFkBAACSBQAAAAA=&#10;">
                  <v:fill on="f" focussize="0,0"/>
                  <v:stroke color="#000000" joinstyle="round" endarrow="block"/>
                  <v:imagedata o:title=""/>
                  <o:lock v:ext="edit" aspectratio="f"/>
                </v:line>
                <v:rect id="_x0000_s1026" o:spid="_x0000_s1026" o:spt="1" style="position:absolute;left:1552575;top:1058545;height:297180;width:882650;" fillcolor="#FFFFFF" filled="t" stroked="t" coordsize="21600,21600" o:gfxdata="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j81P3bAAAACgEA&#10;AA8AAAAAAAAAAQAgAAAAIgAAAGRycy9kb3ducmV2LnhtbFBLAQIUABQAAAAIAIdO4kAaJDDqFwIA&#10;ADMEAAAOAAAAAAAAAAEAIAAAACoBAABkcnMvZTJvRG9jLnhtbFBLBQYAAAAABgAGAFkBAACzBQAA&#10;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_x0000_s1026" o:spid="_x0000_s1026" o:spt="1" style="position:absolute;left:2126615;top:1795145;height:264795;width:850900;" fillcolor="#FFFFFF" filled="t" stroked="t" coordsize="21600,21600" o:gfxdata="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AwjH9oAAAAKAQAADwAAAAAAAAABACAAAAAiAAAAZHJz&#10;L2Rvd25yZXYueG1sUEsBAhQAFAAAAAgAh07iQGOMbDQCAgAABwQAAA4AAAAAAAAAAQAgAAAAKQEA&#10;AGRycy9lMm9Eb2MueG1sUEsFBgAAAAAGAAYAWQEAAJ0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_x0000_s1026" o:spid="_x0000_s1026" o:spt="1" style="position:absolute;left:4514215;top:2799080;height:274955;width:1158875;" fillcolor="#FFFFFF" filled="t" stroked="t" coordsize="21600,21600" o:gfxdata="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AwjH9oAAAAKAQAADwAAAAAAAAABACAAAAAiAAAAZHJz&#10;L2Rvd25yZXYueG1sUEsBAhQAFAAAAAgAh07iQPAphwICAgAACAQAAA4AAAAAAAAAAQAgAAAAKQEA&#10;AGRycy9lMm9Eb2MueG1sUEsFBgAAAAAGAAYAWQEAAJ0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_x0000_s1026" o:spid="_x0000_s1026" o:spt="20" style="position:absolute;left:4733925;top:3094355;height:493395;width:635;"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4y12wAAAAoBAAAPAAAAAAAAAAEAIAAAACIAAABkcnMvZG93bnJldi54bWxQSwEC&#10;FAAUAAAACACHTuJARzRpQfEBAACrAwAADgAAAAAAAAABACAAAAAqAQAAZHJzL2Uyb0RvYy54bWxQ&#10;SwUGAAAAAAYABgBZAQAAjQUAAAAA&#10;">
                  <v:fill on="f" focussize="0,0"/>
                  <v:stroke color="#000000" joinstyle="round" endarrow="block"/>
                  <v:imagedata o:title=""/>
                  <o:lock v:ext="edit" aspectratio="f"/>
                </v:line>
                <v:rect id="_x0000_s1026" o:spid="_x0000_s1026" o:spt="1" style="position:absolute;left:4463415;top:3555365;height:270510;width:496570;" fillcolor="#FFFFFF" filled="t" stroked="t" coordsize="21600,21600" o:gfxdata="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IDCMf2gAAAAoBAAAPAAAAAAAAAAEAIAAAACIAAABk&#10;cnMvZG93bnJldi54bWxQSwECFAAUAAAACACHTuJA8bxZkgQCAAAHBAAADgAAAAAAAAABACAAAAAp&#10;AQAAZHJzL2Uyb0RvYy54bWxQSwUGAAAAAAYABgBZAQAAnw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_x0000_s1026" o:spid="_x0000_s1026" o:spt="1" style="position:absolute;left:354965;top:1867535;height:331470;width:55118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dz7naAAAACgEAAA8AAAAAAAAAAQAgAAAAIgAAAGRycy9kb3ducmV2LnhtbFBLAQIUABQA&#10;AAAIAIdO4kBFuBoYtQEAAEcDAAAOAAAAAAAAAAEAIAAAACkBAABkcnMvZTJvRG9jLnhtbFBLBQYA&#10;AAAABgAGAFkBAABQBQ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544.83</w:t>
                        </w:r>
                      </w:p>
                    </w:txbxContent>
                  </v:textbox>
                </v:rect>
                <v:rect id="_x0000_s1026" o:spid="_x0000_s1026" o:spt="1" style="position:absolute;left:1056005;top:2853055;height:198755;width:490855;"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3c+52gAAAAoBAAAPAAAAAAAAAAEAIAAAACIAAABkcnMvZG93bnJldi54bWxQSwECFAAU&#10;AAAACACHTuJAyHFRvrYBAABI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45.6</w:t>
                        </w:r>
                      </w:p>
                    </w:txbxContent>
                  </v:textbox>
                </v:rect>
                <v:rect id="_x0000_s1026" o:spid="_x0000_s1026" o:spt="1" style="position:absolute;left:1074420;top:1641475;height:267335;width:691515;"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dz7naAAAACgEAAA8AAAAAAAAAAQAgAAAAIgAAAGRycy9kb3ducmV2LnhtbFBLAQIUABQA&#10;AAAIAIdO4kCX9qFNtQEAAEgDAAAOAAAAAAAAAAEAIAAAACkBAABkcnMvZTJvRG9jLnhtbFBLBQYA&#10;AAAABgAGAFkBAABQ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w:t>
                        </w:r>
                      </w:p>
                    </w:txbxContent>
                  </v:textbox>
                </v:rect>
                <v:line id="_x0000_s1026" o:spid="_x0000_s1026" o:spt="20" style="position:absolute;left:2413000;top:1231900;flip:y;height:21590;width:1890395;" filled="f" stroked="t" coordsize="21600,21600" o:gfxdata="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fM1+NoAAAAKAQAADwAAAAAAAAABACAAAAAiAAAAZHJzL2Rvd25yZXYu&#10;eG1sUEsBAhQAFAAAAAgAh07iQPYRrWL5AQAAuAMAAA4AAAAAAAAAAQAgAAAAKQEAAGRycy9lMm9E&#10;b2MueG1sUEsFBgAAAAAGAAYAWQEAAJQFAAAAAA==&#10;">
                  <v:fill on="f" focussize="0,0"/>
                  <v:stroke color="#000000" joinstyle="round" endarrow="block"/>
                  <v:imagedata o:title=""/>
                  <o:lock v:ext="edit" aspectratio="f"/>
                </v:line>
                <v:line id="_x0000_s1026" o:spid="_x0000_s1026" o:spt="20" style="position:absolute;left:2974340;top:1907540;flip:y;height:635;width:1366520;" filled="f" stroked="t" coordsize="21600,21600" o:gfxdata="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8zX42gAAAAoBAAAPAAAAAAAAAAEAIAAAACIAAABkcnMvZG93bnJldi54&#10;bWxQSwECFAAUAAAACACHTuJAz9tuFfgBAAC2AwAADgAAAAAAAAABACAAAAApAQAAZHJzL2Uyb0Rv&#10;Yy54bWxQSwUGAAAAAAYABgBZAQAAkwUAAAAA&#10;">
                  <v:fill on="f" focussize="0,0"/>
                  <v:stroke color="#000000" joinstyle="round" endarrow="block"/>
                  <v:imagedata o:title=""/>
                  <o:lock v:ext="edit" aspectratio="f"/>
                </v:line>
                <v:rect id="_x0000_s1026" o:spid="_x0000_s1026" o:spt="1" style="position:absolute;left:3276600;top:2818765;height:198755;width:59817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N3PudoAAAAKAQAADwAAAAAAAAABACAAAAAiAAAAZHJzL2Rvd25yZXYueG1sUEsBAhQA&#10;FAAAAAgAh07iQLgK87O3AQAASAMAAA4AAAAAAAAAAQAgAAAAKQEAAGRycy9lMm9Eb2MueG1sUEsF&#10;BgAAAAAGAAYAWQEAAFI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41.04</w:t>
                        </w:r>
                      </w:p>
                    </w:txbxContent>
                  </v:textbox>
                </v:rect>
                <v:rect id="_x0000_s1026" o:spid="_x0000_s1026" o:spt="1" style="position:absolute;left:3349625;top:1668780;height:198755;width:58420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dz7naAAAACgEAAA8AAAAAAAAAAQAgAAAAIgAAAGRycy9kb3ducmV2LnhtbFBLAQIUABQA&#10;AAAIAIdO4kBcVUlatQEAAEgDAAAOAAAAAAAAAAEAIAAAACkBAABkcnMvZTJvRG9jLnhtbFBLBQYA&#10;AAAABgAGAFkBAABQ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8.64</w:t>
                        </w:r>
                      </w:p>
                    </w:txbxContent>
                  </v:textbox>
                </v:rect>
                <v:shape id="_x0000_s1026" o:spid="_x0000_s1026" o:spt="202" type="#_x0000_t202" style="position:absolute;left:1924685;top:350520;height:330835;width:1064260;" filled="f" stroked="t" coordsize="21600,21600" o:gfxdata="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kNedDYAAAACgEAAA8AAAAAAAAAAQAgAAAAIgAAAGRycy9kb3ducmV2LnhtbFBL&#10;AQIUABQAAAAIAIdO4kB8cFfZ9gEAAM4DAAAOAAAAAAAAAAEAIAAAACcBAABkcnMvZTJvRG9jLnht&#10;bFBLBQYAAAAABgAGAFkBAACPBQAAAAA=&#10;">
                  <v:fill on="f" focussize="0,0"/>
                  <v:stroke color="#000000" joinstyle="miter"/>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lang w:val="en-US" w:eastAsia="zh-CN"/>
                          </w:rPr>
                          <w:t>46.79</w:t>
                        </w:r>
                      </w:p>
                    </w:txbxContent>
                  </v:textbox>
                </v:shape>
                <v:line id="_x0000_s1026" o:spid="_x0000_s1026" o:spt="20" style="position:absolute;left:2200275;top:671195;flip:y;height:401320;width:12065;" filled="f" stroked="t" coordsize="21600,21600" o:gfxdata="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kmuE1gAAAAoBAAAPAAAAAAAAAAEAIAAAACIAAABkcnMvZG93bnJldi54&#10;bWxQSwECFAAUAAAACACHTuJA0ZjRC/wBAAC3AwAADgAAAAAAAAABACAAAAAlAQAAZHJzL2Uyb0Rv&#10;Yy54bWxQSwUGAAAAAAYABgBZAQAAkwUAAAAA&#10;">
                  <v:fill on="f" focussize="0,0"/>
                  <v:stroke color="#000000" joinstyle="round" dashstyle="longDash" endarrow="block"/>
                  <v:imagedata o:title=""/>
                  <o:lock v:ext="edit" aspectratio="f"/>
                </v:line>
                <v:shape id="_x0000_s1026" o:spid="_x0000_s1026" o:spt="202" type="#_x0000_t202" style="position:absolute;left:2593975;top:2509520;height:302260;width:806450;" filled="f" stroked="f" coordsize="21600,21600" o:gfxdata="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slK7NgAAAAK&#10;AQAADwAAAAAAAAABACAAAAAiAAAAZHJzL2Rvd25yZXYueG1sUEsBAhQAFAAAAAgAh07iQH3zieWq&#10;AQAAKQMAAA4AAAAAAAAAAQAgAAAAJwEAAGRycy9lMm9Eb2MueG1sUEsFBgAAAAAGAAYAWQEAAEMF&#10;AAAAAA==&#10;">
                  <v:fill on="f" focussize="0,0"/>
                  <v:stroke on="f"/>
                  <v:imagedata o:title=""/>
                  <o:lock v:ext="edit" aspectratio="f"/>
                  <v:textbox style="mso-fit-shape-to-text:t;">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4.5</w:t>
                        </w:r>
                        <w:r>
                          <w:rPr>
                            <w:rFonts w:hint="eastAsia" w:ascii="Times New Roman" w:hAnsi="Times New Roman" w:cs="Times New Roman"/>
                            <w:sz w:val="21"/>
                            <w:szCs w:val="21"/>
                          </w:rPr>
                          <w:t>6</w:t>
                        </w:r>
                      </w:p>
                    </w:txbxContent>
                  </v:textbox>
                </v:shape>
                <v:line id="_x0000_s1026" o:spid="_x0000_s1026" o:spt="20" style="position:absolute;left:2336165;top:1493520;flip:y;height:219075;width:232410;" filled="f" stroked="t" coordsize="21600,21600" o:gfxdata="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JJrhNYAAAAKAQAADwAAAAAAAAABACAAAAAiAAAAZHJzL2Rvd25yZXYueG1s&#10;UEsBAhQAFAAAAAgAh07iQGqVs476AQAAuQMAAA4AAAAAAAAAAQAgAAAAJQEAAGRycy9lMm9Eb2Mu&#10;eG1sUEsFBgAAAAAGAAYAWQEAAJEFAAAAAA==&#10;">
                  <v:fill on="f" focussize="0,0"/>
                  <v:stroke color="#000000" joinstyle="round" dashstyle="longDash" endarrow="block"/>
                  <v:imagedata o:title=""/>
                  <o:lock v:ext="edit" aspectratio="f"/>
                </v:line>
                <v:shape id="_x0000_s1026" o:spid="_x0000_s1026" o:spt="202" type="#_x0000_t202" style="position:absolute;left:2494280;top:1333500;height:302260;width:846455;" filled="f" stroked="f" coordsize="21600,21600" o:gfxdata="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yUrs2AAAAAoB&#10;AAAPAAAAAAAAAAEAIAAAACIAAABkcnMvZG93bnJldi54bWxQSwECFAAUAAAACACHTuJAuvLwXakB&#10;AAApAwAADgAAAAAAAAABACAAAAAn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ascii="Times New Roman" w:hAnsi="Times New Roman" w:cs="Times New Roman"/>
                            <w:sz w:val="21"/>
                            <w:szCs w:val="21"/>
                            <w:lang w:val="en-US" w:eastAsia="zh-CN"/>
                          </w:rPr>
                          <w:t>2.16</w:t>
                        </w:r>
                      </w:p>
                    </w:txbxContent>
                  </v:textbox>
                </v:shape>
                <v:shape id="_x0000_s1026" o:spid="_x0000_s1026" o:spt="32" type="#_x0000_t32" style="position:absolute;left:4309745;top:1912620;flip:x;height:635;width:649605;" filled="f" stroked="t" coordsize="21600,21600" o:gfxdata="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hOP42AAAAAoBAAAPAAAAAAAAAAEAIAAAACIAAABkcnMvZG93bnJldi54bWxQ&#10;SwECFAAUAAAACACHTuJAqpNyuPcBAAC5AwAADgAAAAAAAAABACAAAAAnAQAAZHJzL2Uyb0RvYy54&#10;bWxQSwUGAAAAAAYABgBZAQAAkAUAAAAA&#10;">
                  <v:fill on="f" focussize="0,0"/>
                  <v:stroke color="#000000" joinstyle="round"/>
                  <v:imagedata o:title=""/>
                  <o:lock v:ext="edit" aspectratio="f"/>
                </v:shape>
                <v:shape id="_x0000_s1026" o:spid="_x0000_s1026" o:spt="202" type="#_x0000_t202" style="position:absolute;left:4356735;top:1628140;height:302260;width:680085;" filled="f" stroked="f" coordsize="21600,21600" o:gfxdata="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slK7NgAAAAK&#10;AQAADwAAAAAAAAABACAAAAAiAAAAZHJzL2Rvd25yZXYueG1sUEsBAhQAFAAAAAgAh07iQDtyy0Wq&#10;AQAAKQMAAA4AAAAAAAAAAQAgAAAAJwEAAGRycy9lMm9Eb2MueG1sUEsFBgAAAAAGAAYAWQEAAEMF&#10;A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416.91</w:t>
                        </w:r>
                      </w:p>
                    </w:txbxContent>
                  </v:textbox>
                </v:shape>
                <v:shape id="_x0000_s1026" o:spid="_x0000_s1026" o:spt="202" type="#_x0000_t202" style="position:absolute;left:4114800;top:3231515;height:302260;width:675640;" filled="f" stroked="f" coordsize="21600,21600" o:gfxdata="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7JSuzYAAAA&#10;CgEAAA8AAAAAAAAAAQAgAAAAIgAAAGRycy9kb3ducmV2LnhtbFBLAQIUABQAAAAIAIdO4kAadxXl&#10;qwEAACkDAAAOAAAAAAAAAAEAIAAAACcBAABkcnMvZTJvRG9jLnhtbFBLBQYAAAAABgAGAFkBAABE&#10;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406.96</w:t>
                        </w:r>
                      </w:p>
                    </w:txbxContent>
                  </v:textbox>
                </v:shape>
                <v:line id="_x0000_s1026" o:spid="_x0000_s1026" o:spt="20" style="position:absolute;left:4698365;top:3848735;height:276225;width:635;"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P7jLXbAAAACgEAAA8AAAAAAAAAAQAgAAAAIgAAAGRycy9kb3ducmV2LnhtbFBL&#10;AQIUABQAAAAIAIdO4kBe6+mY8wEAAKsDAAAOAAAAAAAAAAEAIAAAACoBAABkcnMvZTJvRG9jLnht&#10;bFBLBQYAAAAABgAGAFkBAACPBQAAAAA=&#10;">
                  <v:fill on="f" focussize="0,0"/>
                  <v:stroke color="#000000" joinstyle="round" endarrow="block"/>
                  <v:imagedata o:title=""/>
                  <o:lock v:ext="edit" aspectratio="f"/>
                </v:line>
                <v:shape id="_x0000_s1026" o:spid="_x0000_s1026" o:spt="202" type="#_x0000_t202" style="position:absolute;left:4268470;top:4008120;height:493395;width:805180;" filled="f" stroked="f" coordsize="21600,21600" o:gfxdata="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Tb6ue1wAAAAoBAAAPAAAAAAAAAAEAIAAA&#10;ACIAAABkcnMvZG93bnJldi54bWxQSwECFAAUAAAACACHTuJAk14LppsBAAAPAwAADgAAAAAAAAAB&#10;ACAAAAAmAQAAZHJzL2Uyb0RvYy54bWxQSwUGAAAAAAYABgBZAQAAMwU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406.96</w:t>
                        </w:r>
                      </w:p>
                    </w:txbxContent>
                  </v:textbox>
                </v:shape>
                <v:line id="_x0000_s1026" o:spid="_x0000_s1026" o:spt="20" style="position:absolute;left:5311775;top:3089275;height:488950;width:635;"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uMtdsAAAAKAQAADwAAAAAAAAABACAAAAAiAAAAZHJzL2Rvd25yZXYueG1sUEsB&#10;AhQAFAAAAAgAh07iQPRDgnryAQAAqwMAAA4AAAAAAAAAAQAgAAAAKgEAAGRycy9lMm9Eb2MueG1s&#10;UEsFBgAAAAAGAAYAWQEAAI4FAAAAAA==&#10;">
                  <v:fill on="f" focussize="0,0"/>
                  <v:stroke color="#000000" joinstyle="round" endarrow="block"/>
                  <v:imagedata o:title=""/>
                  <o:lock v:ext="edit" aspectratio="f"/>
                </v:line>
                <v:rect id="_x0000_s1026" o:spid="_x0000_s1026" o:spt="1" style="position:absolute;left:5050155;top:3580130;height:270510;width:617220;" fillcolor="#FFFFFF" filled="t" stroked="t" coordsize="21600,21600" o:gfxdata="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PzU/dsAAAAKAQAA&#10;DwAAAAAAAAABACAAAAAiAAAAZHJzL2Rvd25yZXYueG1sUEsBAhQAFAAAAAgAh07iQPS0bQMWAgAA&#10;MwQAAA4AAAAAAAAAAQAgAAAAKgEAAGRycy9lMm9Eb2MueG1sUEsFBgAAAAAGAAYAWQEAALIFAAAA&#10;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_x0000_s1026" o:spid="_x0000_s1026" o:spt="202" type="#_x0000_t202" style="position:absolute;left:4958715;top:3282315;height:302260;width:485140;" filled="f" stroked="f" coordsize="21600,21600" o:gfxdata="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yUrs2AAAAAoB&#10;AAAPAAAAAAAAAAEAIAAAACIAAABkcnMvZG93bnJldi54bWxQSwECFAAUAAAACACHTuJAlBidmakB&#10;AAApAwAADgAAAAAAAAABACAAAAAn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9.95</w:t>
                        </w:r>
                      </w:p>
                    </w:txbxContent>
                  </v:textbox>
                </v:shape>
                <v:rect id="_x0000_s1026" o:spid="_x0000_s1026" o:spt="1" style="position:absolute;left:1043940;top:971550;height:198755;width:82042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N3PudoAAAAKAQAADwAAAAAAAAABACAAAAAiAAAAZHJzL2Rvd25yZXYueG1sUEsBAhQAFAAA&#10;AAgAh07iQARWoFa0AQAARwMAAA4AAAAAAAAAAQAgAAAAKQ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720.16</w:t>
                        </w:r>
                      </w:p>
                    </w:txbxContent>
                  </v:textbox>
                </v:rect>
                <v:line id="_x0000_s1026" o:spid="_x0000_s1026" o:spt="20" style="position:absolute;left:953135;top:3050540;height:635;width:1156970;"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P7jLXbAAAACgEAAA8AAAAAAAAAAQAgAAAAIgAAAGRycy9kb3ducmV2LnhtbFBLAQIUABQA&#10;AAAIAIdO4kBS3JQa7QEAAKsDAAAOAAAAAAAAAAEAIAAAACoBAABkcnMvZTJvRG9jLnhtbFBLBQYA&#10;AAAABgAGAFkBAACJBQAAAAA=&#10;">
                  <v:fill on="f" focussize="0,0"/>
                  <v:stroke color="#000000" joinstyle="round" endarrow="block"/>
                  <v:imagedata o:title=""/>
                  <o:lock v:ext="edit" aspectratio="f"/>
                </v:line>
                <v:line id="_x0000_s1026" o:spid="_x0000_s1026" o:spt="20" style="position:absolute;left:3023870;top:3051810;height:6985;width:1355090;"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uMtdsAAAAKAQAADwAAAAAAAAABACAAAAAiAAAAZHJzL2Rvd25yZXYueG1sUEsBAhQA&#10;FAAAAAgAh07iQHlZYTPvAQAArQMAAA4AAAAAAAAAAQAgAAAAKgEAAGRycy9lMm9Eb2MueG1sUEsF&#10;BgAAAAAGAAYAWQEAAIsFAAAAAA==&#10;">
                  <v:fill on="f" focussize="0,0"/>
                  <v:stroke color="#000000" joinstyle="round" endarrow="block"/>
                  <v:imagedata o:title=""/>
                  <o:lock v:ext="edit" aspectratio="f"/>
                </v:line>
                <v:line id="_x0000_s1026" o:spid="_x0000_s1026" o:spt="20" style="position:absolute;left:1752600;top:681355;flip:y;height:401320;width:635;" filled="f" stroked="t" coordsize="21600,21600" o:gfxdata="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Sa4TWAAAACgEAAA8AAAAAAAAAAQAgAAAAIgAAAGRycy9kb3ducmV2Lnht&#10;bFBLAQIUABQAAAAIAIdO4kDWl6wh+wEAALUDAAAOAAAAAAAAAAEAIAAAACUBAABkcnMvZTJvRG9j&#10;LnhtbFBLBQYAAAAABgAGAFkBAACSBQAAAAA=&#10;">
                  <v:fill on="f" focussize="0,0"/>
                  <v:stroke color="#000000" joinstyle="round" dashstyle="longDash" endarrow="block"/>
                  <v:imagedata o:title=""/>
                  <o:lock v:ext="edit" aspectratio="f"/>
                </v:line>
                <v:rect id="_x0000_s1026" o:spid="_x0000_s1026" o:spt="1" style="position:absolute;left:836930;top:488315;height:326390;width:122428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dz7naAAAACgEAAA8AAAAAAAAAAQAgAAAAIgAAAGRycy9kb3ducmV2LnhtbFBLAQIUABQA&#10;AAAIAIdO4kCeJWNTtQEAAEcDAAAOAAAAAAAAAAEAIAAAACkBAABkcnMvZTJvRG9jLnhtbFBLBQYA&#10;AAAABgAGAFkBAABQBQ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344.16</w:t>
                        </w:r>
                      </w:p>
                    </w:txbxContent>
                  </v:textbox>
                </v:rect>
                <v:rect id="_x0000_s1026" o:spid="_x0000_s1026" o:spt="1" style="position:absolute;left:2709545;top:1008380;height:294640;width:115697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N3PudoAAAAKAQAADwAAAAAAAAABACAAAAAiAAAAZHJzL2Rvd25yZXYueG1sUEsBAhQA&#10;FAAAAAgAh07iQGc7Zpi3AQAASQMAAA4AAAAAAAAAAQAgAAAAKQEAAGRycy9lMm9Eb2MueG1sUEsF&#10;BgAAAAAGAAYAWQEAAFI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ascii="Times New Roman" w:hAnsi="Times New Roman" w:cs="Times New Roman"/>
                            <w:sz w:val="21"/>
                            <w:szCs w:val="21"/>
                            <w:lang w:val="en-US" w:eastAsia="zh-CN"/>
                          </w:rPr>
                          <w:t>329.21</w:t>
                        </w:r>
                      </w:p>
                    </w:txbxContent>
                  </v:textbox>
                </v:rect>
                <v:line id="_x0000_s1026" o:spid="_x0000_s1026" o:spt="20" style="position:absolute;left:2466340;top:2679700;flip:y;height:247015;width:170815;" filled="f" stroked="t" coordsize="21600,21600" o:gfxdata="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JJrhNYAAAAKAQAADwAAAAAAAAABACAAAAAiAAAAZHJzL2Rvd25yZXYueG1s&#10;UEsBAhQAFAAAAAgAh07iQKBPzMb6AQAAuQMAAA4AAAAAAAAAAQAgAAAAJQEAAGRycy9lMm9Eb2Mu&#10;eG1sUEsFBgAAAAAGAAYAWQEAAJEFAAAAAA==&#10;">
                  <v:fill on="f" focussize="0,0"/>
                  <v:stroke color="#000000" joinstyle="round" dashstyle="longDash" endarrow="block"/>
                  <v:imagedata o:title=""/>
                  <o:lock v:ext="edit" aspectratio="f"/>
                </v:line>
                <v:rect id="_x0000_s1026" o:spid="_x0000_s1026" o:spt="1" style="position:absolute;left:2111375;top:2904490;height:320040;width:912495;" fillcolor="#FFFFFF" filled="t" stroked="t" coordsize="21600,21600" o:gfxdata="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NT92wAAAAoBAAAPAAAA&#10;AAAAAAEAIAAAACIAAABkcnMvZG93bnJldi54bWxQSwECFAAUAAAACACHTuJAiPbb2RICAAAzBAAA&#10;DgAAAAAAAAABACAAAAAqAQAAZHJzL2Uyb0RvYy54bWxQSwUGAAAAAAYABgBZAQAArg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_x0000_s1026" o:spid="_x0000_s1026" o:spt="20" style="position:absolute;left:2991485;top:583565;height:6985;width:474980;"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P7jLXbAAAACgEAAA8AAAAAAAAAAQAgAAAAIgAAAGRycy9kb3ducmV2LnhtbFBL&#10;AQIUABQAAAAIAIdO4kBsUrwJ8wEAAKsDAAAOAAAAAAAAAAEAIAAAACoBAABkcnMvZTJvRG9jLnht&#10;bFBLBQYAAAAABgAGAFkBAACPBQAAAAA=&#10;">
                  <v:fill on="f" focussize="0,0"/>
                  <v:stroke color="#000000" joinstyle="round" endarrow="block"/>
                  <v:imagedata o:title=""/>
                  <o:lock v:ext="edit" aspectratio="f"/>
                </v:line>
                <v:rect id="_x0000_s1026" o:spid="_x0000_s1026" o:spt="1" style="position:absolute;left:3453130;top:437515;height:287655;width:812800;" filled="f" stroked="t" coordsize="21600,21600" o:gfxdata="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hNOB2QAAAAoBAAAPAAAAAAAAAAEAIAAAACIAAABkcnMvZG93bnJldi54bWxQSwECFAAU&#10;AAAACACHTuJA+2YBavABAADAAwAADgAAAAAAAAABACAAAAAoAQAAZHJzL2Uyb0RvYy54bWxQSwUG&#10;AAAAAAYABgBZAQAAigU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_x0000_s1026" o:spid="_x0000_s1026" o:spt="20" style="position:absolute;left:3867785;top:735965;height:284480;width:635;" filled="f" stroked="t" coordsize="21600,21600" o:gfxdata="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IaTCdkAAAAKAQAADwAAAAAAAAABACAAAAAiAAAAZHJzL2Rvd25yZXYueG1sUEsBAhQAFAAAAAgA&#10;h07iQDKcWSPrAQAApgMAAA4AAAAAAAAAAQAgAAAAKAEAAGRycy9lMm9Eb2MueG1sUEsFBgAAAAAG&#10;AAYAWQEAAIUFAAAAAA==&#10;">
                  <v:fill on="f" focussize="0,0"/>
                  <v:stroke color="#000000" joinstyle="round"/>
                  <v:imagedata o:title=""/>
                  <o:lock v:ext="edit" aspectratio="f"/>
                </v:line>
                <v:line id="_x0000_s1026" o:spid="_x0000_s1026" o:spt="20" style="position:absolute;left:4323080;top:987425;height:2080895;width:15240;" filled="f" stroked="t" coordsize="21600,21600" o:gfxdata="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GkwnZAAAACgEAAA8AAAAAAAAAAQAgAAAAIgAAAGRycy9kb3ducmV2LnhtbFBLAQIUABQAAAAI&#10;AIdO4kDIORtR7AEAAKkDAAAOAAAAAAAAAAEAIAAAACgBAABkcnMvZTJvRG9jLnhtbFBLBQYAAAAA&#10;BgAGAFkBAACGBQAAAAA=&#10;">
                  <v:fill on="f" focussize="0,0"/>
                  <v:stroke color="#000000" joinstyle="round"/>
                  <v:imagedata o:title=""/>
                  <o:lock v:ext="edit" aspectratio="f"/>
                </v:line>
                <v:line id="_x0000_s1026" o:spid="_x0000_s1026" o:spt="20" style="position:absolute;left:3858260;top:1007110;height:635;width:464820;" filled="f" stroked="t" coordsize="21600,21600" o:gfxdata="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5j2krbAAAACgEAAA8AAAAAAAAAAQAgAAAAIgAAAGRycy9kb3ducmV2LnhtbFBLAQIUABQA&#10;AAAIAIdO4kCFy38q7QEAAKgDAAAOAAAAAAAAAAEAIAAAACoBAABkcnMvZTJvRG9jLnhtbFBLBQYA&#10;AAAABgAGAFkBAACJBQAAAAA=&#10;">
                  <v:fill on="f" focussize="0,0"/>
                  <v:stroke color="#000000" joinstyle="round" endarrow="open"/>
                  <v:imagedata o:title=""/>
                  <o:lock v:ext="edit" aspectratio="f"/>
                </v:line>
                <v:rect id="_x0000_s1026" o:spid="_x0000_s1026" o:spt="1" style="position:absolute;left:3806825;top:725170;height:277495;width:58420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N3PudoAAAAKAQAADwAAAAAAAAABACAAAAAiAAAAZHJzL2Rvd25yZXYueG1sUEsBAhQAFAAA&#10;AAgAh07iQMeY1bK0AQAARwMAAA4AAAAAAAAAAQAgAAAAKQ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38.02</w:t>
                        </w:r>
                      </w:p>
                    </w:txbxContent>
                  </v:textbox>
                </v:rect>
                <v:line id="_x0000_s1026" o:spid="_x0000_s1026" o:spt="20" style="position:absolute;left:4271645;top:591185;height:635;width:889635;"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P7jLXbAAAACgEAAA8AAAAAAAAAAQAgAAAAIgAAAGRycy9kb3ducmV2LnhtbFBLAQIU&#10;ABQAAAAIAIdO4kAAV3k48AEAAKoDAAAOAAAAAAAAAAEAIAAAACoBAABkcnMvZTJvRG9jLnhtbFBL&#10;BQYAAAAABgAGAFkBAACMBQAAAAA=&#10;">
                  <v:fill on="f" focussize="0,0"/>
                  <v:stroke color="#000000" joinstyle="round" endarrow="block"/>
                  <v:imagedata o:title=""/>
                  <o:lock v:ext="edit" aspectratio="f"/>
                </v:line>
                <v:rect id="_x0000_s1026" o:spid="_x0000_s1026" o:spt="1" style="position:absolute;left:4156710;top:302260;height:294005;width:1211580;" fillcolor="#FFFFFF" filled="t" stroked="f" coordsize="21600,21600" o:gfxdata="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3c+52gAAAAoBAAAPAAAAAAAAAAEAIAAAACIAAABkcnMvZG93bnJldi54bWxQSwECFAAU&#10;AAAACACHTuJAk6DJT7YBAABIAwAADgAAAAAAAAABACAAAAApAQAAZHJzL2Uyb0RvYy54bWxQSwUG&#10;AAAAAAYABgBZAQAAUQU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8.77</w:t>
                        </w:r>
                      </w:p>
                    </w:txbxContent>
                  </v:textbox>
                </v:rect>
                <v:rect id="_x0000_s1026" o:spid="_x0000_s1026" o:spt="1" style="position:absolute;left:5143500;top:476885;height:259080;width:739775;" filled="f" stroked="t" coordsize="21600,21600" o:gfxdata="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uE04HZAAAACgEAAA8AAAAAAAAAAQAgAAAAIgAAAGRycy9kb3ducmV2LnhtbFBLAQIU&#10;ABQAAAAIAIdO4kCKJZiY8gEAAMADAAAOAAAAAAAAAAEAIAAAACgBAABkcnMvZTJvRG9jLnhtbFBL&#10;BQYAAAAABgAGAFkBAACMBQ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_x0000_s1026" o:spid="_x0000_s1026" o:spt="20" style="position:absolute;left:4927600;top:1901825;flip:x;height:883920;width:14605;" filled="f" stroked="t" coordsize="21600,21600" o:gfxdata="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fM1+NoAAAAKAQAADwAAAAAAAAABACAAAAAiAAAAZHJzL2Rv&#10;d25yZXYueG1sUEsBAhQAFAAAAAgAh07iQP9zBj7/AQAAtwMAAA4AAAAAAAAAAQAgAAAAKQEAAGRy&#10;cy9lMm9Eb2MueG1sUEsFBgAAAAAGAAYAWQEAAJoFAAAAAA==&#10;">
                  <v:fill on="f" focussize="0,0"/>
                  <v:stroke color="#000000" joinstyle="round" endarrow="block"/>
                  <v:imagedata o:title=""/>
                  <o:lock v:ext="edit" aspectratio="f"/>
                </v:line>
                <v:line id="_x0000_s1026" o:spid="_x0000_s1026" o:spt="20" style="position:absolute;left:985520;top:4028440;height:635;width:538480;" filled="f" stroked="t" coordsize="21600,21600" o:gfxdata="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4y12wAAAAoBAAAPAAAAAAAAAAEAIAAAACIAAABkcnMvZG93bnJldi54bWxQSwECFAAU&#10;AAAACACHTuJA+Entku4BAACqAwAADgAAAAAAAAABACAAAAAqAQAAZHJzL2Uyb0RvYy54bWxQSwUG&#10;AAAAAAYABgBZAQAAigUAAAAA&#10;">
                  <v:fill on="f" focussize="0,0"/>
                  <v:stroke color="#000000" joinstyle="round" endarrow="block"/>
                  <v:imagedata o:title=""/>
                  <o:lock v:ext="edit" aspectratio="f"/>
                </v:line>
                <v:group id="_x0000_s1026" o:spid="_x0000_s1026" o:spt="203" style="position:absolute;left:1022350;top:3496945;height:673735;width:2182495;" coordorigin="1598,6049" coordsize="3437,1061" o:gfxdata="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xWb59tsAAAAKAQAADwAAAAAAAAABACAAAAAiAAAAZHJzL2Rvd25yZXYueG1sUEsBAhQAFAAA&#10;AAgAh07iQKE9MQ57AwAAowoAAA4AAAAAAAAAAQAgAAAAKgEAAGRycy9lMm9Eb2MueG1sUEsFBgAA&#10;AAAGAAYAWQEAABcHAAAAAA==&#10;">
                  <o:lock v:ext="edit" aspectratio="f"/>
                  <v:rect id="_x0000_s1026" o:spid="_x0000_s1026" o:spt="1" style="position:absolute;left:2388;top:6630;height:480;width:1660;" fillcolor="#FFFFFF" filled="t" stroked="t" coordsize="21600,21600" o:gfxdata="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tx&#10;wAAAANwAAAAPAAAAAAAAAAEAIAAAACIAAABkcnMvZG93bnJldi54bWxQSwECFAAUAAAACACHTuJA&#10;My8FnjsAAAA5AAAAEAAAAAAAAAABACAAAAAPAQAAZHJzL3NoYXBleG1sLnhtbFBLBQYAAAAABgAG&#10;AFsBAAC5Aw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v:textbox>
                  </v:rect>
                  <v:shape id="_x0000_s1026" o:spid="_x0000_s1026" o:spt="202" type="#_x0000_t202" style="position:absolute;left:2215;top:6049;height:460;width:2820;" filled="f" stroked="f" coordsize="21600,21600" o:gfxdata="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B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ascii="Times New Roman" w:hAnsi="Times New Roman" w:cs="Times New Roman"/>
                              <w:sz w:val="21"/>
                              <w:szCs w:val="21"/>
                              <w:lang w:val="en-US" w:eastAsia="zh-CN"/>
                            </w:rPr>
                            <w:t>35.24</w:t>
                          </w:r>
                        </w:p>
                      </w:txbxContent>
                    </v:textbox>
                  </v:shape>
                  <v:line id="_x0000_s1026" o:spid="_x0000_s1026" o:spt="20" style="position:absolute;left:2952;top:6356;flip:y;height:274;width:244;" filled="f" stroked="t" coordsize="21600,21600" o:gfxdata="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6j2rsAAADc&#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rect id="_x0000_s1026" o:spid="_x0000_s1026" o:spt="1" style="position:absolute;left:1598;top:6412;height:376;width:980;" fillcolor="#FFFFFF" filled="t" stroked="f" coordsize="21600,21600" o:gfxdata="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zd+C/&#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widowControl w:val="0"/>
                            <w:spacing w:line="200" w:lineRule="exact"/>
                            <w:ind w:firstLine="0" w:firstLineChars="0"/>
                            <w:rPr>
                              <w:rFonts w:ascii="Times New Roman" w:hAnsi="Times New Roman" w:cs="Times New Roman"/>
                              <w:sz w:val="21"/>
                              <w:szCs w:val="21"/>
                            </w:rPr>
                          </w:pPr>
                          <w:r>
                            <w:rPr>
                              <w:rFonts w:hint="eastAsia" w:ascii="Times New Roman" w:hAnsi="Times New Roman" w:cs="Times New Roman"/>
                              <w:sz w:val="21"/>
                              <w:szCs w:val="21"/>
                              <w:lang w:val="en-US" w:eastAsia="zh-CN"/>
                            </w:rPr>
                            <w:t>35</w:t>
                          </w:r>
                          <w:r>
                            <w:rPr>
                              <w:rFonts w:hint="eastAsia" w:ascii="Times New Roman" w:hAnsi="Times New Roman" w:cs="Times New Roman"/>
                              <w:sz w:val="21"/>
                              <w:szCs w:val="21"/>
                            </w:rPr>
                            <w:t>.2</w:t>
                          </w:r>
                          <w:r>
                            <w:rPr>
                              <w:rFonts w:ascii="Times New Roman" w:hAnsi="Times New Roman" w:cs="Times New Roman"/>
                              <w:sz w:val="21"/>
                              <w:szCs w:val="21"/>
                            </w:rPr>
                            <w:t>4</w:t>
                          </w:r>
                        </w:p>
                      </w:txbxContent>
                    </v:textbox>
                  </v:rect>
                </v:group>
              </v:group>
            </w:pict>
          </mc:Fallback>
        </mc:AlternateContent>
      </w: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p>
    <w:p>
      <w:pPr>
        <w:pStyle w:val="10"/>
        <w:rPr>
          <w:highlight w:val="none"/>
        </w:rPr>
      </w:pPr>
      <w:r>
        <w:rPr>
          <w:highlight w:val="none"/>
        </w:rPr>
        <mc:AlternateContent>
          <mc:Choice Requires="wpg">
            <w:drawing>
              <wp:anchor distT="0" distB="0" distL="114300" distR="114300" simplePos="0" relativeHeight="254104576" behindDoc="0" locked="0" layoutInCell="1" allowOverlap="1">
                <wp:simplePos x="0" y="0"/>
                <wp:positionH relativeFrom="column">
                  <wp:posOffset>797560</wp:posOffset>
                </wp:positionH>
                <wp:positionV relativeFrom="paragraph">
                  <wp:posOffset>247650</wp:posOffset>
                </wp:positionV>
                <wp:extent cx="2714625" cy="944880"/>
                <wp:effectExtent l="0" t="0" r="9525" b="0"/>
                <wp:wrapNone/>
                <wp:docPr id="43" name="组合 43"/>
                <wp:cNvGraphicFramePr/>
                <a:graphic xmlns:a="http://schemas.openxmlformats.org/drawingml/2006/main">
                  <a:graphicData uri="http://schemas.microsoft.com/office/word/2010/wordprocessingGroup">
                    <wpg:wgp>
                      <wpg:cNvGrpSpPr/>
                      <wpg:grpSpPr>
                        <a:xfrm>
                          <a:off x="971550" y="3644900"/>
                          <a:ext cx="2714625" cy="944880"/>
                          <a:chOff x="1530" y="5740"/>
                          <a:chExt cx="4275" cy="1488"/>
                        </a:xfrm>
                      </wpg:grpSpPr>
                      <wps:wsp>
                        <wps:cNvPr id="44" name="矩形 250"/>
                        <wps:cNvSpPr/>
                        <wps:spPr>
                          <a:xfrm>
                            <a:off x="2569" y="5829"/>
                            <a:ext cx="1437" cy="504"/>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锅炉</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45" name="直接连接符 216"/>
                        <wps:cNvCnPr/>
                        <wps:spPr>
                          <a:xfrm flipV="1">
                            <a:off x="1530" y="6110"/>
                            <a:ext cx="1055" cy="11"/>
                          </a:xfrm>
                          <a:prstGeom prst="line">
                            <a:avLst/>
                          </a:prstGeom>
                          <a:ln w="9525" cap="flat" cmpd="sng">
                            <a:solidFill>
                              <a:srgbClr val="000000"/>
                            </a:solidFill>
                            <a:prstDash val="solid"/>
                            <a:headEnd type="none" w="med" len="med"/>
                            <a:tailEnd type="triangle" w="med" len="med"/>
                          </a:ln>
                        </wps:spPr>
                        <wps:bodyPr upright="1"/>
                      </wps:wsp>
                      <wps:wsp>
                        <wps:cNvPr id="46" name="直接连接符 216"/>
                        <wps:cNvCnPr/>
                        <wps:spPr>
                          <a:xfrm flipV="1">
                            <a:off x="4021" y="6110"/>
                            <a:ext cx="1055" cy="11"/>
                          </a:xfrm>
                          <a:prstGeom prst="line">
                            <a:avLst/>
                          </a:prstGeom>
                          <a:ln w="9525" cap="flat" cmpd="sng">
                            <a:solidFill>
                              <a:srgbClr val="000000"/>
                            </a:solidFill>
                            <a:prstDash val="solid"/>
                            <a:headEnd type="none" w="med" len="med"/>
                            <a:tailEnd type="triangle" w="med" len="med"/>
                          </a:ln>
                        </wps:spPr>
                        <wps:bodyPr upright="1"/>
                      </wps:wsp>
                      <wps:wsp>
                        <wps:cNvPr id="47" name="矩形 250"/>
                        <wps:cNvSpPr/>
                        <wps:spPr>
                          <a:xfrm>
                            <a:off x="5083" y="5845"/>
                            <a:ext cx="722" cy="504"/>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b/>
                                  <w:sz w:val="21"/>
                                  <w:szCs w:val="21"/>
                                </w:rPr>
                              </w:pPr>
                              <w:r>
                                <w:rPr>
                                  <w:rFonts w:hint="eastAsia" w:ascii="Calibri" w:hAnsi="Calibri" w:cs="Times New Roman"/>
                                  <w:sz w:val="21"/>
                                  <w:szCs w:val="21"/>
                                  <w:lang w:eastAsia="zh-CN"/>
                                </w:rPr>
                                <w:t>饲料</w:t>
                              </w:r>
                            </w:p>
                          </w:txbxContent>
                        </wps:txbx>
                        <wps:bodyPr lIns="0" tIns="45720" rIns="0" bIns="45720" upright="1"/>
                      </wps:wsp>
                      <wps:wsp>
                        <wps:cNvPr id="48" name="直接连接符 233"/>
                        <wps:cNvCnPr/>
                        <wps:spPr>
                          <a:xfrm>
                            <a:off x="3260" y="6351"/>
                            <a:ext cx="0" cy="377"/>
                          </a:xfrm>
                          <a:prstGeom prst="line">
                            <a:avLst/>
                          </a:prstGeom>
                          <a:ln w="9525" cap="flat" cmpd="sng">
                            <a:solidFill>
                              <a:srgbClr val="000000"/>
                            </a:solidFill>
                            <a:prstDash val="lgDash"/>
                            <a:headEnd type="none" w="med" len="med"/>
                            <a:tailEnd type="triangle" w="med" len="med"/>
                          </a:ln>
                        </wps:spPr>
                        <wps:bodyPr upright="1"/>
                      </wps:wsp>
                      <wps:wsp>
                        <wps:cNvPr id="49" name="文本框 234"/>
                        <wps:cNvSpPr txBox="1"/>
                        <wps:spPr>
                          <a:xfrm>
                            <a:off x="2614" y="6752"/>
                            <a:ext cx="1979" cy="476"/>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lang w:eastAsia="zh-CN"/>
                                </w:rPr>
                                <w:t>洒水降尘</w:t>
                              </w:r>
                              <w:r>
                                <w:rPr>
                                  <w:rFonts w:hint="eastAsia" w:cs="Times New Roman"/>
                                  <w:sz w:val="21"/>
                                  <w:szCs w:val="21"/>
                                  <w:lang w:val="en-US" w:eastAsia="zh-CN"/>
                                </w:rPr>
                                <w:t>2.7</w:t>
                              </w:r>
                            </w:p>
                          </w:txbxContent>
                        </wps:txbx>
                        <wps:bodyPr wrap="square" upright="1">
                          <a:spAutoFit/>
                        </wps:bodyPr>
                      </wps:wsp>
                      <wps:wsp>
                        <wps:cNvPr id="50" name="矩形 224"/>
                        <wps:cNvSpPr/>
                        <wps:spPr>
                          <a:xfrm>
                            <a:off x="1714" y="5740"/>
                            <a:ext cx="773" cy="31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wps:txbx>
                        <wps:bodyPr upright="1"/>
                      </wps:wsp>
                      <wps:wsp>
                        <wps:cNvPr id="51" name="矩形 224"/>
                        <wps:cNvSpPr/>
                        <wps:spPr>
                          <a:xfrm>
                            <a:off x="4080" y="5798"/>
                            <a:ext cx="773" cy="31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w:t>
                              </w:r>
                            </w:p>
                          </w:txbxContent>
                        </wps:txbx>
                        <wps:bodyPr upright="1"/>
                      </wps:wsp>
                    </wpg:wgp>
                  </a:graphicData>
                </a:graphic>
              </wp:anchor>
            </w:drawing>
          </mc:Choice>
          <mc:Fallback>
            <w:pict>
              <v:group id="_x0000_s1026" o:spid="_x0000_s1026" o:spt="203" style="position:absolute;left:0pt;margin-left:62.8pt;margin-top:19.5pt;height:74.4pt;width:213.75pt;z-index:254104576;mso-width-relative:page;mso-height-relative:page;" coordorigin="1530,5740" coordsize="4275,1488" o:gfxdata="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AaWU4rZAAAACgEAAA8AAAAAAAAAAQAgAAAAIgAAAGRycy9kb3ducmV2Lnht&#10;bFBLAQIUABQAAAAIAIdO4kBklYbEMgQAADETAAAOAAAAAAAAAAEAIAAAACgBAABkcnMvZTJvRG9j&#10;LnhtbFBLBQYAAAAABgAGAFkBAADMBwAAAAA=&#10;">
                <o:lock v:ext="edit" aspectratio="f"/>
                <v:rect id="矩形 250" o:spid="_x0000_s1026" o:spt="1" style="position:absolute;left:2569;top:5829;height:504;width:1437;" fillcolor="#FFFFFF" filled="t" stroked="t" coordsize="21600,21600" o:gfxdata="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9ODvQAA&#10;ANs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锅炉</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16" o:spid="_x0000_s1026" o:spt="20" style="position:absolute;left:1530;top:6110;flip:y;height:11;width:1055;" filled="f" stroked="t" coordsize="21600,21600" o:gfxdata="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ZW8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16" o:spid="_x0000_s1026" o:spt="20" style="position:absolute;left:4021;top:6110;flip:y;height:11;width:1055;" filled="f" stroked="t" coordsize="21600,21600" o:gfxdata="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TIh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50" o:spid="_x0000_s1026" o:spt="1" style="position:absolute;left:5083;top:5845;height:504;width:722;" fillcolor="#FFFFFF" filled="t" stroked="t" coordsize="21600,21600" o:gfxdata="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VN9L4A&#10;AADbAAAADwAAAAAAAAABACAAAAAiAAAAZHJzL2Rvd25yZXYueG1sUEsBAhQAFAAAAAgAh07iQDMv&#10;BZ47AAAAOQAAABAAAAAAAAAAAQAgAAAADQEAAGRycy9zaGFwZXhtbC54bWxQSwUGAAAAAAYABgBb&#10;AQAAtwM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b/>
                            <w:sz w:val="21"/>
                            <w:szCs w:val="21"/>
                          </w:rPr>
                        </w:pPr>
                        <w:r>
                          <w:rPr>
                            <w:rFonts w:hint="eastAsia" w:ascii="Calibri" w:hAnsi="Calibri" w:cs="Times New Roman"/>
                            <w:sz w:val="21"/>
                            <w:szCs w:val="21"/>
                            <w:lang w:eastAsia="zh-CN"/>
                          </w:rPr>
                          <w:t>饲料</w:t>
                        </w:r>
                      </w:p>
                    </w:txbxContent>
                  </v:textbox>
                </v:rect>
                <v:line id="直接连接符 233" o:spid="_x0000_s1026" o:spt="20" style="position:absolute;left:3260;top:6351;height:377;width:0;" filled="f" stroked="t" coordsize="21600,21600" o:gfxdata="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9h2+5AAAA2wAA&#10;AA8AAAAAAAAAAQAgAAAAIgAAAGRycy9kb3ducmV2LnhtbFBLAQIUABQAAAAIAIdO4kAzLwWeOwAA&#10;ADkAAAAQAAAAAAAAAAEAIAAAAAgBAABkcnMvc2hhcGV4bWwueG1sUEsFBgAAAAAGAAYAWwEAALID&#10;AAAAAA==&#10;">
                  <v:fill on="f" focussize="0,0"/>
                  <v:stroke color="#000000" joinstyle="round" dashstyle="longDash" endarrow="block"/>
                  <v:imagedata o:title=""/>
                  <o:lock v:ext="edit" aspectratio="f"/>
                </v:line>
                <v:shape id="文本框 234" o:spid="_x0000_s1026" o:spt="202" type="#_x0000_t202" style="position:absolute;left:2614;top:6752;height:476;width:1979;" filled="f" stroked="f" coordsize="21600,21600" o:gfxdata="UEsDBAoAAAAAAIdO4kAAAAAAAAAAAAAAAAAEAAAAZHJzL1BLAwQUAAAACACHTuJAVzmyt7wAAADb&#10;AAAADwAAAGRycy9kb3ducmV2LnhtbEWPQUvDQBSE74L/YXlCb3Y3Y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sre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lang w:eastAsia="zh-CN"/>
                          </w:rPr>
                          <w:t>洒水降尘</w:t>
                        </w:r>
                        <w:r>
                          <w:rPr>
                            <w:rFonts w:hint="eastAsia" w:cs="Times New Roman"/>
                            <w:sz w:val="21"/>
                            <w:szCs w:val="21"/>
                            <w:lang w:val="en-US" w:eastAsia="zh-CN"/>
                          </w:rPr>
                          <w:t>2.7</w:t>
                        </w:r>
                      </w:p>
                    </w:txbxContent>
                  </v:textbox>
                </v:shape>
                <v:rect id="矩形 224" o:spid="_x0000_s1026" o:spt="1" style="position:absolute;left:1714;top:5740;height:313;width:773;" fillcolor="#FFFFFF" filled="t" stroked="f" coordsize="21600,21600" o:gfxdata="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px25AAAA2wAA&#10;AA8AAAAAAAAAAQAgAAAAIgAAAGRycy9kb3ducmV2LnhtbFBLAQIUABQAAAAIAIdO4kAzLwWeOwAA&#10;ADkAAAAQAAAAAAAAAAEAIAAAAAgBAABkcnMvc2hhcGV4bWwueG1sUEsFBgAAAAAGAAYAWwEAALID&#10;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xbxContent>
                  </v:textbox>
                </v:rect>
                <v:rect id="矩形 224" o:spid="_x0000_s1026" o:spt="1" style="position:absolute;left:4080;top:5798;height:313;width:773;" fillcolor="#FFFFFF" filled="t" stroked="f" coordsize="21600,21600" o:gfxdata="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1gKG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w:t>
                        </w:r>
                      </w:p>
                    </w:txbxContent>
                  </v:textbox>
                </v:rect>
              </v:group>
            </w:pict>
          </mc:Fallback>
        </mc:AlternateContent>
      </w:r>
    </w:p>
    <w:p>
      <w:pPr>
        <w:pStyle w:val="10"/>
        <w:ind w:left="0" w:leftChars="0" w:firstLine="0" w:firstLineChars="0"/>
        <w:jc w:val="center"/>
        <w:rPr>
          <w:rStyle w:val="43"/>
          <w:rFonts w:hint="eastAsia" w:ascii="Times New Roman" w:hAnsi="Times New Roman"/>
          <w:szCs w:val="22"/>
          <w:highlight w:val="none"/>
          <w:lang w:val="en-US" w:eastAsia="zh-CN"/>
        </w:rPr>
      </w:pPr>
    </w:p>
    <w:p>
      <w:pPr>
        <w:pStyle w:val="10"/>
        <w:ind w:left="0" w:leftChars="0" w:firstLine="0" w:firstLineChars="0"/>
        <w:jc w:val="center"/>
        <w:rPr>
          <w:rStyle w:val="43"/>
          <w:rFonts w:hint="eastAsia" w:ascii="Times New Roman" w:hAnsi="Times New Roman"/>
          <w:szCs w:val="22"/>
          <w:highlight w:val="none"/>
          <w:lang w:val="en-US" w:eastAsia="zh-CN"/>
        </w:rPr>
      </w:pPr>
    </w:p>
    <w:p>
      <w:pPr>
        <w:pStyle w:val="10"/>
        <w:ind w:left="0" w:leftChars="0" w:firstLine="0" w:firstLineChars="0"/>
        <w:jc w:val="both"/>
        <w:rPr>
          <w:rStyle w:val="43"/>
          <w:rFonts w:hint="eastAsia" w:ascii="Times New Roman" w:hAnsi="Times New Roman"/>
          <w:szCs w:val="22"/>
          <w:highlight w:val="none"/>
          <w:lang w:val="en-US" w:eastAsia="zh-CN"/>
        </w:rPr>
      </w:pPr>
    </w:p>
    <w:p>
      <w:pPr>
        <w:pStyle w:val="10"/>
        <w:ind w:left="0" w:leftChars="0" w:firstLine="0" w:firstLineChars="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w:t>
      </w:r>
      <w:r>
        <w:rPr>
          <w:rStyle w:val="43"/>
          <w:rFonts w:hint="eastAsia"/>
          <w:szCs w:val="22"/>
          <w:highlight w:val="none"/>
          <w:lang w:val="en-US" w:eastAsia="zh-CN"/>
        </w:rPr>
        <w:t>2.11</w:t>
      </w:r>
      <w:r>
        <w:rPr>
          <w:rStyle w:val="43"/>
          <w:rFonts w:hint="eastAsia" w:ascii="Times New Roman" w:hAnsi="Times New Roman"/>
          <w:szCs w:val="22"/>
          <w:highlight w:val="none"/>
          <w:lang w:val="en-US" w:eastAsia="zh-CN"/>
        </w:rPr>
        <w:t>-</w:t>
      </w:r>
      <w:r>
        <w:rPr>
          <w:rStyle w:val="43"/>
          <w:rFonts w:hint="eastAsia"/>
          <w:szCs w:val="22"/>
          <w:highlight w:val="none"/>
          <w:lang w:val="en-US" w:eastAsia="zh-CN"/>
        </w:rPr>
        <w:t>2</w:t>
      </w:r>
      <w:r>
        <w:rPr>
          <w:rStyle w:val="43"/>
          <w:rFonts w:hint="eastAsia" w:ascii="Times New Roman" w:hAnsi="Times New Roman"/>
          <w:szCs w:val="22"/>
          <w:highlight w:val="none"/>
          <w:lang w:val="en-US" w:eastAsia="zh-CN"/>
        </w:rPr>
        <w:t xml:space="preserve">  项目</w:t>
      </w:r>
      <w:r>
        <w:rPr>
          <w:rStyle w:val="43"/>
          <w:rFonts w:hint="eastAsia"/>
          <w:szCs w:val="22"/>
          <w:highlight w:val="none"/>
          <w:lang w:val="en-US" w:eastAsia="zh-CN"/>
        </w:rPr>
        <w:t>夏</w:t>
      </w:r>
      <w:r>
        <w:rPr>
          <w:rStyle w:val="43"/>
          <w:rFonts w:hint="eastAsia" w:ascii="Times New Roman" w:hAnsi="Times New Roman"/>
          <w:szCs w:val="22"/>
          <w:highlight w:val="none"/>
          <w:lang w:val="en-US" w:eastAsia="zh-CN"/>
        </w:rPr>
        <w:t>季水平衡图（</w:t>
      </w:r>
      <w:r>
        <w:rPr>
          <w:rStyle w:val="43"/>
          <w:rFonts w:hint="eastAsia"/>
          <w:szCs w:val="22"/>
          <w:highlight w:val="none"/>
          <w:lang w:val="en-US" w:eastAsia="zh-CN"/>
        </w:rPr>
        <w:t>122</w:t>
      </w:r>
      <w:r>
        <w:rPr>
          <w:rStyle w:val="43"/>
          <w:rFonts w:hint="eastAsia" w:ascii="Times New Roman" w:hAnsi="Times New Roman"/>
          <w:szCs w:val="22"/>
          <w:highlight w:val="none"/>
          <w:lang w:val="en-US" w:eastAsia="zh-CN"/>
        </w:rPr>
        <w:t>天，单位：m</w:t>
      </w:r>
      <w:r>
        <w:rPr>
          <w:rStyle w:val="43"/>
          <w:rFonts w:hint="eastAsia" w:ascii="Times New Roman" w:hAnsi="Times New Roman"/>
          <w:szCs w:val="22"/>
          <w:highlight w:val="none"/>
          <w:vertAlign w:val="superscript"/>
          <w:lang w:val="en-US" w:eastAsia="zh-CN"/>
        </w:rPr>
        <w:t>3</w:t>
      </w:r>
      <w:r>
        <w:rPr>
          <w:rStyle w:val="43"/>
          <w:rFonts w:hint="eastAsia" w:ascii="Times New Roman" w:hAnsi="Times New Roman"/>
          <w:szCs w:val="22"/>
          <w:highlight w:val="none"/>
          <w:lang w:val="en-US" w:eastAsia="zh-CN"/>
        </w:rPr>
        <w:t>/d）</w:t>
      </w:r>
    </w:p>
    <w:p>
      <w:pPr>
        <w:pStyle w:val="10"/>
        <w:rPr>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7"/>
        <w:spacing w:before="66"/>
        <w:ind w:firstLine="0" w:firstLineChars="0"/>
        <w:rPr>
          <w:rFonts w:hint="eastAsia" w:cs="Times New Roman"/>
          <w:highlight w:val="none"/>
          <w:lang w:val="en-US" w:eastAsia="zh-CN"/>
        </w:rPr>
      </w:pPr>
      <w:r>
        <w:rPr>
          <w:rFonts w:hint="eastAsia" w:cs="Times New Roman"/>
          <w:highlight w:val="none"/>
          <w:lang w:val="en-US" w:eastAsia="zh-CN"/>
        </w:rPr>
        <w:t>2.11.2物料平衡</w:t>
      </w:r>
    </w:p>
    <w:p>
      <w:pPr>
        <w:pStyle w:val="40"/>
        <w:rPr>
          <w:rFonts w:cs="Times New Roman"/>
          <w:highlight w:val="none"/>
        </w:rPr>
      </w:pPr>
      <w:r>
        <w:rPr>
          <w:rFonts w:ascii="Times New Roman" w:hAnsi="Times New Roman" w:eastAsia="宋体" w:cs="Times New Roman"/>
          <w:kern w:val="2"/>
          <w:sz w:val="28"/>
          <w:szCs w:val="22"/>
          <w:highlight w:val="none"/>
          <w:lang w:val="en-US" w:eastAsia="zh-CN" w:bidi="ar-SA"/>
        </w:rPr>
        <mc:AlternateContent>
          <mc:Choice Requires="wpc">
            <w:drawing>
              <wp:anchor distT="0" distB="0" distL="114300" distR="114300" simplePos="0" relativeHeight="253930496" behindDoc="0" locked="0" layoutInCell="1" allowOverlap="1">
                <wp:simplePos x="0" y="0"/>
                <wp:positionH relativeFrom="column">
                  <wp:posOffset>88265</wp:posOffset>
                </wp:positionH>
                <wp:positionV relativeFrom="paragraph">
                  <wp:posOffset>12700</wp:posOffset>
                </wp:positionV>
                <wp:extent cx="5450840" cy="5916930"/>
                <wp:effectExtent l="0" t="0" r="0" b="0"/>
                <wp:wrapNone/>
                <wp:docPr id="606" name="画布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矩形 530"/>
                        <wps:cNvSpPr/>
                        <wps:spPr>
                          <a:xfrm>
                            <a:off x="131401" y="1734109"/>
                            <a:ext cx="467403" cy="2718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wps:txbx>
                        <wps:bodyPr upright="1"/>
                      </wps:wsp>
                      <wps:wsp>
                        <wps:cNvPr id="101" name="矩形 531"/>
                        <wps:cNvSpPr/>
                        <wps:spPr>
                          <a:xfrm>
                            <a:off x="1081408" y="475602"/>
                            <a:ext cx="688905" cy="249501"/>
                          </a:xfrm>
                          <a:prstGeom prst="rect">
                            <a:avLst/>
                          </a:prstGeom>
                          <a:solidFill>
                            <a:srgbClr val="FFFFFF">
                              <a:alpha val="0"/>
                            </a:srgbClr>
                          </a:solidFill>
                          <a:ln>
                            <a:noFill/>
                          </a:ln>
                        </wps:spPr>
                        <wps:txb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12.36</w:t>
                              </w:r>
                            </w:p>
                          </w:txbxContent>
                        </wps:txbx>
                        <wps:bodyPr upright="1"/>
                      </wps:wsp>
                      <wps:wsp>
                        <wps:cNvPr id="102" name="直接连接符 532"/>
                        <wps:cNvCnPr/>
                        <wps:spPr>
                          <a:xfrm>
                            <a:off x="608304" y="1875110"/>
                            <a:ext cx="563904" cy="600"/>
                          </a:xfrm>
                          <a:prstGeom prst="line">
                            <a:avLst/>
                          </a:prstGeom>
                          <a:ln w="9525" cap="flat" cmpd="sng">
                            <a:solidFill>
                              <a:srgbClr val="000000"/>
                            </a:solidFill>
                            <a:prstDash val="solid"/>
                            <a:headEnd type="none" w="med" len="med"/>
                            <a:tailEnd type="triangle" w="med" len="med"/>
                          </a:ln>
                        </wps:spPr>
                        <wps:bodyPr upright="1"/>
                      </wps:wsp>
                      <wps:wsp>
                        <wps:cNvPr id="103" name="直接连接符 533"/>
                        <wps:cNvCnPr/>
                        <wps:spPr>
                          <a:xfrm>
                            <a:off x="1158208" y="673103"/>
                            <a:ext cx="619105" cy="600"/>
                          </a:xfrm>
                          <a:prstGeom prst="line">
                            <a:avLst/>
                          </a:prstGeom>
                          <a:ln w="9525" cap="flat" cmpd="sng">
                            <a:solidFill>
                              <a:srgbClr val="000000"/>
                            </a:solidFill>
                            <a:prstDash val="solid"/>
                            <a:headEnd type="none" w="med" len="med"/>
                            <a:tailEnd type="triangle" w="med" len="med"/>
                          </a:ln>
                        </wps:spPr>
                        <wps:bodyPr upright="1"/>
                      </wps:wsp>
                      <wps:wsp>
                        <wps:cNvPr id="104" name="直接连接符 534"/>
                        <wps:cNvCnPr/>
                        <wps:spPr>
                          <a:xfrm>
                            <a:off x="1158809" y="669203"/>
                            <a:ext cx="5100" cy="2628913"/>
                          </a:xfrm>
                          <a:prstGeom prst="line">
                            <a:avLst/>
                          </a:prstGeom>
                          <a:ln w="9525" cap="flat" cmpd="sng">
                            <a:solidFill>
                              <a:srgbClr val="000000"/>
                            </a:solidFill>
                            <a:prstDash val="solid"/>
                            <a:headEnd type="none" w="med" len="med"/>
                            <a:tailEnd type="none" w="med" len="med"/>
                          </a:ln>
                        </wps:spPr>
                        <wps:bodyPr upright="1"/>
                      </wps:wsp>
                      <wps:wsp>
                        <wps:cNvPr id="105" name="直接连接符 535"/>
                        <wps:cNvCnPr/>
                        <wps:spPr>
                          <a:xfrm>
                            <a:off x="1143608" y="1302307"/>
                            <a:ext cx="606404" cy="1300"/>
                          </a:xfrm>
                          <a:prstGeom prst="line">
                            <a:avLst/>
                          </a:prstGeom>
                          <a:ln w="9525" cap="flat" cmpd="sng">
                            <a:solidFill>
                              <a:srgbClr val="000000"/>
                            </a:solidFill>
                            <a:prstDash val="solid"/>
                            <a:headEnd type="none" w="med" len="med"/>
                            <a:tailEnd type="triangle" w="med" len="med"/>
                          </a:ln>
                        </wps:spPr>
                        <wps:bodyPr upright="1"/>
                      </wps:wsp>
                      <wps:wsp>
                        <wps:cNvPr id="106" name="矩形 536"/>
                        <wps:cNvSpPr/>
                        <wps:spPr>
                          <a:xfrm>
                            <a:off x="1744913" y="1193806"/>
                            <a:ext cx="882706" cy="2667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哺乳猪</w:t>
                              </w:r>
                            </w:p>
                          </w:txbxContent>
                        </wps:txbx>
                        <wps:bodyPr lIns="0" tIns="45720" rIns="0" bIns="45720" upright="1"/>
                      </wps:wsp>
                      <wps:wsp>
                        <wps:cNvPr id="107" name="矩形 537"/>
                        <wps:cNvSpPr/>
                        <wps:spPr>
                          <a:xfrm>
                            <a:off x="1763313" y="509203"/>
                            <a:ext cx="797006" cy="2883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怀孕猪</w:t>
                              </w:r>
                            </w:p>
                          </w:txbxContent>
                        </wps:txbx>
                        <wps:bodyPr lIns="0" tIns="50400" rIns="0" bIns="46800" upright="1"/>
                      </wps:wsp>
                      <wps:wsp>
                        <wps:cNvPr id="108" name="直接连接符 538"/>
                        <wps:cNvCnPr/>
                        <wps:spPr>
                          <a:xfrm>
                            <a:off x="2567319" y="669203"/>
                            <a:ext cx="691505" cy="700"/>
                          </a:xfrm>
                          <a:prstGeom prst="line">
                            <a:avLst/>
                          </a:prstGeom>
                          <a:ln w="9525" cap="flat" cmpd="sng">
                            <a:solidFill>
                              <a:srgbClr val="000000"/>
                            </a:solidFill>
                            <a:prstDash val="solid"/>
                            <a:headEnd type="none" w="med" len="med"/>
                            <a:tailEnd type="triangle" w="med" len="med"/>
                          </a:ln>
                        </wps:spPr>
                        <wps:bodyPr upright="1"/>
                      </wps:wsp>
                      <wps:wsp>
                        <wps:cNvPr id="109" name="矩形 539"/>
                        <wps:cNvSpPr/>
                        <wps:spPr>
                          <a:xfrm>
                            <a:off x="624205" y="1659208"/>
                            <a:ext cx="652105" cy="196801"/>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116.57</w:t>
                              </w:r>
                            </w:p>
                          </w:txbxContent>
                        </wps:txbx>
                        <wps:bodyPr upright="1"/>
                      </wps:wsp>
                      <wps:wsp>
                        <wps:cNvPr id="110" name="矩形 540"/>
                        <wps:cNvSpPr/>
                        <wps:spPr>
                          <a:xfrm>
                            <a:off x="1116308" y="1106806"/>
                            <a:ext cx="727705" cy="198701"/>
                          </a:xfrm>
                          <a:prstGeom prst="rect">
                            <a:avLst/>
                          </a:prstGeom>
                          <a:solidFill>
                            <a:srgbClr val="FFFFFF">
                              <a:alpha val="0"/>
                            </a:srgbClr>
                          </a:solidFill>
                          <a:ln>
                            <a:noFill/>
                          </a:ln>
                        </wps:spPr>
                        <wps:txbx>
                          <w:txbxContent>
                            <w:p>
                              <w:pPr>
                                <w:widowControl w:val="0"/>
                                <w:spacing w:line="200" w:lineRule="exact"/>
                                <w:ind w:firstLine="0" w:firstLineChars="0"/>
                                <w:jc w:val="center"/>
                                <w:rPr>
                                  <w:rFonts w:ascii="Times New Roman" w:hAnsi="Times New Roman" w:cs="Times New Roman"/>
                                  <w:sz w:val="21"/>
                                  <w:szCs w:val="21"/>
                                </w:rPr>
                              </w:pPr>
                              <w:r>
                                <w:rPr>
                                  <w:rFonts w:hint="eastAsia" w:cs="Times New Roman"/>
                                  <w:sz w:val="21"/>
                                  <w:szCs w:val="21"/>
                                  <w:lang w:val="en-US" w:eastAsia="zh-CN"/>
                                </w:rPr>
                                <w:t>5</w:t>
                              </w:r>
                              <w:r>
                                <w:rPr>
                                  <w:rFonts w:hint="eastAsia" w:ascii="Times New Roman" w:hAnsi="Times New Roman" w:cs="Times New Roman"/>
                                  <w:sz w:val="21"/>
                                  <w:szCs w:val="21"/>
                                </w:rPr>
                                <w:t>.81</w:t>
                              </w:r>
                            </w:p>
                          </w:txbxContent>
                        </wps:txbx>
                        <wps:bodyPr upright="1"/>
                      </wps:wsp>
                      <wps:wsp>
                        <wps:cNvPr id="111" name="直接连接符 541"/>
                        <wps:cNvCnPr/>
                        <wps:spPr>
                          <a:xfrm flipV="1">
                            <a:off x="2212916" y="311102"/>
                            <a:ext cx="217802" cy="219101"/>
                          </a:xfrm>
                          <a:prstGeom prst="line">
                            <a:avLst/>
                          </a:prstGeom>
                          <a:ln w="9525" cap="flat" cmpd="sng">
                            <a:solidFill>
                              <a:srgbClr val="000000"/>
                            </a:solidFill>
                            <a:prstDash val="lgDash"/>
                            <a:headEnd type="none" w="med" len="med"/>
                            <a:tailEnd type="triangle" w="med" len="med"/>
                          </a:ln>
                        </wps:spPr>
                        <wps:bodyPr upright="1"/>
                      </wps:wsp>
                      <wps:wsp>
                        <wps:cNvPr id="112" name="矩形 542"/>
                        <wps:cNvSpPr/>
                        <wps:spPr>
                          <a:xfrm>
                            <a:off x="1836413" y="77400"/>
                            <a:ext cx="1355710" cy="260401"/>
                          </a:xfrm>
                          <a:prstGeom prst="rect">
                            <a:avLst/>
                          </a:prstGeom>
                          <a:solidFill>
                            <a:srgbClr val="FFFFFF">
                              <a:alpha val="0"/>
                            </a:srgbClr>
                          </a:solidFill>
                          <a:ln>
                            <a:noFill/>
                          </a:ln>
                        </wps:spPr>
                        <wps:txbx>
                          <w:txbxContent>
                            <w:p>
                              <w:pPr>
                                <w:widowControl w:val="0"/>
                                <w:spacing w:line="240" w:lineRule="atLeast"/>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highlight w:val="none"/>
                                  <w:lang w:val="en-US" w:eastAsia="zh-CN"/>
                                </w:rPr>
                                <w:t>11.1</w:t>
                              </w:r>
                            </w:p>
                          </w:txbxContent>
                        </wps:txbx>
                        <wps:bodyPr upright="1"/>
                      </wps:wsp>
                      <wps:wsp>
                        <wps:cNvPr id="113" name="直接连接符 543"/>
                        <wps:cNvCnPr/>
                        <wps:spPr>
                          <a:xfrm>
                            <a:off x="2613619" y="1265506"/>
                            <a:ext cx="589904" cy="600"/>
                          </a:xfrm>
                          <a:prstGeom prst="line">
                            <a:avLst/>
                          </a:prstGeom>
                          <a:ln w="9525" cap="flat" cmpd="sng">
                            <a:solidFill>
                              <a:srgbClr val="000000"/>
                            </a:solidFill>
                            <a:prstDash val="solid"/>
                            <a:headEnd type="none" w="med" len="med"/>
                            <a:tailEnd type="triangle" w="med" len="med"/>
                          </a:ln>
                        </wps:spPr>
                        <wps:bodyPr upright="1"/>
                      </wps:wsp>
                      <wps:wsp>
                        <wps:cNvPr id="114" name="矩形 544"/>
                        <wps:cNvSpPr/>
                        <wps:spPr>
                          <a:xfrm>
                            <a:off x="3209924" y="1160706"/>
                            <a:ext cx="567004" cy="306102"/>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15" name="直接箭头连接符 545"/>
                        <wps:cNvCnPr/>
                        <wps:spPr>
                          <a:xfrm flipV="1">
                            <a:off x="3776928" y="1309307"/>
                            <a:ext cx="303602" cy="4500"/>
                          </a:xfrm>
                          <a:prstGeom prst="straightConnector1">
                            <a:avLst/>
                          </a:prstGeom>
                          <a:ln w="9525" cap="flat" cmpd="sng">
                            <a:solidFill>
                              <a:srgbClr val="000000"/>
                            </a:solidFill>
                            <a:prstDash val="solid"/>
                            <a:headEnd type="none" w="med" len="med"/>
                            <a:tailEnd type="none" w="med" len="med"/>
                          </a:ln>
                        </wps:spPr>
                        <wps:bodyPr/>
                      </wps:wsp>
                      <wps:wsp>
                        <wps:cNvPr id="116" name="直接箭头连接符 546"/>
                        <wps:cNvCnPr/>
                        <wps:spPr>
                          <a:xfrm>
                            <a:off x="3825828" y="672403"/>
                            <a:ext cx="248902" cy="2600"/>
                          </a:xfrm>
                          <a:prstGeom prst="straightConnector1">
                            <a:avLst/>
                          </a:prstGeom>
                          <a:ln w="9525" cap="flat" cmpd="sng">
                            <a:solidFill>
                              <a:srgbClr val="000000"/>
                            </a:solidFill>
                            <a:prstDash val="solid"/>
                            <a:headEnd type="none" w="med" len="med"/>
                            <a:tailEnd type="none" w="med" len="med"/>
                          </a:ln>
                        </wps:spPr>
                        <wps:bodyPr/>
                      </wps:wsp>
                      <wps:wsp>
                        <wps:cNvPr id="117" name="矩形 547"/>
                        <wps:cNvSpPr/>
                        <wps:spPr>
                          <a:xfrm>
                            <a:off x="2680335" y="435610"/>
                            <a:ext cx="488315"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1.26</w:t>
                              </w:r>
                            </w:p>
                          </w:txbxContent>
                        </wps:txbx>
                        <wps:bodyPr upright="1"/>
                      </wps:wsp>
                      <wps:wsp>
                        <wps:cNvPr id="118" name="矩形 548"/>
                        <wps:cNvSpPr/>
                        <wps:spPr>
                          <a:xfrm>
                            <a:off x="2631440" y="1047750"/>
                            <a:ext cx="485775" cy="2165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0.61</w:t>
                              </w:r>
                            </w:p>
                          </w:txbxContent>
                        </wps:txbx>
                        <wps:bodyPr upright="1"/>
                      </wps:wsp>
                      <wps:wsp>
                        <wps:cNvPr id="119" name="直接连接符 549"/>
                        <wps:cNvCnPr/>
                        <wps:spPr>
                          <a:xfrm flipV="1">
                            <a:off x="2244716" y="1000705"/>
                            <a:ext cx="240602" cy="206401"/>
                          </a:xfrm>
                          <a:prstGeom prst="line">
                            <a:avLst/>
                          </a:prstGeom>
                          <a:ln w="9525" cap="flat" cmpd="sng">
                            <a:solidFill>
                              <a:srgbClr val="000000"/>
                            </a:solidFill>
                            <a:prstDash val="lgDash"/>
                            <a:headEnd type="none" w="med" len="med"/>
                            <a:tailEnd type="triangle" w="med" len="med"/>
                          </a:ln>
                        </wps:spPr>
                        <wps:bodyPr upright="1"/>
                      </wps:wsp>
                      <wps:wsp>
                        <wps:cNvPr id="120" name="文本框 550"/>
                        <wps:cNvSpPr txBox="1"/>
                        <wps:spPr>
                          <a:xfrm>
                            <a:off x="1781213" y="778504"/>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5.2</w:t>
                              </w:r>
                            </w:p>
                          </w:txbxContent>
                        </wps:txbx>
                        <wps:bodyPr upright="1">
                          <a:spAutoFit/>
                        </wps:bodyPr>
                      </wps:wsp>
                      <wps:wsp>
                        <wps:cNvPr id="121" name="直接箭头连接符 551"/>
                        <wps:cNvCnPr/>
                        <wps:spPr>
                          <a:xfrm flipH="1">
                            <a:off x="4061430" y="1979910"/>
                            <a:ext cx="600704" cy="3800"/>
                          </a:xfrm>
                          <a:prstGeom prst="straightConnector1">
                            <a:avLst/>
                          </a:prstGeom>
                          <a:ln w="9525" cap="flat" cmpd="sng">
                            <a:solidFill>
                              <a:srgbClr val="000000"/>
                            </a:solidFill>
                            <a:prstDash val="solid"/>
                            <a:headEnd type="none" w="med" len="med"/>
                            <a:tailEnd type="none" w="med" len="med"/>
                          </a:ln>
                        </wps:spPr>
                        <wps:bodyPr/>
                      </wps:wsp>
                      <wps:wsp>
                        <wps:cNvPr id="122" name="文本框 552"/>
                        <wps:cNvSpPr txBox="1"/>
                        <wps:spPr>
                          <a:xfrm>
                            <a:off x="4094430" y="1693509"/>
                            <a:ext cx="544904" cy="304802"/>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xbxContent>
                        </wps:txbx>
                        <wps:bodyPr upright="1"/>
                      </wps:wsp>
                      <wps:wsp>
                        <wps:cNvPr id="123" name="直接连接符 553"/>
                        <wps:cNvCnPr/>
                        <wps:spPr>
                          <a:xfrm flipH="1">
                            <a:off x="4066530" y="675003"/>
                            <a:ext cx="8200" cy="2581213"/>
                          </a:xfrm>
                          <a:prstGeom prst="line">
                            <a:avLst/>
                          </a:prstGeom>
                          <a:ln w="9525" cap="flat" cmpd="sng">
                            <a:solidFill>
                              <a:srgbClr val="000000"/>
                            </a:solidFill>
                            <a:prstDash val="solid"/>
                            <a:headEnd type="none" w="med" len="med"/>
                            <a:tailEnd type="none" w="med" len="med"/>
                          </a:ln>
                        </wps:spPr>
                        <wps:bodyPr upright="1"/>
                      </wps:wsp>
                      <wps:wsp>
                        <wps:cNvPr id="124" name="矩形 554"/>
                        <wps:cNvSpPr/>
                        <wps:spPr>
                          <a:xfrm>
                            <a:off x="3094323" y="3716619"/>
                            <a:ext cx="896007" cy="2940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hint="eastAsia" w:ascii="Calibri" w:hAnsi="Calibri" w:cs="Times New Roman"/>
                                  <w:sz w:val="21"/>
                                  <w:szCs w:val="21"/>
                                </w:rPr>
                              </w:pPr>
                              <w:r>
                                <w:rPr>
                                  <w:rFonts w:hint="eastAsia" w:ascii="Calibri" w:hAnsi="Calibri" w:cs="Times New Roman"/>
                                  <w:sz w:val="21"/>
                                  <w:szCs w:val="21"/>
                                </w:rPr>
                                <w:t>固粪处理区</w:t>
                              </w:r>
                            </w:p>
                          </w:txbxContent>
                        </wps:txbx>
                        <wps:bodyPr lIns="0" tIns="50400" rIns="0" bIns="46800" upright="1"/>
                      </wps:wsp>
                      <wps:wsp>
                        <wps:cNvPr id="125" name="文本框 555"/>
                        <wps:cNvSpPr txBox="1"/>
                        <wps:spPr>
                          <a:xfrm>
                            <a:off x="4057030" y="3658919"/>
                            <a:ext cx="50482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wps:txbx>
                        <wps:bodyPr upright="1">
                          <a:spAutoFit/>
                        </wps:bodyPr>
                      </wps:wsp>
                      <wps:wsp>
                        <wps:cNvPr id="126" name="文本框 556"/>
                        <wps:cNvSpPr txBox="1"/>
                        <wps:spPr>
                          <a:xfrm>
                            <a:off x="4097630" y="4631723"/>
                            <a:ext cx="60515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wps:txbx>
                        <wps:bodyPr upright="1">
                          <a:spAutoFit/>
                        </wps:bodyPr>
                      </wps:wsp>
                      <wps:wsp>
                        <wps:cNvPr id="127" name="直接箭头连接符 557"/>
                        <wps:cNvCnPr/>
                        <wps:spPr>
                          <a:xfrm>
                            <a:off x="2303717" y="3883620"/>
                            <a:ext cx="816606" cy="600"/>
                          </a:xfrm>
                          <a:prstGeom prst="straightConnector1">
                            <a:avLst/>
                          </a:prstGeom>
                          <a:ln w="9525" cap="flat" cmpd="sng">
                            <a:solidFill>
                              <a:srgbClr val="000000"/>
                            </a:solidFill>
                            <a:prstDash val="solid"/>
                            <a:headEnd type="triangle" w="med" len="med"/>
                            <a:tailEnd type="none" w="med" len="med"/>
                          </a:ln>
                        </wps:spPr>
                        <wps:bodyPr/>
                      </wps:wsp>
                      <wps:wsp>
                        <wps:cNvPr id="128" name="直接箭头连接符 558"/>
                        <wps:cNvCnPr/>
                        <wps:spPr>
                          <a:xfrm flipV="1">
                            <a:off x="3533126" y="4980325"/>
                            <a:ext cx="7000" cy="492702"/>
                          </a:xfrm>
                          <a:prstGeom prst="straightConnector1">
                            <a:avLst/>
                          </a:prstGeom>
                          <a:ln w="9525" cap="flat" cmpd="sng">
                            <a:solidFill>
                              <a:srgbClr val="000000"/>
                            </a:solidFill>
                            <a:prstDash val="solid"/>
                            <a:headEnd type="triangle" w="med" len="med"/>
                            <a:tailEnd type="none" w="med" len="med"/>
                          </a:ln>
                        </wps:spPr>
                        <wps:bodyPr/>
                      </wps:wsp>
                      <wps:wsp>
                        <wps:cNvPr id="129" name="直接箭头连接符 559"/>
                        <wps:cNvCnPr/>
                        <wps:spPr>
                          <a:xfrm flipH="1" flipV="1">
                            <a:off x="3960429" y="3862720"/>
                            <a:ext cx="709305" cy="1200"/>
                          </a:xfrm>
                          <a:prstGeom prst="straightConnector1">
                            <a:avLst/>
                          </a:prstGeom>
                          <a:ln w="9525" cap="flat" cmpd="sng">
                            <a:solidFill>
                              <a:srgbClr val="000000"/>
                            </a:solidFill>
                            <a:prstDash val="solid"/>
                            <a:headEnd type="none" w="med" len="med"/>
                            <a:tailEnd type="triangle" w="med" len="med"/>
                          </a:ln>
                        </wps:spPr>
                        <wps:bodyPr/>
                      </wps:wsp>
                      <wps:wsp>
                        <wps:cNvPr id="130" name="矩形 560"/>
                        <wps:cNvSpPr/>
                        <wps:spPr>
                          <a:xfrm>
                            <a:off x="1828813" y="3729919"/>
                            <a:ext cx="623505" cy="258501"/>
                          </a:xfrm>
                          <a:prstGeom prst="rect">
                            <a:avLst/>
                          </a:prstGeom>
                          <a:noFill/>
                          <a:ln>
                            <a:noFill/>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基料</w:t>
                              </w:r>
                            </w:p>
                          </w:txbxContent>
                        </wps:txbx>
                        <wps:bodyPr lIns="0" tIns="50400" rIns="0" bIns="46800" upright="1"/>
                      </wps:wsp>
                      <wps:wsp>
                        <wps:cNvPr id="131" name="直接箭头连接符 561"/>
                        <wps:cNvCnPr/>
                        <wps:spPr>
                          <a:xfrm>
                            <a:off x="4667234" y="1985610"/>
                            <a:ext cx="8900" cy="2861915"/>
                          </a:xfrm>
                          <a:prstGeom prst="straightConnector1">
                            <a:avLst/>
                          </a:prstGeom>
                          <a:ln w="9525" cap="flat" cmpd="sng">
                            <a:solidFill>
                              <a:srgbClr val="000000"/>
                            </a:solidFill>
                            <a:prstDash val="solid"/>
                            <a:headEnd type="none" w="med" len="med"/>
                            <a:tailEnd type="none" w="med" len="med"/>
                          </a:ln>
                        </wps:spPr>
                        <wps:bodyPr/>
                      </wps:wsp>
                      <wps:wsp>
                        <wps:cNvPr id="132" name="直接箭头连接符 562"/>
                        <wps:cNvCnPr/>
                        <wps:spPr>
                          <a:xfrm flipH="1">
                            <a:off x="4042430" y="4834925"/>
                            <a:ext cx="650205" cy="600"/>
                          </a:xfrm>
                          <a:prstGeom prst="straightConnector1">
                            <a:avLst/>
                          </a:prstGeom>
                          <a:ln w="9525" cap="flat" cmpd="sng">
                            <a:solidFill>
                              <a:srgbClr val="000000"/>
                            </a:solidFill>
                            <a:prstDash val="solid"/>
                            <a:headEnd type="none" w="med" len="med"/>
                            <a:tailEnd type="triangle" w="med" len="med"/>
                          </a:ln>
                        </wps:spPr>
                        <wps:bodyPr/>
                      </wps:wsp>
                      <wps:wsp>
                        <wps:cNvPr id="133" name="直接连接符 563"/>
                        <wps:cNvCnPr/>
                        <wps:spPr>
                          <a:xfrm>
                            <a:off x="3673427" y="4990425"/>
                            <a:ext cx="278802" cy="260401"/>
                          </a:xfrm>
                          <a:prstGeom prst="line">
                            <a:avLst/>
                          </a:prstGeom>
                          <a:ln w="9525" cap="flat" cmpd="sng">
                            <a:solidFill>
                              <a:srgbClr val="000000"/>
                            </a:solidFill>
                            <a:prstDash val="lgDash"/>
                            <a:headEnd type="none" w="med" len="med"/>
                            <a:tailEnd type="triangle" w="med" len="med"/>
                          </a:ln>
                        </wps:spPr>
                        <wps:bodyPr upright="1"/>
                      </wps:wsp>
                      <wps:wsp>
                        <wps:cNvPr id="134" name="矩形 564"/>
                        <wps:cNvSpPr/>
                        <wps:spPr>
                          <a:xfrm>
                            <a:off x="3722327" y="5257127"/>
                            <a:ext cx="890307" cy="326402"/>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w:t>
                              </w:r>
                              <w:r>
                                <w:rPr>
                                  <w:rFonts w:hint="eastAsia" w:cs="Times New Roman"/>
                                  <w:sz w:val="21"/>
                                  <w:szCs w:val="21"/>
                                  <w:lang w:val="en-US" w:eastAsia="zh-CN"/>
                                </w:rPr>
                                <w:t>2.925</w:t>
                              </w:r>
                            </w:p>
                          </w:txbxContent>
                        </wps:txbx>
                        <wps:bodyPr upright="1"/>
                      </wps:wsp>
                      <wps:wsp>
                        <wps:cNvPr id="135" name="文本框 565"/>
                        <wps:cNvSpPr txBox="1"/>
                        <wps:spPr>
                          <a:xfrm>
                            <a:off x="2465718" y="3599818"/>
                            <a:ext cx="63373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7.605</w:t>
                              </w:r>
                            </w:p>
                          </w:txbxContent>
                        </wps:txbx>
                        <wps:bodyPr upright="1">
                          <a:spAutoFit/>
                        </wps:bodyPr>
                      </wps:wsp>
                      <wps:wsp>
                        <wps:cNvPr id="136" name="矩形 566"/>
                        <wps:cNvSpPr/>
                        <wps:spPr>
                          <a:xfrm>
                            <a:off x="2855521" y="4701524"/>
                            <a:ext cx="1229409" cy="2718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wps:txbx>
                        <wps:bodyPr lIns="0" tIns="50400" rIns="0" bIns="46800" upright="1"/>
                      </wps:wsp>
                      <wps:wsp>
                        <wps:cNvPr id="137" name="文本框 567"/>
                        <wps:cNvSpPr txBox="1"/>
                        <wps:spPr>
                          <a:xfrm>
                            <a:off x="2086015" y="5333327"/>
                            <a:ext cx="723900" cy="51308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cs="Times New Roman"/>
                                  <w:sz w:val="21"/>
                                  <w:szCs w:val="21"/>
                                  <w:lang w:val="en-US" w:eastAsia="zh-CN"/>
                                </w:rPr>
                                <w:t>1.17</w:t>
                              </w:r>
                            </w:p>
                          </w:txbxContent>
                        </wps:txbx>
                        <wps:bodyPr upright="1">
                          <a:spAutoFit/>
                        </wps:bodyPr>
                      </wps:wsp>
                      <wps:wsp>
                        <wps:cNvPr id="138" name="矩形 568"/>
                        <wps:cNvSpPr/>
                        <wps:spPr>
                          <a:xfrm>
                            <a:off x="3258824" y="526403"/>
                            <a:ext cx="567004" cy="2921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39" name="直接箭头连接符 569"/>
                        <wps:cNvCnPr/>
                        <wps:spPr>
                          <a:xfrm flipH="1">
                            <a:off x="2188816" y="4824024"/>
                            <a:ext cx="650205" cy="700"/>
                          </a:xfrm>
                          <a:prstGeom prst="straightConnector1">
                            <a:avLst/>
                          </a:prstGeom>
                          <a:ln w="9525" cap="flat" cmpd="sng">
                            <a:solidFill>
                              <a:srgbClr val="000000"/>
                            </a:solidFill>
                            <a:prstDash val="solid"/>
                            <a:headEnd type="none" w="med" len="med"/>
                            <a:tailEnd type="triangle" w="med" len="med"/>
                          </a:ln>
                        </wps:spPr>
                        <wps:bodyPr/>
                      </wps:wsp>
                      <wps:wsp>
                        <wps:cNvPr id="140" name="矩形 570"/>
                        <wps:cNvSpPr/>
                        <wps:spPr>
                          <a:xfrm>
                            <a:off x="3282324" y="5451428"/>
                            <a:ext cx="447003" cy="2832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沼液</w:t>
                              </w:r>
                            </w:p>
                          </w:txbxContent>
                        </wps:txbx>
                        <wps:bodyPr lIns="0" tIns="50400" rIns="0" bIns="46800" upright="1"/>
                      </wps:wsp>
                      <wps:wsp>
                        <wps:cNvPr id="141" name="文本框 571"/>
                        <wps:cNvSpPr txBox="1"/>
                        <wps:spPr>
                          <a:xfrm>
                            <a:off x="2976922" y="5090126"/>
                            <a:ext cx="58737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xbxContent>
                        </wps:txbx>
                        <wps:bodyPr upright="1">
                          <a:spAutoFit/>
                        </wps:bodyPr>
                      </wps:wsp>
                      <wps:wsp>
                        <wps:cNvPr id="142" name="直接箭头连接符 572"/>
                        <wps:cNvCnPr/>
                        <wps:spPr>
                          <a:xfrm flipH="1">
                            <a:off x="2791420" y="5600028"/>
                            <a:ext cx="494004" cy="700"/>
                          </a:xfrm>
                          <a:prstGeom prst="straightConnector1">
                            <a:avLst/>
                          </a:prstGeom>
                          <a:ln w="9525" cap="flat" cmpd="sng">
                            <a:solidFill>
                              <a:srgbClr val="000000"/>
                            </a:solidFill>
                            <a:prstDash val="solid"/>
                            <a:headEnd type="none" w="med" len="med"/>
                            <a:tailEnd type="triangle" w="med" len="med"/>
                          </a:ln>
                        </wps:spPr>
                        <wps:bodyPr/>
                      </wps:wsp>
                      <wps:wsp>
                        <wps:cNvPr id="143" name="矩形 573"/>
                        <wps:cNvSpPr/>
                        <wps:spPr>
                          <a:xfrm>
                            <a:off x="1755113" y="4708524"/>
                            <a:ext cx="447003" cy="2832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wps:txbx>
                        <wps:bodyPr lIns="0" tIns="50400" rIns="0" bIns="46800" upright="1"/>
                      </wps:wsp>
                      <wps:wsp>
                        <wps:cNvPr id="144" name="直接箭头连接符 574"/>
                        <wps:cNvCnPr/>
                        <wps:spPr>
                          <a:xfrm flipV="1">
                            <a:off x="1998315" y="4308422"/>
                            <a:ext cx="3800" cy="426702"/>
                          </a:xfrm>
                          <a:prstGeom prst="straightConnector1">
                            <a:avLst/>
                          </a:prstGeom>
                          <a:ln w="9525" cap="flat" cmpd="sng">
                            <a:solidFill>
                              <a:srgbClr val="000000"/>
                            </a:solidFill>
                            <a:prstDash val="solid"/>
                            <a:headEnd type="none" w="med" len="med"/>
                            <a:tailEnd type="none" w="med" len="med"/>
                          </a:ln>
                        </wps:spPr>
                        <wps:bodyPr/>
                      </wps:wsp>
                      <wps:wsp>
                        <wps:cNvPr id="145" name="直接箭头连接符 575"/>
                        <wps:cNvCnPr/>
                        <wps:spPr>
                          <a:xfrm flipV="1">
                            <a:off x="1988115" y="4295122"/>
                            <a:ext cx="1629412" cy="20300"/>
                          </a:xfrm>
                          <a:prstGeom prst="straightConnector1">
                            <a:avLst/>
                          </a:prstGeom>
                          <a:ln w="9525" cap="flat" cmpd="sng">
                            <a:solidFill>
                              <a:srgbClr val="000000"/>
                            </a:solidFill>
                            <a:prstDash val="solid"/>
                            <a:headEnd type="none" w="med" len="med"/>
                            <a:tailEnd type="none" w="med" len="med"/>
                          </a:ln>
                        </wps:spPr>
                        <wps:bodyPr/>
                      </wps:wsp>
                      <wps:wsp>
                        <wps:cNvPr id="146" name="直接箭头连接符 576"/>
                        <wps:cNvCnPr/>
                        <wps:spPr>
                          <a:xfrm flipV="1">
                            <a:off x="3616927" y="4010620"/>
                            <a:ext cx="600" cy="287701"/>
                          </a:xfrm>
                          <a:prstGeom prst="straightConnector1">
                            <a:avLst/>
                          </a:prstGeom>
                          <a:ln w="9525" cap="flat" cmpd="sng">
                            <a:solidFill>
                              <a:srgbClr val="000000"/>
                            </a:solidFill>
                            <a:prstDash val="solid"/>
                            <a:headEnd type="none" w="med" len="med"/>
                            <a:tailEnd type="triangle" w="med" len="med"/>
                          </a:ln>
                        </wps:spPr>
                        <wps:bodyPr/>
                      </wps:wsp>
                      <wps:wsp>
                        <wps:cNvPr id="147" name="文本框 577"/>
                        <wps:cNvSpPr txBox="1"/>
                        <wps:spPr>
                          <a:xfrm>
                            <a:off x="2258617" y="4585923"/>
                            <a:ext cx="580404" cy="283201"/>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1.</w:t>
                              </w:r>
                              <w:r>
                                <w:rPr>
                                  <w:rFonts w:hint="eastAsia" w:cs="Times New Roman"/>
                                  <w:sz w:val="21"/>
                                  <w:szCs w:val="21"/>
                                  <w:lang w:val="en-US" w:eastAsia="zh-CN"/>
                                </w:rPr>
                                <w:t>755</w:t>
                              </w:r>
                            </w:p>
                          </w:txbxContent>
                        </wps:txbx>
                        <wps:bodyPr upright="1"/>
                      </wps:wsp>
                      <wps:wsp>
                        <wps:cNvPr id="148" name="直接连接符 578"/>
                        <wps:cNvCnPr/>
                        <wps:spPr>
                          <a:xfrm>
                            <a:off x="1142308" y="1903710"/>
                            <a:ext cx="619105" cy="600"/>
                          </a:xfrm>
                          <a:prstGeom prst="line">
                            <a:avLst/>
                          </a:prstGeom>
                          <a:ln w="9525" cap="flat" cmpd="sng">
                            <a:solidFill>
                              <a:srgbClr val="000000"/>
                            </a:solidFill>
                            <a:prstDash val="solid"/>
                            <a:headEnd type="none" w="med" len="med"/>
                            <a:tailEnd type="triangle" w="med" len="med"/>
                          </a:ln>
                        </wps:spPr>
                        <wps:bodyPr upright="1"/>
                      </wps:wsp>
                      <wps:wsp>
                        <wps:cNvPr id="149" name="矩形 579"/>
                        <wps:cNvSpPr/>
                        <wps:spPr>
                          <a:xfrm>
                            <a:off x="1731613" y="1744909"/>
                            <a:ext cx="882606" cy="2667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保育猪</w:t>
                              </w:r>
                            </w:p>
                            <w:p>
                              <w:pPr>
                                <w:widowControl w:val="0"/>
                                <w:spacing w:line="240" w:lineRule="auto"/>
                                <w:ind w:firstLine="0" w:firstLineChars="0"/>
                                <w:rPr>
                                  <w:rFonts w:ascii="Calibri" w:hAnsi="Calibri" w:cs="Times New Roman"/>
                                  <w:b/>
                                  <w:sz w:val="28"/>
                                  <w:szCs w:val="22"/>
                                </w:rPr>
                              </w:pPr>
                            </w:p>
                          </w:txbxContent>
                        </wps:txbx>
                        <wps:bodyPr lIns="0" tIns="45720" rIns="0" bIns="45720" upright="1"/>
                      </wps:wsp>
                      <wps:wsp>
                        <wps:cNvPr id="150" name="直接连接符 580"/>
                        <wps:cNvCnPr/>
                        <wps:spPr>
                          <a:xfrm>
                            <a:off x="2618119" y="1898010"/>
                            <a:ext cx="589904" cy="600"/>
                          </a:xfrm>
                          <a:prstGeom prst="line">
                            <a:avLst/>
                          </a:prstGeom>
                          <a:ln w="9525" cap="flat" cmpd="sng">
                            <a:solidFill>
                              <a:srgbClr val="000000"/>
                            </a:solidFill>
                            <a:prstDash val="solid"/>
                            <a:headEnd type="none" w="med" len="med"/>
                            <a:tailEnd type="triangle" w="med" len="med"/>
                          </a:ln>
                        </wps:spPr>
                        <wps:bodyPr upright="1"/>
                      </wps:wsp>
                      <wps:wsp>
                        <wps:cNvPr id="151" name="矩形 581"/>
                        <wps:cNvSpPr/>
                        <wps:spPr>
                          <a:xfrm>
                            <a:off x="3180023" y="1718309"/>
                            <a:ext cx="567104" cy="306002"/>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52" name="直接连接符 582"/>
                        <wps:cNvCnPr/>
                        <wps:spPr>
                          <a:xfrm>
                            <a:off x="1163309" y="2430712"/>
                            <a:ext cx="619105" cy="700"/>
                          </a:xfrm>
                          <a:prstGeom prst="line">
                            <a:avLst/>
                          </a:prstGeom>
                          <a:ln w="9525" cap="flat" cmpd="sng">
                            <a:solidFill>
                              <a:srgbClr val="000000"/>
                            </a:solidFill>
                            <a:prstDash val="solid"/>
                            <a:headEnd type="none" w="med" len="med"/>
                            <a:tailEnd type="triangle" w="med" len="med"/>
                          </a:ln>
                        </wps:spPr>
                        <wps:bodyPr upright="1"/>
                      </wps:wsp>
                      <wps:wsp>
                        <wps:cNvPr id="153" name="矩形 583"/>
                        <wps:cNvSpPr/>
                        <wps:spPr>
                          <a:xfrm>
                            <a:off x="1752613" y="2334212"/>
                            <a:ext cx="882606" cy="2667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育肥猪</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154" name="直接连接符 584"/>
                        <wps:cNvCnPr/>
                        <wps:spPr>
                          <a:xfrm>
                            <a:off x="2639019" y="2465713"/>
                            <a:ext cx="589904" cy="600"/>
                          </a:xfrm>
                          <a:prstGeom prst="line">
                            <a:avLst/>
                          </a:prstGeom>
                          <a:ln w="9525" cap="flat" cmpd="sng">
                            <a:solidFill>
                              <a:srgbClr val="000000"/>
                            </a:solidFill>
                            <a:prstDash val="solid"/>
                            <a:headEnd type="none" w="med" len="med"/>
                            <a:tailEnd type="triangle" w="med" len="med"/>
                          </a:ln>
                        </wps:spPr>
                        <wps:bodyPr upright="1"/>
                      </wps:wsp>
                      <wps:wsp>
                        <wps:cNvPr id="155" name="矩形 585"/>
                        <wps:cNvSpPr/>
                        <wps:spPr>
                          <a:xfrm>
                            <a:off x="3213724" y="2306312"/>
                            <a:ext cx="567004" cy="306002"/>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56" name="直接连接符 586"/>
                        <wps:cNvCnPr/>
                        <wps:spPr>
                          <a:xfrm flipV="1">
                            <a:off x="2181216" y="1581708"/>
                            <a:ext cx="243202" cy="147401"/>
                          </a:xfrm>
                          <a:prstGeom prst="line">
                            <a:avLst/>
                          </a:prstGeom>
                          <a:ln w="9525" cap="flat" cmpd="sng">
                            <a:solidFill>
                              <a:srgbClr val="000000"/>
                            </a:solidFill>
                            <a:prstDash val="lgDash"/>
                            <a:headEnd type="none" w="med" len="med"/>
                            <a:tailEnd type="triangle" w="med" len="med"/>
                          </a:ln>
                        </wps:spPr>
                        <wps:bodyPr upright="1"/>
                      </wps:wsp>
                      <wps:wsp>
                        <wps:cNvPr id="157" name="直接连接符 587"/>
                        <wps:cNvCnPr/>
                        <wps:spPr>
                          <a:xfrm flipV="1">
                            <a:off x="2167816" y="2202811"/>
                            <a:ext cx="243202" cy="147301"/>
                          </a:xfrm>
                          <a:prstGeom prst="line">
                            <a:avLst/>
                          </a:prstGeom>
                          <a:ln w="9525" cap="flat" cmpd="sng">
                            <a:solidFill>
                              <a:srgbClr val="000000"/>
                            </a:solidFill>
                            <a:prstDash val="lgDash"/>
                            <a:headEnd type="none" w="med" len="med"/>
                            <a:tailEnd type="triangle" w="med" len="med"/>
                          </a:ln>
                        </wps:spPr>
                        <wps:bodyPr upright="1"/>
                      </wps:wsp>
                      <wps:wsp>
                        <wps:cNvPr id="158" name="直接连接符 588"/>
                        <wps:cNvCnPr/>
                        <wps:spPr>
                          <a:xfrm>
                            <a:off x="1143008" y="3269617"/>
                            <a:ext cx="619105" cy="600"/>
                          </a:xfrm>
                          <a:prstGeom prst="line">
                            <a:avLst/>
                          </a:prstGeom>
                          <a:ln w="9525" cap="flat" cmpd="sng">
                            <a:solidFill>
                              <a:srgbClr val="000000"/>
                            </a:solidFill>
                            <a:prstDash val="solid"/>
                            <a:headEnd type="none" w="med" len="med"/>
                            <a:tailEnd type="triangle" w="med" len="med"/>
                          </a:ln>
                        </wps:spPr>
                        <wps:bodyPr upright="1"/>
                      </wps:wsp>
                      <wps:wsp>
                        <wps:cNvPr id="159" name="矩形 589"/>
                        <wps:cNvSpPr/>
                        <wps:spPr>
                          <a:xfrm>
                            <a:off x="1751913" y="3082216"/>
                            <a:ext cx="882706" cy="26670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后备育肥</w:t>
                              </w:r>
                            </w:p>
                          </w:txbxContent>
                        </wps:txbx>
                        <wps:bodyPr lIns="0" tIns="45720" rIns="0" bIns="45720" upright="1"/>
                      </wps:wsp>
                      <wps:wsp>
                        <wps:cNvPr id="160" name="直接连接符 590"/>
                        <wps:cNvCnPr/>
                        <wps:spPr>
                          <a:xfrm flipV="1">
                            <a:off x="2153916" y="2943215"/>
                            <a:ext cx="243202" cy="147301"/>
                          </a:xfrm>
                          <a:prstGeom prst="line">
                            <a:avLst/>
                          </a:prstGeom>
                          <a:ln w="9525" cap="flat" cmpd="sng">
                            <a:solidFill>
                              <a:srgbClr val="000000"/>
                            </a:solidFill>
                            <a:prstDash val="lgDash"/>
                            <a:headEnd type="none" w="med" len="med"/>
                            <a:tailEnd type="triangle" w="med" len="med"/>
                          </a:ln>
                        </wps:spPr>
                        <wps:bodyPr upright="1"/>
                      </wps:wsp>
                      <wps:wsp>
                        <wps:cNvPr id="161" name="直接连接符 591"/>
                        <wps:cNvCnPr/>
                        <wps:spPr>
                          <a:xfrm>
                            <a:off x="2625019" y="3220716"/>
                            <a:ext cx="590004" cy="600"/>
                          </a:xfrm>
                          <a:prstGeom prst="line">
                            <a:avLst/>
                          </a:prstGeom>
                          <a:ln w="9525" cap="flat" cmpd="sng">
                            <a:solidFill>
                              <a:srgbClr val="000000"/>
                            </a:solidFill>
                            <a:prstDash val="solid"/>
                            <a:headEnd type="none" w="med" len="med"/>
                            <a:tailEnd type="triangle" w="med" len="med"/>
                          </a:ln>
                        </wps:spPr>
                        <wps:bodyPr upright="1"/>
                      </wps:wsp>
                      <wps:wsp>
                        <wps:cNvPr id="162" name="矩形 592"/>
                        <wps:cNvSpPr/>
                        <wps:spPr>
                          <a:xfrm>
                            <a:off x="3206724" y="3033315"/>
                            <a:ext cx="567104" cy="306102"/>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63" name="直接箭头连接符 593"/>
                        <wps:cNvCnPr/>
                        <wps:spPr>
                          <a:xfrm flipV="1">
                            <a:off x="3768028" y="1891010"/>
                            <a:ext cx="303602" cy="4400"/>
                          </a:xfrm>
                          <a:prstGeom prst="straightConnector1">
                            <a:avLst/>
                          </a:prstGeom>
                          <a:ln w="9525" cap="flat" cmpd="sng">
                            <a:solidFill>
                              <a:srgbClr val="000000"/>
                            </a:solidFill>
                            <a:prstDash val="solid"/>
                            <a:headEnd type="none" w="med" len="med"/>
                            <a:tailEnd type="none" w="med" len="med"/>
                          </a:ln>
                        </wps:spPr>
                        <wps:bodyPr/>
                      </wps:wsp>
                      <wps:wsp>
                        <wps:cNvPr id="164" name="直接箭头连接符 594"/>
                        <wps:cNvCnPr/>
                        <wps:spPr>
                          <a:xfrm flipV="1">
                            <a:off x="3775028" y="2452312"/>
                            <a:ext cx="303602" cy="4500"/>
                          </a:xfrm>
                          <a:prstGeom prst="straightConnector1">
                            <a:avLst/>
                          </a:prstGeom>
                          <a:ln w="9525" cap="flat" cmpd="sng">
                            <a:solidFill>
                              <a:srgbClr val="000000"/>
                            </a:solidFill>
                            <a:prstDash val="solid"/>
                            <a:headEnd type="none" w="med" len="med"/>
                            <a:tailEnd type="none" w="med" len="med"/>
                          </a:ln>
                        </wps:spPr>
                        <wps:bodyPr/>
                      </wps:wsp>
                      <wps:wsp>
                        <wps:cNvPr id="165" name="直接箭头连接符 595"/>
                        <wps:cNvCnPr/>
                        <wps:spPr>
                          <a:xfrm flipV="1">
                            <a:off x="3768028" y="3255617"/>
                            <a:ext cx="303602" cy="4400"/>
                          </a:xfrm>
                          <a:prstGeom prst="straightConnector1">
                            <a:avLst/>
                          </a:prstGeom>
                          <a:ln w="9525" cap="flat" cmpd="sng">
                            <a:solidFill>
                              <a:srgbClr val="000000"/>
                            </a:solidFill>
                            <a:prstDash val="solid"/>
                            <a:headEnd type="none" w="med" len="med"/>
                            <a:tailEnd type="none" w="med" len="med"/>
                          </a:ln>
                        </wps:spPr>
                        <wps:bodyPr/>
                      </wps:wsp>
                      <wps:wsp>
                        <wps:cNvPr id="166" name="矩形 596"/>
                        <wps:cNvSpPr/>
                        <wps:spPr>
                          <a:xfrm>
                            <a:off x="1066108" y="1751909"/>
                            <a:ext cx="727705" cy="198801"/>
                          </a:xfrm>
                          <a:prstGeom prst="rect">
                            <a:avLst/>
                          </a:prstGeom>
                          <a:solidFill>
                            <a:srgbClr val="FFFFFF">
                              <a:alpha val="0"/>
                            </a:srgbClr>
                          </a:solidFill>
                          <a:ln>
                            <a:noFill/>
                          </a:ln>
                        </wps:spPr>
                        <wps:txbx>
                          <w:txbxContent>
                            <w:p>
                              <w:pPr>
                                <w:widowControl w:val="0"/>
                                <w:spacing w:line="200" w:lineRule="exact"/>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1</w:t>
                              </w:r>
                              <w:r>
                                <w:rPr>
                                  <w:rFonts w:hint="eastAsia" w:cs="Times New Roman"/>
                                  <w:sz w:val="21"/>
                                  <w:szCs w:val="21"/>
                                  <w:lang w:val="en-US" w:eastAsia="zh-CN"/>
                                </w:rPr>
                                <w:t>6</w:t>
                              </w:r>
                            </w:p>
                          </w:txbxContent>
                        </wps:txbx>
                        <wps:bodyPr upright="1"/>
                      </wps:wsp>
                      <wps:wsp>
                        <wps:cNvPr id="167" name="矩形 597"/>
                        <wps:cNvSpPr/>
                        <wps:spPr>
                          <a:xfrm>
                            <a:off x="1038808" y="2202811"/>
                            <a:ext cx="727705" cy="198701"/>
                          </a:xfrm>
                          <a:prstGeom prst="rect">
                            <a:avLst/>
                          </a:prstGeom>
                          <a:solidFill>
                            <a:srgbClr val="FFFFFF">
                              <a:alpha val="0"/>
                            </a:srgbClr>
                          </a:solidFill>
                          <a:ln>
                            <a:noFill/>
                          </a:ln>
                        </wps:spPr>
                        <wps:txbx>
                          <w:txbxContent>
                            <w:p>
                              <w:pPr>
                                <w:widowControl w:val="0"/>
                                <w:spacing w:line="200" w:lineRule="exac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xbxContent>
                        </wps:txbx>
                        <wps:bodyPr upright="1"/>
                      </wps:wsp>
                      <wps:wsp>
                        <wps:cNvPr id="168" name="矩形 598"/>
                        <wps:cNvSpPr/>
                        <wps:spPr>
                          <a:xfrm>
                            <a:off x="1136008" y="3082216"/>
                            <a:ext cx="727705" cy="198801"/>
                          </a:xfrm>
                          <a:prstGeom prst="rect">
                            <a:avLst/>
                          </a:prstGeom>
                          <a:solidFill>
                            <a:srgbClr val="FFFFFF">
                              <a:alpha val="0"/>
                            </a:srgbClr>
                          </a:solidFill>
                          <a:ln>
                            <a:noFill/>
                          </a:ln>
                        </wps:spPr>
                        <wps:txbx>
                          <w:txbxContent>
                            <w:p>
                              <w:pPr>
                                <w:widowControl w:val="0"/>
                                <w:spacing w:line="200" w:lineRule="exact"/>
                                <w:ind w:firstLine="0" w:firstLineChars="0"/>
                                <w:jc w:val="center"/>
                                <w:rPr>
                                  <w:rFonts w:ascii="Times New Roman" w:hAnsi="Times New Roman" w:cs="Times New Roman"/>
                                  <w:sz w:val="21"/>
                                  <w:szCs w:val="21"/>
                                </w:rPr>
                              </w:pPr>
                              <w:r>
                                <w:rPr>
                                  <w:rFonts w:hint="eastAsia" w:cs="Times New Roman"/>
                                  <w:sz w:val="21"/>
                                  <w:szCs w:val="21"/>
                                  <w:lang w:val="en-US" w:eastAsia="zh-CN"/>
                                </w:rPr>
                                <w:t>2.</w:t>
                              </w:r>
                              <w:r>
                                <w:rPr>
                                  <w:rFonts w:hint="eastAsia" w:ascii="Times New Roman" w:hAnsi="Times New Roman" w:cs="Times New Roman"/>
                                  <w:sz w:val="21"/>
                                  <w:szCs w:val="21"/>
                                </w:rPr>
                                <w:t>4</w:t>
                              </w:r>
                            </w:p>
                          </w:txbxContent>
                        </wps:txbx>
                        <wps:bodyPr upright="1"/>
                      </wps:wsp>
                      <wps:wsp>
                        <wps:cNvPr id="169" name="文本框 599"/>
                        <wps:cNvSpPr txBox="1"/>
                        <wps:spPr>
                          <a:xfrm>
                            <a:off x="1932314" y="1426207"/>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14.5</w:t>
                              </w:r>
                            </w:p>
                          </w:txbxContent>
                        </wps:txbx>
                        <wps:bodyPr upright="1">
                          <a:spAutoFit/>
                        </wps:bodyPr>
                      </wps:wsp>
                      <wps:wsp>
                        <wps:cNvPr id="170" name="矩形 600"/>
                        <wps:cNvSpPr/>
                        <wps:spPr>
                          <a:xfrm>
                            <a:off x="2646019" y="1724609"/>
                            <a:ext cx="485804" cy="216501"/>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xbxContent>
                        </wps:txbx>
                        <wps:bodyPr upright="1"/>
                      </wps:wsp>
                      <wps:wsp>
                        <wps:cNvPr id="171" name="文本框 601"/>
                        <wps:cNvSpPr txBox="1"/>
                        <wps:spPr>
                          <a:xfrm>
                            <a:off x="1655412" y="1967210"/>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ascii="Calibri" w:hAnsi="Calibri" w:cs="Times New Roman"/>
                                  <w:sz w:val="21"/>
                                  <w:szCs w:val="21"/>
                                  <w:lang w:val="en-US" w:eastAsia="zh-CN"/>
                                </w:rPr>
                                <w:t>71.91</w:t>
                              </w:r>
                            </w:p>
                          </w:txbxContent>
                        </wps:txbx>
                        <wps:bodyPr upright="1">
                          <a:spAutoFit/>
                        </wps:bodyPr>
                      </wps:wsp>
                      <wps:wsp>
                        <wps:cNvPr id="172" name="矩形 602"/>
                        <wps:cNvSpPr/>
                        <wps:spPr>
                          <a:xfrm>
                            <a:off x="2687320" y="2272012"/>
                            <a:ext cx="485704" cy="216501"/>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8.09</w:t>
                              </w:r>
                            </w:p>
                          </w:txbxContent>
                        </wps:txbx>
                        <wps:bodyPr upright="1"/>
                      </wps:wsp>
                      <wps:wsp>
                        <wps:cNvPr id="173" name="文本框 603"/>
                        <wps:cNvSpPr txBox="1"/>
                        <wps:spPr>
                          <a:xfrm>
                            <a:off x="1628112" y="2694314"/>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2.16</w:t>
                              </w:r>
                            </w:p>
                          </w:txbxContent>
                        </wps:txbx>
                        <wps:bodyPr upright="1">
                          <a:spAutoFit/>
                        </wps:bodyPr>
                      </wps:wsp>
                      <wps:wsp>
                        <wps:cNvPr id="174" name="矩形 604"/>
                        <wps:cNvSpPr/>
                        <wps:spPr>
                          <a:xfrm>
                            <a:off x="2666320" y="2985115"/>
                            <a:ext cx="485804" cy="216501"/>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0.24</w:t>
                              </w:r>
                            </w:p>
                          </w:txbxContent>
                        </wps:txbx>
                        <wps:bodyPr upright="1"/>
                      </wps:wsp>
                      <wps:wsp>
                        <wps:cNvPr id="175" name="文本框 605"/>
                        <wps:cNvSpPr txBox="1"/>
                        <wps:spPr>
                          <a:xfrm>
                            <a:off x="2275217" y="4084921"/>
                            <a:ext cx="580404" cy="283201"/>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1.</w:t>
                              </w:r>
                              <w:r>
                                <w:rPr>
                                  <w:rFonts w:hint="eastAsia" w:cs="Times New Roman"/>
                                  <w:sz w:val="21"/>
                                  <w:szCs w:val="21"/>
                                  <w:lang w:val="en-US" w:eastAsia="zh-CN"/>
                                </w:rPr>
                                <w:t>755</w:t>
                              </w:r>
                            </w:p>
                          </w:txbxContent>
                        </wps:txbx>
                        <wps:bodyPr upright="1"/>
                      </wps:wsp>
                    </wpc:wpc>
                  </a:graphicData>
                </a:graphic>
              </wp:anchor>
            </w:drawing>
          </mc:Choice>
          <mc:Fallback>
            <w:pict>
              <v:group id="_x0000_s1026" o:spid="_x0000_s1026" o:spt="203" style="position:absolute;left:0pt;margin-left:6.95pt;margin-top:1pt;height:465.9pt;width:429.2pt;z-index:253930496;mso-width-relative:page;mso-height-relative:page;" coordsize="5450840,5916930" editas="canvas" o:gfxdata="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">
                <o:lock v:ext="edit" aspectratio="f"/>
                <v:shape id="_x0000_s1026" o:spid="_x0000_s1026" style="position:absolute;left:0;top:0;height:5916930;width:5450840;" filled="f" stroked="f" coordsize="21600,21600" o:gfxdata="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">
                  <v:fill on="f" focussize="0,0"/>
                  <v:stroke on="f"/>
                  <v:imagedata o:title=""/>
                  <o:lock v:ext="edit" aspectratio="t"/>
                </v:shape>
                <v:rect id="矩形 530" o:spid="_x0000_s1026" o:spt="1" style="position:absolute;left:131401;top:1734109;height:271801;width:467403;" fillcolor="#FFFFFF" filled="t" stroked="t" coordsize="21600,21600" o:gfxdata="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JlSW9YAAAAIAQAADwAAAAAAAAABACAAAAAiAAAAZHJzL2Rvd25y&#10;ZXYueG1sUEsBAhQAFAAAAAgAh07iQK4Iu/0AAgAABgQAAA4AAAAAAAAAAQAgAAAAJQEAAGRycy9l&#10;Mm9Eb2MueG1sUEsFBgAAAAAGAAYAWQEAAJcFAAAAAA==&#10;">
                  <v:fill on="t" opacity="0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v:textbox>
                </v:rect>
                <v:rect id="矩形 531" o:spid="_x0000_s1026" o:spt="1" style="position:absolute;left:1081408;top:475602;height:249501;width:68890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ABk2NYAAAAIAQAADwAAAAAAAAABACAAAAAiAAAAZHJzL2Rvd25yZXYueG1sUEsBAhQAFAAAAAgA&#10;h07iQHDwgjW1AQAARwMAAA4AAAAAAAAAAQAgAAAAJQEAAGRycy9lMm9Eb2MueG1sUEsFBgAAAAAG&#10;AAYAWQEAAEwFAAAAAA==&#10;">
                  <v:fill on="t" opacity="0f" focussize="0,0"/>
                  <v:stroke on="f"/>
                  <v:imagedata o:title=""/>
                  <o:lock v:ext="edit" aspectratio="f"/>
                  <v:textbo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12.36</w:t>
                        </w:r>
                      </w:p>
                    </w:txbxContent>
                  </v:textbox>
                </v:rect>
                <v:line id="直接连接符 532" o:spid="_x0000_s1026" o:spt="20" style="position:absolute;left:608304;top:1875110;height:600;width:563904;"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xj6tgAAAAIAQAADwAAAAAAAAABACAAAAAiAAAAZHJzL2Rvd25yZXYueG1sUEsBAhQA&#10;FAAAAAgAh07iQKuSV4TyAQAAqgMAAA4AAAAAAAAAAQAgAAAAJwEAAGRycy9lMm9Eb2MueG1sUEsF&#10;BgAAAAAGAAYAWQEAAIsFAAAAAA==&#10;">
                  <v:fill on="f" focussize="0,0"/>
                  <v:stroke color="#000000" joinstyle="round" endarrow="block"/>
                  <v:imagedata o:title=""/>
                  <o:lock v:ext="edit" aspectratio="f"/>
                </v:line>
                <v:line id="直接连接符 533" o:spid="_x0000_s1026" o:spt="20" style="position:absolute;left:1158208;top:673103;height:600;width:619105;"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xj6tgAAAAIAQAADwAAAAAAAAABACAAAAAiAAAAZHJzL2Rvd25yZXYueG1sUEsBAhQAFAAA&#10;AAgAh07iQJGULxvvAQAAqgMAAA4AAAAAAAAAAQAgAAAAJwEAAGRycy9lMm9Eb2MueG1sUEsFBgAA&#10;AAAGAAYAWQEAAIgFAAAAAA==&#10;">
                  <v:fill on="f" focussize="0,0"/>
                  <v:stroke color="#000000" joinstyle="round" endarrow="block"/>
                  <v:imagedata o:title=""/>
                  <o:lock v:ext="edit" aspectratio="f"/>
                </v:line>
                <v:line id="直接连接符 534" o:spid="_x0000_s1026" o:spt="20" style="position:absolute;left:1158809;top:669203;height:2628913;width:5100;" filled="f" stroked="t" coordsize="21600,21600" o:gfxdata="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onCyNYAAAAIAQAADwAAAAAAAAABACAAAAAiAAAAZHJzL2Rvd25yZXYueG1sUEsBAhQAFAAAAAgA&#10;h07iQMJzRNHuAQAAqAMAAA4AAAAAAAAAAQAgAAAAJQEAAGRycy9lMm9Eb2MueG1sUEsFBgAAAAAG&#10;AAYAWQEAAIUFAAAAAA==&#10;">
                  <v:fill on="f" focussize="0,0"/>
                  <v:stroke color="#000000" joinstyle="round"/>
                  <v:imagedata o:title=""/>
                  <o:lock v:ext="edit" aspectratio="f"/>
                </v:line>
                <v:line id="直接连接符 535" o:spid="_x0000_s1026" o:spt="20" style="position:absolute;left:1143608;top:1302307;height:1300;width:606404;"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nGPq2AAAAAgBAAAPAAAAAAAAAAEAIAAAACIAAABkcnMvZG93bnJldi54bWxQSwECFAAU&#10;AAAACACHTuJA3CfhaPEBAACsAwAADgAAAAAAAAABACAAAAAnAQAAZHJzL2Uyb0RvYy54bWxQSwUG&#10;AAAAAAYABgBZAQAAigUAAAAA&#10;">
                  <v:fill on="f" focussize="0,0"/>
                  <v:stroke color="#000000" joinstyle="round" endarrow="block"/>
                  <v:imagedata o:title=""/>
                  <o:lock v:ext="edit" aspectratio="f"/>
                </v:line>
                <v:rect id="矩形 536" o:spid="_x0000_s1026" o:spt="1" style="position:absolute;left:1744913;top:1193806;height:266701;width:882706;" fillcolor="#FFFFFF" filled="t" stroked="t" coordsize="21600,21600" o:gfxdata="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wKkDtkAAAAIAQAADwAAAAAA&#10;AAABACAAAAAiAAAAZHJzL2Rvd25yZXYueG1sUEsBAhQAFAAAAAgAh07iQG35alESAgAAMwQAAA4A&#10;AAAAAAAAAQAgAAAAKAEAAGRycy9lMm9Eb2MueG1sUEsFBgAAAAAGAAYAWQEAAKwFAAA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哺乳猪</w:t>
                        </w:r>
                      </w:p>
                    </w:txbxContent>
                  </v:textbox>
                </v:rect>
                <v:rect id="矩形 537" o:spid="_x0000_s1026" o:spt="1" style="position:absolute;left:1763313;top:509203;height:288301;width:797006;"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ak6y1AAAAAgBAAAPAAAAAAAAAAEAIAAAACIAAABkcnMvZG93&#10;bnJldi54bWxQSwECFAAUAAAACACHTuJAq+MSXgQCAADsAwAADgAAAAAAAAABACAAAAAjAQAAZHJz&#10;L2Uyb0RvYy54bWxQSwUGAAAAAAYABgBZAQAAmQUAAAAA&#10;">
                  <v:fill on="f" focussize="0,0"/>
                  <v:stroke color="#000000" joinstyle="miter"/>
                  <v:imagedata o:title=""/>
                  <o:lock v:ext="edit" aspectratio="f"/>
                  <v:textbox inset="0mm,1.4mm,0mm,1.3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怀孕猪</w:t>
                        </w:r>
                      </w:p>
                    </w:txbxContent>
                  </v:textbox>
                </v:rect>
                <v:line id="直接连接符 538" o:spid="_x0000_s1026" o:spt="20" style="position:absolute;left:2567319;top:669203;height:700;width:691505;"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nGPq2AAAAAgBAAAPAAAAAAAAAAEAIAAAACIAAABkcnMvZG93bnJldi54bWxQSwEC&#10;FAAUAAAACACHTuJAekXZdPQBAACqAwAADgAAAAAAAAABACAAAAAnAQAAZHJzL2Uyb0RvYy54bWxQ&#10;SwUGAAAAAAYABgBZAQAAjQUAAAAA&#10;">
                  <v:fill on="f" focussize="0,0"/>
                  <v:stroke color="#000000" joinstyle="round" endarrow="block"/>
                  <v:imagedata o:title=""/>
                  <o:lock v:ext="edit" aspectratio="f"/>
                </v:line>
                <v:rect id="矩形 539" o:spid="_x0000_s1026" o:spt="1" style="position:absolute;left:624205;top:1659208;height:196801;width:65210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ABk&#10;2NYAAAAIAQAADwAAAAAAAAABACAAAAAiAAAAZHJzL2Rvd25yZXYueG1sUEsBAhQAFAAAAAgAh07i&#10;QDG44ziyAQAARwMAAA4AAAAAAAAAAQAgAAAAJQEAAGRycy9lMm9Eb2MueG1sUEsFBgAAAAAGAAYA&#10;WQEAAEk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116.57</w:t>
                        </w:r>
                      </w:p>
                    </w:txbxContent>
                  </v:textbox>
                </v:rect>
                <v:rect id="矩形 540" o:spid="_x0000_s1026" o:spt="1" style="position:absolute;left:1116308;top:1106806;height:198701;width:72770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ABk&#10;2NYAAAAIAQAADwAAAAAAAAABACAAAAAiAAAAZHJzL2Rvd25yZXYueG1sUEsBAhQAFAAAAAgAh07i&#10;QMNh+yGyAQAASAMAAA4AAAAAAAAAAQAgAAAAJQEAAGRycy9lMm9Eb2MueG1sUEsFBgAAAAAGAAYA&#10;WQEAAEkFAAAAAA==&#10;">
                  <v:fill on="t" opacity="0f" focussize="0,0"/>
                  <v:stroke on="f"/>
                  <v:imagedata o:title=""/>
                  <o:lock v:ext="edit" aspectratio="f"/>
                  <v:textbox>
                    <w:txbxContent>
                      <w:p>
                        <w:pPr>
                          <w:widowControl w:val="0"/>
                          <w:spacing w:line="200" w:lineRule="exact"/>
                          <w:ind w:firstLine="0" w:firstLineChars="0"/>
                          <w:jc w:val="center"/>
                          <w:rPr>
                            <w:rFonts w:ascii="Times New Roman" w:hAnsi="Times New Roman" w:cs="Times New Roman"/>
                            <w:sz w:val="21"/>
                            <w:szCs w:val="21"/>
                          </w:rPr>
                        </w:pPr>
                        <w:r>
                          <w:rPr>
                            <w:rFonts w:hint="eastAsia" w:cs="Times New Roman"/>
                            <w:sz w:val="21"/>
                            <w:szCs w:val="21"/>
                            <w:lang w:val="en-US" w:eastAsia="zh-CN"/>
                          </w:rPr>
                          <w:t>5</w:t>
                        </w:r>
                        <w:r>
                          <w:rPr>
                            <w:rFonts w:hint="eastAsia" w:ascii="Times New Roman" w:hAnsi="Times New Roman" w:cs="Times New Roman"/>
                            <w:sz w:val="21"/>
                            <w:szCs w:val="21"/>
                          </w:rPr>
                          <w:t>.81</w:t>
                        </w:r>
                      </w:p>
                    </w:txbxContent>
                  </v:textbox>
                </v:rect>
                <v:line id="直接连接符 541" o:spid="_x0000_s1026" o:spt="20" style="position:absolute;left:2212916;top:311102;flip:y;height:219101;width:217802;" filled="f" stroked="t" coordsize="21600,21600" o:gfxdata="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SuN7UAAAACAEAAA8AAAAAAAAAAQAgAAAAIgAAAGRycy9kb3ducmV2LnhtbFBL&#10;AQIUABQAAAAIAIdO4kDfGz6d+gEAALgDAAAOAAAAAAAAAAEAIAAAACMBAABkcnMvZTJvRG9jLnht&#10;bFBLBQYAAAAABgAGAFkBAACPBQAAAAA=&#10;">
                  <v:fill on="f" focussize="0,0"/>
                  <v:stroke color="#000000" joinstyle="round" dashstyle="longDash" endarrow="block"/>
                  <v:imagedata o:title=""/>
                  <o:lock v:ext="edit" aspectratio="f"/>
                </v:line>
                <v:rect id="矩形 542" o:spid="_x0000_s1026" o:spt="1" style="position:absolute;left:1836413;top:77400;height:260401;width:1355710;"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wA&#10;ZNjWAAAACAEAAA8AAAAAAAAAAQAgAAAAIgAAAGRycy9kb3ducmV2LnhtbFBLAQIUABQAAAAIAIdO&#10;4kA7cELiswEAAEcDAAAOAAAAAAAAAAEAIAAAACUBAABkcnMvZTJvRG9jLnhtbFBLBQYAAAAABgAG&#10;AFkBAABKBQAAAAA=&#10;">
                  <v:fill on="t" opacity="0f" focussize="0,0"/>
                  <v:stroke on="f"/>
                  <v:imagedata o:title=""/>
                  <o:lock v:ext="edit" aspectratio="f"/>
                  <v:textbox>
                    <w:txbxContent>
                      <w:p>
                        <w:pPr>
                          <w:widowControl w:val="0"/>
                          <w:spacing w:line="240" w:lineRule="atLeast"/>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highlight w:val="none"/>
                            <w:lang w:val="en-US" w:eastAsia="zh-CN"/>
                          </w:rPr>
                          <w:t>11.1</w:t>
                        </w:r>
                      </w:p>
                    </w:txbxContent>
                  </v:textbox>
                </v:rect>
                <v:line id="直接连接符 543" o:spid="_x0000_s1026" o:spt="20" style="position:absolute;left:2613619;top:1265506;height:600;width:589904;"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xj6tgAAAAIAQAADwAAAAAAAAABACAAAAAiAAAAZHJzL2Rvd25yZXYueG1sUEsB&#10;AhQAFAAAAAgAh07iQHR8f571AQAAqwMAAA4AAAAAAAAAAQAgAAAAJwEAAGRycy9lMm9Eb2MueG1s&#10;UEsFBgAAAAAGAAYAWQEAAI4FAAAAAA==&#10;">
                  <v:fill on="f" focussize="0,0"/>
                  <v:stroke color="#000000" joinstyle="round" endarrow="block"/>
                  <v:imagedata o:title=""/>
                  <o:lock v:ext="edit" aspectratio="f"/>
                </v:line>
                <v:rect id="矩形 544" o:spid="_x0000_s1026" o:spt="1" style="position:absolute;left:3209924;top:1160706;height:306102;width:567004;"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GpOstQAAAAIAQAADwAAAAAAAAABACAAAAAiAAAAZHJzL2Rv&#10;d25yZXYueG1sUEsBAhQAFAAAAAgAh07iQOaPBlEFAgAA7QMAAA4AAAAAAAAAAQAgAAAAIwEAAGRy&#10;cy9lMm9Eb2MueG1sUEsFBgAAAAAGAAYAWQEAAJoFA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shape id="直接箭头连接符 545" o:spid="_x0000_s1026" o:spt="32" type="#_x0000_t32" style="position:absolute;left:3776928;top:1309307;flip:y;height:4500;width:303602;"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Uw+dYAAAAIAQAADwAAAAAAAAABACAAAAAiAAAAZHJzL2Rvd25yZXYu&#10;eG1sUEsBAhQAFAAAAAgAh07iQBeJf4P9AQAAugMAAA4AAAAAAAAAAQAgAAAAJQEAAGRycy9lMm9E&#10;b2MueG1sUEsFBgAAAAAGAAYAWQEAAJQFAAAAAA==&#10;">
                  <v:fill on="f" focussize="0,0"/>
                  <v:stroke color="#000000" joinstyle="round"/>
                  <v:imagedata o:title=""/>
                  <o:lock v:ext="edit" aspectratio="f"/>
                </v:shape>
                <v:shape id="直接箭头连接符 546" o:spid="_x0000_s1026" o:spt="32" type="#_x0000_t32" style="position:absolute;left:3825828;top:672403;height:2600;width:248902;" filled="f" stroked="t" coordsize="21600,21600" o:gfxdata="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srsQtYAAAAIAQAADwAAAAAAAAABACAAAAAiAAAAZHJzL2Rvd25yZXYueG1sUEsB&#10;AhQAFAAAAAgAh07iQMXF+8z3AQAArwMAAA4AAAAAAAAAAQAgAAAAJQEAAGRycy9lMm9Eb2MueG1s&#10;UEsFBgAAAAAGAAYAWQEAAI4FAAAAAA==&#10;">
                  <v:fill on="f" focussize="0,0"/>
                  <v:stroke color="#000000" joinstyle="round"/>
                  <v:imagedata o:title=""/>
                  <o:lock v:ext="edit" aspectratio="f"/>
                </v:shape>
                <v:rect id="矩形 547" o:spid="_x0000_s1026" o:spt="1" style="position:absolute;left:2680335;top:435610;height:331470;width:48831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AGTY1gAAAAgBAAAPAAAAAAAAAAEAIAAAACIAAABkcnMvZG93bnJldi54bWxQSwECFAAUAAAACACH&#10;TuJAcY2/17QBAABHAwAADgAAAAAAAAABACAAAAAlAQAAZHJzL2Uyb0RvYy54bWxQSwUGAAAAAAYA&#10;BgBZAQAASwU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1.26</w:t>
                        </w:r>
                      </w:p>
                    </w:txbxContent>
                  </v:textbox>
                </v:rect>
                <v:rect id="矩形 548" o:spid="_x0000_s1026" o:spt="1" style="position:absolute;left:2631440;top:1047750;height:216535;width:48577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ABk2NYAAAAIAQAADwAAAAAAAAABACAAAAAiAAAAZHJzL2Rvd25yZXYueG1sUEsBAhQAFAAAAAgA&#10;h07iQNCSkfW1AQAASAMAAA4AAAAAAAAAAQAgAAAAJQEAAGRycy9lMm9Eb2MueG1sUEsFBgAAAAAG&#10;AAYAWQEAAEw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0.61</w:t>
                        </w:r>
                      </w:p>
                    </w:txbxContent>
                  </v:textbox>
                </v:rect>
                <v:line id="直接连接符 549" o:spid="_x0000_s1026" o:spt="20" style="position:absolute;left:2244716;top:1000705;flip:y;height:206401;width:240602;" filled="f" stroked="t" coordsize="21600,21600" o:gfxdata="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0rje1AAAAAgBAAAPAAAAAAAAAAEAIAAAACIAAABkcnMvZG93bnJldi54bWxQ&#10;SwECFAAUAAAACACHTuJA+8VfqvsBAAC5AwAADgAAAAAAAAABACAAAAAjAQAAZHJzL2Uyb0RvYy54&#10;bWxQSwUGAAAAAAYABgBZAQAAkAUAAAAA&#10;">
                  <v:fill on="f" focussize="0,0"/>
                  <v:stroke color="#000000" joinstyle="round" dashstyle="longDash" endarrow="block"/>
                  <v:imagedata o:title=""/>
                  <o:lock v:ext="edit" aspectratio="f"/>
                </v:line>
                <v:shape id="文本框 550" o:spid="_x0000_s1026" o:spt="202" type="#_x0000_t202" style="position:absolute;left:1781213;top:778504;height:302260;width:137350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XwKj9UAAAAIAQAA&#10;DwAAAAAAAAABACAAAAAiAAAAZHJzL2Rvd25yZXYueG1sUEsBAhQAFAAAAAgAh07iQP0pXeyqAQAA&#10;KQMAAA4AAAAAAAAAAQAgAAAAJAEAAGRycy9lMm9Eb2MueG1sUEsFBgAAAAAGAAYAWQEAAEAFAAAA&#10;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5.2</w:t>
                        </w:r>
                      </w:p>
                    </w:txbxContent>
                  </v:textbox>
                </v:shape>
                <v:shape id="直接箭头连接符 551" o:spid="_x0000_s1026" o:spt="32" type="#_x0000_t32" style="position:absolute;left:4061430;top:1979910;flip:x;height:3800;width:600704;"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Uw+dYAAAAIAQAADwAAAAAAAAABACAAAAAiAAAAZHJzL2Rvd25yZXYu&#10;eG1sUEsBAhQAFAAAAAgAh07iQL3Tom/9AQAAugMAAA4AAAAAAAAAAQAgAAAAJQEAAGRycy9lMm9E&#10;b2MueG1sUEsFBgAAAAAGAAYAWQEAAJQFAAAAAA==&#10;">
                  <v:fill on="f" focussize="0,0"/>
                  <v:stroke color="#000000" joinstyle="round"/>
                  <v:imagedata o:title=""/>
                  <o:lock v:ext="edit" aspectratio="f"/>
                </v:shape>
                <v:shape id="文本框 552" o:spid="_x0000_s1026" o:spt="202" type="#_x0000_t202" style="position:absolute;left:4094430;top:1693509;height:304802;width:544904;" filled="f" stroked="f" coordsize="21600,21600" o:gfxdata="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a7ji3VAAAACAEAAA8AAAAAAAAAAQAg&#10;AAAAIgAAAGRycy9kb3ducmV2LnhtbFBLAQIUABQAAAAIAIdO4kAxEJOpnwEAAA8DAAAOAAAAAAAA&#10;AAEAIAAAACQBAABkcnMvZTJvRG9jLnhtbFBLBQYAAAAABgAGAFkBAAA1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xbxContent>
                  </v:textbox>
                </v:shape>
                <v:line id="直接连接符 553" o:spid="_x0000_s1026" o:spt="20" style="position:absolute;left:4066530;top:675003;flip:x;height:2581213;width:8200;" filled="f" stroked="t" coordsize="21600,21600" o:gfxdata="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z8e9jVAAAACAEAAA8AAAAAAAAAAQAgAAAAIgAAAGRycy9kb3ducmV2LnhtbFBLAQIU&#10;ABQAAAAIAIdO4kBDP3v/9gEAALIDAAAOAAAAAAAAAAEAIAAAACQBAABkcnMvZTJvRG9jLnhtbFBL&#10;BQYAAAAABgAGAFkBAACMBQAAAAA=&#10;">
                  <v:fill on="f" focussize="0,0"/>
                  <v:stroke color="#000000" joinstyle="round"/>
                  <v:imagedata o:title=""/>
                  <o:lock v:ext="edit" aspectratio="f"/>
                </v:line>
                <v:rect id="矩形 554" o:spid="_x0000_s1026" o:spt="1" style="position:absolute;left:3094323;top:3716619;height:294001;width:896007;"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ak6y1AAAAAgBAAAPAAAAAAAAAAEAIAAAACIAAABkcnMv&#10;ZG93bnJldi54bWxQSwECFAAUAAAACACHTuJA7PXQygcCAADtAwAADgAAAAAAAAABACAAAAAjAQAA&#10;ZHJzL2Uyb0RvYy54bWxQSwUGAAAAAAYABgBZAQAAnAUAAAAA&#10;">
                  <v:fill on="f" focussize="0,0"/>
                  <v:stroke color="#000000" joinstyle="miter"/>
                  <v:imagedata o:title=""/>
                  <o:lock v:ext="edit" aspectratio="f"/>
                  <v:textbox inset="0mm,1.4mm,0mm,1.3mm">
                    <w:txbxContent>
                      <w:p>
                        <w:pPr>
                          <w:widowControl w:val="0"/>
                          <w:spacing w:line="240" w:lineRule="auto"/>
                          <w:ind w:firstLine="0" w:firstLineChars="0"/>
                          <w:rPr>
                            <w:rFonts w:hint="eastAsia" w:ascii="Calibri" w:hAnsi="Calibri" w:cs="Times New Roman"/>
                            <w:sz w:val="21"/>
                            <w:szCs w:val="21"/>
                          </w:rPr>
                        </w:pPr>
                        <w:r>
                          <w:rPr>
                            <w:rFonts w:hint="eastAsia" w:ascii="Calibri" w:hAnsi="Calibri" w:cs="Times New Roman"/>
                            <w:sz w:val="21"/>
                            <w:szCs w:val="21"/>
                          </w:rPr>
                          <w:t>固粪处理区</w:t>
                        </w:r>
                      </w:p>
                    </w:txbxContent>
                  </v:textbox>
                </v:rect>
                <v:shape id="文本框 555" o:spid="_x0000_s1026" o:spt="202" type="#_x0000_t202" style="position:absolute;left:4057030;top:3658919;height:302260;width:50482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XwKj9UAAAAIAQAA&#10;DwAAAAAAAAABACAAAAAiAAAAZHJzL2Rvd25yZXYueG1sUEsBAhQAFAAAAAgAh07iQIqcG7eqAQAA&#10;KQMAAA4AAAAAAAAAAQAgAAAAJAEAAGRycy9lMm9Eb2MueG1sUEsFBgAAAAAGAAYAWQEAAEAFAAAA&#10;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v:textbox>
                </v:shape>
                <v:shape id="文本框 556" o:spid="_x0000_s1026" o:spt="202" type="#_x0000_t202" style="position:absolute;left:4097630;top:4631723;height:302260;width:60515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5fAqP1QAAAAgB&#10;AAAPAAAAAAAAAAEAIAAAACIAAABkcnMvZG93bnJldi54bWxQSwECFAAUAAAACACHTuJA6eovX6wB&#10;AAApAwAADgAAAAAAAAABACAAAAAk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v:textbox>
                </v:shape>
                <v:shape id="直接箭头连接符 557" o:spid="_x0000_s1026" o:spt="32" type="#_x0000_t32" style="position:absolute;left:2303717;top:3883620;height:600;width:816606;" filled="f" stroked="t" coordsize="21600,21600" o:gfxdata="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IiT3fVAAAACAEAAA8AAAAAAAAAAQAgAAAAIgAAAGRycy9kb3ducmV2Lnht&#10;bFBLAQIUABQAAAAIAIdO4kD82r92/AEAALMDAAAOAAAAAAAAAAEAIAAAACQBAABkcnMvZTJvRG9j&#10;LnhtbFBLBQYAAAAABgAGAFkBAACSBQAAAAA=&#10;">
                  <v:fill on="f" focussize="0,0"/>
                  <v:stroke color="#000000" joinstyle="round" startarrow="block"/>
                  <v:imagedata o:title=""/>
                  <o:lock v:ext="edit" aspectratio="f"/>
                </v:shape>
                <v:shape id="直接箭头连接符 558" o:spid="_x0000_s1026" o:spt="32" type="#_x0000_t32" style="position:absolute;left:3533126;top:4980325;flip:y;height:492702;width:7000;" filled="f" stroked="t" coordsize="21600,21600" o:gfxdata="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VUT7dgAAAAIAQAADwAAAAAAAAABACAAAAAiAAAAZHJzL2Rv&#10;d25yZXYueG1sUEsBAhQAFAAAAAgAh07iQHPb8q0BAgAAvgMAAA4AAAAAAAAAAQAgAAAAJwEAAGRy&#10;cy9lMm9Eb2MueG1sUEsFBgAAAAAGAAYAWQEAAJoFAAAAAA==&#10;">
                  <v:fill on="f" focussize="0,0"/>
                  <v:stroke color="#000000" joinstyle="round" startarrow="block"/>
                  <v:imagedata o:title=""/>
                  <o:lock v:ext="edit" aspectratio="f"/>
                </v:shape>
                <v:shape id="直接箭头连接符 559" o:spid="_x0000_s1026" o:spt="32" type="#_x0000_t32" style="position:absolute;left:3960429;top:3862720;flip:x y;height:1200;width:709305;" filled="f" stroked="t" coordsize="21600,21600" o:gfxdata="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MnwPXAAAACAEAAA8AAAAAAAAAAQAgAAAAIgAAAGRycy9k&#10;b3ducmV2LnhtbFBLAQIUABQAAAAIAIdO4kD3TK86AwIAAMgDAAAOAAAAAAAAAAEAIAAAACYBAABk&#10;cnMvZTJvRG9jLnhtbFBLBQYAAAAABgAGAFkBAACbBQAAAAA=&#10;">
                  <v:fill on="f" focussize="0,0"/>
                  <v:stroke color="#000000" joinstyle="round" endarrow="block"/>
                  <v:imagedata o:title=""/>
                  <o:lock v:ext="edit" aspectratio="f"/>
                </v:shape>
                <v:rect id="矩形 560" o:spid="_x0000_s1026" o:spt="1" style="position:absolute;left:1828813;top:3729919;height:258501;width:623505;" filled="f" stroked="f" coordsize="21600,21600" o:gfxdata="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xu9YtcAAAAI&#10;AQAADwAAAAAAAAABACAAAAAiAAAAZHJzL2Rvd25yZXYueG1sUEsBAhQAFAAAAAgAh07iQNregWCr&#10;AQAALgMAAA4AAAAAAAAAAQAgAAAAJgEAAGRycy9lMm9Eb2MueG1sUEsFBgAAAAAGAAYAWQEAAEMF&#10;AAAAAA==&#10;">
                  <v:fill on="f" focussize="0,0"/>
                  <v:stroke on="f"/>
                  <v:imagedata o:title=""/>
                  <o:lock v:ext="edit" aspectratio="f"/>
                  <v:textbox inset="0mm,1.4mm,0mm,1.3mm">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基料</w:t>
                        </w:r>
                      </w:p>
                    </w:txbxContent>
                  </v:textbox>
                </v:rect>
                <v:shape id="直接箭头连接符 561" o:spid="_x0000_s1026" o:spt="32" type="#_x0000_t32" style="position:absolute;left:4667234;top:1985610;height:2861915;width:8900;" filled="f" stroked="t" coordsize="21600,21600" o:gfxdata="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K7ELWAAAACAEAAA8AAAAAAAAAAQAgAAAAIgAAAGRycy9kb3ducmV2LnhtbFBLAQIU&#10;ABQAAAAIAIdO4kB2edDg9QEAALEDAAAOAAAAAAAAAAEAIAAAACUBAABkcnMvZTJvRG9jLnhtbFBL&#10;BQYAAAAABgAGAFkBAACMBQAAAAA=&#10;">
                  <v:fill on="f" focussize="0,0"/>
                  <v:stroke color="#000000" joinstyle="round"/>
                  <v:imagedata o:title=""/>
                  <o:lock v:ext="edit" aspectratio="f"/>
                </v:shape>
                <v:shape id="直接箭头连接符 562" o:spid="_x0000_s1026" o:spt="32" type="#_x0000_t32" style="position:absolute;left:4042430;top:4834925;flip:x;height:600;width:650205;" filled="f" stroked="t" coordsize="21600,21600" o:gfxdata="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XoLn2AAAAAgBAAAPAAAAAAAAAAEAIAAAACIAAABkcnMv&#10;ZG93bnJldi54bWxQSwECFAAUAAAACACHTuJAMlZ0GwMCAAC9AwAADgAAAAAAAAABACAAAAAnAQAA&#10;ZHJzL2Uyb0RvYy54bWxQSwUGAAAAAAYABgBZAQAAnAUAAAAA&#10;">
                  <v:fill on="f" focussize="0,0"/>
                  <v:stroke color="#000000" joinstyle="round" endarrow="block"/>
                  <v:imagedata o:title=""/>
                  <o:lock v:ext="edit" aspectratio="f"/>
                </v:shape>
                <v:line id="直接连接符 563" o:spid="_x0000_s1026" o:spt="20" style="position:absolute;left:3673427;top:4990425;height:260401;width:278802;" filled="f" stroked="t" coordsize="21600,21600" o:gfxdata="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FaG1gAAAAgBAAAPAAAAAAAAAAEAIAAAACIAAABkcnMvZG93bnJldi54bWxQSwEC&#10;FAAUAAAACACHTuJAb49P/fYBAACvAwAADgAAAAAAAAABACAAAAAlAQAAZHJzL2Uyb0RvYy54bWxQ&#10;SwUGAAAAAAYABgBZAQAAjQUAAAAA&#10;">
                  <v:fill on="f" focussize="0,0"/>
                  <v:stroke color="#000000" joinstyle="round" dashstyle="longDash" endarrow="block"/>
                  <v:imagedata o:title=""/>
                  <o:lock v:ext="edit" aspectratio="f"/>
                </v:line>
                <v:rect id="矩形 564" o:spid="_x0000_s1026" o:spt="1" style="position:absolute;left:3722327;top:5257127;height:326402;width:890307;"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ABk2NYAAAAIAQAADwAAAAAAAAABACAAAAAiAAAAZHJzL2Rvd25yZXYueG1sUEsBAhQAFAAA&#10;AAgAh07iQNmtjhy4AQAASAMAAA4AAAAAAAAAAQAgAAAAJQEAAGRycy9lMm9Eb2MueG1sUEsFBgAA&#10;AAAGAAYAWQEAAE8FA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w:t>
                        </w:r>
                        <w:r>
                          <w:rPr>
                            <w:rFonts w:hint="eastAsia" w:cs="Times New Roman"/>
                            <w:sz w:val="21"/>
                            <w:szCs w:val="21"/>
                            <w:lang w:val="en-US" w:eastAsia="zh-CN"/>
                          </w:rPr>
                          <w:t>2.925</w:t>
                        </w:r>
                      </w:p>
                    </w:txbxContent>
                  </v:textbox>
                </v:rect>
                <v:shape id="文本框 565" o:spid="_x0000_s1026" o:spt="202" type="#_x0000_t202" style="position:absolute;left:2465718;top:3599818;height:302260;width:633730;"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l8Co/VAAAACAEA&#10;AA8AAAAAAAAAAQAgAAAAIgAAAGRycy9kb3ducmV2LnhtbFBLAQIUABQAAAAIAIdO4kAAoflJqwEA&#10;ACkDAAAOAAAAAAAAAAEAIAAAACQBAABkcnMvZTJvRG9jLnhtbFBLBQYAAAAABgAGAFkBAABBBQAA&#10;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7.605</w:t>
                        </w:r>
                      </w:p>
                    </w:txbxContent>
                  </v:textbox>
                </v:shape>
                <v:rect id="矩形 566" o:spid="_x0000_s1026" o:spt="1" style="position:absolute;left:2855521;top:4701524;height:271801;width:1229409;"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GpOstQAAAAIAQAADwAAAAAAAAABACAAAAAiAAAAZHJz&#10;L2Rvd25yZXYueG1sUEsBAhQAFAAAAAgAh07iQIuiyakIAgAA7gMAAA4AAAAAAAAAAQAgAAAAIwEA&#10;AGRycy9lMm9Eb2MueG1sUEsFBgAAAAAGAAYAWQEAAJ0FAAAAAA==&#10;">
                  <v:fill on="f" focussize="0,0"/>
                  <v:stroke color="#000000" joinstyle="miter"/>
                  <v:imagedata o:title=""/>
                  <o:lock v:ext="edit" aspectratio="f"/>
                  <v:textbox inset="0mm,1.4mm,0mm,1.3mm">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v:textbox>
                </v:rect>
                <v:shape id="文本框 567" o:spid="_x0000_s1026" o:spt="202" type="#_x0000_t202" style="position:absolute;left:2086015;top:5333327;height:513080;width:723900;"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l8Co/VAAAACAEA&#10;AA8AAAAAAAAAAQAgAAAAIgAAAGRycy9kb3ducmV2LnhtbFBLAQIUABQAAAAIAIdO4kCU+U7sqwEA&#10;ACkDAAAOAAAAAAAAAAEAIAAAACQBAABkcnMvZTJvRG9jLnhtbFBLBQYAAAAABgAGAFkBAABBBQAA&#10;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cs="Times New Roman"/>
                            <w:sz w:val="21"/>
                            <w:szCs w:val="21"/>
                            <w:lang w:val="en-US" w:eastAsia="zh-CN"/>
                          </w:rPr>
                          <w:t>1.17</w:t>
                        </w:r>
                      </w:p>
                    </w:txbxContent>
                  </v:textbox>
                </v:shape>
                <v:rect id="矩形 568" o:spid="_x0000_s1026" o:spt="1" style="position:absolute;left:3258824;top:526403;height:292101;width:567004;"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GpOstQAAAAIAQAADwAAAAAAAAABACAAAAAiAAAAZHJzL2Rv&#10;d25yZXYueG1sUEsBAhQAFAAAAAgAh07iQATHcioFAgAA7AMAAA4AAAAAAAAAAQAgAAAAIwEAAGRy&#10;cy9lMm9Eb2MueG1sUEsFBgAAAAAGAAYAWQEAAJoFAAAAAA==&#10;">
                  <v:fill on="f" focussize="0,0"/>
                  <v:stroke color="#000000" joinstyle="miter"/>
                  <v:imagedata o:title=""/>
                  <o:lock v:ext="edit" aspectratio="f"/>
                  <v:textbox inset="0mm,1.4mm,0mm,1.3mm">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猪粪</w:t>
                        </w:r>
                      </w:p>
                    </w:txbxContent>
                  </v:textbox>
                </v:rect>
                <v:shape id="直接箭头连接符 569" o:spid="_x0000_s1026" o:spt="32" type="#_x0000_t32" style="position:absolute;left:2188816;top:4824024;flip:x;height:700;width:650205;" filled="f" stroked="t" coordsize="21600,21600" o:gfxdata="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egufYAAAACAEAAA8AAAAAAAAAAQAgAAAAIgAAAGRy&#10;cy9kb3ducmV2LnhtbFBLAQIUABQAAAAIAIdO4kBy5LXMBQIAAL0DAAAOAAAAAAAAAAEAIAAAACcB&#10;AABkcnMvZTJvRG9jLnhtbFBLBQYAAAAABgAGAFkBAACeBQAAAAA=&#10;">
                  <v:fill on="f" focussize="0,0"/>
                  <v:stroke color="#000000" joinstyle="round" endarrow="block"/>
                  <v:imagedata o:title=""/>
                  <o:lock v:ext="edit" aspectratio="f"/>
                </v:shape>
                <v:rect id="矩形 570" o:spid="_x0000_s1026" o:spt="1" style="position:absolute;left:3282324;top:5451428;height:283201;width:447003;"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GpOstQAAAAIAQAADwAAAAAAAAABACAAAAAiAAAAZHJzL2Rv&#10;d25yZXYueG1sUEsBAhQAFAAAAAgAh07iQH7pIl8FAgAA7QMAAA4AAAAAAAAAAQAgAAAAIwEAAGRy&#10;cy9lMm9Eb2MueG1sUEsFBgAAAAAGAAYAWQEAAJoFAAAAAA==&#10;">
                  <v:fill on="f" focussize="0,0"/>
                  <v:stroke color="#000000" joinstyle="miter"/>
                  <v:imagedata o:title=""/>
                  <o:lock v:ext="edit" aspectratio="f"/>
                  <v:textbox inset="0mm,1.4mm,0mm,1.3mm">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沼液</w:t>
                        </w:r>
                      </w:p>
                    </w:txbxContent>
                  </v:textbox>
                </v:rect>
                <v:shape id="文本框 571" o:spid="_x0000_s1026" o:spt="202" type="#_x0000_t202" style="position:absolute;left:2976922;top:5090126;height:302260;width:58737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l8Co/VAAAA&#10;CAEAAA8AAAAAAAAAAQAgAAAAIgAAAGRycy9kb3ducmV2LnhtbFBLAQIUABQAAAAIAIdO4kBWerHD&#10;rgEAACkDAAAOAAAAAAAAAAEAIAAAACQBAABkcnMvZTJvRG9jLnhtbFBLBQYAAAAABgAGAFkBAABE&#10;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xbxContent>
                  </v:textbox>
                </v:shape>
                <v:shape id="直接箭头连接符 572" o:spid="_x0000_s1026" o:spt="32" type="#_x0000_t32" style="position:absolute;left:2791420;top:5600028;flip:x;height:700;width:494004;" filled="f" stroked="t" coordsize="21600,21600" o:gfxdata="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XoLn2AAAAAgBAAAPAAAAAAAAAAEAIAAAACIAAABkcnMv&#10;ZG93bnJldi54bWxQSwECFAAUAAAACACHTuJA4yVz0QMCAAC9AwAADgAAAAAAAAABACAAAAAnAQAA&#10;ZHJzL2Uyb0RvYy54bWxQSwUGAAAAAAYABgBZAQAAnAUAAAAA&#10;">
                  <v:fill on="f" focussize="0,0"/>
                  <v:stroke color="#000000" joinstyle="round" endarrow="block"/>
                  <v:imagedata o:title=""/>
                  <o:lock v:ext="edit" aspectratio="f"/>
                </v:shape>
                <v:rect id="矩形 573" o:spid="_x0000_s1026" o:spt="1" style="position:absolute;left:1755113;top:4708524;height:283201;width:447003;"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ak6y1AAAAAgBAAAPAAAAAAAAAAEAIAAAACIAAABkcnMvZG93&#10;bnJldi54bWxQSwECFAAUAAAACACHTuJA57VFYwQCAADtAwAADgAAAAAAAAABACAAAAAjAQAAZHJz&#10;L2Uyb0RvYy54bWxQSwUGAAAAAAYABgBZAQAAmQUAAAAA&#10;">
                  <v:fill on="f" focussize="0,0"/>
                  <v:stroke color="#000000" joinstyle="miter"/>
                  <v:imagedata o:title=""/>
                  <o:lock v:ext="edit" aspectratio="f"/>
                  <v:textbox inset="0mm,1.4mm,0mm,1.3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v:textbox>
                </v:rect>
                <v:shape id="直接箭头连接符 574" o:spid="_x0000_s1026" o:spt="32" type="#_x0000_t32" style="position:absolute;left:1998315;top:4308422;flip:y;height:426702;width:3800;"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Uw+dYAAAAIAQAADwAAAAAAAAABACAAAAAiAAAAZHJzL2Rvd25yZXYu&#10;eG1sUEsBAhQAFAAAAAgAh07iQHkS0Pv9AQAAugMAAA4AAAAAAAAAAQAgAAAAJQEAAGRycy9lMm9E&#10;b2MueG1sUEsFBgAAAAAGAAYAWQEAAJQFAAAAAA==&#10;">
                  <v:fill on="f" focussize="0,0"/>
                  <v:stroke color="#000000" joinstyle="round"/>
                  <v:imagedata o:title=""/>
                  <o:lock v:ext="edit" aspectratio="f"/>
                </v:shape>
                <v:shape id="直接箭头连接符 575" o:spid="_x0000_s1026" o:spt="32" type="#_x0000_t32" style="position:absolute;left:1988115;top:4295122;flip:y;height:20300;width:1629412;"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Uw+dYAAAAIAQAADwAAAAAAAAABACAAAAAiAAAAZHJzL2Rvd25yZXYu&#10;eG1sUEsBAhQAFAAAAAgAh07iQFrQ3PP9AQAAvAMAAA4AAAAAAAAAAQAgAAAAJQEAAGRycy9lMm9E&#10;b2MueG1sUEsFBgAAAAAGAAYAWQEAAJQFAAAAAA==&#10;">
                  <v:fill on="f" focussize="0,0"/>
                  <v:stroke color="#000000" joinstyle="round"/>
                  <v:imagedata o:title=""/>
                  <o:lock v:ext="edit" aspectratio="f"/>
                </v:shape>
                <v:shape id="直接箭头连接符 576" o:spid="_x0000_s1026" o:spt="32" type="#_x0000_t32" style="position:absolute;left:3616927;top:4010620;flip:y;height:287701;width:600;" filled="f" stroked="t" coordsize="21600,21600" o:gfxdata="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F6C59gAAAAIAQAADwAAAAAAAAABACAAAAAiAAAAZHJzL2Rv&#10;d25yZXYueG1sUEsBAhQAFAAAAAgAh07iQCmrA10BAgAAvQMAAA4AAAAAAAAAAQAgAAAAJwEAAGRy&#10;cy9lMm9Eb2MueG1sUEsFBgAAAAAGAAYAWQEAAJoFAAAAAA==&#10;">
                  <v:fill on="f" focussize="0,0"/>
                  <v:stroke color="#000000" joinstyle="round" endarrow="block"/>
                  <v:imagedata o:title=""/>
                  <o:lock v:ext="edit" aspectratio="f"/>
                </v:shape>
                <v:shape id="文本框 577" o:spid="_x0000_s1026" o:spt="202" type="#_x0000_t202" style="position:absolute;left:2258617;top:4585923;height:283201;width:580404;" filled="f" stroked="f" coordsize="21600,21600" o:gfxdata="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a7ji3VAAAACAEAAA8AAAAAAAAAAQAg&#10;AAAAIgAAAGRycy9kb3ducmV2LnhtbFBLAQIUABQAAAAIAIdO4kAPD4ijnwEAAA8DAAAOAAAAAAAA&#10;AAEAIAAAACQBAABkcnMvZTJvRG9jLnhtbFBLBQYAAAAABgAGAFkBAAA1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1.</w:t>
                        </w:r>
                        <w:r>
                          <w:rPr>
                            <w:rFonts w:hint="eastAsia" w:cs="Times New Roman"/>
                            <w:sz w:val="21"/>
                            <w:szCs w:val="21"/>
                            <w:lang w:val="en-US" w:eastAsia="zh-CN"/>
                          </w:rPr>
                          <w:t>755</w:t>
                        </w:r>
                      </w:p>
                    </w:txbxContent>
                  </v:textbox>
                </v:shape>
                <v:line id="直接连接符 578" o:spid="_x0000_s1026" o:spt="20" style="position:absolute;left:1142308;top:1903710;height:600;width:619105;"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xj6tgAAAAIAQAADwAAAAAAAAABACAAAAAiAAAAZHJzL2Rvd25yZXYueG1sUEsBAhQA&#10;FAAAAAgAh07iQJouICbyAQAAqwMAAA4AAAAAAAAAAQAgAAAAJwEAAGRycy9lMm9Eb2MueG1sUEsF&#10;BgAAAAAGAAYAWQEAAIsFAAAAAA==&#10;">
                  <v:fill on="f" focussize="0,0"/>
                  <v:stroke color="#000000" joinstyle="round" endarrow="block"/>
                  <v:imagedata o:title=""/>
                  <o:lock v:ext="edit" aspectratio="f"/>
                </v:line>
                <v:rect id="矩形 579" o:spid="_x0000_s1026" o:spt="1" style="position:absolute;left:1731613;top:1744909;height:266701;width:882606;" fillcolor="#FFFFFF" filled="t" stroked="t" coordsize="21600,21600" o:gfxdata="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qQO2QAAAAgBAAAP&#10;AAAAAAAAAAEAIAAAACIAAABkcnMvZG93bnJldi54bWxQSwECFAAUAAAACACHTuJASzWi1BcCAAAz&#10;BAAADgAAAAAAAAABACAAAAAoAQAAZHJzL2Uyb0RvYy54bWxQSwUGAAAAAAYABgBZAQAAsQ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保育猪</w:t>
                        </w:r>
                      </w:p>
                      <w:p>
                        <w:pPr>
                          <w:widowControl w:val="0"/>
                          <w:spacing w:line="240" w:lineRule="auto"/>
                          <w:ind w:firstLine="0" w:firstLineChars="0"/>
                          <w:rPr>
                            <w:rFonts w:ascii="Calibri" w:hAnsi="Calibri" w:cs="Times New Roman"/>
                            <w:b/>
                            <w:sz w:val="28"/>
                            <w:szCs w:val="22"/>
                          </w:rPr>
                        </w:pPr>
                      </w:p>
                    </w:txbxContent>
                  </v:textbox>
                </v:rect>
                <v:line id="直接连接符 580" o:spid="_x0000_s1026" o:spt="20" style="position:absolute;left:2618119;top:1898010;height:600;width:589904;"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nGPq2AAAAAgBAAAPAAAAAAAAAAEAIAAAACIAAABkcnMvZG93bnJldi54bWxQSwECFAAU&#10;AAAACACHTuJAGXY3TfEBAACrAwAADgAAAAAAAAABACAAAAAnAQAAZHJzL2Uyb0RvYy54bWxQSwUG&#10;AAAAAAYABgBZAQAAigUAAAAA&#10;">
                  <v:fill on="f" focussize="0,0"/>
                  <v:stroke color="#000000" joinstyle="round" endarrow="block"/>
                  <v:imagedata o:title=""/>
                  <o:lock v:ext="edit" aspectratio="f"/>
                </v:line>
                <v:rect id="矩形 581" o:spid="_x0000_s1026" o:spt="1" style="position:absolute;left:3180023;top:1718309;height:306002;width:567104;"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ak6y1AAAAAgBAAAPAAAAAAAAAAEAIAAAACIAAABkcnMv&#10;ZG93bnJldi54bWxQSwECFAAUAAAACACHTuJAvAKglQcCAADtAwAADgAAAAAAAAABACAAAAAjAQAA&#10;ZHJzL2Uyb0RvYy54bWxQSwUGAAAAAAYABgBZAQAAnAU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line id="直接连接符 582" o:spid="_x0000_s1026" o:spt="20" style="position:absolute;left:1163309;top:2430712;height:700;width:619105;"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nGPq2AAAAAgBAAAPAAAAAAAAAAEAIAAAACIAAABkcnMvZG93bnJldi54bWxQSwEC&#10;FAAUAAAACACHTuJARzIDbvQBAACrAwAADgAAAAAAAAABACAAAAAnAQAAZHJzL2Uyb0RvYy54bWxQ&#10;SwUGAAAAAAYABgBZAQAAjQUAAAAA&#10;">
                  <v:fill on="f" focussize="0,0"/>
                  <v:stroke color="#000000" joinstyle="round" endarrow="block"/>
                  <v:imagedata o:title=""/>
                  <o:lock v:ext="edit" aspectratio="f"/>
                </v:line>
                <v:rect id="矩形 583" o:spid="_x0000_s1026" o:spt="1" style="position:absolute;left:1752613;top:2334212;height:266701;width:882606;" fillcolor="#FFFFFF" filled="t" stroked="t" coordsize="21600,21600" o:gfxdata="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8CpA7ZAAAACAEAAA8A&#10;AAAAAAAAAQAgAAAAIgAAAGRycy9kb3ducmV2LnhtbFBLAQIUABQAAAAIAIdO4kAexa1LFgIAADME&#10;AAAOAAAAAAAAAAEAIAAAACgBAABkcnMvZTJvRG9jLnhtbFBLBQYAAAAABgAGAFkBAACwBQ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育肥猪</w:t>
                        </w:r>
                      </w:p>
                      <w:p>
                        <w:pPr>
                          <w:widowControl w:val="0"/>
                          <w:spacing w:line="240" w:lineRule="atLeast"/>
                          <w:ind w:firstLine="0" w:firstLineChars="0"/>
                          <w:jc w:val="center"/>
                          <w:rPr>
                            <w:rFonts w:ascii="Calibri" w:hAnsi="Calibri" w:cs="Times New Roman"/>
                            <w:b/>
                            <w:sz w:val="21"/>
                            <w:szCs w:val="21"/>
                          </w:rPr>
                        </w:pPr>
                      </w:p>
                    </w:txbxContent>
                  </v:textbox>
                </v:rect>
                <v:line id="直接连接符 584" o:spid="_x0000_s1026" o:spt="20" style="position:absolute;left:2639019;top:2465713;height:600;width:589904;"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xj6tgAAAAIAQAADwAAAAAAAAABACAAAAAiAAAAZHJzL2Rvd25yZXYueG1sUEsB&#10;AhQAFAAAAAgAh07iQKU8Ucn1AQAAqwMAAA4AAAAAAAAAAQAgAAAAJwEAAGRycy9lMm9Eb2MueG1s&#10;UEsFBgAAAAAGAAYAWQEAAI4FAAAAAA==&#10;">
                  <v:fill on="f" focussize="0,0"/>
                  <v:stroke color="#000000" joinstyle="round" endarrow="block"/>
                  <v:imagedata o:title=""/>
                  <o:lock v:ext="edit" aspectratio="f"/>
                </v:line>
                <v:rect id="矩形 585" o:spid="_x0000_s1026" o:spt="1" style="position:absolute;left:3213724;top:2306312;height:306002;width:567004;"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GpOstQAAAAIAQAADwAAAAAAAAABACAAAAAiAAAAZHJz&#10;L2Rvd25yZXYueG1sUEsBAhQAFAAAAAgAh07iQBuXtfsIAgAA7QMAAA4AAAAAAAAAAQAgAAAAIwEA&#10;AGRycy9lMm9Eb2MueG1sUEsFBgAAAAAGAAYAWQEAAJ0FA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line id="直接连接符 586" o:spid="_x0000_s1026" o:spt="20" style="position:absolute;left:2181216;top:1581708;flip:y;height:147401;width:243202;" filled="f" stroked="t" coordsize="21600,21600" o:gfxdata="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SuN7UAAAACAEAAA8AAAAAAAAAAQAgAAAAIgAAAGRycy9kb3ducmV2LnhtbFBL&#10;AQIUABQAAAAIAIdO4kC1ZweW+gEAALkDAAAOAAAAAAAAAAEAIAAAACMBAABkcnMvZTJvRG9jLnht&#10;bFBLBQYAAAAABgAGAFkBAACPBQAAAAA=&#10;">
                  <v:fill on="f" focussize="0,0"/>
                  <v:stroke color="#000000" joinstyle="round" dashstyle="longDash" endarrow="block"/>
                  <v:imagedata o:title=""/>
                  <o:lock v:ext="edit" aspectratio="f"/>
                </v:line>
                <v:line id="直接连接符 587" o:spid="_x0000_s1026" o:spt="20" style="position:absolute;left:2167816;top:2202811;flip:y;height:147301;width:243202;" filled="f" stroked="t" coordsize="21600,21600" o:gfxdata="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LSuN7UAAAACAEAAA8AAAAAAAAAAQAgAAAAIgAAAGRycy9kb3ducmV2Lnht&#10;bFBLAQIUABQAAAAIAIdO4kAr4UKF/QEAALkDAAAOAAAAAAAAAAEAIAAAACMBAABkcnMvZTJvRG9j&#10;LnhtbFBLBQYAAAAABgAGAFkBAACSBQAAAAA=&#10;">
                  <v:fill on="f" focussize="0,0"/>
                  <v:stroke color="#000000" joinstyle="round" dashstyle="longDash" endarrow="block"/>
                  <v:imagedata o:title=""/>
                  <o:lock v:ext="edit" aspectratio="f"/>
                </v:line>
                <v:line id="直接连接符 588" o:spid="_x0000_s1026" o:spt="20" style="position:absolute;left:1143008;top:3269617;height:600;width:619105;"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nGPq2AAAAAgBAAAPAAAAAAAAAAEAIAAAACIAAABkcnMvZG93bnJldi54bWxQSwEC&#10;FAAUAAAACACHTuJAJnJQ9PQBAACrAwAADgAAAAAAAAABACAAAAAnAQAAZHJzL2Uyb0RvYy54bWxQ&#10;SwUGAAAAAAYABgBZAQAAjQUAAAAA&#10;">
                  <v:fill on="f" focussize="0,0"/>
                  <v:stroke color="#000000" joinstyle="round" endarrow="block"/>
                  <v:imagedata o:title=""/>
                  <o:lock v:ext="edit" aspectratio="f"/>
                </v:line>
                <v:rect id="矩形 589" o:spid="_x0000_s1026" o:spt="1" style="position:absolute;left:1751913;top:3082216;height:266701;width:882706;" fillcolor="#FFFFFF" filled="t" stroked="t" coordsize="21600,21600" o:gfxdata="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qQO2QAAAAgBAAAP&#10;AAAAAAAAAAEAIAAAACIAAABkcnMvZG93bnJldi54bWxQSwECFAAUAAAACACHTuJAwKPYnRcCAAAz&#10;BAAADgAAAAAAAAABACAAAAAoAQAAZHJzL2Uyb0RvYy54bWxQSwUGAAAAAAYABgBZAQAAsQ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后备育肥</w:t>
                        </w:r>
                      </w:p>
                    </w:txbxContent>
                  </v:textbox>
                </v:rect>
                <v:line id="直接连接符 590" o:spid="_x0000_s1026" o:spt="20" style="position:absolute;left:2153916;top:2943215;flip:y;height:147301;width:243202;" filled="f" stroked="t" coordsize="21600,21600" o:gfxdata="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0rje1AAAAAgBAAAPAAAAAAAAAAEAIAAAACIAAABkcnMvZG93bnJldi54bWxQSwEC&#10;FAAUAAAACACHTuJAnUvUPvgBAAC5AwAADgAAAAAAAAABACAAAAAjAQAAZHJzL2Uyb0RvYy54bWxQ&#10;SwUGAAAAAAYABgBZAQAAjQUAAAAA&#10;">
                  <v:fill on="f" focussize="0,0"/>
                  <v:stroke color="#000000" joinstyle="round" dashstyle="longDash" endarrow="block"/>
                  <v:imagedata o:title=""/>
                  <o:lock v:ext="edit" aspectratio="f"/>
                </v:line>
                <v:line id="直接连接符 591" o:spid="_x0000_s1026" o:spt="20" style="position:absolute;left:2625019;top:3220716;height:600;width:590004;" filled="f" stroked="t" coordsize="21600,21600" o:gfxdata="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nGPq2AAAAAgBAAAPAAAAAAAAAAEAIAAAACIAAABkcnMvZG93bnJldi54bWxQSwEC&#10;FAAUAAAACACHTuJAxIiq5PQBAACrAwAADgAAAAAAAAABACAAAAAnAQAAZHJzL2Uyb0RvYy54bWxQ&#10;SwUGAAAAAAYABgBZAQAAjQUAAAAA&#10;">
                  <v:fill on="f" focussize="0,0"/>
                  <v:stroke color="#000000" joinstyle="round" endarrow="block"/>
                  <v:imagedata o:title=""/>
                  <o:lock v:ext="edit" aspectratio="f"/>
                </v:line>
                <v:rect id="矩形 592" o:spid="_x0000_s1026" o:spt="1" style="position:absolute;left:3206724;top:3033315;height:306102;width:567104;" filled="f" stroked="t" coordsize="21600,21600" o:gfxdata="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ak6y1AAAAAgBAAAPAAAAAAAAAAEAIAAAACIAAABkcnMv&#10;ZG93bnJldi54bWxQSwECFAAUAAAACACHTuJAg5ddSwcCAADtAwAADgAAAAAAAAABACAAAAAjAQAA&#10;ZHJzL2Uyb0RvYy54bWxQSwUGAAAAAAYABgBZAQAAnAU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shape id="直接箭头连接符 593" o:spid="_x0000_s1026" o:spt="32" type="#_x0000_t32" style="position:absolute;left:3768028;top:1891010;flip:y;height:4400;width:303602;"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NTD51gAAAAgBAAAPAAAAAAAAAAEAIAAAACIAAABkcnMvZG93bnJldi54&#10;bWxQSwECFAAUAAAACACHTuJAjMY8RfwBAAC6AwAADgAAAAAAAAABACAAAAAlAQAAZHJzL2Uyb0Rv&#10;Yy54bWxQSwUGAAAAAAYABgBZAQAAkwUAAAAA&#10;">
                  <v:fill on="f" focussize="0,0"/>
                  <v:stroke color="#000000" joinstyle="round"/>
                  <v:imagedata o:title=""/>
                  <o:lock v:ext="edit" aspectratio="f"/>
                </v:shape>
                <v:shape id="直接箭头连接符 594" o:spid="_x0000_s1026" o:spt="32" type="#_x0000_t32" style="position:absolute;left:3775028;top:2452312;flip:y;height:4500;width:303602;"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Uw+dYAAAAIAQAADwAAAAAAAAABACAAAAAiAAAAZHJzL2Rvd25yZXYu&#10;eG1sUEsBAhQAFAAAAAgAh07iQJJzk/b9AQAAugMAAA4AAAAAAAAAAQAgAAAAJQEAAGRycy9lMm9E&#10;b2MueG1sUEsFBgAAAAAGAAYAWQEAAJQFAAAAAA==&#10;">
                  <v:fill on="f" focussize="0,0"/>
                  <v:stroke color="#000000" joinstyle="round"/>
                  <v:imagedata o:title=""/>
                  <o:lock v:ext="edit" aspectratio="f"/>
                </v:shape>
                <v:shape id="直接箭头连接符 595" o:spid="_x0000_s1026" o:spt="32" type="#_x0000_t32" style="position:absolute;left:3768028;top:3255617;flip:y;height:4400;width:303602;" filled="f" stroked="t" coordsize="21600,21600" o:gfxdata="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Uw+dYAAAAIAQAADwAAAAAAAAABACAAAAAiAAAAZHJzL2Rvd25yZXYu&#10;eG1sUEsBAhQAFAAAAAgAh07iQNxWUUz9AQAAugMAAA4AAAAAAAAAAQAgAAAAJQEAAGRycy9lMm9E&#10;b2MueG1sUEsFBgAAAAAGAAYAWQEAAJQFAAAAAA==&#10;">
                  <v:fill on="f" focussize="0,0"/>
                  <v:stroke color="#000000" joinstyle="round"/>
                  <v:imagedata o:title=""/>
                  <o:lock v:ext="edit" aspectratio="f"/>
                </v:shape>
                <v:rect id="矩形 596" o:spid="_x0000_s1026" o:spt="1" style="position:absolute;left:1066108;top:1751909;height:198801;width:72770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ABk2NYAAAAIAQAADwAAAAAAAAABACAAAAAiAAAAZHJzL2Rvd25yZXYueG1sUEsBAhQAFAAAAAgA&#10;h07iQKt2TxO1AQAASAMAAA4AAAAAAAAAAQAgAAAAJQEAAGRycy9lMm9Eb2MueG1sUEsFBgAAAAAG&#10;AAYAWQEAAEwFAAAAAA==&#10;">
                  <v:fill on="t" opacity="0f" focussize="0,0"/>
                  <v:stroke on="f"/>
                  <v:imagedata o:title=""/>
                  <o:lock v:ext="edit" aspectratio="f"/>
                  <v:textbox>
                    <w:txbxContent>
                      <w:p>
                        <w:pPr>
                          <w:widowControl w:val="0"/>
                          <w:spacing w:line="200" w:lineRule="exact"/>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1</w:t>
                        </w:r>
                        <w:r>
                          <w:rPr>
                            <w:rFonts w:hint="eastAsia" w:cs="Times New Roman"/>
                            <w:sz w:val="21"/>
                            <w:szCs w:val="21"/>
                            <w:lang w:val="en-US" w:eastAsia="zh-CN"/>
                          </w:rPr>
                          <w:t>6</w:t>
                        </w:r>
                      </w:p>
                    </w:txbxContent>
                  </v:textbox>
                </v:rect>
                <v:rect id="矩形 597" o:spid="_x0000_s1026" o:spt="1" style="position:absolute;left:1038808;top:2202811;height:198701;width:72770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AGTY1gAAAAgBAAAPAAAAAAAAAAEAIAAAACIAAABkcnMvZG93bnJldi54bWxQSwECFAAUAAAA&#10;CACHTuJAD339V7cBAABIAwAADgAAAAAAAAABACAAAAAlAQAAZHJzL2Uyb0RvYy54bWxQSwUGAAAA&#10;AAYABgBZAQAATgUAAAAA&#10;">
                  <v:fill on="t" opacity="0f" focussize="0,0"/>
                  <v:stroke on="f"/>
                  <v:imagedata o:title=""/>
                  <o:lock v:ext="edit" aspectratio="f"/>
                  <v:textbox>
                    <w:txbxContent>
                      <w:p>
                        <w:pPr>
                          <w:widowControl w:val="0"/>
                          <w:spacing w:line="200" w:lineRule="exac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xbxContent>
                  </v:textbox>
                </v:rect>
                <v:rect id="矩形 598" o:spid="_x0000_s1026" o:spt="1" style="position:absolute;left:1136008;top:3082216;height:198801;width:727705;"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wAZNjWAAAACAEAAA8AAAAAAAAAAQAgAAAAIgAAAGRycy9kb3ducmV2LnhtbFBLAQIUABQAAAAI&#10;AIdO4kB79jVNtgEAAEgDAAAOAAAAAAAAAAEAIAAAACUBAABkcnMvZTJvRG9jLnhtbFBLBQYAAAAA&#10;BgAGAFkBAABNBQAAAAA=&#10;">
                  <v:fill on="t" opacity="0f" focussize="0,0"/>
                  <v:stroke on="f"/>
                  <v:imagedata o:title=""/>
                  <o:lock v:ext="edit" aspectratio="f"/>
                  <v:textbox>
                    <w:txbxContent>
                      <w:p>
                        <w:pPr>
                          <w:widowControl w:val="0"/>
                          <w:spacing w:line="200" w:lineRule="exact"/>
                          <w:ind w:firstLine="0" w:firstLineChars="0"/>
                          <w:jc w:val="center"/>
                          <w:rPr>
                            <w:rFonts w:ascii="Times New Roman" w:hAnsi="Times New Roman" w:cs="Times New Roman"/>
                            <w:sz w:val="21"/>
                            <w:szCs w:val="21"/>
                          </w:rPr>
                        </w:pPr>
                        <w:r>
                          <w:rPr>
                            <w:rFonts w:hint="eastAsia" w:cs="Times New Roman"/>
                            <w:sz w:val="21"/>
                            <w:szCs w:val="21"/>
                            <w:lang w:val="en-US" w:eastAsia="zh-CN"/>
                          </w:rPr>
                          <w:t>2.</w:t>
                        </w:r>
                        <w:r>
                          <w:rPr>
                            <w:rFonts w:hint="eastAsia" w:ascii="Times New Roman" w:hAnsi="Times New Roman" w:cs="Times New Roman"/>
                            <w:sz w:val="21"/>
                            <w:szCs w:val="21"/>
                          </w:rPr>
                          <w:t>4</w:t>
                        </w:r>
                      </w:p>
                    </w:txbxContent>
                  </v:textbox>
                </v:rect>
                <v:shape id="文本框 599" o:spid="_x0000_s1026" o:spt="202" type="#_x0000_t202" style="position:absolute;left:1932314;top:1426207;height:302260;width:137350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5fAqP1QAAAAgB&#10;AAAPAAAAAAAAAAEAIAAAACIAAABkcnMvZG93bnJldi54bWxQSwECFAAUAAAACACHTuJA5n9CFqwB&#10;AAAqAwAADgAAAAAAAAABACAAAAAk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14.5</w:t>
                        </w:r>
                      </w:p>
                    </w:txbxContent>
                  </v:textbox>
                </v:shape>
                <v:rect id="矩形 600" o:spid="_x0000_s1026" o:spt="1" style="position:absolute;left:2646019;top:1724609;height:216501;width:485804;"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wA&#10;ZNjWAAAACAEAAA8AAAAAAAAAAQAgAAAAIgAAAGRycy9kb3ducmV2LnhtbFBLAQIUABQAAAAIAIdO&#10;4kAF2mewswEAAEgDAAAOAAAAAAAAAAEAIAAAACUBAABkcnMvZTJvRG9jLnhtbFBLBQYAAAAABgAG&#10;AFkBAABK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xbxContent>
                  </v:textbox>
                </v:rect>
                <v:shape id="文本框 601" o:spid="_x0000_s1026" o:spt="202" type="#_x0000_t202" style="position:absolute;left:1655412;top:1967210;height:302260;width:137350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5fAqP1QAAAAgBAAAP&#10;AAAAAAAAAAEAIAAAACIAAABkcnMvZG93bnJldi54bWxQSwECFAAUAAAACACHTuJAkkOGIKkBAAAq&#10;AwAADgAAAAAAAAABACAAAAAkAQAAZHJzL2Uyb0RvYy54bWxQSwUGAAAAAAYABgBZAQAAPw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ascii="Calibri" w:hAnsi="Calibri" w:cs="Times New Roman"/>
                            <w:sz w:val="21"/>
                            <w:szCs w:val="21"/>
                            <w:lang w:val="en-US" w:eastAsia="zh-CN"/>
                          </w:rPr>
                          <w:t>71.91</w:t>
                        </w:r>
                      </w:p>
                    </w:txbxContent>
                  </v:textbox>
                </v:shape>
                <v:rect id="矩形 602" o:spid="_x0000_s1026" o:spt="1" style="position:absolute;left:2687320;top:2272012;height:216501;width:485704;"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ABk2NYAAAAIAQAADwAAAAAAAAABACAAAAAiAAAAZHJzL2Rvd25yZXYueG1sUEsBAhQAFAAAAAgA&#10;h07iQFTL7gu1AQAASAMAAA4AAAAAAAAAAQAgAAAAJQEAAGRycy9lMm9Eb2MueG1sUEsFBgAAAAAG&#10;AAYAWQEAAEw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8.09</w:t>
                        </w:r>
                      </w:p>
                    </w:txbxContent>
                  </v:textbox>
                </v:rect>
                <v:shape id="文本框 603" o:spid="_x0000_s1026" o:spt="202" type="#_x0000_t202" style="position:absolute;left:1628112;top:2694314;height:302260;width:1373505;" filled="f" stroked="f" coordsize="21600,21600" o:gfxdata="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5fAqP1QAAAAgB&#10;AAAPAAAAAAAAAAEAIAAAACIAAABkcnMvZG93bnJldi54bWxQSwECFAAUAAAACACHTuJAWcy5FqwB&#10;AAAqAwAADgAAAAAAAAABACAAAAAk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2.16</w:t>
                        </w:r>
                      </w:p>
                    </w:txbxContent>
                  </v:textbox>
                </v:shape>
                <v:rect id="矩形 604" o:spid="_x0000_s1026" o:spt="1" style="position:absolute;left:2666320;top:2985115;height:216501;width:485804;" fillcolor="#FFFFFF" filled="t" stroked="f" coordsize="21600,21600" o:gfxdata="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wAZNjWAAAACAEAAA8AAAAAAAAAAQAgAAAAIgAAAGRycy9kb3ducmV2LnhtbFBLAQIUABQAAAAI&#10;AIdO4kDyM1BAtgEAAEgDAAAOAAAAAAAAAAEAIAAAACUBAABkcnMvZTJvRG9jLnhtbFBLBQYAAAAA&#10;BgAGAFkBAABN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0.24</w:t>
                        </w:r>
                      </w:p>
                    </w:txbxContent>
                  </v:textbox>
                </v:rect>
                <v:shape id="文本框 605" o:spid="_x0000_s1026" o:spt="202" type="#_x0000_t202" style="position:absolute;left:2275217;top:4084921;height:283201;width:580404;" filled="f" stroked="f" coordsize="21600,21600" o:gfxdata="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2u44t1QAAAAgBAAAPAAAAAAAAAAEA&#10;IAAAACIAAABkcnMvZG93bnJldi54bWxQSwECFAAUAAAACACHTuJA1xLJaaABAAAPAwAADgAAAAAA&#10;AAABACAAAAAkAQAAZHJzL2Uyb0RvYy54bWxQSwUGAAAAAAYABgBZAQAANg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1.</w:t>
                        </w:r>
                        <w:r>
                          <w:rPr>
                            <w:rFonts w:hint="eastAsia" w:cs="Times New Roman"/>
                            <w:sz w:val="21"/>
                            <w:szCs w:val="21"/>
                            <w:lang w:val="en-US" w:eastAsia="zh-CN"/>
                          </w:rPr>
                          <w:t>755</w:t>
                        </w:r>
                      </w:p>
                    </w:txbxContent>
                  </v:textbox>
                </v:shape>
              </v:group>
            </w:pict>
          </mc:Fallback>
        </mc:AlternateContent>
      </w: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cs="Times New Roman"/>
          <w:highlight w:val="none"/>
        </w:rPr>
      </w:pPr>
    </w:p>
    <w:p>
      <w:pPr>
        <w:pStyle w:val="40"/>
        <w:rPr>
          <w:rFonts w:hint="eastAsia" w:cs="Times New Roman"/>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图</w:t>
      </w:r>
      <w:r>
        <w:rPr>
          <w:rFonts w:hint="eastAsia" w:cs="Times New Roman"/>
          <w:highlight w:val="none"/>
          <w:lang w:val="en-US" w:eastAsia="zh-CN"/>
        </w:rPr>
        <w:t>2</w:t>
      </w:r>
      <w:r>
        <w:rPr>
          <w:rFonts w:hint="eastAsia" w:cs="Times New Roman"/>
          <w:highlight w:val="none"/>
        </w:rPr>
        <w:t>.</w:t>
      </w:r>
      <w:r>
        <w:rPr>
          <w:rFonts w:hint="eastAsia" w:cs="Times New Roman"/>
          <w:highlight w:val="none"/>
          <w:lang w:val="en-US" w:eastAsia="zh-CN"/>
        </w:rPr>
        <w:t>11</w:t>
      </w:r>
      <w:r>
        <w:rPr>
          <w:rFonts w:cs="Times New Roman"/>
          <w:highlight w:val="none"/>
        </w:rPr>
        <w:t>-</w:t>
      </w:r>
      <w:r>
        <w:rPr>
          <w:rFonts w:hint="eastAsia" w:cs="Times New Roman"/>
          <w:highlight w:val="none"/>
          <w:lang w:val="en-US" w:eastAsia="zh-CN"/>
        </w:rPr>
        <w:t>3</w:t>
      </w:r>
      <w:r>
        <w:rPr>
          <w:rFonts w:cs="Times New Roman"/>
          <w:highlight w:val="none"/>
        </w:rPr>
        <w:t>项目</w:t>
      </w:r>
      <w:r>
        <w:rPr>
          <w:rFonts w:hint="eastAsia" w:cs="Times New Roman"/>
          <w:highlight w:val="none"/>
        </w:rPr>
        <w:t>物料</w:t>
      </w:r>
      <w:r>
        <w:rPr>
          <w:rFonts w:cs="Times New Roman"/>
          <w:highlight w:val="none"/>
        </w:rPr>
        <w:t>平衡图</w:t>
      </w:r>
      <w:r>
        <w:rPr>
          <w:rFonts w:hint="eastAsia" w:cs="Times New Roman"/>
          <w:highlight w:val="none"/>
        </w:rPr>
        <w:t xml:space="preserve">  单位：干t/d</w:t>
      </w:r>
    </w:p>
    <w:p>
      <w:pPr>
        <w:pStyle w:val="6"/>
        <w:spacing w:before="132"/>
        <w:rPr>
          <w:highlight w:val="none"/>
        </w:rPr>
      </w:pPr>
      <w:bookmarkStart w:id="25" w:name="_Toc4351"/>
      <w:r>
        <w:rPr>
          <w:rFonts w:hint="eastAsia"/>
          <w:highlight w:val="none"/>
          <w:lang w:val="en-US" w:eastAsia="zh-CN"/>
        </w:rPr>
        <w:t>2</w:t>
      </w:r>
      <w:r>
        <w:rPr>
          <w:rFonts w:hint="eastAsia"/>
          <w:highlight w:val="none"/>
        </w:rPr>
        <w:t>.</w:t>
      </w:r>
      <w:r>
        <w:rPr>
          <w:rFonts w:hint="eastAsia"/>
          <w:highlight w:val="none"/>
          <w:lang w:val="en-US" w:eastAsia="zh-CN"/>
        </w:rPr>
        <w:t>12</w:t>
      </w:r>
      <w:r>
        <w:rPr>
          <w:highlight w:val="none"/>
        </w:rPr>
        <w:t>污染源强</w:t>
      </w:r>
      <w:bookmarkEnd w:id="25"/>
    </w:p>
    <w:p>
      <w:pPr>
        <w:ind w:firstLine="480"/>
        <w:rPr>
          <w:highlight w:val="none"/>
        </w:rPr>
      </w:pPr>
      <w:r>
        <w:rPr>
          <w:rFonts w:hint="eastAsia"/>
          <w:highlight w:val="none"/>
        </w:rPr>
        <w:t>施工期污染源强及措施见</w:t>
      </w:r>
      <w:r>
        <w:rPr>
          <w:rFonts w:hint="eastAsia"/>
          <w:highlight w:val="none"/>
          <w:lang w:val="en-US" w:eastAsia="zh-CN"/>
        </w:rPr>
        <w:t>2</w:t>
      </w:r>
      <w:r>
        <w:rPr>
          <w:rFonts w:hint="eastAsia"/>
          <w:highlight w:val="none"/>
        </w:rPr>
        <w:t>.</w:t>
      </w:r>
      <w:r>
        <w:rPr>
          <w:rFonts w:hint="eastAsia"/>
          <w:highlight w:val="none"/>
          <w:lang w:val="en-US" w:eastAsia="zh-CN"/>
        </w:rPr>
        <w:t>9</w:t>
      </w:r>
      <w:r>
        <w:rPr>
          <w:rFonts w:hint="eastAsia"/>
          <w:highlight w:val="none"/>
        </w:rPr>
        <w:t>.1章节</w:t>
      </w:r>
      <w:r>
        <w:rPr>
          <w:highlight w:val="none"/>
        </w:rPr>
        <w:t>。</w:t>
      </w:r>
    </w:p>
    <w:p>
      <w:pPr>
        <w:pStyle w:val="7"/>
        <w:spacing w:before="66"/>
        <w:ind w:firstLine="0" w:firstLineChars="0"/>
        <w:rPr>
          <w:rFonts w:cs="Times New Roman"/>
          <w:highlight w:val="none"/>
        </w:rPr>
      </w:pPr>
      <w:r>
        <w:rPr>
          <w:rFonts w:hint="eastAsia" w:cs="Times New Roman"/>
          <w:highlight w:val="none"/>
          <w:lang w:val="en-US" w:eastAsia="zh-CN"/>
        </w:rPr>
        <w:t>2</w:t>
      </w:r>
      <w:r>
        <w:rPr>
          <w:rFonts w:cs="Times New Roman"/>
          <w:highlight w:val="none"/>
        </w:rPr>
        <w:t>.</w:t>
      </w:r>
      <w:r>
        <w:rPr>
          <w:rFonts w:hint="eastAsia" w:cs="Times New Roman"/>
          <w:highlight w:val="none"/>
          <w:lang w:val="en-US" w:eastAsia="zh-CN"/>
        </w:rPr>
        <w:t>12</w:t>
      </w:r>
      <w:r>
        <w:rPr>
          <w:rFonts w:hint="eastAsia" w:cs="Times New Roman"/>
          <w:highlight w:val="none"/>
        </w:rPr>
        <w:t>.1</w:t>
      </w:r>
      <w:r>
        <w:rPr>
          <w:rFonts w:hint="eastAsia" w:cs="Times New Roman"/>
          <w:highlight w:val="none"/>
          <w:lang w:eastAsia="zh-CN"/>
        </w:rPr>
        <w:t>营运期</w:t>
      </w:r>
      <w:r>
        <w:rPr>
          <w:rFonts w:hint="eastAsia" w:cs="Times New Roman"/>
          <w:highlight w:val="none"/>
        </w:rPr>
        <w:t>污染源强</w:t>
      </w:r>
    </w:p>
    <w:p>
      <w:pPr>
        <w:ind w:firstLine="480"/>
        <w:rPr>
          <w:rFonts w:cs="Times New Roman"/>
          <w:highlight w:val="none"/>
        </w:rPr>
      </w:pPr>
      <w:r>
        <w:rPr>
          <w:rFonts w:hint="eastAsia" w:cs="Times New Roman"/>
          <w:highlight w:val="none"/>
        </w:rPr>
        <w:t>本项目年出栏1</w:t>
      </w:r>
      <w:r>
        <w:rPr>
          <w:rFonts w:hint="eastAsia" w:cs="Times New Roman"/>
          <w:highlight w:val="none"/>
          <w:lang w:val="en-US" w:eastAsia="zh-CN"/>
        </w:rPr>
        <w:t>5</w:t>
      </w:r>
      <w:r>
        <w:rPr>
          <w:rFonts w:hint="eastAsia" w:cs="Times New Roman"/>
          <w:highlight w:val="none"/>
        </w:rPr>
        <w:t>万头商品猪</w:t>
      </w:r>
      <w:r>
        <w:rPr>
          <w:rFonts w:hint="eastAsia" w:cs="Times New Roman"/>
          <w:highlight w:val="none"/>
          <w:lang w:eastAsia="zh-CN"/>
        </w:rPr>
        <w:t>，</w:t>
      </w:r>
      <w:r>
        <w:rPr>
          <w:rFonts w:hint="eastAsia" w:cs="Times New Roman"/>
          <w:highlight w:val="none"/>
        </w:rPr>
        <w:t>采用环保部认定的干清粪工艺，堆肥采用改良后的条垛堆肥工艺。根据工艺流程，建设项目营运期产生的污染主要是</w:t>
      </w:r>
      <w:r>
        <w:rPr>
          <w:rFonts w:hint="eastAsia" w:cs="Times New Roman"/>
          <w:highlight w:val="none"/>
          <w:lang w:eastAsia="zh-CN"/>
        </w:rPr>
        <w:t>废气</w:t>
      </w:r>
      <w:r>
        <w:rPr>
          <w:rFonts w:hint="eastAsia" w:cs="Times New Roman"/>
          <w:highlight w:val="none"/>
        </w:rPr>
        <w:t>、食堂油烟、</w:t>
      </w:r>
      <w:r>
        <w:rPr>
          <w:rFonts w:hint="eastAsia" w:cs="Times New Roman"/>
          <w:highlight w:val="none"/>
          <w:lang w:eastAsia="zh-CN"/>
        </w:rPr>
        <w:t>废</w:t>
      </w:r>
      <w:r>
        <w:rPr>
          <w:rFonts w:hint="eastAsia" w:cs="Times New Roman"/>
          <w:highlight w:val="none"/>
        </w:rPr>
        <w:t>水</w:t>
      </w:r>
      <w:r>
        <w:rPr>
          <w:rFonts w:hint="eastAsia" w:cs="Times New Roman"/>
          <w:highlight w:val="none"/>
          <w:lang w:eastAsia="zh-CN"/>
        </w:rPr>
        <w:t>、生产噪声</w:t>
      </w:r>
      <w:r>
        <w:rPr>
          <w:rFonts w:hint="eastAsia" w:cs="Times New Roman"/>
          <w:highlight w:val="none"/>
        </w:rPr>
        <w:t>及运行过程中产生的固废、生活垃圾等。</w:t>
      </w:r>
    </w:p>
    <w:p>
      <w:pPr>
        <w:pStyle w:val="8"/>
        <w:ind w:firstLine="482"/>
        <w:rPr>
          <w:highlight w:val="none"/>
        </w:rPr>
      </w:pPr>
      <w:r>
        <w:rPr>
          <w:rFonts w:hint="eastAsia"/>
          <w:highlight w:val="none"/>
          <w:lang w:val="en-US" w:eastAsia="zh-CN"/>
        </w:rPr>
        <w:t>2</w:t>
      </w: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1</w:t>
      </w:r>
      <w:r>
        <w:rPr>
          <w:rFonts w:hint="eastAsia"/>
          <w:highlight w:val="none"/>
        </w:rPr>
        <w:t>.1废气</w:t>
      </w:r>
    </w:p>
    <w:p>
      <w:pPr>
        <w:ind w:firstLine="480"/>
        <w:rPr>
          <w:rFonts w:hint="eastAsia" w:cs="Times New Roman"/>
          <w:highlight w:val="none"/>
        </w:rPr>
      </w:pPr>
      <w:r>
        <w:rPr>
          <w:rFonts w:hint="eastAsia" w:cs="Times New Roman"/>
          <w:highlight w:val="none"/>
        </w:rPr>
        <w:t>项目运行过程中产生的大气污染物主要为养殖过程猪舍产生的恶臭气体、污水处理过程及固粪处理区产生的恶臭气体、沼气燃烧废气</w:t>
      </w:r>
      <w:r>
        <w:rPr>
          <w:rFonts w:hint="eastAsia" w:cs="Times New Roman"/>
          <w:highlight w:val="none"/>
          <w:lang w:eastAsia="zh-CN"/>
        </w:rPr>
        <w:t>、饲料加工废气</w:t>
      </w:r>
      <w:r>
        <w:rPr>
          <w:rFonts w:hint="eastAsia" w:cs="Times New Roman"/>
          <w:highlight w:val="none"/>
        </w:rPr>
        <w:t>及食堂油烟</w:t>
      </w:r>
      <w:r>
        <w:rPr>
          <w:rFonts w:hint="eastAsia" w:cs="Times New Roman"/>
          <w:highlight w:val="none"/>
          <w:lang w:eastAsia="zh-CN"/>
        </w:rPr>
        <w:t>等</w:t>
      </w:r>
      <w:r>
        <w:rPr>
          <w:rFonts w:hint="eastAsia" w:cs="Times New Roman"/>
          <w:highlight w:val="none"/>
        </w:rPr>
        <w:t>。</w:t>
      </w:r>
    </w:p>
    <w:p>
      <w:pPr>
        <w:ind w:firstLine="480"/>
        <w:rPr>
          <w:rFonts w:hint="eastAsia" w:cs="Times New Roman"/>
          <w:highlight w:val="none"/>
        </w:rPr>
      </w:pPr>
      <w:r>
        <w:rPr>
          <w:rFonts w:hint="eastAsia" w:cs="Times New Roman"/>
          <w:highlight w:val="none"/>
        </w:rPr>
        <w:t>影响畜禽场恶臭气体产生的主要原因是清粪方式、管理水平、粪便和污水处理程度，同时也与场址选择、场地规划和布局、畜舍设计、畜舍通风等有关。恶臭气体主要成分为NH</w:t>
      </w:r>
      <w:r>
        <w:rPr>
          <w:rFonts w:hint="eastAsia" w:cs="Times New Roman"/>
          <w:highlight w:val="none"/>
          <w:vertAlign w:val="subscript"/>
        </w:rPr>
        <w:t>3</w:t>
      </w:r>
      <w:r>
        <w:rPr>
          <w:rFonts w:hint="eastAsia" w:cs="Times New Roman"/>
          <w:highlight w:val="none"/>
        </w:rPr>
        <w:t>、H</w:t>
      </w:r>
      <w:r>
        <w:rPr>
          <w:rFonts w:hint="eastAsia" w:cs="Times New Roman"/>
          <w:highlight w:val="none"/>
          <w:vertAlign w:val="subscript"/>
        </w:rPr>
        <w:t>2</w:t>
      </w:r>
      <w:r>
        <w:rPr>
          <w:rFonts w:hint="eastAsia" w:cs="Times New Roman"/>
          <w:highlight w:val="none"/>
        </w:rPr>
        <w:t>S，NH</w:t>
      </w:r>
      <w:r>
        <w:rPr>
          <w:rFonts w:hint="eastAsia" w:cs="Times New Roman"/>
          <w:highlight w:val="none"/>
          <w:vertAlign w:val="subscript"/>
        </w:rPr>
        <w:t>3</w:t>
      </w:r>
      <w:r>
        <w:rPr>
          <w:rFonts w:hint="eastAsia" w:cs="Times New Roman"/>
          <w:highlight w:val="none"/>
        </w:rPr>
        <w:t>和H</w:t>
      </w:r>
      <w:r>
        <w:rPr>
          <w:rFonts w:hint="eastAsia" w:cs="Times New Roman"/>
          <w:highlight w:val="none"/>
          <w:vertAlign w:val="subscript"/>
        </w:rPr>
        <w:t>2</w:t>
      </w:r>
      <w:r>
        <w:rPr>
          <w:rFonts w:hint="eastAsia" w:cs="Times New Roman"/>
          <w:highlight w:val="none"/>
        </w:rPr>
        <w:t>S的排放强度受很多因素的影响，除前述因素外还包括生产工艺、气温、湿度、猪群种类、通风情况以及粪污堆积时间等。</w:t>
      </w:r>
    </w:p>
    <w:p>
      <w:pPr>
        <w:keepNext w:val="0"/>
        <w:keepLines w:val="0"/>
        <w:pageBreakBefore w:val="0"/>
        <w:widowControl/>
        <w:kinsoku/>
        <w:wordWrap/>
        <w:overflowPunct/>
        <w:topLinePunct w:val="0"/>
        <w:autoSpaceDE/>
        <w:autoSpaceDN/>
        <w:bidi w:val="0"/>
        <w:adjustRightInd/>
        <w:snapToGrid/>
        <w:ind w:firstLine="480"/>
        <w:textAlignment w:val="auto"/>
        <w:rPr>
          <w:rFonts w:ascii="Times New Roman" w:hAnsi="Times New Roman" w:eastAsia="宋体" w:cs="Times New Roman"/>
          <w:color w:val="000000"/>
          <w:kern w:val="2"/>
          <w:sz w:val="24"/>
          <w:szCs w:val="24"/>
          <w:highlight w:val="none"/>
          <w:lang w:val="en-US" w:eastAsia="zh-CN" w:bidi="ar-SA"/>
        </w:rPr>
      </w:pPr>
      <w:r>
        <w:rPr>
          <w:rFonts w:hint="eastAsia" w:cs="Times New Roman"/>
          <w:highlight w:val="none"/>
        </w:rPr>
        <w:t>恶臭气体污染物源强确定：项目区内恶臭气体主要来自养殖区恶臭、污水处理工程</w:t>
      </w:r>
      <w:r>
        <w:rPr>
          <w:rFonts w:hint="eastAsia" w:ascii="Times New Roman" w:hAnsi="Times New Roman" w:eastAsia="宋体" w:cs="Times New Roman"/>
          <w:color w:val="000000"/>
          <w:kern w:val="2"/>
          <w:sz w:val="24"/>
          <w:szCs w:val="24"/>
          <w:highlight w:val="none"/>
          <w:lang w:val="en-US" w:eastAsia="zh-CN" w:bidi="ar-SA"/>
        </w:rPr>
        <w:t>恶臭、固废处理区恶臭和沼液储存池臭气等</w:t>
      </w:r>
      <w:r>
        <w:rPr>
          <w:rFonts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tabs>
          <w:tab w:val="left" w:pos="864"/>
        </w:tabs>
        <w:kinsoku/>
        <w:wordWrap/>
        <w:overflowPunct/>
        <w:topLinePunct w:val="0"/>
        <w:autoSpaceDE/>
        <w:autoSpaceDN/>
        <w:bidi w:val="0"/>
        <w:adjustRightInd/>
        <w:snapToGrid/>
        <w:ind w:firstLine="480"/>
        <w:textAlignment w:val="auto"/>
        <w:outlineLvl w:val="9"/>
        <w:rPr>
          <w:rFonts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1、养殖过程猪舍恶臭气体</w:t>
      </w:r>
    </w:p>
    <w:p>
      <w:pPr>
        <w:pStyle w:val="105"/>
        <w:keepNext w:val="0"/>
        <w:keepLines w:val="0"/>
        <w:pageBreakBefore w:val="0"/>
        <w:widowControl/>
        <w:kinsoku/>
        <w:wordWrap/>
        <w:overflowPunct/>
        <w:topLinePunct w:val="0"/>
        <w:autoSpaceDE/>
        <w:autoSpaceDN/>
        <w:bidi w:val="0"/>
        <w:adjustRightInd/>
        <w:snapToGrid/>
        <w:ind w:firstLine="480" w:firstLineChars="0"/>
        <w:textAlignment w:val="auto"/>
        <w:rPr>
          <w:rFonts w:ascii="Times New Roman" w:hAnsi="Times New Roman"/>
          <w:b w:val="0"/>
          <w:bCs w:val="0"/>
          <w:color w:val="auto"/>
          <w:sz w:val="24"/>
          <w:szCs w:val="24"/>
          <w:highlight w:val="none"/>
          <w:u w:val="none"/>
        </w:rPr>
      </w:pPr>
      <w:r>
        <w:rPr>
          <w:rFonts w:ascii="Times New Roman" w:hAnsi="Times New Roman" w:eastAsia="宋体" w:cs="Times New Roman"/>
          <w:color w:val="000000"/>
          <w:kern w:val="2"/>
          <w:sz w:val="24"/>
          <w:szCs w:val="24"/>
          <w:highlight w:val="none"/>
          <w:lang w:val="en-US" w:eastAsia="zh-CN" w:bidi="ar-SA"/>
        </w:rPr>
        <w:t>养殖过程恶臭气体主要产生于猪舍内，为有效核定出臭气中NH</w:t>
      </w:r>
      <w:r>
        <w:rPr>
          <w:rFonts w:ascii="Times New Roman" w:hAnsi="Times New Roman" w:eastAsia="宋体" w:cs="Times New Roman"/>
          <w:color w:val="000000"/>
          <w:kern w:val="2"/>
          <w:sz w:val="24"/>
          <w:szCs w:val="24"/>
          <w:highlight w:val="none"/>
          <w:vertAlign w:val="subscript"/>
          <w:lang w:val="en-US" w:eastAsia="zh-CN" w:bidi="ar-SA"/>
        </w:rPr>
        <w:t>3</w:t>
      </w:r>
      <w:r>
        <w:rPr>
          <w:rFonts w:ascii="Times New Roman" w:hAnsi="Times New Roman" w:eastAsia="宋体" w:cs="Times New Roman"/>
          <w:color w:val="000000"/>
          <w:kern w:val="2"/>
          <w:sz w:val="24"/>
          <w:szCs w:val="24"/>
          <w:highlight w:val="none"/>
          <w:lang w:val="en-US" w:eastAsia="zh-CN" w:bidi="ar-SA"/>
        </w:rPr>
        <w:t>、H</w:t>
      </w:r>
      <w:r>
        <w:rPr>
          <w:rFonts w:ascii="Times New Roman" w:hAnsi="Times New Roman" w:eastAsia="宋体" w:cs="Times New Roman"/>
          <w:color w:val="000000"/>
          <w:kern w:val="2"/>
          <w:sz w:val="24"/>
          <w:szCs w:val="24"/>
          <w:highlight w:val="none"/>
          <w:vertAlign w:val="subscript"/>
          <w:lang w:val="en-US" w:eastAsia="zh-CN" w:bidi="ar-SA"/>
        </w:rPr>
        <w:t>2</w:t>
      </w:r>
      <w:r>
        <w:rPr>
          <w:rFonts w:ascii="Times New Roman" w:hAnsi="Times New Roman" w:eastAsia="宋体" w:cs="Times New Roman"/>
          <w:color w:val="000000"/>
          <w:kern w:val="2"/>
          <w:sz w:val="24"/>
          <w:szCs w:val="24"/>
          <w:highlight w:val="none"/>
          <w:lang w:val="en-US" w:eastAsia="zh-CN" w:bidi="ar-SA"/>
        </w:rPr>
        <w:t>S产生情况，本次评价类比已建成并完成</w:t>
      </w:r>
      <w:r>
        <w:rPr>
          <w:rFonts w:ascii="Times New Roman" w:hAnsi="Times New Roman"/>
          <w:color w:val="000000"/>
          <w:sz w:val="24"/>
          <w:szCs w:val="24"/>
          <w:highlight w:val="none"/>
        </w:rPr>
        <w:t>验收的</w:t>
      </w:r>
      <w:r>
        <w:rPr>
          <w:rFonts w:ascii="Times New Roman" w:hAnsi="Times New Roman"/>
          <w:color w:val="000000"/>
          <w:sz w:val="24"/>
          <w:highlight w:val="none"/>
        </w:rPr>
        <w:t>唐河牧原农牧有限公司唐河十场建设项目的环评及验收报告（年存栏2300母猪场，2016年12月通过环评验收）、牧原食品有限公司卧龙七场（年出栏10万头育肥猪，已通过环评验收）环评及验收报告，牧原公司内乡二十四场（年存栏1万头母猪场，2013年6月取得批复，现已全部投产）的数据，并结合牧原公司其他养殖场多年统计的相关数据。育肥猪NH</w:t>
      </w:r>
      <w:r>
        <w:rPr>
          <w:rFonts w:ascii="Times New Roman" w:hAnsi="Times New Roman"/>
          <w:color w:val="000000"/>
          <w:sz w:val="24"/>
          <w:highlight w:val="none"/>
          <w:vertAlign w:val="subscript"/>
        </w:rPr>
        <w:t>3</w:t>
      </w:r>
      <w:r>
        <w:rPr>
          <w:rFonts w:ascii="Times New Roman" w:hAnsi="Times New Roman"/>
          <w:color w:val="000000"/>
          <w:sz w:val="24"/>
          <w:highlight w:val="none"/>
        </w:rPr>
        <w:t>产生源强为0.2g/头·d，H</w:t>
      </w:r>
      <w:r>
        <w:rPr>
          <w:rFonts w:ascii="Times New Roman" w:hAnsi="Times New Roman"/>
          <w:color w:val="000000"/>
          <w:sz w:val="24"/>
          <w:highlight w:val="none"/>
          <w:vertAlign w:val="subscript"/>
        </w:rPr>
        <w:t>2</w:t>
      </w:r>
      <w:r>
        <w:rPr>
          <w:rFonts w:ascii="Times New Roman" w:hAnsi="Times New Roman"/>
          <w:color w:val="000000"/>
          <w:sz w:val="24"/>
          <w:highlight w:val="none"/>
        </w:rPr>
        <w:t>S产生源强为0.017g/头·d（保育猪乘以0.2的系数，</w:t>
      </w:r>
      <w:r>
        <w:rPr>
          <w:rFonts w:hint="eastAsia" w:ascii="Times New Roman" w:hAnsi="Times New Roman"/>
          <w:color w:val="000000"/>
          <w:sz w:val="24"/>
          <w:highlight w:val="none"/>
          <w:lang w:eastAsia="zh-CN"/>
        </w:rPr>
        <w:t>怀孕</w:t>
      </w:r>
      <w:r>
        <w:rPr>
          <w:rFonts w:ascii="Times New Roman" w:hAnsi="Times New Roman"/>
          <w:color w:val="000000"/>
          <w:sz w:val="24"/>
          <w:highlight w:val="none"/>
        </w:rPr>
        <w:t>猪乘以1.2的系数</w:t>
      </w:r>
      <w:r>
        <w:rPr>
          <w:rFonts w:hint="eastAsia" w:ascii="Times New Roman" w:hAnsi="Times New Roman"/>
          <w:color w:val="000000"/>
          <w:sz w:val="24"/>
          <w:highlight w:val="none"/>
          <w:lang w:eastAsia="zh-CN"/>
        </w:rPr>
        <w:t>，</w:t>
      </w:r>
      <w:r>
        <w:rPr>
          <w:rFonts w:hint="eastAsia"/>
          <w:color w:val="000000"/>
          <w:sz w:val="24"/>
          <w:highlight w:val="none"/>
          <w:lang w:eastAsia="zh-CN"/>
        </w:rPr>
        <w:t>哺乳</w:t>
      </w:r>
      <w:r>
        <w:rPr>
          <w:rFonts w:ascii="Times New Roman" w:hAnsi="Times New Roman"/>
          <w:color w:val="000000"/>
          <w:sz w:val="24"/>
          <w:highlight w:val="none"/>
        </w:rPr>
        <w:t>猪乘以</w:t>
      </w:r>
      <w:r>
        <w:rPr>
          <w:rFonts w:hint="eastAsia"/>
          <w:color w:val="000000"/>
          <w:sz w:val="24"/>
          <w:highlight w:val="none"/>
          <w:lang w:val="en-US" w:eastAsia="zh-CN"/>
        </w:rPr>
        <w:t>2.0</w:t>
      </w:r>
      <w:r>
        <w:rPr>
          <w:rFonts w:ascii="Times New Roman" w:hAnsi="Times New Roman"/>
          <w:color w:val="000000"/>
          <w:sz w:val="24"/>
          <w:highlight w:val="none"/>
        </w:rPr>
        <w:t>的系数）。</w:t>
      </w:r>
      <w:r>
        <w:rPr>
          <w:rFonts w:ascii="Times New Roman" w:hAnsi="Times New Roman"/>
          <w:color w:val="000000"/>
          <w:sz w:val="24"/>
          <w:szCs w:val="24"/>
          <w:highlight w:val="none"/>
        </w:rPr>
        <w:t>以上数据是在猪舍没有采取任何措施的情况下的产生量，本项目拟采用节水型饮水器、及时清粪</w:t>
      </w:r>
      <w:r>
        <w:rPr>
          <w:rFonts w:hint="eastAsia"/>
          <w:color w:val="000000"/>
          <w:sz w:val="24"/>
          <w:szCs w:val="24"/>
          <w:highlight w:val="none"/>
          <w:lang w:eastAsia="zh-CN"/>
        </w:rPr>
        <w:t>、喷洒除臭剂</w:t>
      </w:r>
      <w:r>
        <w:rPr>
          <w:rFonts w:ascii="Times New Roman" w:hAnsi="Times New Roman"/>
          <w:color w:val="000000"/>
          <w:sz w:val="24"/>
          <w:szCs w:val="24"/>
          <w:highlight w:val="none"/>
        </w:rPr>
        <w:t>等措施对项目产生的H</w:t>
      </w:r>
      <w:r>
        <w:rPr>
          <w:rFonts w:ascii="Times New Roman" w:hAnsi="Times New Roman"/>
          <w:color w:val="000000"/>
          <w:sz w:val="24"/>
          <w:szCs w:val="24"/>
          <w:highlight w:val="none"/>
          <w:vertAlign w:val="subscript"/>
        </w:rPr>
        <w:t>2</w:t>
      </w:r>
      <w:r>
        <w:rPr>
          <w:rFonts w:ascii="Times New Roman" w:hAnsi="Times New Roman"/>
          <w:color w:val="000000"/>
          <w:sz w:val="24"/>
          <w:szCs w:val="24"/>
          <w:highlight w:val="none"/>
        </w:rPr>
        <w:t>S和NH</w:t>
      </w:r>
      <w:r>
        <w:rPr>
          <w:rFonts w:ascii="Times New Roman" w:hAnsi="Times New Roman"/>
          <w:color w:val="000000"/>
          <w:sz w:val="24"/>
          <w:szCs w:val="24"/>
          <w:highlight w:val="none"/>
          <w:vertAlign w:val="subscript"/>
        </w:rPr>
        <w:t>3</w:t>
      </w:r>
      <w:r>
        <w:rPr>
          <w:rFonts w:ascii="Times New Roman" w:hAnsi="Times New Roman"/>
          <w:color w:val="000000"/>
          <w:sz w:val="24"/>
          <w:szCs w:val="24"/>
          <w:highlight w:val="none"/>
        </w:rPr>
        <w:t>进行治理。通过以上措施可以有效抑制和去除H</w:t>
      </w:r>
      <w:r>
        <w:rPr>
          <w:rFonts w:ascii="Times New Roman" w:hAnsi="Times New Roman"/>
          <w:color w:val="000000"/>
          <w:sz w:val="24"/>
          <w:szCs w:val="24"/>
          <w:highlight w:val="none"/>
          <w:vertAlign w:val="subscript"/>
        </w:rPr>
        <w:t>2</w:t>
      </w:r>
      <w:r>
        <w:rPr>
          <w:rFonts w:ascii="Times New Roman" w:hAnsi="Times New Roman"/>
          <w:color w:val="000000"/>
          <w:sz w:val="24"/>
          <w:szCs w:val="24"/>
          <w:highlight w:val="none"/>
        </w:rPr>
        <w:t>S和NH</w:t>
      </w:r>
      <w:r>
        <w:rPr>
          <w:rFonts w:ascii="Times New Roman" w:hAnsi="Times New Roman"/>
          <w:color w:val="000000"/>
          <w:sz w:val="24"/>
          <w:szCs w:val="24"/>
          <w:highlight w:val="none"/>
          <w:vertAlign w:val="subscript"/>
        </w:rPr>
        <w:t>3</w:t>
      </w:r>
      <w:r>
        <w:rPr>
          <w:rFonts w:ascii="Times New Roman" w:hAnsi="Times New Roman"/>
          <w:color w:val="000000"/>
          <w:sz w:val="24"/>
          <w:szCs w:val="24"/>
          <w:highlight w:val="none"/>
        </w:rPr>
        <w:t>的产生量，去除效率可达70%</w:t>
      </w:r>
      <w:r>
        <w:rPr>
          <w:rFonts w:ascii="Times New Roman" w:hAnsi="Times New Roman"/>
          <w:b w:val="0"/>
          <w:bCs w:val="0"/>
          <w:color w:val="auto"/>
          <w:sz w:val="24"/>
          <w:szCs w:val="24"/>
          <w:highlight w:val="none"/>
          <w:u w:val="none"/>
        </w:rPr>
        <w:t>。根据以上参数及存栏情况计算恶臭气体产排情况，计算结果见表</w:t>
      </w:r>
      <w:r>
        <w:rPr>
          <w:rFonts w:hint="eastAsia"/>
          <w:b w:val="0"/>
          <w:bCs w:val="0"/>
          <w:color w:val="auto"/>
          <w:sz w:val="24"/>
          <w:szCs w:val="24"/>
          <w:highlight w:val="none"/>
          <w:u w:val="none"/>
          <w:lang w:val="en-US" w:eastAsia="zh-CN"/>
        </w:rPr>
        <w:t>2.12</w:t>
      </w:r>
      <w:r>
        <w:rPr>
          <w:rFonts w:ascii="Times New Roman" w:hAnsi="Times New Roman"/>
          <w:b w:val="0"/>
          <w:bCs w:val="0"/>
          <w:color w:val="auto"/>
          <w:sz w:val="24"/>
          <w:szCs w:val="24"/>
          <w:highlight w:val="none"/>
          <w:u w:val="none"/>
        </w:rPr>
        <w:t>-</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w:t>
      </w:r>
    </w:p>
    <w:p>
      <w:pPr>
        <w:pStyle w:val="40"/>
        <w:rPr>
          <w:rFonts w:hint="eastAsia" w:cs="Times New Roman"/>
          <w:highlight w:val="none"/>
          <w:lang w:val="en-US" w:eastAsia="zh-CN"/>
        </w:rPr>
      </w:pPr>
      <w:r>
        <w:rPr>
          <w:rFonts w:hint="eastAsia" w:cs="Times New Roman"/>
          <w:highlight w:val="none"/>
          <w:lang w:val="en-US" w:eastAsia="zh-CN"/>
        </w:rPr>
        <w:t>表2.12-1 项目养殖过程猪舍恶臭气体产生及排放情况一览表单位：kg/d</w:t>
      </w:r>
    </w:p>
    <w:tbl>
      <w:tblPr>
        <w:tblStyle w:val="24"/>
        <w:tblW w:w="494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909"/>
        <w:gridCol w:w="969"/>
        <w:gridCol w:w="976"/>
        <w:gridCol w:w="844"/>
        <w:gridCol w:w="800"/>
        <w:gridCol w:w="1362"/>
        <w:gridCol w:w="912"/>
        <w:gridCol w:w="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532"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存栏量（头）</w:t>
            </w:r>
          </w:p>
        </w:tc>
        <w:tc>
          <w:tcPr>
            <w:tcW w:w="1138"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场区系数（g/头·d）</w:t>
            </w:r>
          </w:p>
        </w:tc>
        <w:tc>
          <w:tcPr>
            <w:tcW w:w="96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rPr>
              <w:t>产生量</w:t>
            </w:r>
            <w:r>
              <w:rPr>
                <w:rFonts w:hint="eastAsia" w:cs="Times New Roman"/>
                <w:b w:val="0"/>
                <w:bCs/>
                <w:sz w:val="21"/>
                <w:szCs w:val="21"/>
                <w:highlight w:val="none"/>
                <w:lang w:eastAsia="zh-CN"/>
              </w:rPr>
              <w:t>（kg/d）</w:t>
            </w:r>
          </w:p>
        </w:tc>
        <w:tc>
          <w:tcPr>
            <w:tcW w:w="797"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053"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w:t>
            </w:r>
            <w:r>
              <w:rPr>
                <w:rFonts w:hint="eastAsia" w:cs="Times New Roman"/>
                <w:b w:val="0"/>
                <w:bCs/>
                <w:sz w:val="21"/>
                <w:szCs w:val="21"/>
                <w:highlight w:val="none"/>
                <w:lang w:eastAsia="zh-CN"/>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2"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70"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4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79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怀孕猪</w:t>
            </w:r>
          </w:p>
        </w:tc>
        <w:tc>
          <w:tcPr>
            <w:tcW w:w="532"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lang w:val="en-US" w:eastAsia="zh-CN"/>
              </w:rPr>
              <w:t>4944</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0.24</w:t>
            </w:r>
          </w:p>
        </w:tc>
        <w:tc>
          <w:tcPr>
            <w:tcW w:w="570"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0.0204</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1.1</w:t>
            </w:r>
            <w:r>
              <w:rPr>
                <w:rFonts w:hint="eastAsia" w:cs="Times New Roman"/>
                <w:b w:val="0"/>
                <w:bCs/>
                <w:sz w:val="21"/>
                <w:szCs w:val="21"/>
                <w:highlight w:val="none"/>
                <w:lang w:val="en-US" w:eastAsia="zh-CN"/>
              </w:rPr>
              <w:t>9</w:t>
            </w:r>
          </w:p>
        </w:tc>
        <w:tc>
          <w:tcPr>
            <w:tcW w:w="46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0.10</w:t>
            </w:r>
          </w:p>
        </w:tc>
        <w:tc>
          <w:tcPr>
            <w:tcW w:w="797"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采用节水型饮水器、全漏缝地板并及时清粪，</w:t>
            </w:r>
            <w:r>
              <w:rPr>
                <w:rFonts w:hint="eastAsia" w:cs="Times New Roman"/>
                <w:b w:val="0"/>
                <w:bCs/>
                <w:sz w:val="21"/>
                <w:szCs w:val="21"/>
                <w:highlight w:val="none"/>
                <w:lang w:eastAsia="zh-CN"/>
              </w:rPr>
              <w:t>喷洒除臭剂，</w:t>
            </w:r>
            <w:r>
              <w:rPr>
                <w:rFonts w:hint="eastAsia" w:cs="Times New Roman"/>
                <w:b w:val="0"/>
                <w:bCs/>
                <w:sz w:val="21"/>
                <w:szCs w:val="21"/>
                <w:highlight w:val="none"/>
              </w:rPr>
              <w:t>去除效率可达到70%</w:t>
            </w: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0.35</w:t>
            </w:r>
            <w:r>
              <w:rPr>
                <w:rFonts w:hint="eastAsia" w:cs="Times New Roman"/>
                <w:b w:val="0"/>
                <w:bCs/>
                <w:sz w:val="21"/>
                <w:szCs w:val="21"/>
                <w:highlight w:val="none"/>
                <w:lang w:val="en-US" w:eastAsia="zh-CN"/>
              </w:rPr>
              <w:t>6</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后备舍</w:t>
            </w:r>
          </w:p>
        </w:tc>
        <w:tc>
          <w:tcPr>
            <w:tcW w:w="532"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eastAsia="zh-CN"/>
              </w:rPr>
              <w:t>1</w:t>
            </w:r>
            <w:r>
              <w:rPr>
                <w:rFonts w:hint="eastAsia" w:cs="Times New Roman"/>
                <w:b w:val="0"/>
                <w:bCs/>
                <w:sz w:val="21"/>
                <w:szCs w:val="21"/>
                <w:highlight w:val="none"/>
                <w:lang w:val="en-US" w:eastAsia="zh-CN"/>
              </w:rPr>
              <w:t>200</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0.2</w:t>
            </w:r>
          </w:p>
        </w:tc>
        <w:tc>
          <w:tcPr>
            <w:tcW w:w="570"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0.017</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0.24</w:t>
            </w:r>
          </w:p>
        </w:tc>
        <w:tc>
          <w:tcPr>
            <w:tcW w:w="46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0.02</w:t>
            </w:r>
          </w:p>
        </w:tc>
        <w:tc>
          <w:tcPr>
            <w:tcW w:w="79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0.072</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哺乳猪</w:t>
            </w:r>
          </w:p>
        </w:tc>
        <w:tc>
          <w:tcPr>
            <w:tcW w:w="532"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lang w:val="en-US" w:eastAsia="zh-CN"/>
              </w:rPr>
              <w:t>1056</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0.4</w:t>
            </w:r>
          </w:p>
        </w:tc>
        <w:tc>
          <w:tcPr>
            <w:tcW w:w="570"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0.034</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0.42</w:t>
            </w:r>
          </w:p>
        </w:tc>
        <w:tc>
          <w:tcPr>
            <w:tcW w:w="46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w:t>
            </w:r>
            <w:r>
              <w:rPr>
                <w:rFonts w:hint="eastAsia" w:cs="Times New Roman"/>
                <w:b w:val="0"/>
                <w:bCs/>
                <w:sz w:val="21"/>
                <w:szCs w:val="21"/>
                <w:highlight w:val="none"/>
                <w:lang w:val="en-US" w:eastAsia="zh-CN"/>
              </w:rPr>
              <w:t>4</w:t>
            </w:r>
          </w:p>
        </w:tc>
        <w:tc>
          <w:tcPr>
            <w:tcW w:w="79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0.12</w:t>
            </w:r>
            <w:r>
              <w:rPr>
                <w:rFonts w:hint="eastAsia" w:cs="Times New Roman"/>
                <w:b w:val="0"/>
                <w:bCs/>
                <w:sz w:val="21"/>
                <w:szCs w:val="21"/>
                <w:highlight w:val="none"/>
                <w:lang w:val="en-US" w:eastAsia="zh-CN"/>
              </w:rPr>
              <w:t>7</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0.01</w:t>
            </w:r>
            <w:r>
              <w:rPr>
                <w:rFonts w:hint="eastAsia" w:cs="Times New Roman"/>
                <w:b w:val="0"/>
                <w:bCs/>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保育猪</w:t>
            </w:r>
          </w:p>
        </w:tc>
        <w:tc>
          <w:tcPr>
            <w:tcW w:w="532"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rPr>
            </w:pPr>
            <w:r>
              <w:rPr>
                <w:rFonts w:hint="eastAsia" w:cs="Times New Roman"/>
                <w:b w:val="0"/>
                <w:bCs/>
                <w:sz w:val="21"/>
                <w:szCs w:val="21"/>
                <w:highlight w:val="none"/>
                <w:lang w:val="en-US" w:eastAsia="zh-CN"/>
              </w:rPr>
              <w:t>20000</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0.04</w:t>
            </w:r>
          </w:p>
        </w:tc>
        <w:tc>
          <w:tcPr>
            <w:tcW w:w="570"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0.0034</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0.8</w:t>
            </w:r>
          </w:p>
        </w:tc>
        <w:tc>
          <w:tcPr>
            <w:tcW w:w="468"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0.068</w:t>
            </w:r>
          </w:p>
        </w:tc>
        <w:tc>
          <w:tcPr>
            <w:tcW w:w="79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0.24</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51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育肥猪</w:t>
            </w:r>
          </w:p>
        </w:tc>
        <w:tc>
          <w:tcPr>
            <w:tcW w:w="532" w:type="pct"/>
            <w:tcBorders>
              <w:tl2br w:val="nil"/>
              <w:tr2bl w:val="nil"/>
            </w:tcBorders>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40000</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0.2</w:t>
            </w:r>
          </w:p>
        </w:tc>
        <w:tc>
          <w:tcPr>
            <w:tcW w:w="570"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0.017</w:t>
            </w:r>
          </w:p>
        </w:tc>
        <w:tc>
          <w:tcPr>
            <w:tcW w:w="494"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8</w:t>
            </w:r>
          </w:p>
        </w:tc>
        <w:tc>
          <w:tcPr>
            <w:tcW w:w="468"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0.68</w:t>
            </w:r>
          </w:p>
        </w:tc>
        <w:tc>
          <w:tcPr>
            <w:tcW w:w="797"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2.4</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8" w:type="pct"/>
            <w:gridSpan w:val="2"/>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合</w:t>
            </w:r>
            <w:r>
              <w:rPr>
                <w:rFonts w:hint="eastAsia" w:cs="Times New Roman"/>
                <w:b w:val="0"/>
                <w:bCs/>
                <w:sz w:val="21"/>
                <w:szCs w:val="21"/>
                <w:highlight w:val="none"/>
              </w:rPr>
              <w:t>计</w:t>
            </w:r>
          </w:p>
        </w:tc>
        <w:tc>
          <w:tcPr>
            <w:tcW w:w="567"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p>
        </w:tc>
        <w:tc>
          <w:tcPr>
            <w:tcW w:w="570"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t>
            </w:r>
          </w:p>
        </w:tc>
        <w:tc>
          <w:tcPr>
            <w:tcW w:w="494"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w:t>
            </w:r>
            <w:r>
              <w:rPr>
                <w:rFonts w:hint="eastAsia" w:cs="Times New Roman"/>
                <w:b w:val="0"/>
                <w:bCs/>
                <w:sz w:val="21"/>
                <w:szCs w:val="21"/>
                <w:highlight w:val="none"/>
                <w:lang w:val="en-US" w:eastAsia="zh-CN"/>
              </w:rPr>
              <w:t>0.65</w:t>
            </w:r>
            <w:r>
              <w:rPr>
                <w:rFonts w:hint="default" w:cs="Times New Roman"/>
                <w:b w:val="0"/>
                <w:bCs/>
                <w:sz w:val="21"/>
                <w:szCs w:val="21"/>
                <w:highlight w:val="none"/>
                <w:lang w:val="en-US" w:eastAsia="zh-CN"/>
              </w:rPr>
              <w:t xml:space="preserve"> </w:t>
            </w:r>
          </w:p>
        </w:tc>
        <w:tc>
          <w:tcPr>
            <w:tcW w:w="468"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0.91</w:t>
            </w:r>
            <w:r>
              <w:rPr>
                <w:rFonts w:hint="default" w:cs="Times New Roman"/>
                <w:b w:val="0"/>
                <w:bCs/>
                <w:sz w:val="21"/>
                <w:szCs w:val="21"/>
                <w:highlight w:val="none"/>
                <w:lang w:val="en-US" w:eastAsia="zh-CN"/>
              </w:rPr>
              <w:t xml:space="preserve"> </w:t>
            </w:r>
          </w:p>
        </w:tc>
        <w:tc>
          <w:tcPr>
            <w:tcW w:w="797"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3.195</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0.273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48" w:type="pct"/>
            <w:gridSpan w:val="2"/>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p>
        </w:tc>
        <w:tc>
          <w:tcPr>
            <w:tcW w:w="56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570"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494"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3.887t/a</w:t>
            </w:r>
          </w:p>
        </w:tc>
        <w:tc>
          <w:tcPr>
            <w:tcW w:w="468"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 xml:space="preserve">0.33t/a </w:t>
            </w:r>
          </w:p>
        </w:tc>
        <w:tc>
          <w:tcPr>
            <w:tcW w:w="797"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p>
        </w:tc>
        <w:tc>
          <w:tcPr>
            <w:tcW w:w="533"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 xml:space="preserve">1.166t/a </w:t>
            </w:r>
          </w:p>
        </w:tc>
        <w:tc>
          <w:tcPr>
            <w:tcW w:w="51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 xml:space="preserve">0.100t/a </w:t>
            </w:r>
          </w:p>
        </w:tc>
      </w:tr>
    </w:tbl>
    <w:p>
      <w:pPr>
        <w:spacing w:line="500" w:lineRule="exact"/>
        <w:ind w:firstLine="480" w:firstLineChars="200"/>
        <w:rPr>
          <w:rFonts w:ascii="Times New Roman" w:hAnsi="Times New Roman"/>
          <w:b w:val="0"/>
          <w:bCs w:val="0"/>
          <w:color w:val="auto"/>
          <w:sz w:val="24"/>
          <w:szCs w:val="24"/>
          <w:highlight w:val="none"/>
          <w:u w:val="none"/>
        </w:rPr>
      </w:pPr>
      <w:r>
        <w:rPr>
          <w:rFonts w:hint="eastAsia" w:ascii="Times New Roman" w:hAnsi="Times New Roman"/>
          <w:b w:val="0"/>
          <w:bCs w:val="0"/>
          <w:color w:val="auto"/>
          <w:sz w:val="24"/>
          <w:szCs w:val="24"/>
          <w:highlight w:val="none"/>
          <w:u w:val="none"/>
        </w:rPr>
        <w:t>2、污水处理及固粪处理区产生的恶臭气体</w:t>
      </w:r>
    </w:p>
    <w:p>
      <w:pPr>
        <w:spacing w:line="500" w:lineRule="exact"/>
        <w:ind w:firstLine="480" w:firstLineChars="200"/>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（1）污水前处理系统恶臭</w:t>
      </w:r>
    </w:p>
    <w:p>
      <w:pPr>
        <w:spacing w:line="500" w:lineRule="exact"/>
        <w:ind w:firstLine="480" w:firstLineChars="200"/>
        <w:rPr>
          <w:rFonts w:ascii="Times New Roman" w:hAnsi="Times New Roman"/>
          <w:b w:val="0"/>
          <w:bCs w:val="0"/>
          <w:color w:val="auto"/>
          <w:kern w:val="0"/>
          <w:sz w:val="24"/>
          <w:szCs w:val="24"/>
          <w:highlight w:val="none"/>
          <w:u w:val="none"/>
        </w:rPr>
      </w:pPr>
      <w:r>
        <w:rPr>
          <w:rFonts w:ascii="Times New Roman" w:hAnsi="Times New Roman"/>
          <w:b w:val="0"/>
          <w:bCs w:val="0"/>
          <w:color w:val="auto"/>
          <w:sz w:val="24"/>
          <w:szCs w:val="24"/>
          <w:highlight w:val="none"/>
          <w:u w:val="none"/>
        </w:rPr>
        <w:t>粪污在进入</w:t>
      </w:r>
      <w:r>
        <w:rPr>
          <w:rFonts w:hint="eastAsia" w:ascii="Times New Roman" w:hAnsi="Times New Roman"/>
          <w:b w:val="0"/>
          <w:bCs w:val="0"/>
          <w:color w:val="auto"/>
          <w:sz w:val="24"/>
          <w:szCs w:val="24"/>
          <w:highlight w:val="none"/>
          <w:u w:val="none"/>
          <w:lang w:eastAsia="zh-CN"/>
        </w:rPr>
        <w:t>黑膜</w:t>
      </w:r>
      <w:r>
        <w:rPr>
          <w:rFonts w:ascii="Times New Roman" w:hAnsi="Times New Roman"/>
          <w:b w:val="0"/>
          <w:bCs w:val="0"/>
          <w:color w:val="auto"/>
          <w:sz w:val="24"/>
          <w:szCs w:val="24"/>
          <w:highlight w:val="none"/>
          <w:u w:val="none"/>
        </w:rPr>
        <w:t>湖沼气池前将进行固液分离，因前期固液分离环节由于设备要求，上方不能全部封闭，而</w:t>
      </w:r>
      <w:r>
        <w:rPr>
          <w:rFonts w:hint="eastAsia"/>
          <w:b w:val="0"/>
          <w:bCs w:val="0"/>
          <w:color w:val="auto"/>
          <w:sz w:val="24"/>
          <w:szCs w:val="24"/>
          <w:highlight w:val="none"/>
          <w:u w:val="none"/>
          <w:lang w:eastAsia="zh-CN"/>
        </w:rPr>
        <w:t>黑膜</w:t>
      </w:r>
      <w:r>
        <w:rPr>
          <w:rFonts w:ascii="Times New Roman" w:hAnsi="Times New Roman"/>
          <w:b w:val="0"/>
          <w:bCs w:val="0"/>
          <w:color w:val="auto"/>
          <w:sz w:val="24"/>
          <w:szCs w:val="24"/>
          <w:highlight w:val="none"/>
          <w:u w:val="none"/>
        </w:rPr>
        <w:t>沼气池为密闭的，因此只有在固液分离机沼液储存池部分会产生恶臭气体。</w:t>
      </w:r>
      <w:r>
        <w:rPr>
          <w:rFonts w:ascii="Times New Roman" w:hAnsi="Times New Roman"/>
          <w:b w:val="0"/>
          <w:bCs w:val="0"/>
          <w:color w:val="auto"/>
          <w:kern w:val="0"/>
          <w:sz w:val="24"/>
          <w:szCs w:val="24"/>
          <w:highlight w:val="none"/>
          <w:u w:val="none"/>
        </w:rPr>
        <w:t>收集池恶臭源强：根据美国EPA对城市污水处理厂恶臭污染物产生情况的研究，每处理1gBOD</w:t>
      </w:r>
      <w:r>
        <w:rPr>
          <w:rFonts w:ascii="Times New Roman" w:hAnsi="Times New Roman"/>
          <w:b w:val="0"/>
          <w:bCs w:val="0"/>
          <w:color w:val="auto"/>
          <w:kern w:val="0"/>
          <w:sz w:val="24"/>
          <w:szCs w:val="24"/>
          <w:highlight w:val="none"/>
          <w:u w:val="none"/>
          <w:vertAlign w:val="subscript"/>
        </w:rPr>
        <w:t>5</w:t>
      </w:r>
      <w:r>
        <w:rPr>
          <w:rFonts w:ascii="Times New Roman" w:hAnsi="Times New Roman"/>
          <w:b w:val="0"/>
          <w:bCs w:val="0"/>
          <w:color w:val="auto"/>
          <w:kern w:val="0"/>
          <w:sz w:val="24"/>
          <w:szCs w:val="24"/>
          <w:highlight w:val="none"/>
          <w:u w:val="none"/>
        </w:rPr>
        <w:t>可产生0.0031gNH</w:t>
      </w:r>
      <w:r>
        <w:rPr>
          <w:rFonts w:ascii="Times New Roman" w:hAnsi="Times New Roman"/>
          <w:b w:val="0"/>
          <w:bCs w:val="0"/>
          <w:color w:val="auto"/>
          <w:kern w:val="0"/>
          <w:sz w:val="24"/>
          <w:szCs w:val="24"/>
          <w:highlight w:val="none"/>
          <w:u w:val="none"/>
          <w:vertAlign w:val="subscript"/>
        </w:rPr>
        <w:t>3</w:t>
      </w:r>
      <w:r>
        <w:rPr>
          <w:rFonts w:ascii="Times New Roman" w:hAnsi="Times New Roman"/>
          <w:b w:val="0"/>
          <w:bCs w:val="0"/>
          <w:color w:val="auto"/>
          <w:kern w:val="0"/>
          <w:sz w:val="24"/>
          <w:szCs w:val="24"/>
          <w:highlight w:val="none"/>
          <w:u w:val="none"/>
        </w:rPr>
        <w:t>和0.00012gH</w:t>
      </w:r>
      <w:r>
        <w:rPr>
          <w:rFonts w:ascii="Times New Roman" w:hAnsi="Times New Roman"/>
          <w:b w:val="0"/>
          <w:bCs w:val="0"/>
          <w:color w:val="auto"/>
          <w:kern w:val="0"/>
          <w:sz w:val="24"/>
          <w:szCs w:val="24"/>
          <w:highlight w:val="none"/>
          <w:u w:val="none"/>
          <w:vertAlign w:val="subscript"/>
        </w:rPr>
        <w:t>2</w:t>
      </w:r>
      <w:r>
        <w:rPr>
          <w:rFonts w:ascii="Times New Roman" w:hAnsi="Times New Roman"/>
          <w:b w:val="0"/>
          <w:bCs w:val="0"/>
          <w:color w:val="auto"/>
          <w:kern w:val="0"/>
          <w:sz w:val="24"/>
          <w:szCs w:val="24"/>
          <w:highlight w:val="none"/>
          <w:u w:val="none"/>
        </w:rPr>
        <w:t>S。本项目收集池</w:t>
      </w:r>
      <w:r>
        <w:rPr>
          <w:rFonts w:ascii="Times New Roman" w:hAnsi="Times New Roman"/>
          <w:b w:val="0"/>
          <w:bCs w:val="0"/>
          <w:color w:val="auto"/>
          <w:sz w:val="24"/>
          <w:szCs w:val="24"/>
          <w:highlight w:val="none"/>
          <w:u w:val="none"/>
        </w:rPr>
        <w:t>固液分离</w:t>
      </w:r>
      <w:r>
        <w:rPr>
          <w:rFonts w:ascii="Times New Roman" w:hAnsi="Times New Roman"/>
          <w:b w:val="0"/>
          <w:bCs w:val="0"/>
          <w:color w:val="auto"/>
          <w:kern w:val="0"/>
          <w:sz w:val="24"/>
          <w:szCs w:val="24"/>
          <w:highlight w:val="none"/>
          <w:u w:val="none"/>
        </w:rPr>
        <w:t>废水BOD</w:t>
      </w:r>
      <w:r>
        <w:rPr>
          <w:rFonts w:ascii="Times New Roman" w:hAnsi="Times New Roman"/>
          <w:b w:val="0"/>
          <w:bCs w:val="0"/>
          <w:color w:val="auto"/>
          <w:kern w:val="0"/>
          <w:sz w:val="24"/>
          <w:szCs w:val="24"/>
          <w:highlight w:val="none"/>
          <w:u w:val="none"/>
          <w:vertAlign w:val="subscript"/>
        </w:rPr>
        <w:t>5</w:t>
      </w:r>
      <w:r>
        <w:rPr>
          <w:rFonts w:ascii="Times New Roman" w:hAnsi="Times New Roman"/>
          <w:b w:val="0"/>
          <w:bCs w:val="0"/>
          <w:color w:val="auto"/>
          <w:kern w:val="0"/>
          <w:sz w:val="24"/>
          <w:szCs w:val="24"/>
          <w:highlight w:val="none"/>
          <w:u w:val="none"/>
        </w:rPr>
        <w:t>去除量为</w:t>
      </w:r>
      <w:r>
        <w:rPr>
          <w:rFonts w:hint="eastAsia"/>
          <w:b w:val="0"/>
          <w:bCs w:val="0"/>
          <w:color w:val="auto"/>
          <w:kern w:val="0"/>
          <w:sz w:val="24"/>
          <w:szCs w:val="24"/>
          <w:highlight w:val="none"/>
          <w:u w:val="none"/>
          <w:lang w:val="en-US" w:eastAsia="zh-CN"/>
        </w:rPr>
        <w:t>536.43</w:t>
      </w:r>
      <w:r>
        <w:rPr>
          <w:rFonts w:ascii="Times New Roman" w:hAnsi="Times New Roman"/>
          <w:b w:val="0"/>
          <w:bCs w:val="0"/>
          <w:color w:val="auto"/>
          <w:kern w:val="0"/>
          <w:sz w:val="24"/>
          <w:szCs w:val="24"/>
          <w:highlight w:val="none"/>
          <w:u w:val="none"/>
        </w:rPr>
        <w:t>t/a，则收集池NH</w:t>
      </w:r>
      <w:r>
        <w:rPr>
          <w:rFonts w:ascii="Times New Roman" w:hAnsi="Times New Roman"/>
          <w:b w:val="0"/>
          <w:bCs w:val="0"/>
          <w:color w:val="auto"/>
          <w:kern w:val="0"/>
          <w:sz w:val="24"/>
          <w:szCs w:val="24"/>
          <w:highlight w:val="none"/>
          <w:u w:val="none"/>
          <w:vertAlign w:val="subscript"/>
        </w:rPr>
        <w:t>3</w:t>
      </w:r>
      <w:r>
        <w:rPr>
          <w:rFonts w:ascii="Times New Roman" w:hAnsi="Times New Roman"/>
          <w:b w:val="0"/>
          <w:bCs w:val="0"/>
          <w:color w:val="auto"/>
          <w:kern w:val="0"/>
          <w:sz w:val="24"/>
          <w:szCs w:val="24"/>
          <w:highlight w:val="none"/>
          <w:u w:val="none"/>
        </w:rPr>
        <w:t>产生量为</w:t>
      </w:r>
      <w:r>
        <w:rPr>
          <w:rFonts w:hint="eastAsia" w:ascii="Times New Roman" w:hAnsi="Times New Roman"/>
          <w:b w:val="0"/>
          <w:bCs w:val="0"/>
          <w:color w:val="auto"/>
          <w:kern w:val="0"/>
          <w:sz w:val="24"/>
          <w:szCs w:val="24"/>
          <w:highlight w:val="none"/>
          <w:u w:val="none"/>
          <w:lang w:val="en-US" w:eastAsia="zh-CN"/>
        </w:rPr>
        <w:t>1.</w:t>
      </w:r>
      <w:r>
        <w:rPr>
          <w:rFonts w:hint="eastAsia"/>
          <w:b w:val="0"/>
          <w:bCs w:val="0"/>
          <w:color w:val="auto"/>
          <w:kern w:val="0"/>
          <w:sz w:val="24"/>
          <w:szCs w:val="24"/>
          <w:highlight w:val="none"/>
          <w:u w:val="none"/>
          <w:lang w:val="en-US" w:eastAsia="zh-CN"/>
        </w:rPr>
        <w:t>663</w:t>
      </w:r>
      <w:r>
        <w:rPr>
          <w:rFonts w:ascii="Times New Roman" w:hAnsi="Times New Roman"/>
          <w:b w:val="0"/>
          <w:bCs w:val="0"/>
          <w:color w:val="auto"/>
          <w:kern w:val="0"/>
          <w:sz w:val="24"/>
          <w:szCs w:val="24"/>
          <w:highlight w:val="none"/>
          <w:u w:val="none"/>
        </w:rPr>
        <w:t>t/a，H</w:t>
      </w:r>
      <w:r>
        <w:rPr>
          <w:rFonts w:ascii="Times New Roman" w:hAnsi="Times New Roman"/>
          <w:b w:val="0"/>
          <w:bCs w:val="0"/>
          <w:color w:val="auto"/>
          <w:kern w:val="0"/>
          <w:sz w:val="24"/>
          <w:szCs w:val="24"/>
          <w:highlight w:val="none"/>
          <w:u w:val="none"/>
          <w:vertAlign w:val="subscript"/>
        </w:rPr>
        <w:t>2</w:t>
      </w:r>
      <w:r>
        <w:rPr>
          <w:rFonts w:ascii="Times New Roman" w:hAnsi="Times New Roman"/>
          <w:b w:val="0"/>
          <w:bCs w:val="0"/>
          <w:color w:val="auto"/>
          <w:kern w:val="0"/>
          <w:sz w:val="24"/>
          <w:szCs w:val="24"/>
          <w:highlight w:val="none"/>
          <w:u w:val="none"/>
        </w:rPr>
        <w:t>S产生量为</w:t>
      </w:r>
      <w:r>
        <w:rPr>
          <w:rFonts w:hint="eastAsia" w:ascii="Times New Roman" w:hAnsi="Times New Roman"/>
          <w:b w:val="0"/>
          <w:bCs w:val="0"/>
          <w:color w:val="auto"/>
          <w:kern w:val="0"/>
          <w:sz w:val="24"/>
          <w:szCs w:val="24"/>
          <w:highlight w:val="none"/>
          <w:u w:val="none"/>
          <w:lang w:val="en-US" w:eastAsia="zh-CN"/>
        </w:rPr>
        <w:t>0.0</w:t>
      </w:r>
      <w:r>
        <w:rPr>
          <w:rFonts w:hint="eastAsia"/>
          <w:b w:val="0"/>
          <w:bCs w:val="0"/>
          <w:color w:val="auto"/>
          <w:kern w:val="0"/>
          <w:sz w:val="24"/>
          <w:szCs w:val="24"/>
          <w:highlight w:val="none"/>
          <w:u w:val="none"/>
          <w:lang w:val="en-US" w:eastAsia="zh-CN"/>
        </w:rPr>
        <w:t>64</w:t>
      </w:r>
      <w:r>
        <w:rPr>
          <w:rFonts w:ascii="Times New Roman" w:hAnsi="Times New Roman"/>
          <w:b w:val="0"/>
          <w:bCs w:val="0"/>
          <w:color w:val="auto"/>
          <w:kern w:val="0"/>
          <w:sz w:val="24"/>
          <w:szCs w:val="24"/>
          <w:highlight w:val="none"/>
          <w:u w:val="none"/>
        </w:rPr>
        <w:t>t/a。为进一步减小项目污水处理过程恶臭气体对周边环境的影响，对污水前处理系统收集池区域喷洒除臭剂，并加强场区绿化。</w:t>
      </w:r>
    </w:p>
    <w:p>
      <w:pPr>
        <w:pStyle w:val="40"/>
        <w:rPr>
          <w:rFonts w:hint="eastAsia" w:cs="Times New Roman"/>
          <w:highlight w:val="none"/>
          <w:lang w:val="en-US" w:eastAsia="zh-CN"/>
        </w:rPr>
      </w:pPr>
      <w:r>
        <w:rPr>
          <w:rFonts w:hint="eastAsia" w:cs="Times New Roman"/>
          <w:highlight w:val="none"/>
          <w:lang w:val="en-US" w:eastAsia="zh-CN"/>
        </w:rPr>
        <w:t>表2.12-2 项目收集池恶臭气体产生及排放情况一览表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888"/>
        <w:gridCol w:w="1012"/>
        <w:gridCol w:w="1013"/>
        <w:gridCol w:w="881"/>
        <w:gridCol w:w="830"/>
        <w:gridCol w:w="1888"/>
        <w:gridCol w:w="678"/>
        <w:gridCol w:w="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BOD</w:t>
            </w:r>
            <w:r>
              <w:rPr>
                <w:rFonts w:hint="eastAsia" w:cs="Times New Roman"/>
                <w:b w:val="0"/>
                <w:bCs/>
                <w:sz w:val="21"/>
                <w:szCs w:val="21"/>
                <w:highlight w:val="none"/>
                <w:vertAlign w:val="subscript"/>
              </w:rPr>
              <w:t>5</w:t>
            </w:r>
            <w:r>
              <w:rPr>
                <w:rFonts w:hint="eastAsia" w:cs="Times New Roman"/>
                <w:b w:val="0"/>
                <w:bCs/>
                <w:sz w:val="21"/>
                <w:szCs w:val="21"/>
                <w:highlight w:val="none"/>
              </w:rPr>
              <w:t>消减量（t/a）</w:t>
            </w:r>
          </w:p>
        </w:tc>
        <w:tc>
          <w:tcPr>
            <w:tcW w:w="2025" w:type="dxa"/>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系数（g/g）</w:t>
            </w:r>
          </w:p>
        </w:tc>
        <w:tc>
          <w:tcPr>
            <w:tcW w:w="1711"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w:t>
            </w:r>
            <w:r>
              <w:rPr>
                <w:rFonts w:hint="eastAsia" w:cs="Times New Roman"/>
                <w:b w:val="0"/>
                <w:bCs/>
                <w:sz w:val="21"/>
                <w:szCs w:val="21"/>
                <w:highlight w:val="none"/>
                <w:lang w:val="en-US" w:eastAsia="zh-CN"/>
              </w:rPr>
              <w:t>kg/d</w:t>
            </w:r>
            <w:r>
              <w:rPr>
                <w:rFonts w:hint="eastAsia" w:cs="Times New Roman"/>
                <w:b w:val="0"/>
                <w:bCs/>
                <w:sz w:val="21"/>
                <w:szCs w:val="21"/>
                <w:highlight w:val="none"/>
              </w:rPr>
              <w:t>）</w:t>
            </w:r>
          </w:p>
        </w:tc>
        <w:tc>
          <w:tcPr>
            <w:tcW w:w="1888"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402"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w:t>
            </w:r>
            <w:r>
              <w:rPr>
                <w:rFonts w:hint="eastAsia" w:cs="Times New Roman"/>
                <w:b w:val="0"/>
                <w:bCs/>
                <w:sz w:val="21"/>
                <w:szCs w:val="21"/>
                <w:highlight w:val="none"/>
                <w:lang w:val="en-US" w:eastAsia="zh-CN"/>
              </w:rPr>
              <w:t>kg/d</w:t>
            </w:r>
            <w:r>
              <w:rPr>
                <w:rFonts w:hint="eastAsia" w:cs="Times New Roman"/>
                <w:b w:val="0"/>
                <w:bCs/>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7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r>
              <w:rPr>
                <w:rFonts w:hint="eastAsia" w:cs="Times New Roman"/>
                <w:b w:val="0"/>
                <w:bCs/>
                <w:sz w:val="21"/>
                <w:szCs w:val="21"/>
                <w:highlight w:val="none"/>
                <w:lang w:val="en-US" w:eastAsia="zh-CN"/>
              </w:rPr>
              <w:t>收集池</w:t>
            </w:r>
          </w:p>
        </w:tc>
        <w:tc>
          <w:tcPr>
            <w:tcW w:w="88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536.43</w:t>
            </w: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0.0031</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0.00012</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4.56</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0.176 </w:t>
            </w:r>
          </w:p>
        </w:tc>
        <w:tc>
          <w:tcPr>
            <w:tcW w:w="188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喷洒除臭剂，并加强场区绿化，去除效率可达到70%</w:t>
            </w: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1.37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0.053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891" w:type="dxa"/>
            <w:gridSpan w:val="4"/>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年产排量（t/a）</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w:t>
            </w:r>
            <w:r>
              <w:rPr>
                <w:rFonts w:hint="eastAsia" w:cs="Times New Roman"/>
                <w:b w:val="0"/>
                <w:bCs/>
                <w:sz w:val="21"/>
                <w:szCs w:val="21"/>
                <w:highlight w:val="none"/>
                <w:lang w:val="en-US" w:eastAsia="zh-CN"/>
              </w:rPr>
              <w:t>663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w:t>
            </w:r>
            <w:r>
              <w:rPr>
                <w:rFonts w:hint="eastAsia" w:cs="Times New Roman"/>
                <w:b w:val="0"/>
                <w:bCs/>
                <w:sz w:val="21"/>
                <w:szCs w:val="21"/>
                <w:highlight w:val="none"/>
                <w:lang w:val="en-US" w:eastAsia="zh-CN"/>
              </w:rPr>
              <w:t>64</w:t>
            </w:r>
            <w:r>
              <w:rPr>
                <w:rFonts w:hint="default" w:cs="Times New Roman"/>
                <w:b w:val="0"/>
                <w:bCs/>
                <w:sz w:val="21"/>
                <w:szCs w:val="21"/>
                <w:highlight w:val="none"/>
                <w:lang w:val="en-US" w:eastAsia="zh-CN"/>
              </w:rPr>
              <w:t xml:space="preserve"> </w:t>
            </w:r>
          </w:p>
        </w:tc>
        <w:tc>
          <w:tcPr>
            <w:tcW w:w="188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0.4</w:t>
            </w:r>
            <w:r>
              <w:rPr>
                <w:rFonts w:hint="eastAsia" w:cs="Times New Roman"/>
                <w:b w:val="0"/>
                <w:bCs/>
                <w:sz w:val="21"/>
                <w:szCs w:val="21"/>
                <w:highlight w:val="none"/>
                <w:lang w:val="en-US" w:eastAsia="zh-CN"/>
              </w:rPr>
              <w:t>99</w:t>
            </w:r>
            <w:r>
              <w:rPr>
                <w:rFonts w:hint="default" w:cs="Times New Roman"/>
                <w:b w:val="0"/>
                <w:bCs/>
                <w:sz w:val="21"/>
                <w:szCs w:val="21"/>
                <w:highlight w:val="none"/>
                <w:lang w:val="en-US" w:eastAsia="zh-CN"/>
              </w:rPr>
              <w:t xml:space="preserve">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 xml:space="preserve">0.019 </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（2）固粪处理区臭气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项目猪粪和污水处理产生的沼渣收集后运至固粪处理区进行条垛堆肥处理，项目本项目设置</w:t>
      </w:r>
      <w:r>
        <w:rPr>
          <w:rFonts w:hint="eastAsia"/>
          <w:b w:val="0"/>
          <w:bCs w:val="0"/>
          <w:color w:val="auto"/>
          <w:sz w:val="24"/>
          <w:szCs w:val="24"/>
          <w:highlight w:val="none"/>
          <w:u w:val="none"/>
          <w:lang w:val="en-US" w:eastAsia="zh-CN"/>
        </w:rPr>
        <w:t>2</w:t>
      </w:r>
      <w:r>
        <w:rPr>
          <w:rFonts w:ascii="Times New Roman" w:hAnsi="Times New Roman"/>
          <w:b w:val="0"/>
          <w:bCs w:val="0"/>
          <w:color w:val="auto"/>
          <w:sz w:val="24"/>
          <w:szCs w:val="24"/>
          <w:highlight w:val="none"/>
          <w:u w:val="none"/>
        </w:rPr>
        <w:t>个固粪处理区，</w:t>
      </w:r>
      <w:r>
        <w:rPr>
          <w:rFonts w:hint="eastAsia"/>
          <w:b w:val="0"/>
          <w:bCs w:val="0"/>
          <w:color w:val="auto"/>
          <w:sz w:val="24"/>
          <w:szCs w:val="24"/>
          <w:highlight w:val="none"/>
          <w:u w:val="none"/>
          <w:lang w:eastAsia="zh-CN"/>
        </w:rPr>
        <w:t>总</w:t>
      </w:r>
      <w:r>
        <w:rPr>
          <w:rFonts w:ascii="Times New Roman" w:hAnsi="Times New Roman"/>
          <w:b w:val="0"/>
          <w:bCs w:val="0"/>
          <w:color w:val="auto"/>
          <w:sz w:val="24"/>
          <w:szCs w:val="24"/>
          <w:highlight w:val="none"/>
          <w:u w:val="none"/>
        </w:rPr>
        <w:t>占地面积</w:t>
      </w:r>
      <w:r>
        <w:rPr>
          <w:rFonts w:hint="eastAsia" w:ascii="Times New Roman" w:hAnsi="Times New Roman"/>
          <w:b w:val="0"/>
          <w:bCs w:val="0"/>
          <w:color w:val="auto"/>
          <w:sz w:val="24"/>
          <w:szCs w:val="24"/>
          <w:highlight w:val="none"/>
          <w:u w:val="none"/>
        </w:rPr>
        <w:t>1</w:t>
      </w:r>
      <w:r>
        <w:rPr>
          <w:rFonts w:hint="eastAsia"/>
          <w:b w:val="0"/>
          <w:bCs w:val="0"/>
          <w:color w:val="auto"/>
          <w:sz w:val="24"/>
          <w:szCs w:val="24"/>
          <w:highlight w:val="none"/>
          <w:u w:val="none"/>
          <w:lang w:val="en-US" w:eastAsia="zh-CN"/>
        </w:rPr>
        <w:t>120</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，根据类比内乡12场生猪养殖场项目估算参数，固粪处理区NH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的产生量为5g/m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·d，H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S的产生量为0.3g/m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·d。据此进行计算，本项目粪污处理过程恶臭气体产生量为NH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lang w:val="en-US" w:eastAsia="zh-CN"/>
        </w:rPr>
        <w:t>：5.6</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ascii="Times New Roman" w:hAnsi="Times New Roman"/>
          <w:b w:val="0"/>
          <w:bCs w:val="0"/>
          <w:color w:val="auto"/>
          <w:sz w:val="24"/>
          <w:szCs w:val="24"/>
          <w:highlight w:val="none"/>
          <w:u w:val="none"/>
          <w:lang w:val="en-US" w:eastAsia="zh-CN"/>
        </w:rPr>
        <w:t>0.</w:t>
      </w:r>
      <w:r>
        <w:rPr>
          <w:rFonts w:hint="eastAsia"/>
          <w:b w:val="0"/>
          <w:bCs w:val="0"/>
          <w:color w:val="auto"/>
          <w:sz w:val="24"/>
          <w:szCs w:val="24"/>
          <w:highlight w:val="none"/>
          <w:u w:val="none"/>
          <w:lang w:val="en-US" w:eastAsia="zh-CN"/>
        </w:rPr>
        <w:t>336</w:t>
      </w:r>
      <w:r>
        <w:rPr>
          <w:rFonts w:ascii="Times New Roman" w:hAnsi="Times New Roman"/>
          <w:b w:val="0"/>
          <w:bCs w:val="0"/>
          <w:color w:val="auto"/>
          <w:sz w:val="24"/>
          <w:szCs w:val="24"/>
          <w:highlight w:val="none"/>
          <w:u w:val="none"/>
        </w:rPr>
        <w:t>kg/d。</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项目拟采用喷洒除臭剂的方式对堆肥过程恶臭气体进行处理。经处理后，项目粪污处理过程恶臭气体排放量为NH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hint="eastAsia"/>
          <w:b w:val="0"/>
          <w:bCs w:val="0"/>
          <w:color w:val="auto"/>
          <w:sz w:val="24"/>
          <w:szCs w:val="24"/>
          <w:highlight w:val="none"/>
          <w:u w:val="none"/>
          <w:vertAlign w:val="baseline"/>
          <w:lang w:val="en-US" w:eastAsia="zh-CN"/>
        </w:rPr>
        <w:t>1.68</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ascii="Times New Roman" w:hAnsi="Times New Roman"/>
          <w:b w:val="0"/>
          <w:bCs w:val="0"/>
          <w:color w:val="auto"/>
          <w:sz w:val="24"/>
          <w:szCs w:val="24"/>
          <w:highlight w:val="none"/>
          <w:u w:val="none"/>
          <w:lang w:val="en-US" w:eastAsia="zh-CN"/>
        </w:rPr>
        <w:t>0.1</w:t>
      </w:r>
      <w:r>
        <w:rPr>
          <w:rFonts w:ascii="Times New Roman" w:hAnsi="Times New Roman"/>
          <w:b w:val="0"/>
          <w:bCs w:val="0"/>
          <w:color w:val="auto"/>
          <w:sz w:val="24"/>
          <w:szCs w:val="24"/>
          <w:highlight w:val="none"/>
          <w:u w:val="none"/>
        </w:rPr>
        <w:t>kg/d。</w:t>
      </w:r>
    </w:p>
    <w:p>
      <w:pPr>
        <w:pStyle w:val="40"/>
        <w:rPr>
          <w:rFonts w:hint="eastAsia" w:cs="Times New Roman"/>
          <w:highlight w:val="none"/>
          <w:lang w:val="en-US" w:eastAsia="zh-CN"/>
        </w:rPr>
      </w:pPr>
      <w:r>
        <w:rPr>
          <w:rFonts w:hint="eastAsia" w:cs="Times New Roman"/>
          <w:highlight w:val="none"/>
          <w:lang w:val="en-US" w:eastAsia="zh-CN"/>
        </w:rPr>
        <w:t>表2.12-3 项目收集池恶臭气体产生及排放情况一览表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888"/>
        <w:gridCol w:w="1012"/>
        <w:gridCol w:w="1013"/>
        <w:gridCol w:w="881"/>
        <w:gridCol w:w="830"/>
        <w:gridCol w:w="1888"/>
        <w:gridCol w:w="678"/>
        <w:gridCol w:w="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处置区面积m</w:t>
            </w:r>
            <w:r>
              <w:rPr>
                <w:rFonts w:hint="eastAsia" w:cs="Times New Roman"/>
                <w:b w:val="0"/>
                <w:bCs/>
                <w:sz w:val="21"/>
                <w:szCs w:val="21"/>
                <w:highlight w:val="none"/>
                <w:vertAlign w:val="superscript"/>
              </w:rPr>
              <w:t>2</w:t>
            </w:r>
          </w:p>
        </w:tc>
        <w:tc>
          <w:tcPr>
            <w:tcW w:w="2025" w:type="dxa"/>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系数（g/m</w:t>
            </w:r>
            <w:r>
              <w:rPr>
                <w:rFonts w:hint="eastAsia" w:cs="Times New Roman"/>
                <w:b w:val="0"/>
                <w:bCs/>
                <w:sz w:val="21"/>
                <w:szCs w:val="21"/>
                <w:highlight w:val="none"/>
                <w:vertAlign w:val="superscript"/>
              </w:rPr>
              <w:t>2</w:t>
            </w:r>
            <w:r>
              <w:rPr>
                <w:rFonts w:hint="eastAsia" w:cs="Times New Roman"/>
                <w:b w:val="0"/>
                <w:bCs/>
                <w:sz w:val="21"/>
                <w:szCs w:val="21"/>
                <w:highlight w:val="none"/>
              </w:rPr>
              <w:t>·d）</w:t>
            </w:r>
          </w:p>
        </w:tc>
        <w:tc>
          <w:tcPr>
            <w:tcW w:w="1711"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产生量（kg/d）</w:t>
            </w:r>
          </w:p>
        </w:tc>
        <w:tc>
          <w:tcPr>
            <w:tcW w:w="1888"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402"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7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固粪处理区</w:t>
            </w:r>
          </w:p>
        </w:tc>
        <w:tc>
          <w:tcPr>
            <w:tcW w:w="88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1120</w:t>
            </w: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5</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0.3</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5.6</w:t>
            </w:r>
            <w:r>
              <w:rPr>
                <w:rFonts w:hint="default" w:cs="Times New Roman"/>
                <w:b w:val="0"/>
                <w:bCs/>
                <w:sz w:val="21"/>
                <w:szCs w:val="21"/>
                <w:highlight w:val="none"/>
                <w:lang w:val="en-US" w:eastAsia="zh-CN"/>
              </w:rPr>
              <w:t xml:space="preserve"> </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w:t>
            </w:r>
            <w:r>
              <w:rPr>
                <w:rFonts w:hint="eastAsia" w:cs="Times New Roman"/>
                <w:b w:val="0"/>
                <w:bCs/>
                <w:sz w:val="21"/>
                <w:szCs w:val="21"/>
                <w:highlight w:val="none"/>
                <w:lang w:val="en-US" w:eastAsia="zh-CN"/>
              </w:rPr>
              <w:t>336</w:t>
            </w:r>
            <w:r>
              <w:rPr>
                <w:rFonts w:hint="default" w:cs="Times New Roman"/>
                <w:b w:val="0"/>
                <w:bCs/>
                <w:sz w:val="21"/>
                <w:szCs w:val="21"/>
                <w:highlight w:val="none"/>
                <w:lang w:val="en-US" w:eastAsia="zh-CN"/>
              </w:rPr>
              <w:t xml:space="preserve"> </w:t>
            </w:r>
          </w:p>
        </w:tc>
        <w:tc>
          <w:tcPr>
            <w:tcW w:w="1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喷洒除臭剂，并加强场区绿化，去除效率可达到70%</w:t>
            </w: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1.68</w:t>
            </w:r>
            <w:r>
              <w:rPr>
                <w:rFonts w:hint="default" w:cs="Times New Roman"/>
                <w:b w:val="0"/>
                <w:bCs/>
                <w:sz w:val="21"/>
                <w:szCs w:val="21"/>
                <w:highlight w:val="none"/>
                <w:lang w:val="en-US" w:eastAsia="zh-CN"/>
              </w:rPr>
              <w:t xml:space="preserve">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 xml:space="preserve">0.1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891" w:type="dxa"/>
            <w:gridSpan w:val="4"/>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年产排量（t/a）</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2.044</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0.123 </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eastAsia="zh-CN"/>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0.613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0.037 </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（3）沼液储存池臭气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污水处理站产生沼液在非耕作期于场内沼液储存池中暂存。项目场内设</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座沼液储存池，容积为</w:t>
      </w:r>
      <w:r>
        <w:rPr>
          <w:rFonts w:hint="eastAsia" w:ascii="Times New Roman" w:hAnsi="Times New Roman"/>
          <w:b w:val="0"/>
          <w:bCs w:val="0"/>
          <w:color w:val="auto"/>
          <w:sz w:val="24"/>
          <w:szCs w:val="24"/>
          <w:highlight w:val="none"/>
          <w:u w:val="none"/>
        </w:rPr>
        <w:t>1</w:t>
      </w:r>
      <w:r>
        <w:rPr>
          <w:rFonts w:hint="eastAsia"/>
          <w:b w:val="0"/>
          <w:bCs w:val="0"/>
          <w:color w:val="auto"/>
          <w:sz w:val="24"/>
          <w:szCs w:val="24"/>
          <w:highlight w:val="none"/>
          <w:u w:val="none"/>
          <w:lang w:val="en-US" w:eastAsia="zh-CN"/>
        </w:rPr>
        <w:t>00</w:t>
      </w:r>
      <w:r>
        <w:rPr>
          <w:rFonts w:hint="eastAsia" w:ascii="Times New Roman" w:hAnsi="Times New Roman"/>
          <w:b w:val="0"/>
          <w:bCs w:val="0"/>
          <w:color w:val="auto"/>
          <w:sz w:val="24"/>
          <w:szCs w:val="24"/>
          <w:highlight w:val="none"/>
          <w:u w:val="none"/>
        </w:rPr>
        <w:t>000</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20000</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，根据类比牧原内乡12场（已验收）沼液储存池：占地面积13622m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S的产生量为0.0316kg/d，NH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的产生量为0.3953kg/d，折合后产生量分别为H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0.0023g/m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ascii="Times New Roman" w:hAnsi="Times New Roman"/>
          <w:b w:val="0"/>
          <w:bCs w:val="0"/>
          <w:color w:val="auto"/>
          <w:sz w:val="24"/>
          <w:szCs w:val="24"/>
          <w:highlight w:val="none"/>
          <w:u w:val="none"/>
        </w:rPr>
        <w:t>0.03g/m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d。本项目沼液储存池占地面积</w:t>
      </w:r>
      <w:r>
        <w:rPr>
          <w:rFonts w:hint="eastAsia" w:ascii="Times New Roman" w:hAnsi="Times New Roman"/>
          <w:b w:val="0"/>
          <w:bCs w:val="0"/>
          <w:color w:val="auto"/>
          <w:sz w:val="24"/>
          <w:szCs w:val="24"/>
          <w:highlight w:val="none"/>
          <w:u w:val="none"/>
          <w:lang w:val="en-US" w:eastAsia="zh-CN"/>
        </w:rPr>
        <w:t>2</w:t>
      </w:r>
      <w:r>
        <w:rPr>
          <w:rFonts w:hint="eastAsia"/>
          <w:b w:val="0"/>
          <w:bCs w:val="0"/>
          <w:color w:val="auto"/>
          <w:sz w:val="24"/>
          <w:szCs w:val="24"/>
          <w:highlight w:val="none"/>
          <w:u w:val="none"/>
          <w:lang w:val="en-US" w:eastAsia="zh-CN"/>
        </w:rPr>
        <w:t>00</w:t>
      </w:r>
      <w:r>
        <w:rPr>
          <w:rFonts w:ascii="Times New Roman" w:hAnsi="Times New Roman"/>
          <w:b w:val="0"/>
          <w:bCs w:val="0"/>
          <w:color w:val="auto"/>
          <w:sz w:val="24"/>
          <w:szCs w:val="24"/>
          <w:highlight w:val="none"/>
          <w:u w:val="none"/>
        </w:rPr>
        <w:t>00m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，则沼液储存池H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w:t>
      </w:r>
      <w:r>
        <w:rPr>
          <w:rFonts w:hint="eastAsia" w:ascii="Times New Roman" w:hAnsi="Times New Roman"/>
          <w:b w:val="0"/>
          <w:bCs w:val="0"/>
          <w:color w:val="auto"/>
          <w:sz w:val="24"/>
          <w:szCs w:val="24"/>
          <w:highlight w:val="none"/>
          <w:u w:val="none"/>
          <w:lang w:val="en-US" w:eastAsia="zh-CN"/>
        </w:rPr>
        <w:t>0.0</w:t>
      </w:r>
      <w:r>
        <w:rPr>
          <w:rFonts w:hint="eastAsia"/>
          <w:b w:val="0"/>
          <w:bCs w:val="0"/>
          <w:color w:val="auto"/>
          <w:sz w:val="24"/>
          <w:szCs w:val="24"/>
          <w:highlight w:val="none"/>
          <w:u w:val="none"/>
          <w:lang w:val="en-US" w:eastAsia="zh-CN"/>
        </w:rPr>
        <w:t>46</w:t>
      </w:r>
      <w:r>
        <w:rPr>
          <w:rFonts w:ascii="Times New Roman" w:hAnsi="Times New Roman"/>
          <w:b w:val="0"/>
          <w:bCs w:val="0"/>
          <w:color w:val="auto"/>
          <w:sz w:val="24"/>
          <w:szCs w:val="24"/>
          <w:highlight w:val="none"/>
          <w:u w:val="none"/>
        </w:rPr>
        <w:t>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w:t>
      </w:r>
      <w:r>
        <w:rPr>
          <w:rFonts w:hint="eastAsia" w:ascii="Times New Roman" w:hAnsi="Times New Roman"/>
          <w:b w:val="0"/>
          <w:bCs w:val="0"/>
          <w:color w:val="auto"/>
          <w:sz w:val="24"/>
          <w:szCs w:val="24"/>
          <w:highlight w:val="none"/>
          <w:u w:val="none"/>
          <w:lang w:val="en-US" w:eastAsia="zh-CN"/>
        </w:rPr>
        <w:t>0.</w:t>
      </w:r>
      <w:r>
        <w:rPr>
          <w:rFonts w:hint="eastAsia"/>
          <w:b w:val="0"/>
          <w:bCs w:val="0"/>
          <w:color w:val="auto"/>
          <w:sz w:val="24"/>
          <w:szCs w:val="24"/>
          <w:highlight w:val="none"/>
          <w:u w:val="none"/>
          <w:lang w:val="en-US" w:eastAsia="zh-CN"/>
        </w:rPr>
        <w:t>6</w:t>
      </w:r>
      <w:r>
        <w:rPr>
          <w:rFonts w:ascii="Times New Roman" w:hAnsi="Times New Roman"/>
          <w:b w:val="0"/>
          <w:bCs w:val="0"/>
          <w:color w:val="auto"/>
          <w:sz w:val="24"/>
          <w:szCs w:val="24"/>
          <w:highlight w:val="none"/>
          <w:u w:val="none"/>
        </w:rPr>
        <w:t>kg/d。由于沼液储存池占地面积较大，不便于喷洒除臭剂，且池上方不能加盖，因此产生的臭气全部逸散至空气中。本项目拟采取在沼液储存池周边加强绿化来吸收产生的恶臭气体。使其对周围环境的影响降至最低。</w:t>
      </w:r>
    </w:p>
    <w:p>
      <w:pPr>
        <w:pStyle w:val="40"/>
        <w:rPr>
          <w:rFonts w:hint="eastAsia" w:cs="Times New Roman"/>
          <w:highlight w:val="none"/>
          <w:lang w:val="en-US" w:eastAsia="zh-CN"/>
        </w:rPr>
      </w:pPr>
      <w:r>
        <w:rPr>
          <w:rFonts w:hint="eastAsia" w:cs="Times New Roman"/>
          <w:highlight w:val="none"/>
          <w:lang w:val="en-US" w:eastAsia="zh-CN"/>
        </w:rPr>
        <w:t>表2.12-4 项目沼液暂存池恶臭气体产生及排放情况一览表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888"/>
        <w:gridCol w:w="1012"/>
        <w:gridCol w:w="1013"/>
        <w:gridCol w:w="881"/>
        <w:gridCol w:w="830"/>
        <w:gridCol w:w="1888"/>
        <w:gridCol w:w="678"/>
        <w:gridCol w:w="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占地面积m</w:t>
            </w:r>
            <w:r>
              <w:rPr>
                <w:rFonts w:hint="eastAsia" w:cs="Times New Roman"/>
                <w:b w:val="0"/>
                <w:bCs/>
                <w:sz w:val="21"/>
                <w:szCs w:val="21"/>
                <w:highlight w:val="none"/>
                <w:vertAlign w:val="superscript"/>
              </w:rPr>
              <w:t>2</w:t>
            </w:r>
          </w:p>
        </w:tc>
        <w:tc>
          <w:tcPr>
            <w:tcW w:w="2025" w:type="dxa"/>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系数（g/m</w:t>
            </w:r>
            <w:r>
              <w:rPr>
                <w:rFonts w:hint="eastAsia" w:cs="Times New Roman"/>
                <w:b w:val="0"/>
                <w:bCs/>
                <w:sz w:val="21"/>
                <w:szCs w:val="21"/>
                <w:highlight w:val="none"/>
                <w:vertAlign w:val="superscript"/>
              </w:rPr>
              <w:t>2</w:t>
            </w:r>
            <w:r>
              <w:rPr>
                <w:rFonts w:hint="eastAsia" w:cs="Times New Roman"/>
                <w:b w:val="0"/>
                <w:bCs/>
                <w:sz w:val="21"/>
                <w:szCs w:val="21"/>
                <w:highlight w:val="none"/>
              </w:rPr>
              <w:t>·d）</w:t>
            </w:r>
          </w:p>
        </w:tc>
        <w:tc>
          <w:tcPr>
            <w:tcW w:w="1711"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产生量（kg/d）</w:t>
            </w:r>
          </w:p>
        </w:tc>
        <w:tc>
          <w:tcPr>
            <w:tcW w:w="1888"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1402"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97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沼液储存池</w:t>
            </w:r>
          </w:p>
        </w:tc>
        <w:tc>
          <w:tcPr>
            <w:tcW w:w="88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20000</w:t>
            </w: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0.03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0.0023</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0.6</w:t>
            </w:r>
            <w:r>
              <w:rPr>
                <w:rFonts w:hint="default" w:cs="Times New Roman"/>
                <w:b w:val="0"/>
                <w:bCs/>
                <w:sz w:val="21"/>
                <w:szCs w:val="21"/>
                <w:highlight w:val="none"/>
                <w:lang w:val="en-US" w:eastAsia="zh-CN"/>
              </w:rPr>
              <w:t xml:space="preserve"> </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w:t>
            </w:r>
            <w:r>
              <w:rPr>
                <w:rFonts w:hint="eastAsia" w:cs="Times New Roman"/>
                <w:b w:val="0"/>
                <w:bCs/>
                <w:sz w:val="21"/>
                <w:szCs w:val="21"/>
                <w:highlight w:val="none"/>
                <w:lang w:val="en-US" w:eastAsia="zh-CN"/>
              </w:rPr>
              <w:t>46</w:t>
            </w:r>
            <w:r>
              <w:rPr>
                <w:rFonts w:hint="default" w:cs="Times New Roman"/>
                <w:b w:val="0"/>
                <w:bCs/>
                <w:sz w:val="21"/>
                <w:szCs w:val="21"/>
                <w:highlight w:val="none"/>
                <w:lang w:val="en-US" w:eastAsia="zh-CN"/>
              </w:rPr>
              <w:t xml:space="preserve"> </w:t>
            </w:r>
          </w:p>
        </w:tc>
        <w:tc>
          <w:tcPr>
            <w:tcW w:w="1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场区绿化，去除效率可达到70%</w:t>
            </w: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w:t>
            </w:r>
            <w:r>
              <w:rPr>
                <w:rFonts w:hint="eastAsia" w:cs="Times New Roman"/>
                <w:b w:val="0"/>
                <w:bCs/>
                <w:sz w:val="21"/>
                <w:szCs w:val="21"/>
                <w:highlight w:val="none"/>
                <w:lang w:val="en-US" w:eastAsia="zh-CN"/>
              </w:rPr>
              <w:t>18</w:t>
            </w:r>
            <w:r>
              <w:rPr>
                <w:rFonts w:hint="default" w:cs="Times New Roman"/>
                <w:b w:val="0"/>
                <w:bCs/>
                <w:sz w:val="21"/>
                <w:szCs w:val="21"/>
                <w:highlight w:val="none"/>
                <w:lang w:val="en-US" w:eastAsia="zh-CN"/>
              </w:rPr>
              <w:t xml:space="preserve">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default" w:cs="Times New Roman"/>
                <w:b w:val="0"/>
                <w:bCs/>
                <w:sz w:val="21"/>
                <w:szCs w:val="21"/>
                <w:highlight w:val="none"/>
                <w:lang w:val="en-US" w:eastAsia="zh-CN"/>
              </w:rPr>
              <w:t>0.01</w:t>
            </w:r>
            <w:r>
              <w:rPr>
                <w:rFonts w:hint="eastAsia" w:cs="Times New Roman"/>
                <w:b w:val="0"/>
                <w:bCs/>
                <w:sz w:val="21"/>
                <w:szCs w:val="21"/>
                <w:highlight w:val="none"/>
                <w:lang w:val="en-US" w:eastAsia="zh-CN"/>
              </w:rPr>
              <w:t>4</w:t>
            </w:r>
            <w:r>
              <w:rPr>
                <w:rFonts w:hint="default" w:cs="Times New Roman"/>
                <w:b w:val="0"/>
                <w:bCs/>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3891" w:type="dxa"/>
            <w:gridSpan w:val="4"/>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lang w:val="en-US" w:eastAsia="zh-CN"/>
              </w:rPr>
              <w:t>年产排量（t/a）</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0.219</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0.017 </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0.066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 xml:space="preserve">0.004 </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根据河南牧原食品股份有限公司12分场（该项目沼液储存池面积13622m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）的监测数据，沼液储存池下风向5m和50m硫化氢的浓度分别是0.03mg/m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0.001~0.002mg/m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；氨气的浓度分别是0.14~0.16mg/m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0.11~0.12mg/m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，满足《恶臭污染物排放标准（GB14554-93）》硫化氢和氨的标准值0.06mg/m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、1.5 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。故本项目沼液储存池对周边环境影响较小。</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szCs w:val="24"/>
          <w:highlight w:val="none"/>
          <w:u w:val="none"/>
        </w:rPr>
      </w:pPr>
      <w:r>
        <w:rPr>
          <w:b w:val="0"/>
          <w:bCs w:val="0"/>
          <w:color w:val="auto"/>
          <w:sz w:val="24"/>
          <w:szCs w:val="24"/>
          <w:highlight w:val="none"/>
          <w:u w:val="none"/>
        </w:rPr>
        <w:t>项目养殖过程中恶臭气体产生及排放情况具体见表</w:t>
      </w:r>
      <w:r>
        <w:rPr>
          <w:rFonts w:hint="eastAsia"/>
          <w:b w:val="0"/>
          <w:bCs w:val="0"/>
          <w:color w:val="auto"/>
          <w:sz w:val="24"/>
          <w:szCs w:val="24"/>
          <w:highlight w:val="none"/>
          <w:u w:val="none"/>
          <w:lang w:val="en-US" w:eastAsia="zh-CN"/>
        </w:rPr>
        <w:t>2.12</w:t>
      </w:r>
      <w:r>
        <w:rPr>
          <w:b w:val="0"/>
          <w:bCs w:val="0"/>
          <w:color w:val="auto"/>
          <w:sz w:val="24"/>
          <w:szCs w:val="24"/>
          <w:highlight w:val="none"/>
          <w:u w:val="none"/>
        </w:rPr>
        <w:t>-</w:t>
      </w:r>
      <w:r>
        <w:rPr>
          <w:rFonts w:hint="eastAsia"/>
          <w:b w:val="0"/>
          <w:bCs w:val="0"/>
          <w:color w:val="auto"/>
          <w:sz w:val="24"/>
          <w:szCs w:val="24"/>
          <w:highlight w:val="none"/>
          <w:u w:val="none"/>
          <w:lang w:val="en-US" w:eastAsia="zh-CN"/>
        </w:rPr>
        <w:t>5</w:t>
      </w:r>
      <w:r>
        <w:rPr>
          <w:b w:val="0"/>
          <w:bCs w:val="0"/>
          <w:color w:val="auto"/>
          <w:sz w:val="24"/>
          <w:szCs w:val="24"/>
          <w:highlight w:val="none"/>
          <w:u w:val="none"/>
        </w:rPr>
        <w:t>。</w:t>
      </w:r>
    </w:p>
    <w:p>
      <w:pPr>
        <w:pStyle w:val="40"/>
        <w:rPr>
          <w:rFonts w:hint="eastAsia" w:cs="Times New Roman"/>
          <w:highlight w:val="none"/>
          <w:lang w:val="en-US" w:eastAsia="zh-CN"/>
        </w:rPr>
      </w:pPr>
      <w:r>
        <w:rPr>
          <w:rFonts w:hint="eastAsia" w:cs="Times New Roman"/>
          <w:highlight w:val="none"/>
          <w:lang w:val="en-US" w:eastAsia="zh-CN"/>
        </w:rPr>
        <w:t>表2.12-5 项目养殖过程猪舍恶臭气体产生及排放情况一览表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305"/>
        <w:gridCol w:w="1230"/>
        <w:gridCol w:w="2795"/>
        <w:gridCol w:w="1004"/>
        <w:gridCol w:w="1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污染源</w:t>
            </w:r>
          </w:p>
        </w:tc>
        <w:tc>
          <w:tcPr>
            <w:tcW w:w="2535"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产生量（t/a）</w:t>
            </w:r>
          </w:p>
        </w:tc>
        <w:tc>
          <w:tcPr>
            <w:tcW w:w="2795"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拟处理措施</w:t>
            </w:r>
          </w:p>
        </w:tc>
        <w:tc>
          <w:tcPr>
            <w:tcW w:w="2076"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1305"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12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c>
          <w:tcPr>
            <w:tcW w:w="2795"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100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NH</w:t>
            </w:r>
            <w:r>
              <w:rPr>
                <w:rFonts w:hint="eastAsia" w:cs="Times New Roman"/>
                <w:b w:val="0"/>
                <w:bCs/>
                <w:sz w:val="21"/>
                <w:szCs w:val="21"/>
                <w:highlight w:val="none"/>
                <w:vertAlign w:val="subscript"/>
              </w:rPr>
              <w:t>3</w:t>
            </w:r>
          </w:p>
        </w:tc>
        <w:tc>
          <w:tcPr>
            <w:tcW w:w="1072"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H</w:t>
            </w:r>
            <w:r>
              <w:rPr>
                <w:rFonts w:hint="eastAsia" w:cs="Times New Roman"/>
                <w:b w:val="0"/>
                <w:bCs/>
                <w:sz w:val="21"/>
                <w:szCs w:val="21"/>
                <w:highlight w:val="none"/>
                <w:vertAlign w:val="subscript"/>
              </w:rPr>
              <w:t>2</w:t>
            </w:r>
            <w:r>
              <w:rPr>
                <w:rFonts w:hint="eastAsia" w:cs="Times New Roman"/>
                <w:b w:val="0"/>
                <w:bCs/>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4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养殖区</w:t>
            </w:r>
          </w:p>
        </w:tc>
        <w:tc>
          <w:tcPr>
            <w:tcW w:w="1305"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3.887</w:t>
            </w:r>
          </w:p>
        </w:tc>
        <w:tc>
          <w:tcPr>
            <w:tcW w:w="12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0.33</w:t>
            </w:r>
          </w:p>
        </w:tc>
        <w:tc>
          <w:tcPr>
            <w:tcW w:w="2795" w:type="dxa"/>
            <w:vMerge w:val="restar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养殖区采用节水型饮水器、全漏缝地板并及时清粪、喷洒除臭剂；</w:t>
            </w:r>
            <w:r>
              <w:rPr>
                <w:rFonts w:hint="default" w:cs="Times New Roman"/>
                <w:b w:val="0"/>
                <w:bCs/>
                <w:sz w:val="21"/>
                <w:szCs w:val="21"/>
                <w:highlight w:val="none"/>
                <w:lang w:val="en-US" w:eastAsia="zh-CN"/>
              </w:rPr>
              <w:t>污水前处理系统收集池</w:t>
            </w:r>
            <w:r>
              <w:rPr>
                <w:rFonts w:hint="eastAsia" w:cs="Times New Roman"/>
                <w:b w:val="0"/>
                <w:bCs/>
                <w:sz w:val="21"/>
                <w:szCs w:val="21"/>
                <w:highlight w:val="none"/>
                <w:lang w:val="en-US" w:eastAsia="zh-CN"/>
              </w:rPr>
              <w:t>、固粪处理区</w:t>
            </w:r>
            <w:r>
              <w:rPr>
                <w:rFonts w:hint="default" w:cs="Times New Roman"/>
                <w:b w:val="0"/>
                <w:bCs/>
                <w:sz w:val="21"/>
                <w:szCs w:val="21"/>
                <w:highlight w:val="none"/>
                <w:lang w:val="en-US" w:eastAsia="zh-CN"/>
              </w:rPr>
              <w:t>喷洒除臭剂，并加强场区绿化，去除效率可达到70%</w:t>
            </w:r>
          </w:p>
        </w:tc>
        <w:tc>
          <w:tcPr>
            <w:tcW w:w="100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1.166</w:t>
            </w:r>
          </w:p>
        </w:tc>
        <w:tc>
          <w:tcPr>
            <w:tcW w:w="1072"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4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收集池</w:t>
            </w:r>
          </w:p>
        </w:tc>
        <w:tc>
          <w:tcPr>
            <w:tcW w:w="1305"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w:t>
            </w:r>
            <w:r>
              <w:rPr>
                <w:rFonts w:hint="eastAsia" w:cs="Times New Roman"/>
                <w:b w:val="0"/>
                <w:bCs/>
                <w:sz w:val="21"/>
                <w:szCs w:val="21"/>
                <w:highlight w:val="none"/>
                <w:lang w:val="en-US" w:eastAsia="zh-CN"/>
              </w:rPr>
              <w:t>663</w:t>
            </w:r>
          </w:p>
        </w:tc>
        <w:tc>
          <w:tcPr>
            <w:tcW w:w="12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0.0</w:t>
            </w:r>
            <w:r>
              <w:rPr>
                <w:rFonts w:hint="eastAsia" w:cs="Times New Roman"/>
                <w:b w:val="0"/>
                <w:bCs/>
                <w:sz w:val="21"/>
                <w:szCs w:val="21"/>
                <w:highlight w:val="none"/>
                <w:lang w:val="en-US" w:eastAsia="zh-CN"/>
              </w:rPr>
              <w:t>64</w:t>
            </w:r>
          </w:p>
        </w:tc>
        <w:tc>
          <w:tcPr>
            <w:tcW w:w="2795" w:type="dxa"/>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p>
        </w:tc>
        <w:tc>
          <w:tcPr>
            <w:tcW w:w="100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0.4</w:t>
            </w:r>
            <w:r>
              <w:rPr>
                <w:rFonts w:hint="eastAsia" w:cs="Times New Roman"/>
                <w:b w:val="0"/>
                <w:bCs/>
                <w:sz w:val="21"/>
                <w:szCs w:val="21"/>
                <w:highlight w:val="none"/>
                <w:lang w:val="en-US" w:eastAsia="zh-CN"/>
              </w:rPr>
              <w:t>99</w:t>
            </w:r>
          </w:p>
        </w:tc>
        <w:tc>
          <w:tcPr>
            <w:tcW w:w="1072"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4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固粪处理区</w:t>
            </w:r>
          </w:p>
        </w:tc>
        <w:tc>
          <w:tcPr>
            <w:tcW w:w="1305"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2.044</w:t>
            </w:r>
          </w:p>
        </w:tc>
        <w:tc>
          <w:tcPr>
            <w:tcW w:w="12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0.123</w:t>
            </w:r>
          </w:p>
        </w:tc>
        <w:tc>
          <w:tcPr>
            <w:tcW w:w="2795" w:type="dxa"/>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p>
        </w:tc>
        <w:tc>
          <w:tcPr>
            <w:tcW w:w="100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0.613</w:t>
            </w:r>
          </w:p>
        </w:tc>
        <w:tc>
          <w:tcPr>
            <w:tcW w:w="1072"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沼液储存池</w:t>
            </w:r>
          </w:p>
        </w:tc>
        <w:tc>
          <w:tcPr>
            <w:tcW w:w="1305"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0.219</w:t>
            </w:r>
          </w:p>
        </w:tc>
        <w:tc>
          <w:tcPr>
            <w:tcW w:w="12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0.017</w:t>
            </w:r>
          </w:p>
        </w:tc>
        <w:tc>
          <w:tcPr>
            <w:tcW w:w="2795" w:type="dxa"/>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p>
        </w:tc>
        <w:tc>
          <w:tcPr>
            <w:tcW w:w="100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0.066</w:t>
            </w:r>
          </w:p>
        </w:tc>
        <w:tc>
          <w:tcPr>
            <w:tcW w:w="1072"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合计</w:t>
            </w:r>
          </w:p>
        </w:tc>
        <w:tc>
          <w:tcPr>
            <w:tcW w:w="1305"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7.913</w:t>
            </w:r>
          </w:p>
        </w:tc>
        <w:tc>
          <w:tcPr>
            <w:tcW w:w="12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w:t>
            </w:r>
            <w:r>
              <w:rPr>
                <w:rFonts w:hint="eastAsia" w:cs="Times New Roman"/>
                <w:b w:val="0"/>
                <w:bCs/>
                <w:sz w:val="21"/>
                <w:szCs w:val="21"/>
                <w:highlight w:val="none"/>
                <w:lang w:val="en-US" w:eastAsia="zh-CN"/>
              </w:rPr>
              <w:t>534</w:t>
            </w:r>
          </w:p>
        </w:tc>
        <w:tc>
          <w:tcPr>
            <w:tcW w:w="2795" w:type="dxa"/>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p>
        </w:tc>
        <w:tc>
          <w:tcPr>
            <w:tcW w:w="100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2.344</w:t>
            </w:r>
          </w:p>
        </w:tc>
        <w:tc>
          <w:tcPr>
            <w:tcW w:w="1072"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0.16</w:t>
            </w:r>
          </w:p>
        </w:tc>
      </w:tr>
    </w:tbl>
    <w:p>
      <w:pPr>
        <w:pStyle w:val="105"/>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kern w:val="0"/>
          <w:highlight w:val="none"/>
          <w:lang w:val="en-US" w:eastAsia="zh-CN"/>
        </w:rPr>
      </w:pPr>
      <w:r>
        <w:rPr>
          <w:rFonts w:hint="eastAsia" w:ascii="Times New Roman" w:hAnsi="Times New Roman"/>
          <w:b w:val="0"/>
          <w:bCs w:val="0"/>
          <w:color w:val="auto"/>
          <w:sz w:val="24"/>
          <w:szCs w:val="24"/>
          <w:highlight w:val="none"/>
          <w:u w:val="none"/>
        </w:rPr>
        <w:t>3、</w:t>
      </w:r>
      <w:r>
        <w:rPr>
          <w:rFonts w:hint="eastAsia"/>
          <w:kern w:val="0"/>
          <w:highlight w:val="none"/>
          <w:lang w:val="en-US" w:eastAsia="zh-CN"/>
        </w:rPr>
        <w:t>燃气锅炉废气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bCs/>
          <w:color w:val="000000"/>
          <w:sz w:val="24"/>
          <w:highlight w:val="none"/>
        </w:rPr>
      </w:pPr>
      <w:r>
        <w:rPr>
          <w:bCs/>
          <w:color w:val="000000"/>
          <w:sz w:val="24"/>
          <w:highlight w:val="none"/>
        </w:rPr>
        <w:t>本项目设置</w:t>
      </w:r>
      <w:r>
        <w:rPr>
          <w:rFonts w:hint="eastAsia"/>
          <w:bCs/>
          <w:color w:val="000000"/>
          <w:sz w:val="24"/>
          <w:highlight w:val="none"/>
        </w:rPr>
        <w:t>1</w:t>
      </w:r>
      <w:r>
        <w:rPr>
          <w:bCs/>
          <w:color w:val="000000"/>
          <w:sz w:val="24"/>
          <w:highlight w:val="none"/>
        </w:rPr>
        <w:t>台</w:t>
      </w:r>
      <w:r>
        <w:rPr>
          <w:rFonts w:hint="eastAsia"/>
          <w:bCs/>
          <w:color w:val="000000"/>
          <w:sz w:val="24"/>
          <w:highlight w:val="none"/>
          <w:lang w:val="en-US" w:eastAsia="zh-CN"/>
        </w:rPr>
        <w:t>2</w:t>
      </w:r>
      <w:r>
        <w:rPr>
          <w:bCs/>
          <w:color w:val="000000"/>
          <w:sz w:val="24"/>
          <w:highlight w:val="none"/>
        </w:rPr>
        <w:t>吨</w:t>
      </w:r>
      <w:r>
        <w:rPr>
          <w:rFonts w:hint="eastAsia"/>
          <w:bCs/>
          <w:color w:val="000000"/>
          <w:sz w:val="24"/>
          <w:highlight w:val="none"/>
          <w:lang w:eastAsia="zh-CN"/>
        </w:rPr>
        <w:t>沼气</w:t>
      </w:r>
      <w:r>
        <w:rPr>
          <w:bCs/>
          <w:color w:val="000000"/>
          <w:sz w:val="24"/>
          <w:highlight w:val="none"/>
        </w:rPr>
        <w:t>天然气</w:t>
      </w:r>
      <w:r>
        <w:rPr>
          <w:rFonts w:hint="eastAsia"/>
          <w:bCs/>
          <w:color w:val="000000"/>
          <w:sz w:val="24"/>
          <w:highlight w:val="none"/>
          <w:lang w:eastAsia="zh-CN"/>
        </w:rPr>
        <w:t>两用</w:t>
      </w:r>
      <w:r>
        <w:rPr>
          <w:bCs/>
          <w:color w:val="000000"/>
          <w:sz w:val="24"/>
          <w:highlight w:val="none"/>
        </w:rPr>
        <w:t>锅炉，为饲料制粒提供热源，锅炉每天工作1</w:t>
      </w:r>
      <w:r>
        <w:rPr>
          <w:rFonts w:hint="eastAsia"/>
          <w:bCs/>
          <w:color w:val="000000"/>
          <w:sz w:val="24"/>
          <w:highlight w:val="none"/>
          <w:lang w:val="en-US" w:eastAsia="zh-CN"/>
        </w:rPr>
        <w:t>2</w:t>
      </w:r>
      <w:r>
        <w:rPr>
          <w:bCs/>
          <w:color w:val="000000"/>
          <w:sz w:val="24"/>
          <w:highlight w:val="none"/>
        </w:rPr>
        <w:t>h</w:t>
      </w:r>
      <w:r>
        <w:rPr>
          <w:rFonts w:hint="eastAsia"/>
          <w:bCs/>
          <w:color w:val="000000"/>
          <w:sz w:val="24"/>
          <w:highlight w:val="none"/>
          <w:lang w:eastAsia="zh-CN"/>
        </w:rPr>
        <w:t>（</w:t>
      </w:r>
      <w:r>
        <w:rPr>
          <w:bCs/>
          <w:color w:val="000000"/>
          <w:sz w:val="24"/>
          <w:highlight w:val="none"/>
        </w:rPr>
        <w:t>共3</w:t>
      </w:r>
      <w:r>
        <w:rPr>
          <w:rFonts w:hint="eastAsia"/>
          <w:bCs/>
          <w:color w:val="000000"/>
          <w:sz w:val="24"/>
          <w:highlight w:val="none"/>
          <w:lang w:val="en-US" w:eastAsia="zh-CN"/>
        </w:rPr>
        <w:t>00</w:t>
      </w:r>
      <w:r>
        <w:rPr>
          <w:bCs/>
          <w:color w:val="000000"/>
          <w:sz w:val="24"/>
          <w:highlight w:val="none"/>
        </w:rPr>
        <w:t>d</w:t>
      </w:r>
      <w:r>
        <w:rPr>
          <w:rFonts w:hint="eastAsia"/>
          <w:bCs/>
          <w:color w:val="000000"/>
          <w:sz w:val="24"/>
          <w:highlight w:val="none"/>
          <w:lang w:eastAsia="zh-CN"/>
        </w:rPr>
        <w:t>）</w:t>
      </w:r>
      <w:r>
        <w:rPr>
          <w:bCs/>
          <w:color w:val="000000"/>
          <w:sz w:val="24"/>
          <w:highlight w:val="none"/>
        </w:rPr>
        <w:t>。根据锅炉参数，锅炉</w:t>
      </w:r>
      <w:r>
        <w:rPr>
          <w:rFonts w:hint="eastAsia"/>
          <w:bCs/>
          <w:color w:val="000000"/>
          <w:sz w:val="24"/>
          <w:highlight w:val="none"/>
          <w:lang w:eastAsia="zh-CN"/>
        </w:rPr>
        <w:t>天然气</w:t>
      </w:r>
      <w:r>
        <w:rPr>
          <w:bCs/>
          <w:color w:val="000000"/>
          <w:sz w:val="24"/>
          <w:highlight w:val="none"/>
        </w:rPr>
        <w:t>消耗量为</w:t>
      </w:r>
      <w:r>
        <w:rPr>
          <w:rFonts w:hint="eastAsia"/>
          <w:bCs/>
          <w:color w:val="000000"/>
          <w:sz w:val="24"/>
          <w:highlight w:val="none"/>
          <w:lang w:val="en-US" w:eastAsia="zh-CN"/>
        </w:rPr>
        <w:t>6</w:t>
      </w:r>
      <w:r>
        <w:rPr>
          <w:rFonts w:hint="eastAsia"/>
          <w:bCs/>
          <w:color w:val="000000"/>
          <w:sz w:val="24"/>
          <w:highlight w:val="none"/>
        </w:rPr>
        <w:t>00000</w:t>
      </w:r>
      <w:r>
        <w:rPr>
          <w:bCs/>
          <w:color w:val="000000"/>
          <w:sz w:val="24"/>
          <w:highlight w:val="none"/>
        </w:rPr>
        <w:t>m</w:t>
      </w:r>
      <w:r>
        <w:rPr>
          <w:bCs/>
          <w:color w:val="000000"/>
          <w:sz w:val="24"/>
          <w:highlight w:val="none"/>
          <w:vertAlign w:val="superscript"/>
        </w:rPr>
        <w:t>3</w:t>
      </w:r>
      <w:r>
        <w:rPr>
          <w:bCs/>
          <w:color w:val="000000"/>
          <w:sz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bCs/>
          <w:color w:val="000000"/>
          <w:sz w:val="24"/>
          <w:highlight w:val="none"/>
        </w:rPr>
      </w:pPr>
      <w:r>
        <w:rPr>
          <w:rFonts w:hint="eastAsia"/>
          <w:bCs/>
          <w:color w:val="000000"/>
          <w:sz w:val="24"/>
          <w:highlight w:val="none"/>
        </w:rPr>
        <w:t>项目产生的沼气通过气水分离、脱硫后H</w:t>
      </w:r>
      <w:r>
        <w:rPr>
          <w:rFonts w:hint="eastAsia"/>
          <w:bCs/>
          <w:color w:val="000000"/>
          <w:sz w:val="24"/>
          <w:highlight w:val="none"/>
          <w:vertAlign w:val="subscript"/>
        </w:rPr>
        <w:t>2</w:t>
      </w:r>
      <w:r>
        <w:rPr>
          <w:rFonts w:hint="eastAsia"/>
          <w:bCs/>
          <w:color w:val="000000"/>
          <w:sz w:val="24"/>
          <w:highlight w:val="none"/>
        </w:rPr>
        <w:t>S含量≤20mg/m</w:t>
      </w:r>
      <w:r>
        <w:rPr>
          <w:rFonts w:hint="eastAsia"/>
          <w:bCs/>
          <w:color w:val="000000"/>
          <w:sz w:val="24"/>
          <w:highlight w:val="none"/>
          <w:vertAlign w:val="superscript"/>
        </w:rPr>
        <w:t>3</w:t>
      </w:r>
      <w:r>
        <w:rPr>
          <w:rFonts w:hint="eastAsia"/>
          <w:bCs/>
          <w:color w:val="000000"/>
          <w:sz w:val="24"/>
          <w:highlight w:val="none"/>
        </w:rPr>
        <w:t>，用于食堂灶台燃料，多余部分用作锅炉燃料。食堂沼气燃料废气仅计算用作食堂燃料的部分，用作锅炉燃料的沼气产排情况计入锅炉废气。</w:t>
      </w:r>
      <w:r>
        <w:rPr>
          <w:bCs/>
          <w:color w:val="000000"/>
          <w:sz w:val="24"/>
          <w:highlight w:val="none"/>
        </w:rPr>
        <w:t>因</w:t>
      </w:r>
      <w:r>
        <w:rPr>
          <w:rFonts w:hint="eastAsia"/>
          <w:bCs/>
          <w:color w:val="000000"/>
          <w:sz w:val="24"/>
          <w:highlight w:val="none"/>
          <w:lang w:eastAsia="zh-CN"/>
        </w:rPr>
        <w:t>沼</w:t>
      </w:r>
      <w:r>
        <w:rPr>
          <w:bCs/>
          <w:color w:val="000000"/>
          <w:sz w:val="24"/>
          <w:highlight w:val="none"/>
        </w:rPr>
        <w:t>气是一种清洁能源，其产生污染物极少，在燃烧过程中产生少量颗粒物、SO</w:t>
      </w:r>
      <w:r>
        <w:rPr>
          <w:bCs/>
          <w:color w:val="000000"/>
          <w:sz w:val="24"/>
          <w:highlight w:val="none"/>
          <w:vertAlign w:val="subscript"/>
        </w:rPr>
        <w:t>2</w:t>
      </w:r>
      <w:r>
        <w:rPr>
          <w:bCs/>
          <w:color w:val="000000"/>
          <w:sz w:val="24"/>
          <w:highlight w:val="none"/>
        </w:rPr>
        <w:t>和NOx等污染物。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Cs/>
          <w:color w:val="000000"/>
          <w:sz w:val="24"/>
          <w:highlight w:val="none"/>
        </w:rPr>
      </w:pPr>
      <w:r>
        <w:rPr>
          <w:rFonts w:hint="eastAsia" w:eastAsia="宋体"/>
          <w:highlight w:val="none"/>
          <w:lang w:eastAsia="zh-CN"/>
        </w:rPr>
        <w:t>项目全年沼气产生量350398.24m</w:t>
      </w:r>
      <w:r>
        <w:rPr>
          <w:rFonts w:hint="eastAsia" w:eastAsia="宋体"/>
          <w:highlight w:val="none"/>
          <w:vertAlign w:val="superscript"/>
          <w:lang w:eastAsia="zh-CN"/>
        </w:rPr>
        <w:t>3</w:t>
      </w:r>
      <w:r>
        <w:rPr>
          <w:rFonts w:hint="eastAsia" w:eastAsia="宋体"/>
          <w:highlight w:val="none"/>
          <w:lang w:eastAsia="zh-CN"/>
        </w:rPr>
        <w:t>/a</w:t>
      </w:r>
      <w:r>
        <w:rPr>
          <w:rFonts w:hint="eastAsia"/>
          <w:highlight w:val="none"/>
          <w:lang w:eastAsia="zh-CN"/>
        </w:rPr>
        <w:t>，</w:t>
      </w:r>
      <w:r>
        <w:rPr>
          <w:rFonts w:ascii="Times New Roman" w:hAnsi="Times New Roman" w:cs="Times New Roman"/>
          <w:b w:val="0"/>
          <w:bCs/>
          <w:color w:val="auto"/>
          <w:sz w:val="24"/>
          <w:szCs w:val="22"/>
          <w:highlight w:val="none"/>
          <w:u w:val="none"/>
        </w:rPr>
        <w:t>食堂灶台沼气用量为</w:t>
      </w:r>
      <w:r>
        <w:rPr>
          <w:rFonts w:hint="eastAsia" w:ascii="Times New Roman" w:hAnsi="Times New Roman" w:cs="Times New Roman"/>
          <w:b w:val="0"/>
          <w:bCs/>
          <w:color w:val="auto"/>
          <w:sz w:val="24"/>
          <w:szCs w:val="22"/>
          <w:highlight w:val="none"/>
          <w:u w:val="none"/>
          <w:lang w:val="en-US" w:eastAsia="zh-CN"/>
        </w:rPr>
        <w:t>42048</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，则饲料生产线锅炉燃烧可用沼气量为308350.24</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，由于沼气热值是天然气的一半，故还需</w:t>
      </w:r>
      <w:r>
        <w:rPr>
          <w:rFonts w:hint="eastAsia"/>
          <w:bCs/>
          <w:color w:val="000000"/>
          <w:sz w:val="24"/>
          <w:highlight w:val="none"/>
          <w:lang w:eastAsia="zh-CN"/>
        </w:rPr>
        <w:t>要使用天然气445824.894</w:t>
      </w:r>
      <w:r>
        <w:rPr>
          <w:rFonts w:hint="eastAsia"/>
          <w:bCs/>
          <w:color w:val="000000"/>
          <w:sz w:val="24"/>
          <w:highlight w:val="none"/>
        </w:rPr>
        <w:t>m</w:t>
      </w:r>
      <w:r>
        <w:rPr>
          <w:rFonts w:hint="eastAsia"/>
          <w:bCs/>
          <w:color w:val="000000"/>
          <w:sz w:val="24"/>
          <w:highlight w:val="none"/>
          <w:vertAlign w:val="superscript"/>
        </w:rPr>
        <w:t>3</w:t>
      </w:r>
      <w:r>
        <w:rPr>
          <w:rFonts w:hint="eastAsia"/>
          <w:bCs/>
          <w:color w:val="000000"/>
          <w:sz w:val="24"/>
          <w:highlight w:val="none"/>
        </w:rPr>
        <w:t>/a</w:t>
      </w:r>
      <w:r>
        <w:rPr>
          <w:rFonts w:hint="eastAsia"/>
          <w:bCs/>
          <w:color w:val="000000"/>
          <w:sz w:val="24"/>
          <w:highlight w:val="none"/>
          <w:lang w:eastAsia="zh-CN"/>
        </w:rPr>
        <w:t>。</w:t>
      </w:r>
      <w:r>
        <w:rPr>
          <w:rFonts w:hint="eastAsia"/>
          <w:bCs/>
          <w:color w:val="000000"/>
          <w:sz w:val="24"/>
          <w:highlight w:val="none"/>
        </w:rPr>
        <w:t>锅炉废气由烟囱排入大气。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auto"/>
          <w:sz w:val="24"/>
          <w:szCs w:val="22"/>
          <w:highlight w:val="none"/>
          <w:u w:val="none"/>
        </w:rPr>
      </w:pPr>
      <w:r>
        <w:rPr>
          <w:rFonts w:hint="eastAsia"/>
          <w:bCs/>
          <w:color w:val="000000"/>
          <w:sz w:val="24"/>
          <w:highlight w:val="none"/>
        </w:rPr>
        <w:t>项目锅炉燃烧的沼气和天然气量合计为</w:t>
      </w:r>
      <w:r>
        <w:rPr>
          <w:rFonts w:hint="eastAsia"/>
          <w:bCs/>
          <w:color w:val="000000"/>
          <w:sz w:val="24"/>
          <w:highlight w:val="none"/>
          <w:lang w:val="en-US" w:eastAsia="zh-CN"/>
        </w:rPr>
        <w:t>754175.134</w:t>
      </w:r>
      <w:r>
        <w:rPr>
          <w:rFonts w:hint="eastAsia"/>
          <w:bCs/>
          <w:color w:val="000000"/>
          <w:sz w:val="24"/>
          <w:highlight w:val="none"/>
        </w:rPr>
        <w:t>m</w:t>
      </w:r>
      <w:r>
        <w:rPr>
          <w:rFonts w:hint="eastAsia"/>
          <w:bCs/>
          <w:color w:val="000000"/>
          <w:sz w:val="24"/>
          <w:highlight w:val="none"/>
          <w:vertAlign w:val="superscript"/>
        </w:rPr>
        <w:t>3</w:t>
      </w:r>
      <w:r>
        <w:rPr>
          <w:rFonts w:hint="eastAsia"/>
          <w:bCs/>
          <w:color w:val="000000"/>
          <w:sz w:val="24"/>
          <w:highlight w:val="none"/>
        </w:rPr>
        <w:t>/a。沼气燃烧产生的污染物和天然气产生的污染物基本一致，采用产污系数法计算锅炉燃烧废气各污染物的</w:t>
      </w:r>
      <w:r>
        <w:rPr>
          <w:rFonts w:hint="eastAsia" w:ascii="Times New Roman" w:hAnsi="Times New Roman" w:cs="Times New Roman"/>
          <w:b w:val="0"/>
          <w:bCs/>
          <w:color w:val="auto"/>
          <w:sz w:val="24"/>
          <w:szCs w:val="22"/>
          <w:highlight w:val="none"/>
          <w:u w:val="none"/>
        </w:rPr>
        <w:t>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Cs/>
          <w:color w:val="000000"/>
          <w:sz w:val="24"/>
          <w:highlight w:val="none"/>
        </w:rPr>
      </w:pPr>
      <w:r>
        <w:rPr>
          <w:rFonts w:ascii="Times New Roman" w:hAnsi="Times New Roman" w:cs="Times New Roman"/>
          <w:color w:val="000000"/>
          <w:highlight w:val="none"/>
        </w:rPr>
        <w:t>烟气量根据《第一次全国污染源普查工业产排污系数手册》中的产生系数核算（</w:t>
      </w:r>
      <w:r>
        <w:rPr>
          <w:rFonts w:hint="eastAsia"/>
          <w:bCs/>
          <w:color w:val="000000"/>
          <w:sz w:val="24"/>
          <w:highlight w:val="none"/>
        </w:rPr>
        <w:t>即136259.17m</w:t>
      </w:r>
      <w:r>
        <w:rPr>
          <w:rFonts w:hint="eastAsia"/>
          <w:bCs/>
          <w:color w:val="000000"/>
          <w:sz w:val="24"/>
          <w:highlight w:val="none"/>
          <w:vertAlign w:val="superscript"/>
        </w:rPr>
        <w:t>3</w:t>
      </w:r>
      <w:r>
        <w:rPr>
          <w:rFonts w:hint="eastAsia"/>
          <w:bCs/>
          <w:color w:val="000000"/>
          <w:sz w:val="24"/>
          <w:highlight w:val="none"/>
        </w:rPr>
        <w:t>/万m</w:t>
      </w:r>
      <w:r>
        <w:rPr>
          <w:rFonts w:hint="eastAsia"/>
          <w:bCs/>
          <w:color w:val="000000"/>
          <w:sz w:val="24"/>
          <w:highlight w:val="none"/>
          <w:vertAlign w:val="superscript"/>
        </w:rPr>
        <w:t>3</w:t>
      </w:r>
      <w:r>
        <w:rPr>
          <w:rFonts w:hint="eastAsia"/>
          <w:bCs/>
          <w:color w:val="000000"/>
          <w:sz w:val="24"/>
          <w:highlight w:val="none"/>
        </w:rPr>
        <w:t>-原料），烟气量为10276327.78m</w:t>
      </w:r>
      <w:r>
        <w:rPr>
          <w:rFonts w:hint="eastAsia"/>
          <w:bCs/>
          <w:color w:val="000000"/>
          <w:sz w:val="24"/>
          <w:highlight w:val="none"/>
          <w:vertAlign w:val="superscript"/>
        </w:rPr>
        <w:t>3</w:t>
      </w:r>
      <w:r>
        <w:rPr>
          <w:rFonts w:hint="eastAsia"/>
          <w:bCs/>
          <w:color w:val="000000"/>
          <w:sz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Cs/>
          <w:color w:val="000000"/>
          <w:sz w:val="24"/>
          <w:highlight w:val="none"/>
          <w:lang w:eastAsia="zh-CN"/>
        </w:rPr>
      </w:pPr>
      <w:r>
        <w:rPr>
          <w:rFonts w:hint="eastAsia"/>
          <w:bCs/>
          <w:color w:val="000000"/>
          <w:sz w:val="24"/>
          <w:highlight w:val="none"/>
        </w:rPr>
        <w:t>沼气净化系统处理后硫化氢含量以20mg/m</w:t>
      </w:r>
      <w:r>
        <w:rPr>
          <w:rFonts w:hint="eastAsia"/>
          <w:bCs/>
          <w:color w:val="000000"/>
          <w:sz w:val="24"/>
          <w:highlight w:val="none"/>
          <w:vertAlign w:val="superscript"/>
        </w:rPr>
        <w:t>3</w:t>
      </w:r>
      <w:r>
        <w:rPr>
          <w:rFonts w:hint="eastAsia"/>
          <w:bCs/>
          <w:color w:val="000000"/>
          <w:sz w:val="24"/>
          <w:highlight w:val="none"/>
        </w:rPr>
        <w:t>计，根据质量平衡定律计算出SO</w:t>
      </w:r>
      <w:r>
        <w:rPr>
          <w:rFonts w:hint="eastAsia"/>
          <w:bCs/>
          <w:color w:val="000000"/>
          <w:sz w:val="24"/>
          <w:highlight w:val="none"/>
          <w:vertAlign w:val="subscript"/>
        </w:rPr>
        <w:t>2</w:t>
      </w:r>
      <w:r>
        <w:rPr>
          <w:rFonts w:hint="eastAsia"/>
          <w:bCs/>
          <w:color w:val="000000"/>
          <w:sz w:val="24"/>
          <w:highlight w:val="none"/>
        </w:rPr>
        <w:t>产生量=H</w:t>
      </w:r>
      <w:r>
        <w:rPr>
          <w:rFonts w:hint="eastAsia"/>
          <w:bCs/>
          <w:color w:val="000000"/>
          <w:sz w:val="24"/>
          <w:highlight w:val="none"/>
          <w:vertAlign w:val="subscript"/>
        </w:rPr>
        <w:t>2</w:t>
      </w:r>
      <w:r>
        <w:rPr>
          <w:rFonts w:hint="eastAsia"/>
          <w:bCs/>
          <w:color w:val="000000"/>
          <w:sz w:val="24"/>
          <w:highlight w:val="none"/>
        </w:rPr>
        <w:t>S产生量*64/34，SO</w:t>
      </w:r>
      <w:r>
        <w:rPr>
          <w:rFonts w:hint="eastAsia"/>
          <w:bCs/>
          <w:color w:val="000000"/>
          <w:sz w:val="24"/>
          <w:highlight w:val="none"/>
          <w:vertAlign w:val="subscript"/>
        </w:rPr>
        <w:t>2</w:t>
      </w:r>
      <w:r>
        <w:rPr>
          <w:rFonts w:hint="eastAsia"/>
          <w:bCs/>
          <w:color w:val="000000"/>
          <w:sz w:val="24"/>
          <w:highlight w:val="none"/>
        </w:rPr>
        <w:t>产生量为</w:t>
      </w:r>
      <w:r>
        <w:rPr>
          <w:rFonts w:hint="eastAsia"/>
          <w:bCs/>
          <w:color w:val="000000"/>
          <w:sz w:val="24"/>
          <w:highlight w:val="none"/>
          <w:lang w:val="en-US" w:eastAsia="zh-CN"/>
        </w:rPr>
        <w:t>754175.134</w:t>
      </w:r>
      <w:r>
        <w:rPr>
          <w:rFonts w:hint="eastAsia"/>
          <w:bCs/>
          <w:color w:val="000000"/>
          <w:sz w:val="24"/>
          <w:highlight w:val="none"/>
        </w:rPr>
        <w:t>×</w:t>
      </w:r>
      <w:r>
        <w:rPr>
          <w:rFonts w:hint="eastAsia"/>
          <w:bCs/>
          <w:color w:val="000000"/>
          <w:sz w:val="24"/>
          <w:highlight w:val="none"/>
          <w:lang w:val="en-US" w:eastAsia="zh-CN"/>
        </w:rPr>
        <w:t>20</w:t>
      </w:r>
      <w:r>
        <w:rPr>
          <w:rFonts w:hint="eastAsia"/>
          <w:bCs/>
          <w:color w:val="000000"/>
          <w:sz w:val="24"/>
          <w:highlight w:val="none"/>
        </w:rPr>
        <w:t>×10</w:t>
      </w:r>
      <w:r>
        <w:rPr>
          <w:rFonts w:hint="eastAsia"/>
          <w:bCs/>
          <w:color w:val="000000"/>
          <w:sz w:val="24"/>
          <w:highlight w:val="none"/>
          <w:vertAlign w:val="superscript"/>
        </w:rPr>
        <w:t>-6</w:t>
      </w:r>
      <w:r>
        <w:rPr>
          <w:rFonts w:hint="eastAsia"/>
          <w:bCs/>
          <w:color w:val="000000"/>
          <w:sz w:val="24"/>
          <w:highlight w:val="none"/>
        </w:rPr>
        <w:t>×64÷34=</w:t>
      </w:r>
      <w:r>
        <w:rPr>
          <w:rFonts w:hint="eastAsia"/>
          <w:bCs/>
          <w:color w:val="000000"/>
          <w:sz w:val="24"/>
          <w:highlight w:val="none"/>
          <w:lang w:val="en-US" w:eastAsia="zh-CN"/>
        </w:rPr>
        <w:t>28.39</w:t>
      </w:r>
      <w:r>
        <w:rPr>
          <w:rFonts w:hint="eastAsia"/>
          <w:bCs/>
          <w:color w:val="000000"/>
          <w:sz w:val="24"/>
          <w:highlight w:val="none"/>
        </w:rPr>
        <w:t>kg/a，即0.0</w:t>
      </w:r>
      <w:r>
        <w:rPr>
          <w:rFonts w:hint="eastAsia"/>
          <w:bCs/>
          <w:color w:val="000000"/>
          <w:sz w:val="24"/>
          <w:highlight w:val="none"/>
          <w:lang w:val="en-US" w:eastAsia="zh-CN"/>
        </w:rPr>
        <w:t>28</w:t>
      </w:r>
      <w:r>
        <w:rPr>
          <w:rFonts w:hint="eastAsia"/>
          <w:bCs/>
          <w:color w:val="000000"/>
          <w:sz w:val="24"/>
          <w:highlight w:val="none"/>
        </w:rPr>
        <w:t>t/a</w:t>
      </w:r>
      <w:r>
        <w:rPr>
          <w:rFonts w:hint="eastAsia"/>
          <w:bCs/>
          <w:color w:val="000000"/>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Cs/>
          <w:color w:val="000000"/>
          <w:sz w:val="24"/>
          <w:highlight w:val="none"/>
        </w:rPr>
      </w:pPr>
      <w:r>
        <w:rPr>
          <w:rFonts w:hint="eastAsia"/>
          <w:bCs/>
          <w:color w:val="000000"/>
          <w:sz w:val="24"/>
          <w:highlight w:val="none"/>
        </w:rPr>
        <w:t>根据《2006年全国氮氧化物排放统计技术要求》，</w:t>
      </w:r>
      <w:r>
        <w:rPr>
          <w:rFonts w:hint="eastAsia"/>
          <w:bCs/>
          <w:color w:val="000000"/>
          <w:sz w:val="24"/>
          <w:highlight w:val="none"/>
          <w:lang w:eastAsia="zh-CN"/>
        </w:rPr>
        <w:t>沼气</w:t>
      </w:r>
      <w:r>
        <w:rPr>
          <w:rFonts w:hint="eastAsia"/>
          <w:bCs/>
          <w:color w:val="000000"/>
          <w:sz w:val="24"/>
          <w:highlight w:val="none"/>
        </w:rPr>
        <w:t>燃烧过程</w:t>
      </w:r>
      <w:r>
        <w:rPr>
          <w:rFonts w:hint="eastAsia"/>
          <w:bCs/>
          <w:color w:val="000000"/>
          <w:sz w:val="24"/>
          <w:highlight w:val="none"/>
          <w:lang w:eastAsia="zh-CN"/>
        </w:rPr>
        <w:t>中</w:t>
      </w:r>
      <w:r>
        <w:rPr>
          <w:rFonts w:hint="eastAsia"/>
          <w:bCs/>
          <w:color w:val="000000"/>
          <w:sz w:val="24"/>
          <w:highlight w:val="none"/>
        </w:rPr>
        <w:t>NO</w:t>
      </w:r>
      <w:r>
        <w:rPr>
          <w:rFonts w:hint="eastAsia"/>
          <w:bCs/>
          <w:color w:val="000000"/>
          <w:sz w:val="24"/>
          <w:highlight w:val="none"/>
          <w:vertAlign w:val="subscript"/>
        </w:rPr>
        <w:t>X</w:t>
      </w:r>
      <w:r>
        <w:rPr>
          <w:rFonts w:hint="eastAsia"/>
          <w:bCs/>
          <w:color w:val="000000"/>
          <w:sz w:val="24"/>
          <w:highlight w:val="none"/>
        </w:rPr>
        <w:t>排放系数为5.0kg/10</w:t>
      </w:r>
      <w:r>
        <w:rPr>
          <w:rFonts w:hint="eastAsia"/>
          <w:bCs/>
          <w:color w:val="000000"/>
          <w:sz w:val="24"/>
          <w:highlight w:val="none"/>
          <w:vertAlign w:val="superscript"/>
        </w:rPr>
        <w:t>8</w:t>
      </w:r>
      <w:r>
        <w:rPr>
          <w:rFonts w:hint="eastAsia"/>
          <w:bCs/>
          <w:color w:val="000000"/>
          <w:sz w:val="24"/>
          <w:highlight w:val="none"/>
        </w:rPr>
        <w:t>kJ，</w:t>
      </w:r>
      <w:r>
        <w:rPr>
          <w:rFonts w:hint="eastAsia"/>
          <w:bCs/>
          <w:color w:val="000000"/>
          <w:sz w:val="24"/>
          <w:highlight w:val="none"/>
          <w:lang w:eastAsia="zh-CN"/>
        </w:rPr>
        <w:t>天然气</w:t>
      </w:r>
      <w:r>
        <w:rPr>
          <w:rFonts w:hint="eastAsia"/>
          <w:bCs/>
          <w:color w:val="000000"/>
          <w:sz w:val="24"/>
          <w:highlight w:val="none"/>
        </w:rPr>
        <w:t>燃烧过程</w:t>
      </w:r>
      <w:r>
        <w:rPr>
          <w:rFonts w:hint="eastAsia"/>
          <w:bCs/>
          <w:color w:val="000000"/>
          <w:sz w:val="24"/>
          <w:highlight w:val="none"/>
          <w:lang w:eastAsia="zh-CN"/>
        </w:rPr>
        <w:t>中</w:t>
      </w:r>
      <w:r>
        <w:rPr>
          <w:rFonts w:hint="eastAsia"/>
          <w:bCs/>
          <w:color w:val="000000"/>
          <w:sz w:val="24"/>
          <w:highlight w:val="none"/>
        </w:rPr>
        <w:t>NO</w:t>
      </w:r>
      <w:r>
        <w:rPr>
          <w:rFonts w:hint="eastAsia"/>
          <w:bCs/>
          <w:color w:val="000000"/>
          <w:sz w:val="24"/>
          <w:highlight w:val="none"/>
          <w:vertAlign w:val="subscript"/>
        </w:rPr>
        <w:t>X</w:t>
      </w:r>
      <w:r>
        <w:rPr>
          <w:rFonts w:hint="eastAsia"/>
          <w:bCs/>
          <w:color w:val="000000"/>
          <w:sz w:val="24"/>
          <w:highlight w:val="none"/>
        </w:rPr>
        <w:t>排放系数</w:t>
      </w:r>
      <w:r>
        <w:rPr>
          <w:rFonts w:hint="eastAsia"/>
          <w:bCs/>
          <w:color w:val="000000"/>
          <w:sz w:val="24"/>
          <w:highlight w:val="none"/>
          <w:lang w:val="en-US" w:eastAsia="zh-CN"/>
        </w:rPr>
        <w:t>为20.85*10</w:t>
      </w:r>
      <w:r>
        <w:rPr>
          <w:rFonts w:hint="eastAsia"/>
          <w:bCs/>
          <w:color w:val="000000"/>
          <w:sz w:val="24"/>
          <w:highlight w:val="none"/>
          <w:vertAlign w:val="superscript"/>
          <w:lang w:val="en-US" w:eastAsia="zh-CN"/>
        </w:rPr>
        <w:t>-4</w:t>
      </w:r>
      <w:r>
        <w:rPr>
          <w:rFonts w:hint="eastAsia"/>
          <w:bCs/>
          <w:color w:val="000000"/>
          <w:sz w:val="24"/>
          <w:highlight w:val="none"/>
          <w:lang w:val="en-US" w:eastAsia="zh-CN"/>
        </w:rPr>
        <w:t>kg/m</w:t>
      </w:r>
      <w:r>
        <w:rPr>
          <w:rFonts w:hint="eastAsia"/>
          <w:bCs/>
          <w:color w:val="000000"/>
          <w:sz w:val="24"/>
          <w:highlight w:val="none"/>
          <w:vertAlign w:val="superscript"/>
          <w:lang w:val="en-US" w:eastAsia="zh-CN"/>
        </w:rPr>
        <w:t>3</w:t>
      </w:r>
      <w:r>
        <w:rPr>
          <w:rFonts w:hint="eastAsia"/>
          <w:bCs/>
          <w:color w:val="000000"/>
          <w:sz w:val="24"/>
          <w:highlight w:val="none"/>
          <w:lang w:val="en-US" w:eastAsia="zh-CN"/>
        </w:rPr>
        <w:t>，</w:t>
      </w:r>
      <w:r>
        <w:rPr>
          <w:rFonts w:hint="eastAsia"/>
          <w:bCs/>
          <w:color w:val="000000"/>
          <w:sz w:val="24"/>
          <w:highlight w:val="none"/>
        </w:rPr>
        <w:t>沼气的发热值</w:t>
      </w:r>
      <w:r>
        <w:rPr>
          <w:rFonts w:hint="eastAsia"/>
          <w:bCs/>
          <w:color w:val="000000"/>
          <w:sz w:val="24"/>
          <w:highlight w:val="none"/>
          <w:lang w:eastAsia="zh-CN"/>
        </w:rPr>
        <w:t>约</w:t>
      </w:r>
      <w:r>
        <w:rPr>
          <w:rFonts w:hint="eastAsia"/>
          <w:bCs/>
          <w:color w:val="000000"/>
          <w:sz w:val="24"/>
          <w:highlight w:val="none"/>
        </w:rPr>
        <w:t>为21524kJ/m</w:t>
      </w:r>
      <w:r>
        <w:rPr>
          <w:rFonts w:hint="eastAsia"/>
          <w:bCs/>
          <w:color w:val="000000"/>
          <w:sz w:val="24"/>
          <w:highlight w:val="none"/>
          <w:vertAlign w:val="superscript"/>
        </w:rPr>
        <w:t>3</w:t>
      </w:r>
      <w:r>
        <w:rPr>
          <w:rFonts w:hint="eastAsia"/>
          <w:bCs/>
          <w:color w:val="000000"/>
          <w:sz w:val="24"/>
          <w:highlight w:val="none"/>
        </w:rPr>
        <w:t>，则本项目</w:t>
      </w:r>
      <w:r>
        <w:rPr>
          <w:rFonts w:hint="eastAsia"/>
          <w:bCs/>
          <w:color w:val="000000"/>
          <w:sz w:val="24"/>
          <w:highlight w:val="none"/>
          <w:lang w:eastAsia="zh-CN"/>
        </w:rPr>
        <w:t>燃料</w:t>
      </w:r>
      <w:r>
        <w:rPr>
          <w:rFonts w:hint="eastAsia"/>
          <w:bCs/>
          <w:color w:val="000000"/>
          <w:sz w:val="24"/>
          <w:highlight w:val="none"/>
        </w:rPr>
        <w:t>燃烧NO</w:t>
      </w:r>
      <w:r>
        <w:rPr>
          <w:rFonts w:hint="eastAsia"/>
          <w:bCs/>
          <w:color w:val="000000"/>
          <w:sz w:val="24"/>
          <w:highlight w:val="none"/>
          <w:vertAlign w:val="subscript"/>
        </w:rPr>
        <w:t>X</w:t>
      </w:r>
      <w:r>
        <w:rPr>
          <w:rFonts w:hint="eastAsia"/>
          <w:bCs/>
          <w:color w:val="000000"/>
          <w:sz w:val="24"/>
          <w:highlight w:val="none"/>
        </w:rPr>
        <w:t>产生量为</w:t>
      </w:r>
      <w:r>
        <w:rPr>
          <w:rFonts w:hint="eastAsia"/>
          <w:bCs/>
          <w:color w:val="000000"/>
          <w:sz w:val="24"/>
          <w:highlight w:val="none"/>
          <w:lang w:val="en-US" w:eastAsia="zh-CN"/>
        </w:rPr>
        <w:t>1.26</w:t>
      </w:r>
      <w:r>
        <w:rPr>
          <w:rFonts w:hint="eastAsia"/>
          <w:bCs/>
          <w:color w:val="000000"/>
          <w:sz w:val="24"/>
          <w:highlight w:val="none"/>
        </w:rPr>
        <w:t>t/a。</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000000"/>
          <w:kern w:val="2"/>
          <w:sz w:val="24"/>
          <w:szCs w:val="24"/>
          <w:highlight w:val="none"/>
          <w:lang w:val="en-US" w:eastAsia="zh-CN" w:bidi="ar-SA"/>
        </w:rPr>
      </w:pPr>
      <w:r>
        <w:rPr>
          <w:rFonts w:hint="eastAsia" w:ascii="Times New Roman" w:hAnsi="Times New Roman" w:eastAsia="宋体" w:cstheme="minorBidi"/>
          <w:bCs/>
          <w:color w:val="000000"/>
          <w:kern w:val="2"/>
          <w:sz w:val="24"/>
          <w:szCs w:val="24"/>
          <w:highlight w:val="none"/>
          <w:lang w:val="en-US" w:eastAsia="zh-CN" w:bidi="ar-SA"/>
        </w:rPr>
        <w:t>烟尘排放系数参照《社会区域类环境影响评价工程师职业资格登记培训教材》（主编：吴波，中国环境科学出版社），并结合当地燃气炉中烟气的产排情况，主要排放系数为0.5kg/万立方米原料</w:t>
      </w:r>
      <w:r>
        <w:rPr>
          <w:rFonts w:hint="eastAsia" w:ascii="Times New Roman" w:hAnsi="Times New Roman" w:cstheme="minorBidi"/>
          <w:bCs/>
          <w:color w:val="000000"/>
          <w:kern w:val="2"/>
          <w:sz w:val="24"/>
          <w:szCs w:val="24"/>
          <w:highlight w:val="none"/>
          <w:lang w:val="en-US" w:eastAsia="zh-CN" w:bidi="ar-SA"/>
        </w:rPr>
        <w:t>，则烟尘产生量为0.038t/a</w:t>
      </w:r>
      <w:r>
        <w:rPr>
          <w:rFonts w:hint="eastAsia" w:ascii="Times New Roman" w:hAnsi="Times New Roman" w:eastAsia="宋体" w:cstheme="minorBidi"/>
          <w:bCs/>
          <w:color w:val="000000"/>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000000"/>
          <w:sz w:val="24"/>
          <w:highlight w:val="none"/>
        </w:rPr>
      </w:pPr>
      <w:r>
        <w:rPr>
          <w:rFonts w:hint="eastAsia"/>
          <w:bCs/>
          <w:color w:val="000000"/>
          <w:sz w:val="24"/>
          <w:highlight w:val="none"/>
          <w:lang w:eastAsia="zh-CN"/>
        </w:rPr>
        <w:t>根据上述分析，</w:t>
      </w:r>
      <w:r>
        <w:rPr>
          <w:bCs/>
          <w:color w:val="000000"/>
          <w:sz w:val="24"/>
          <w:highlight w:val="none"/>
        </w:rPr>
        <w:t>本项目锅炉废气</w:t>
      </w:r>
      <w:r>
        <w:rPr>
          <w:rFonts w:hint="eastAsia"/>
          <w:bCs/>
          <w:color w:val="000000"/>
          <w:sz w:val="24"/>
          <w:highlight w:val="none"/>
          <w:lang w:eastAsia="zh-CN"/>
        </w:rPr>
        <w:t>产生</w:t>
      </w:r>
      <w:r>
        <w:rPr>
          <w:bCs/>
          <w:color w:val="000000"/>
          <w:sz w:val="24"/>
          <w:highlight w:val="none"/>
        </w:rPr>
        <w:t>量为</w:t>
      </w:r>
      <w:r>
        <w:rPr>
          <w:rFonts w:hint="eastAsia"/>
          <w:bCs/>
          <w:color w:val="000000"/>
          <w:sz w:val="24"/>
          <w:highlight w:val="none"/>
        </w:rPr>
        <w:t>10276327.78</w:t>
      </w:r>
      <w:r>
        <w:rPr>
          <w:bCs/>
          <w:color w:val="000000"/>
          <w:sz w:val="24"/>
          <w:highlight w:val="none"/>
        </w:rPr>
        <w:t>m</w:t>
      </w:r>
      <w:r>
        <w:rPr>
          <w:bCs/>
          <w:color w:val="000000"/>
          <w:sz w:val="24"/>
          <w:highlight w:val="none"/>
          <w:vertAlign w:val="superscript"/>
        </w:rPr>
        <w:t>3</w:t>
      </w:r>
      <w:r>
        <w:rPr>
          <w:bCs/>
          <w:color w:val="000000"/>
          <w:sz w:val="24"/>
          <w:highlight w:val="none"/>
        </w:rPr>
        <w:t>/a</w:t>
      </w:r>
      <w:r>
        <w:rPr>
          <w:rFonts w:hint="eastAsia"/>
          <w:bCs/>
          <w:color w:val="000000"/>
          <w:sz w:val="24"/>
          <w:highlight w:val="none"/>
          <w:lang w:eastAsia="zh-CN"/>
        </w:rPr>
        <w:t>，</w:t>
      </w:r>
      <w:r>
        <w:rPr>
          <w:bCs/>
          <w:color w:val="000000"/>
          <w:sz w:val="24"/>
          <w:highlight w:val="none"/>
        </w:rPr>
        <w:t>NO</w:t>
      </w:r>
      <w:r>
        <w:rPr>
          <w:bCs/>
          <w:color w:val="000000"/>
          <w:sz w:val="24"/>
          <w:highlight w:val="none"/>
          <w:vertAlign w:val="subscript"/>
        </w:rPr>
        <w:t>X</w:t>
      </w:r>
      <w:r>
        <w:rPr>
          <w:bCs/>
          <w:color w:val="000000"/>
          <w:sz w:val="24"/>
          <w:highlight w:val="none"/>
        </w:rPr>
        <w:t>产生量为</w:t>
      </w:r>
      <w:r>
        <w:rPr>
          <w:rFonts w:hint="eastAsia"/>
          <w:color w:val="000000"/>
          <w:sz w:val="24"/>
          <w:highlight w:val="none"/>
          <w:lang w:val="en-US" w:eastAsia="zh-CN"/>
        </w:rPr>
        <w:t>1.26</w:t>
      </w:r>
      <w:r>
        <w:rPr>
          <w:bCs/>
          <w:color w:val="000000"/>
          <w:sz w:val="24"/>
          <w:highlight w:val="none"/>
        </w:rPr>
        <w:t>t/a，</w:t>
      </w:r>
      <w:r>
        <w:rPr>
          <w:color w:val="000000"/>
          <w:sz w:val="24"/>
          <w:highlight w:val="none"/>
        </w:rPr>
        <w:t>SO</w:t>
      </w:r>
      <w:r>
        <w:rPr>
          <w:color w:val="000000"/>
          <w:sz w:val="24"/>
          <w:highlight w:val="none"/>
          <w:vertAlign w:val="subscript"/>
        </w:rPr>
        <w:t>2</w:t>
      </w:r>
      <w:r>
        <w:rPr>
          <w:bCs/>
          <w:color w:val="000000"/>
          <w:sz w:val="24"/>
          <w:highlight w:val="none"/>
        </w:rPr>
        <w:t>产生量为0.</w:t>
      </w:r>
      <w:r>
        <w:rPr>
          <w:rFonts w:hint="eastAsia"/>
          <w:bCs/>
          <w:color w:val="000000"/>
          <w:sz w:val="24"/>
          <w:highlight w:val="none"/>
          <w:lang w:val="en-US" w:eastAsia="zh-CN"/>
        </w:rPr>
        <w:t>028</w:t>
      </w:r>
      <w:r>
        <w:rPr>
          <w:bCs/>
          <w:color w:val="000000"/>
          <w:sz w:val="24"/>
          <w:highlight w:val="none"/>
        </w:rPr>
        <w:t>t/a</w:t>
      </w:r>
      <w:r>
        <w:rPr>
          <w:rFonts w:hint="eastAsia"/>
          <w:bCs/>
          <w:color w:val="000000"/>
          <w:sz w:val="24"/>
          <w:highlight w:val="none"/>
          <w:lang w:eastAsia="zh-CN"/>
        </w:rPr>
        <w:t>，</w:t>
      </w:r>
      <w:r>
        <w:rPr>
          <w:bCs/>
          <w:color w:val="000000"/>
          <w:sz w:val="24"/>
          <w:highlight w:val="none"/>
        </w:rPr>
        <w:t>颗粒物产生量为</w:t>
      </w:r>
      <w:r>
        <w:rPr>
          <w:color w:val="000000"/>
          <w:sz w:val="24"/>
          <w:highlight w:val="none"/>
        </w:rPr>
        <w:t>0.0</w:t>
      </w:r>
      <w:r>
        <w:rPr>
          <w:rFonts w:hint="eastAsia"/>
          <w:color w:val="000000"/>
          <w:sz w:val="24"/>
          <w:highlight w:val="none"/>
          <w:lang w:val="en-US" w:eastAsia="zh-CN"/>
        </w:rPr>
        <w:t>38</w:t>
      </w:r>
      <w:r>
        <w:rPr>
          <w:bCs/>
          <w:color w:val="000000"/>
          <w:sz w:val="24"/>
          <w:highlight w:val="none"/>
        </w:rPr>
        <w:t>t/a。锅炉烟气</w:t>
      </w:r>
      <w:r>
        <w:rPr>
          <w:rFonts w:hint="eastAsia"/>
          <w:bCs/>
          <w:color w:val="000000"/>
          <w:sz w:val="24"/>
          <w:highlight w:val="none"/>
          <w:lang w:eastAsia="zh-CN"/>
        </w:rPr>
        <w:t>经</w:t>
      </w:r>
      <w:r>
        <w:rPr>
          <w:rFonts w:hint="eastAsia"/>
          <w:bCs/>
          <w:color w:val="000000"/>
          <w:sz w:val="24"/>
          <w:highlight w:val="none"/>
          <w:lang w:val="en-US" w:eastAsia="zh-CN"/>
        </w:rPr>
        <w:t>8</w:t>
      </w:r>
      <w:r>
        <w:rPr>
          <w:bCs/>
          <w:color w:val="000000"/>
          <w:sz w:val="24"/>
          <w:highlight w:val="none"/>
        </w:rPr>
        <w:t>米高烟囱排放。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000000"/>
          <w:sz w:val="24"/>
          <w:highlight w:val="none"/>
        </w:rPr>
      </w:pPr>
      <w:r>
        <w:rPr>
          <w:bCs/>
          <w:color w:val="000000"/>
          <w:sz w:val="24"/>
          <w:highlight w:val="none"/>
        </w:rPr>
        <w:t>锅炉</w:t>
      </w:r>
      <w:r>
        <w:rPr>
          <w:rFonts w:hint="eastAsia"/>
          <w:bCs/>
          <w:color w:val="000000"/>
          <w:sz w:val="24"/>
          <w:highlight w:val="none"/>
          <w:lang w:eastAsia="zh-CN"/>
        </w:rPr>
        <w:t>燃气</w:t>
      </w:r>
      <w:r>
        <w:rPr>
          <w:bCs/>
          <w:color w:val="000000"/>
          <w:sz w:val="24"/>
          <w:highlight w:val="none"/>
        </w:rPr>
        <w:t>产排污情况见表</w:t>
      </w:r>
      <w:r>
        <w:rPr>
          <w:rFonts w:hint="eastAsia"/>
          <w:bCs/>
          <w:color w:val="000000"/>
          <w:sz w:val="24"/>
          <w:highlight w:val="none"/>
          <w:lang w:val="en-US" w:eastAsia="zh-CN"/>
        </w:rPr>
        <w:t>2.12-6</w:t>
      </w:r>
      <w:r>
        <w:rPr>
          <w:bCs/>
          <w:color w:val="000000"/>
          <w:sz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4"/>
          <w:szCs w:val="24"/>
          <w:highlight w:val="none"/>
          <w:u w:val="none"/>
          <w:vertAlign w:val="superscript"/>
        </w:rPr>
      </w:pPr>
      <w:r>
        <w:rPr>
          <w:rFonts w:hint="eastAsia" w:ascii="Times New Roman" w:hAnsi="Times New Roman" w:eastAsia="宋体" w:cs="Times New Roman"/>
          <w:b/>
          <w:kern w:val="2"/>
          <w:sz w:val="21"/>
          <w:szCs w:val="24"/>
          <w:highlight w:val="none"/>
          <w:lang w:val="en-US" w:eastAsia="zh-CN" w:bidi="ar-SA"/>
        </w:rPr>
        <w:t>表2.12-</w:t>
      </w:r>
      <w:r>
        <w:rPr>
          <w:rFonts w:hint="eastAsia" w:cs="Times New Roman"/>
          <w:b/>
          <w:kern w:val="2"/>
          <w:sz w:val="21"/>
          <w:szCs w:val="24"/>
          <w:highlight w:val="none"/>
          <w:lang w:val="en-US" w:eastAsia="zh-CN" w:bidi="ar-SA"/>
        </w:rPr>
        <w:t>6</w:t>
      </w:r>
      <w:r>
        <w:rPr>
          <w:rFonts w:hint="eastAsia" w:ascii="Times New Roman" w:hAnsi="Times New Roman" w:eastAsia="宋体" w:cs="Times New Roman"/>
          <w:b/>
          <w:kern w:val="2"/>
          <w:sz w:val="21"/>
          <w:szCs w:val="24"/>
          <w:highlight w:val="none"/>
          <w:lang w:val="en-US" w:eastAsia="zh-CN" w:bidi="ar-SA"/>
        </w:rPr>
        <w:t xml:space="preserve"> 锅炉燃气产排污情况一览表  </w:t>
      </w:r>
      <w:r>
        <w:rPr>
          <w:rFonts w:ascii="Times New Roman" w:hAnsi="Times New Roman"/>
          <w:b/>
          <w:bCs/>
          <w:color w:val="auto"/>
          <w:sz w:val="24"/>
          <w:szCs w:val="24"/>
          <w:highlight w:val="none"/>
          <w:u w:val="none"/>
        </w:rPr>
        <w:t xml:space="preserve"> </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46"/>
        <w:gridCol w:w="866"/>
        <w:gridCol w:w="698"/>
        <w:gridCol w:w="669"/>
        <w:gridCol w:w="771"/>
        <w:gridCol w:w="736"/>
        <w:gridCol w:w="723"/>
        <w:gridCol w:w="1078"/>
        <w:gridCol w:w="812"/>
        <w:gridCol w:w="153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94" w:hRule="atLeast"/>
          <w:jc w:val="center"/>
        </w:trPr>
        <w:tc>
          <w:tcPr>
            <w:tcW w:w="484" w:type="pc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rPr>
              <w:t>污染</w:t>
            </w:r>
            <w:r>
              <w:rPr>
                <w:rFonts w:hint="eastAsia" w:cs="Times New Roman"/>
                <w:b w:val="0"/>
                <w:bCs/>
                <w:sz w:val="21"/>
                <w:szCs w:val="21"/>
                <w:highlight w:val="none"/>
                <w:lang w:eastAsia="zh-CN"/>
              </w:rPr>
              <w:t>源</w:t>
            </w:r>
          </w:p>
        </w:tc>
        <w:tc>
          <w:tcPr>
            <w:tcW w:w="495" w:type="pc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lang w:eastAsia="zh-CN"/>
              </w:rPr>
              <w:t>烟气量（万</w:t>
            </w:r>
            <w:r>
              <w:rPr>
                <w:rFonts w:hint="eastAsia" w:cs="Times New Roman"/>
                <w:b w:val="0"/>
                <w:bCs/>
                <w:sz w:val="21"/>
                <w:szCs w:val="21"/>
                <w:highlight w:val="none"/>
                <w:lang w:val="en-US" w:eastAsia="zh-CN"/>
              </w:rPr>
              <w:t>m</w:t>
            </w:r>
            <w:r>
              <w:rPr>
                <w:rFonts w:hint="eastAsia" w:cs="Times New Roman"/>
                <w:b w:val="0"/>
                <w:bCs/>
                <w:sz w:val="21"/>
                <w:szCs w:val="21"/>
                <w:highlight w:val="none"/>
                <w:vertAlign w:val="superscript"/>
                <w:lang w:val="en-US" w:eastAsia="zh-CN"/>
              </w:rPr>
              <w:t>3</w:t>
            </w:r>
            <w:r>
              <w:rPr>
                <w:rFonts w:hint="eastAsia" w:cs="Times New Roman"/>
                <w:b w:val="0"/>
                <w:bCs/>
                <w:sz w:val="21"/>
                <w:szCs w:val="21"/>
                <w:highlight w:val="none"/>
                <w:lang w:val="en-US" w:eastAsia="zh-CN"/>
              </w:rPr>
              <w:t>/a</w:t>
            </w:r>
            <w:r>
              <w:rPr>
                <w:rFonts w:hint="eastAsia" w:cs="Times New Roman"/>
                <w:b w:val="0"/>
                <w:bCs/>
                <w:sz w:val="21"/>
                <w:szCs w:val="21"/>
                <w:highlight w:val="none"/>
                <w:lang w:eastAsia="zh-CN"/>
              </w:rPr>
              <w:t>）</w:t>
            </w:r>
          </w:p>
        </w:tc>
        <w:tc>
          <w:tcPr>
            <w:tcW w:w="399" w:type="pc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lang w:eastAsia="zh-CN"/>
              </w:rPr>
              <w:t>烟气高度（</w:t>
            </w:r>
            <w:r>
              <w:rPr>
                <w:rFonts w:hint="eastAsia" w:cs="Times New Roman"/>
                <w:b w:val="0"/>
                <w:bCs/>
                <w:sz w:val="21"/>
                <w:szCs w:val="21"/>
                <w:highlight w:val="none"/>
                <w:lang w:val="en-US" w:eastAsia="zh-CN"/>
              </w:rPr>
              <w:t>m</w:t>
            </w:r>
            <w:r>
              <w:rPr>
                <w:rFonts w:hint="eastAsia" w:cs="Times New Roman"/>
                <w:b w:val="0"/>
                <w:bCs/>
                <w:sz w:val="21"/>
                <w:szCs w:val="21"/>
                <w:highlight w:val="none"/>
                <w:lang w:eastAsia="zh-CN"/>
              </w:rPr>
              <w:t>）</w:t>
            </w:r>
          </w:p>
        </w:tc>
        <w:tc>
          <w:tcPr>
            <w:tcW w:w="383"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污染物</w:t>
            </w:r>
          </w:p>
        </w:tc>
        <w:tc>
          <w:tcPr>
            <w:tcW w:w="441" w:type="pct"/>
            <w:noWrap w:val="0"/>
            <w:vAlign w:val="center"/>
          </w:tcPr>
          <w:p>
            <w:pPr>
              <w:adjustRightInd w:val="0"/>
              <w:snapToGrid w:val="0"/>
              <w:spacing w:line="240" w:lineRule="auto"/>
              <w:ind w:firstLine="0" w:firstLineChars="0"/>
              <w:jc w:val="center"/>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产生量（t/a）</w:t>
            </w:r>
          </w:p>
        </w:tc>
        <w:tc>
          <w:tcPr>
            <w:tcW w:w="421"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产生浓度（mg/m</w:t>
            </w:r>
            <w:r>
              <w:rPr>
                <w:rFonts w:hint="eastAsia" w:cs="Times New Roman"/>
                <w:b w:val="0"/>
                <w:bCs/>
                <w:sz w:val="21"/>
                <w:szCs w:val="21"/>
                <w:highlight w:val="none"/>
                <w:vertAlign w:val="superscript"/>
                <w:lang w:val="en-US" w:eastAsia="zh-CN"/>
              </w:rPr>
              <w:t>3</w:t>
            </w:r>
            <w:r>
              <w:rPr>
                <w:rFonts w:hint="eastAsia" w:cs="Times New Roman"/>
                <w:b w:val="0"/>
                <w:bCs/>
                <w:sz w:val="21"/>
                <w:szCs w:val="21"/>
                <w:highlight w:val="none"/>
                <w:lang w:val="en-US" w:eastAsia="zh-CN"/>
              </w:rPr>
              <w:t>）</w:t>
            </w:r>
          </w:p>
        </w:tc>
        <w:tc>
          <w:tcPr>
            <w:tcW w:w="413"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rPr>
              <w:t>末端治理</w:t>
            </w:r>
          </w:p>
        </w:tc>
        <w:tc>
          <w:tcPr>
            <w:tcW w:w="617"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排放浓度（mg/m</w:t>
            </w:r>
            <w:r>
              <w:rPr>
                <w:rFonts w:hint="eastAsia" w:cs="Times New Roman"/>
                <w:b w:val="0"/>
                <w:bCs/>
                <w:sz w:val="21"/>
                <w:szCs w:val="21"/>
                <w:highlight w:val="none"/>
                <w:vertAlign w:val="superscript"/>
                <w:lang w:val="en-US" w:eastAsia="zh-CN"/>
              </w:rPr>
              <w:t>3</w:t>
            </w:r>
            <w:r>
              <w:rPr>
                <w:rFonts w:hint="eastAsia" w:cs="Times New Roman"/>
                <w:b w:val="0"/>
                <w:bCs/>
                <w:sz w:val="21"/>
                <w:szCs w:val="21"/>
                <w:highlight w:val="none"/>
                <w:lang w:val="en-US" w:eastAsia="zh-CN"/>
              </w:rPr>
              <w:t>）</w:t>
            </w:r>
          </w:p>
        </w:tc>
        <w:tc>
          <w:tcPr>
            <w:tcW w:w="464"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排放量（t/a）</w:t>
            </w:r>
          </w:p>
        </w:tc>
        <w:tc>
          <w:tcPr>
            <w:tcW w:w="877"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《锅炉大气污染物排放标准》（GB13271-2014）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484" w:type="pct"/>
            <w:vMerge w:val="restar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lang w:eastAsia="zh-CN"/>
              </w:rPr>
              <w:t>燃气锅炉（</w:t>
            </w:r>
            <w:r>
              <w:rPr>
                <w:rFonts w:hint="eastAsia" w:cs="Times New Roman"/>
                <w:b w:val="0"/>
                <w:bCs/>
                <w:sz w:val="21"/>
                <w:szCs w:val="21"/>
                <w:highlight w:val="none"/>
                <w:lang w:val="en-US" w:eastAsia="zh-CN"/>
              </w:rPr>
              <w:t>2t/h</w:t>
            </w:r>
            <w:r>
              <w:rPr>
                <w:rFonts w:hint="eastAsia" w:cs="Times New Roman"/>
                <w:b w:val="0"/>
                <w:bCs/>
                <w:sz w:val="21"/>
                <w:szCs w:val="21"/>
                <w:highlight w:val="none"/>
                <w:lang w:eastAsia="zh-CN"/>
              </w:rPr>
              <w:t>）</w:t>
            </w:r>
          </w:p>
        </w:tc>
        <w:tc>
          <w:tcPr>
            <w:tcW w:w="495" w:type="pct"/>
            <w:vMerge w:val="restar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1027.633</w:t>
            </w:r>
          </w:p>
        </w:tc>
        <w:tc>
          <w:tcPr>
            <w:tcW w:w="399" w:type="pct"/>
            <w:vMerge w:val="restar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8</w:t>
            </w:r>
          </w:p>
        </w:tc>
        <w:tc>
          <w:tcPr>
            <w:tcW w:w="383"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NO</w:t>
            </w:r>
            <w:r>
              <w:rPr>
                <w:rFonts w:hint="eastAsia" w:cs="Times New Roman"/>
                <w:b w:val="0"/>
                <w:bCs/>
                <w:sz w:val="21"/>
                <w:szCs w:val="21"/>
                <w:highlight w:val="none"/>
                <w:vertAlign w:val="subscript"/>
              </w:rPr>
              <w:t>X</w:t>
            </w:r>
          </w:p>
        </w:tc>
        <w:tc>
          <w:tcPr>
            <w:tcW w:w="441"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1.26</w:t>
            </w:r>
          </w:p>
        </w:tc>
        <w:tc>
          <w:tcPr>
            <w:tcW w:w="421"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122.6</w:t>
            </w:r>
          </w:p>
        </w:tc>
        <w:tc>
          <w:tcPr>
            <w:tcW w:w="413" w:type="pc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lang w:eastAsia="zh-CN"/>
              </w:rPr>
              <w:t>低氮</w:t>
            </w:r>
          </w:p>
        </w:tc>
        <w:tc>
          <w:tcPr>
            <w:tcW w:w="617"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24.52</w:t>
            </w:r>
          </w:p>
        </w:tc>
        <w:tc>
          <w:tcPr>
            <w:tcW w:w="464"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0.</w:t>
            </w:r>
            <w:r>
              <w:rPr>
                <w:rFonts w:hint="eastAsia" w:cs="Times New Roman"/>
                <w:b w:val="0"/>
                <w:bCs/>
                <w:sz w:val="21"/>
                <w:szCs w:val="21"/>
                <w:highlight w:val="none"/>
                <w:lang w:val="en-US" w:eastAsia="zh-CN"/>
              </w:rPr>
              <w:t>252</w:t>
            </w:r>
          </w:p>
        </w:tc>
        <w:tc>
          <w:tcPr>
            <w:tcW w:w="877"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484" w:type="pct"/>
            <w:vMerge w:val="continue"/>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495" w:type="pct"/>
            <w:vMerge w:val="continue"/>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399" w:type="pct"/>
            <w:vMerge w:val="continue"/>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383"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SO</w:t>
            </w:r>
            <w:r>
              <w:rPr>
                <w:rFonts w:hint="eastAsia" w:cs="Times New Roman"/>
                <w:b w:val="0"/>
                <w:bCs/>
                <w:sz w:val="21"/>
                <w:szCs w:val="21"/>
                <w:highlight w:val="none"/>
                <w:vertAlign w:val="subscript"/>
              </w:rPr>
              <w:t>2</w:t>
            </w:r>
          </w:p>
        </w:tc>
        <w:tc>
          <w:tcPr>
            <w:tcW w:w="441"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0.028</w:t>
            </w:r>
          </w:p>
        </w:tc>
        <w:tc>
          <w:tcPr>
            <w:tcW w:w="421"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2.72</w:t>
            </w:r>
          </w:p>
        </w:tc>
        <w:tc>
          <w:tcPr>
            <w:tcW w:w="413" w:type="pc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lang w:eastAsia="zh-CN"/>
              </w:rPr>
              <w:t>直排</w:t>
            </w:r>
          </w:p>
        </w:tc>
        <w:tc>
          <w:tcPr>
            <w:tcW w:w="617"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2.72</w:t>
            </w:r>
          </w:p>
        </w:tc>
        <w:tc>
          <w:tcPr>
            <w:tcW w:w="464"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0.</w:t>
            </w:r>
            <w:r>
              <w:rPr>
                <w:rFonts w:hint="eastAsia" w:cs="Times New Roman"/>
                <w:b w:val="0"/>
                <w:bCs/>
                <w:sz w:val="21"/>
                <w:szCs w:val="21"/>
                <w:highlight w:val="none"/>
                <w:lang w:val="en-US" w:eastAsia="zh-CN"/>
              </w:rPr>
              <w:t>017</w:t>
            </w:r>
          </w:p>
        </w:tc>
        <w:tc>
          <w:tcPr>
            <w:tcW w:w="877"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484" w:type="pct"/>
            <w:vMerge w:val="continue"/>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495" w:type="pct"/>
            <w:vMerge w:val="continue"/>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399" w:type="pct"/>
            <w:vMerge w:val="continue"/>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p>
        </w:tc>
        <w:tc>
          <w:tcPr>
            <w:tcW w:w="383"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颗粒物</w:t>
            </w:r>
          </w:p>
        </w:tc>
        <w:tc>
          <w:tcPr>
            <w:tcW w:w="441"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0.038</w:t>
            </w:r>
          </w:p>
        </w:tc>
        <w:tc>
          <w:tcPr>
            <w:tcW w:w="421"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3.70</w:t>
            </w:r>
          </w:p>
        </w:tc>
        <w:tc>
          <w:tcPr>
            <w:tcW w:w="413" w:type="pct"/>
            <w:noWrap w:val="0"/>
            <w:vAlign w:val="center"/>
          </w:tcPr>
          <w:p>
            <w:pPr>
              <w:adjustRightInd w:val="0"/>
              <w:snapToGrid w:val="0"/>
              <w:spacing w:line="240" w:lineRule="auto"/>
              <w:ind w:firstLine="0" w:firstLineChars="0"/>
              <w:jc w:val="center"/>
              <w:rPr>
                <w:rFonts w:hint="eastAsia" w:eastAsia="宋体" w:cs="Times New Roman"/>
                <w:b w:val="0"/>
                <w:bCs/>
                <w:sz w:val="21"/>
                <w:szCs w:val="21"/>
                <w:highlight w:val="none"/>
                <w:lang w:eastAsia="zh-CN"/>
              </w:rPr>
            </w:pPr>
            <w:r>
              <w:rPr>
                <w:rFonts w:hint="eastAsia" w:cs="Times New Roman"/>
                <w:b w:val="0"/>
                <w:bCs/>
                <w:sz w:val="21"/>
                <w:szCs w:val="21"/>
                <w:highlight w:val="none"/>
                <w:lang w:eastAsia="zh-CN"/>
              </w:rPr>
              <w:t>直排</w:t>
            </w:r>
          </w:p>
        </w:tc>
        <w:tc>
          <w:tcPr>
            <w:tcW w:w="617"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3.70</w:t>
            </w:r>
          </w:p>
        </w:tc>
        <w:tc>
          <w:tcPr>
            <w:tcW w:w="464" w:type="pct"/>
            <w:noWrap w:val="0"/>
            <w:vAlign w:val="center"/>
          </w:tcPr>
          <w:p>
            <w:pPr>
              <w:adjustRightInd w:val="0"/>
              <w:snapToGrid w:val="0"/>
              <w:spacing w:line="240" w:lineRule="auto"/>
              <w:ind w:firstLine="0" w:firstLineChars="0"/>
              <w:jc w:val="center"/>
              <w:rPr>
                <w:rFonts w:hint="default" w:eastAsia="宋体" w:cs="Times New Roman"/>
                <w:b w:val="0"/>
                <w:bCs/>
                <w:sz w:val="21"/>
                <w:szCs w:val="21"/>
                <w:highlight w:val="none"/>
                <w:lang w:val="en-US" w:eastAsia="zh-CN"/>
              </w:rPr>
            </w:pPr>
            <w:r>
              <w:rPr>
                <w:rFonts w:hint="eastAsia" w:cs="Times New Roman"/>
                <w:b w:val="0"/>
                <w:bCs/>
                <w:sz w:val="21"/>
                <w:szCs w:val="21"/>
                <w:highlight w:val="none"/>
              </w:rPr>
              <w:t>0.0</w:t>
            </w:r>
            <w:r>
              <w:rPr>
                <w:rFonts w:hint="eastAsia" w:cs="Times New Roman"/>
                <w:b w:val="0"/>
                <w:bCs/>
                <w:sz w:val="21"/>
                <w:szCs w:val="21"/>
                <w:highlight w:val="none"/>
                <w:lang w:val="en-US" w:eastAsia="zh-CN"/>
              </w:rPr>
              <w:t>23</w:t>
            </w:r>
          </w:p>
        </w:tc>
        <w:tc>
          <w:tcPr>
            <w:tcW w:w="877" w:type="pct"/>
            <w:noWrap w:val="0"/>
            <w:vAlign w:val="center"/>
          </w:tcPr>
          <w:p>
            <w:pPr>
              <w:adjustRightInd w:val="0"/>
              <w:snapToGrid w:val="0"/>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20</w:t>
            </w:r>
          </w:p>
        </w:tc>
      </w:tr>
    </w:tbl>
    <w:p>
      <w:pPr>
        <w:autoSpaceDE w:val="0"/>
        <w:autoSpaceDN w:val="0"/>
        <w:adjustRightInd w:val="0"/>
        <w:spacing w:line="360" w:lineRule="auto"/>
        <w:ind w:firstLine="480" w:firstLineChars="200"/>
        <w:jc w:val="left"/>
        <w:rPr>
          <w:color w:val="000000"/>
          <w:sz w:val="24"/>
          <w:highlight w:val="none"/>
        </w:rPr>
      </w:pPr>
      <w:r>
        <w:rPr>
          <w:color w:val="000000"/>
          <w:kern w:val="0"/>
          <w:sz w:val="24"/>
          <w:highlight w:val="none"/>
        </w:rPr>
        <w:t>锅炉产生的二氧化硫、颗粒物、NO</w:t>
      </w:r>
      <w:r>
        <w:rPr>
          <w:color w:val="000000"/>
          <w:kern w:val="0"/>
          <w:sz w:val="24"/>
          <w:highlight w:val="none"/>
          <w:vertAlign w:val="subscript"/>
        </w:rPr>
        <w:t>x</w:t>
      </w:r>
      <w:r>
        <w:rPr>
          <w:color w:val="000000"/>
          <w:kern w:val="0"/>
          <w:sz w:val="24"/>
          <w:highlight w:val="none"/>
        </w:rPr>
        <w:t>均符合《锅炉大气污染物排放标准》(GB13271-2014)</w:t>
      </w:r>
      <w:r>
        <w:rPr>
          <w:color w:val="000000"/>
          <w:sz w:val="24"/>
          <w:highlight w:val="none"/>
        </w:rPr>
        <w:t>新建锅炉大气污染物排放浓度限值中燃气锅炉标准</w:t>
      </w:r>
      <w:r>
        <w:rPr>
          <w:rFonts w:hint="eastAsia"/>
          <w:color w:val="000000"/>
          <w:sz w:val="24"/>
          <w:highlight w:val="none"/>
        </w:rPr>
        <w:t>限值</w:t>
      </w:r>
      <w:r>
        <w:rPr>
          <w:color w:val="000000"/>
          <w:sz w:val="24"/>
          <w:highlight w:val="none"/>
        </w:rPr>
        <w:t>。</w:t>
      </w:r>
    </w:p>
    <w:p>
      <w:pPr>
        <w:pStyle w:val="105"/>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kern w:val="0"/>
          <w:highlight w:val="none"/>
        </w:rPr>
      </w:pPr>
      <w:r>
        <w:rPr>
          <w:rFonts w:hint="eastAsia" w:ascii="Times New Roman" w:hAnsi="Times New Roman" w:eastAsia="宋体" w:cs="Times New Roman"/>
          <w:sz w:val="24"/>
          <w:szCs w:val="24"/>
          <w:highlight w:val="none"/>
        </w:rPr>
        <w:t>根据《河南省2019年度锅炉综合整治方案》，“新建工业燃气锅炉同步完成低氮改造，氮氧化物排放浓度不高于30mg/m</w:t>
      </w:r>
      <w:r>
        <w:rPr>
          <w:rFonts w:hint="eastAsia"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rPr>
        <w:t>”，本次评价参照执行。</w:t>
      </w:r>
    </w:p>
    <w:p>
      <w:pPr>
        <w:keepNext w:val="0"/>
        <w:keepLines w:val="0"/>
        <w:pageBreakBefore w:val="0"/>
        <w:kinsoku/>
        <w:wordWrap/>
        <w:overflowPunct/>
        <w:topLinePunct w:val="0"/>
        <w:autoSpaceDE/>
        <w:autoSpaceDN/>
        <w:bidi w:val="0"/>
        <w:adjustRightInd/>
        <w:snapToGrid/>
        <w:spacing w:line="360" w:lineRule="auto"/>
        <w:ind w:firstLine="480"/>
        <w:textAlignment w:val="auto"/>
        <w:rPr>
          <w:kern w:val="0"/>
          <w:highlight w:val="none"/>
        </w:rPr>
      </w:pPr>
      <w:r>
        <w:rPr>
          <w:rFonts w:hint="eastAsia"/>
          <w:kern w:val="0"/>
          <w:highlight w:val="none"/>
          <w:lang w:val="en-US" w:eastAsia="zh-CN"/>
        </w:rPr>
        <w:t>4、</w:t>
      </w:r>
      <w:r>
        <w:rPr>
          <w:rFonts w:hint="eastAsia"/>
          <w:kern w:val="0"/>
          <w:highlight w:val="none"/>
        </w:rPr>
        <w:t>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bCs/>
          <w:color w:val="auto"/>
          <w:sz w:val="24"/>
          <w:szCs w:val="24"/>
          <w:highlight w:val="none"/>
          <w:u w:val="single"/>
        </w:rPr>
      </w:pPr>
      <w:r>
        <w:rPr>
          <w:rFonts w:hint="eastAsia"/>
          <w:kern w:val="0"/>
          <w:highlight w:val="none"/>
        </w:rPr>
        <w:t>项目设置食堂，使用沼气作为日常餐饮烹饪的能源，厨房在烹饪炒作时将产生厨房油烟废气污染。</w:t>
      </w:r>
      <w:r>
        <w:rPr>
          <w:kern w:val="0"/>
          <w:highlight w:val="none"/>
        </w:rPr>
        <w:t>项目</w:t>
      </w:r>
      <w:r>
        <w:rPr>
          <w:rFonts w:hint="eastAsia"/>
          <w:kern w:val="0"/>
          <w:highlight w:val="none"/>
          <w:lang w:eastAsia="zh-CN"/>
        </w:rPr>
        <w:t>劳动定员</w:t>
      </w:r>
      <w:r>
        <w:rPr>
          <w:rFonts w:hint="eastAsia"/>
          <w:kern w:val="0"/>
          <w:highlight w:val="none"/>
          <w:lang w:val="en-US" w:eastAsia="zh-CN"/>
        </w:rPr>
        <w:t>90</w:t>
      </w:r>
      <w:r>
        <w:rPr>
          <w:kern w:val="0"/>
          <w:highlight w:val="none"/>
        </w:rPr>
        <w:t>人，</w:t>
      </w:r>
      <w:r>
        <w:rPr>
          <w:rFonts w:hint="eastAsia"/>
          <w:kern w:val="0"/>
          <w:highlight w:val="none"/>
        </w:rPr>
        <w:t>食堂每天供应三餐，类比牧原食品股份有限公司其它猪场食堂食用油用量的一般情况</w:t>
      </w:r>
      <w:r>
        <w:rPr>
          <w:kern w:val="0"/>
          <w:highlight w:val="none"/>
        </w:rPr>
        <w:t>，</w:t>
      </w:r>
      <w:r>
        <w:rPr>
          <w:rFonts w:hint="eastAsia"/>
          <w:kern w:val="0"/>
          <w:highlight w:val="none"/>
        </w:rPr>
        <w:t>人均食用油日用量</w:t>
      </w:r>
      <w:r>
        <w:rPr>
          <w:rFonts w:hint="eastAsia"/>
          <w:kern w:val="0"/>
          <w:highlight w:val="none"/>
          <w:lang w:eastAsia="zh-CN"/>
        </w:rPr>
        <w:t>以</w:t>
      </w:r>
      <w:r>
        <w:rPr>
          <w:rFonts w:ascii="Times New Roman" w:hAnsi="Times New Roman" w:cs="Times New Roman"/>
          <w:b w:val="0"/>
          <w:bCs w:val="0"/>
          <w:color w:val="auto"/>
          <w:sz w:val="24"/>
          <w:szCs w:val="22"/>
          <w:highlight w:val="none"/>
          <w:u w:val="none"/>
        </w:rPr>
        <w:t>25g/d计，年消耗食用油2</w:t>
      </w:r>
      <w:r>
        <w:rPr>
          <w:rFonts w:hint="eastAsia" w:cs="Times New Roman"/>
          <w:b w:val="0"/>
          <w:bCs w:val="0"/>
          <w:color w:val="auto"/>
          <w:sz w:val="24"/>
          <w:szCs w:val="22"/>
          <w:highlight w:val="none"/>
          <w:u w:val="none"/>
          <w:lang w:val="en-US" w:eastAsia="zh-CN"/>
        </w:rPr>
        <w:t>.25</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82</w:t>
      </w:r>
      <w:r>
        <w:rPr>
          <w:rFonts w:ascii="Times New Roman" w:hAnsi="Times New Roman" w:cs="Times New Roman"/>
          <w:b w:val="0"/>
          <w:bCs w:val="0"/>
          <w:color w:val="auto"/>
          <w:sz w:val="24"/>
          <w:szCs w:val="22"/>
          <w:highlight w:val="none"/>
          <w:u w:val="none"/>
        </w:rPr>
        <w:t>t/a，做饭时挥发损失约3%，则厨房油烟产生量约0.06</w:t>
      </w:r>
      <w:r>
        <w:rPr>
          <w:rFonts w:hint="eastAsia" w:cs="Times New Roman"/>
          <w:b w:val="0"/>
          <w:bCs w:val="0"/>
          <w:color w:val="auto"/>
          <w:sz w:val="24"/>
          <w:szCs w:val="22"/>
          <w:highlight w:val="none"/>
          <w:u w:val="none"/>
          <w:lang w:val="en-US" w:eastAsia="zh-CN"/>
        </w:rPr>
        <w:t>75</w:t>
      </w:r>
      <w:r>
        <w:rPr>
          <w:rFonts w:ascii="Times New Roman" w:hAnsi="Times New Roman" w:cs="Times New Roman"/>
          <w:b w:val="0"/>
          <w:bCs w:val="0"/>
          <w:color w:val="auto"/>
          <w:sz w:val="24"/>
          <w:szCs w:val="22"/>
          <w:highlight w:val="none"/>
          <w:u w:val="none"/>
        </w:rPr>
        <w:t>kg/d、0.02</w:t>
      </w:r>
      <w:r>
        <w:rPr>
          <w:rFonts w:hint="eastAsia" w:cs="Times New Roman"/>
          <w:b w:val="0"/>
          <w:bCs w:val="0"/>
          <w:color w:val="auto"/>
          <w:sz w:val="24"/>
          <w:szCs w:val="22"/>
          <w:highlight w:val="none"/>
          <w:u w:val="none"/>
          <w:lang w:val="en-US" w:eastAsia="zh-CN"/>
        </w:rPr>
        <w:t>5</w:t>
      </w:r>
      <w:r>
        <w:rPr>
          <w:rFonts w:ascii="Times New Roman" w:hAnsi="Times New Roman" w:cs="Times New Roman"/>
          <w:b w:val="0"/>
          <w:bCs w:val="0"/>
          <w:color w:val="auto"/>
          <w:sz w:val="24"/>
          <w:szCs w:val="22"/>
          <w:highlight w:val="none"/>
          <w:u w:val="none"/>
        </w:rPr>
        <w:t>t/a。项目废气量为</w:t>
      </w:r>
      <w:r>
        <w:rPr>
          <w:rFonts w:hint="eastAsia" w:ascii="Times New Roman" w:hAnsi="Times New Roman" w:cs="Times New Roman"/>
          <w:b w:val="0"/>
          <w:bCs w:val="0"/>
          <w:color w:val="auto"/>
          <w:sz w:val="24"/>
          <w:szCs w:val="22"/>
          <w:highlight w:val="none"/>
          <w:u w:val="none"/>
          <w:lang w:val="en-US" w:eastAsia="zh-CN"/>
        </w:rPr>
        <w:t>5</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ascii="Times New Roman" w:hAnsi="Times New Roman" w:cs="Times New Roman"/>
          <w:b w:val="0"/>
          <w:bCs w:val="0"/>
          <w:color w:val="auto"/>
          <w:sz w:val="24"/>
          <w:szCs w:val="22"/>
          <w:highlight w:val="none"/>
          <w:u w:val="none"/>
          <w:lang w:val="en-US" w:eastAsia="zh-CN"/>
        </w:rPr>
        <w:t>3</w:t>
      </w:r>
      <w:r>
        <w:rPr>
          <w:rFonts w:hint="eastAsia" w:cs="Times New Roman"/>
          <w:b w:val="0"/>
          <w:bCs w:val="0"/>
          <w:color w:val="auto"/>
          <w:sz w:val="24"/>
          <w:szCs w:val="22"/>
          <w:highlight w:val="none"/>
          <w:u w:val="none"/>
          <w:lang w:val="en-US" w:eastAsia="zh-CN"/>
        </w:rPr>
        <w:t>.42</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，建设单位安装净化效率不低于90%的油烟净化装置，经处理后排放。经计算，处理后餐厅油烟年排放量为0.002</w:t>
      </w:r>
      <w:r>
        <w:rPr>
          <w:rFonts w:hint="eastAsia" w:cs="Times New Roman"/>
          <w:b w:val="0"/>
          <w:bCs w:val="0"/>
          <w:color w:val="auto"/>
          <w:sz w:val="24"/>
          <w:szCs w:val="22"/>
          <w:highlight w:val="none"/>
          <w:u w:val="none"/>
          <w:lang w:val="en-US" w:eastAsia="zh-CN"/>
        </w:rPr>
        <w:t>5</w:t>
      </w:r>
      <w:r>
        <w:rPr>
          <w:rFonts w:ascii="Times New Roman" w:hAnsi="Times New Roman" w:cs="Times New Roman"/>
          <w:b w:val="0"/>
          <w:bCs w:val="0"/>
          <w:color w:val="auto"/>
          <w:sz w:val="24"/>
          <w:szCs w:val="22"/>
          <w:highlight w:val="none"/>
          <w:u w:val="none"/>
        </w:rPr>
        <w:t>t/a，排放浓度为0.</w:t>
      </w:r>
      <w:r>
        <w:rPr>
          <w:rFonts w:hint="eastAsia" w:ascii="Times New Roman" w:hAnsi="Times New Roman" w:cs="Times New Roman"/>
          <w:b w:val="0"/>
          <w:bCs w:val="0"/>
          <w:color w:val="auto"/>
          <w:sz w:val="24"/>
          <w:szCs w:val="22"/>
          <w:highlight w:val="none"/>
          <w:u w:val="none"/>
          <w:lang w:val="en-US" w:eastAsia="zh-CN"/>
        </w:rPr>
        <w:t>3</w:t>
      </w:r>
      <w:r>
        <w:rPr>
          <w:rFonts w:hint="eastAsia" w:cs="Times New Roman"/>
          <w:b w:val="0"/>
          <w:bCs w:val="0"/>
          <w:color w:val="auto"/>
          <w:sz w:val="24"/>
          <w:szCs w:val="22"/>
          <w:highlight w:val="none"/>
          <w:u w:val="none"/>
          <w:lang w:val="en-US" w:eastAsia="zh-CN"/>
        </w:rPr>
        <w:t>4</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2018)规定限值油烟1.5 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要求，实现达标排放。</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kern w:val="0"/>
          <w:highlight w:val="none"/>
          <w:lang w:val="en-US" w:eastAsia="zh-CN"/>
        </w:rPr>
      </w:pPr>
      <w:r>
        <w:rPr>
          <w:rFonts w:hint="eastAsia"/>
          <w:kern w:val="0"/>
          <w:highlight w:val="none"/>
          <w:lang w:val="en-US" w:eastAsia="zh-CN"/>
        </w:rPr>
        <w:t>5、饲料加工废气</w:t>
      </w:r>
    </w:p>
    <w:p>
      <w:pPr>
        <w:pStyle w:val="10"/>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饲料加工过程产生的粉尘主要是原料接收过程、原料清理过程、辅料投料工艺、粉碎工艺、制粒工艺产生的粉尘。饲料生产加工过程产生的粉尘按可回用性分成两类：一类是前处理粉尘，包括原料接收、除杂粉尘，主要为无机粉尘（砂土、金属粉末等），这部分粉尘不可回用到生产工序中，作为固体废物。二是有机粉尘，是生产工序中产生的粉尘，包括粉碎及混合工段以后产生的粉尘，该部分可以回用到生产中。</w:t>
      </w:r>
    </w:p>
    <w:p>
      <w:pPr>
        <w:pStyle w:val="1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根据《第一次全国污染源普查工业污染源产排污系数手册》中“1320饲料加工行业”中工业粉尘产污系数“0.043千克/吨-产品（规模大于10万吨/年）”可知，项目年产饲料12万吨/年，则粉尘产生量为5.16t/a。原料接收过程粉尘排放按50%计，清理过程中颗粒物排放按15%计，辅料投料过程颗粒物排放按5%计，粉碎工艺颗粒物排放按15%计，制粒工艺颗粒物排放按15%计，则原料接收、原料清理、辅料投料、粉碎、制粒颗粒物排放量分别为2.58t/a、0.774t/a、0.258t/a、0.774t/a、0.774t/a。</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b w:val="0"/>
          <w:bCs w:val="0"/>
          <w:color w:val="000000"/>
          <w:sz w:val="24"/>
          <w:highlight w:val="none"/>
          <w:u w:val="none"/>
        </w:rPr>
      </w:pPr>
      <w:r>
        <w:rPr>
          <w:rFonts w:hint="eastAsia"/>
          <w:b/>
          <w:bCs w:val="0"/>
          <w:sz w:val="24"/>
          <w:highlight w:val="none"/>
          <w:lang w:eastAsia="zh-CN"/>
        </w:rPr>
        <w:t>接收过程产生的粉尘</w:t>
      </w:r>
      <w:r>
        <w:rPr>
          <w:bCs/>
          <w:sz w:val="24"/>
          <w:highlight w:val="none"/>
        </w:rPr>
        <w:t>经</w:t>
      </w:r>
      <w:r>
        <w:rPr>
          <w:rFonts w:hint="eastAsia"/>
          <w:bCs/>
          <w:sz w:val="24"/>
          <w:highlight w:val="none"/>
          <w:lang w:eastAsia="zh-CN"/>
        </w:rPr>
        <w:t>负压</w:t>
      </w:r>
      <w:r>
        <w:rPr>
          <w:bCs/>
          <w:sz w:val="24"/>
          <w:highlight w:val="none"/>
        </w:rPr>
        <w:t>收集后经</w:t>
      </w:r>
      <w:r>
        <w:rPr>
          <w:rFonts w:hint="eastAsia"/>
          <w:bCs/>
          <w:sz w:val="24"/>
          <w:highlight w:val="none"/>
          <w:lang w:val="en-US" w:eastAsia="zh-CN"/>
        </w:rPr>
        <w:t>4</w:t>
      </w:r>
      <w:r>
        <w:rPr>
          <w:bCs/>
          <w:sz w:val="24"/>
          <w:highlight w:val="none"/>
        </w:rPr>
        <w:t>套脉冲除尘器处理后</w:t>
      </w:r>
      <w:r>
        <w:rPr>
          <w:rFonts w:hint="eastAsia"/>
          <w:bCs/>
          <w:sz w:val="24"/>
          <w:highlight w:val="none"/>
          <w:lang w:eastAsia="zh-CN"/>
        </w:rPr>
        <w:t>分别</w:t>
      </w:r>
      <w:r>
        <w:rPr>
          <w:bCs/>
          <w:sz w:val="24"/>
          <w:highlight w:val="none"/>
        </w:rPr>
        <w:t>通过</w:t>
      </w:r>
      <w:r>
        <w:rPr>
          <w:rFonts w:hint="eastAsia"/>
          <w:bCs/>
          <w:sz w:val="24"/>
          <w:highlight w:val="none"/>
          <w:lang w:val="en-US" w:eastAsia="zh-CN"/>
        </w:rPr>
        <w:t>2台风机送入</w:t>
      </w:r>
      <w:r>
        <w:rPr>
          <w:bCs/>
          <w:sz w:val="24"/>
          <w:highlight w:val="none"/>
        </w:rPr>
        <w:t>投料棚侧面</w:t>
      </w:r>
      <w:r>
        <w:rPr>
          <w:rFonts w:hint="eastAsia"/>
          <w:bCs/>
          <w:sz w:val="24"/>
          <w:highlight w:val="none"/>
          <w:lang w:val="en-US" w:eastAsia="zh-CN"/>
        </w:rPr>
        <w:t>2</w:t>
      </w:r>
      <w:r>
        <w:rPr>
          <w:bCs/>
          <w:sz w:val="24"/>
          <w:highlight w:val="none"/>
        </w:rPr>
        <w:t>根15m高排气筒排放，收集效率为95%，</w:t>
      </w:r>
      <w:r>
        <w:rPr>
          <w:rFonts w:hint="eastAsia"/>
          <w:bCs/>
          <w:sz w:val="24"/>
          <w:highlight w:val="none"/>
          <w:lang w:eastAsia="zh-CN"/>
        </w:rPr>
        <w:t>脉冲除尘器</w:t>
      </w:r>
      <w:r>
        <w:rPr>
          <w:bCs/>
          <w:sz w:val="24"/>
          <w:highlight w:val="none"/>
        </w:rPr>
        <w:t>处理效率</w:t>
      </w:r>
      <w:r>
        <w:rPr>
          <w:rFonts w:hint="eastAsia"/>
          <w:bCs/>
          <w:sz w:val="24"/>
          <w:highlight w:val="none"/>
          <w:lang w:eastAsia="zh-CN"/>
        </w:rPr>
        <w:t>均</w:t>
      </w:r>
      <w:r>
        <w:rPr>
          <w:bCs/>
          <w:sz w:val="24"/>
          <w:highlight w:val="none"/>
        </w:rPr>
        <w:t>按95%计</w:t>
      </w:r>
      <w:r>
        <w:rPr>
          <w:rFonts w:hint="eastAsia"/>
          <w:bCs/>
          <w:sz w:val="24"/>
          <w:highlight w:val="none"/>
          <w:lang w:eastAsia="zh-CN"/>
        </w:rPr>
        <w:t>，风机风量均为</w:t>
      </w:r>
      <w:r>
        <w:rPr>
          <w:rFonts w:hint="eastAsia"/>
          <w:bCs/>
          <w:sz w:val="24"/>
          <w:highlight w:val="none"/>
          <w:lang w:val="en-US" w:eastAsia="zh-CN"/>
        </w:rPr>
        <w:t>7800m</w:t>
      </w:r>
      <w:r>
        <w:rPr>
          <w:rFonts w:hint="eastAsia"/>
          <w:bCs/>
          <w:sz w:val="24"/>
          <w:highlight w:val="none"/>
          <w:vertAlign w:val="superscript"/>
          <w:lang w:val="en-US" w:eastAsia="zh-CN"/>
        </w:rPr>
        <w:t>3</w:t>
      </w:r>
      <w:r>
        <w:rPr>
          <w:rFonts w:hint="eastAsia"/>
          <w:bCs/>
          <w:sz w:val="24"/>
          <w:highlight w:val="none"/>
          <w:lang w:val="en-US" w:eastAsia="zh-CN"/>
        </w:rPr>
        <w:t>/h。</w:t>
      </w:r>
      <w:r>
        <w:rPr>
          <w:rFonts w:hint="eastAsia"/>
          <w:b w:val="0"/>
          <w:bCs w:val="0"/>
          <w:color w:val="000000"/>
          <w:sz w:val="24"/>
          <w:highlight w:val="none"/>
          <w:u w:val="none"/>
          <w:lang w:eastAsia="zh-CN"/>
        </w:rPr>
        <w:t>接收过程粉尘产生量为</w:t>
      </w:r>
      <w:r>
        <w:rPr>
          <w:rFonts w:hint="eastAsia"/>
          <w:b w:val="0"/>
          <w:bCs w:val="0"/>
          <w:color w:val="000000"/>
          <w:sz w:val="24"/>
          <w:highlight w:val="none"/>
          <w:u w:val="none"/>
          <w:lang w:val="en-US" w:eastAsia="zh-CN"/>
        </w:rPr>
        <w:t>2.58t/a</w:t>
      </w:r>
      <w:r>
        <w:rPr>
          <w:rFonts w:hint="eastAsia"/>
          <w:b w:val="0"/>
          <w:bCs w:val="0"/>
          <w:color w:val="000000"/>
          <w:sz w:val="24"/>
          <w:highlight w:val="none"/>
          <w:u w:val="none"/>
          <w:lang w:eastAsia="zh-CN"/>
        </w:rPr>
        <w:t>，年运行时间为</w:t>
      </w:r>
      <w:r>
        <w:rPr>
          <w:rFonts w:hint="eastAsia"/>
          <w:b w:val="0"/>
          <w:bCs w:val="0"/>
          <w:color w:val="000000"/>
          <w:sz w:val="24"/>
          <w:highlight w:val="none"/>
          <w:u w:val="none"/>
          <w:lang w:val="en-US" w:eastAsia="zh-CN"/>
        </w:rPr>
        <w:t>3600h/a，</w:t>
      </w:r>
      <w:r>
        <w:rPr>
          <w:rFonts w:hint="eastAsia"/>
          <w:bCs/>
          <w:sz w:val="24"/>
          <w:highlight w:val="none"/>
          <w:lang w:val="en-US" w:eastAsia="zh-CN"/>
        </w:rPr>
        <w:t>则接收工段共有2组2</w:t>
      </w:r>
      <w:r>
        <w:rPr>
          <w:bCs/>
          <w:sz w:val="24"/>
          <w:highlight w:val="none"/>
        </w:rPr>
        <w:t>套脉冲除尘器处理后</w:t>
      </w:r>
      <w:r>
        <w:rPr>
          <w:rFonts w:hint="eastAsia"/>
          <w:bCs/>
          <w:sz w:val="24"/>
          <w:highlight w:val="none"/>
          <w:lang w:eastAsia="zh-CN"/>
        </w:rPr>
        <w:t>分别</w:t>
      </w:r>
      <w:r>
        <w:rPr>
          <w:bCs/>
          <w:sz w:val="24"/>
          <w:highlight w:val="none"/>
        </w:rPr>
        <w:t>通过</w:t>
      </w:r>
      <w:r>
        <w:rPr>
          <w:rFonts w:hint="eastAsia"/>
          <w:bCs/>
          <w:sz w:val="24"/>
          <w:highlight w:val="none"/>
          <w:lang w:val="en-US" w:eastAsia="zh-CN"/>
        </w:rPr>
        <w:t>2台风机送入</w:t>
      </w:r>
      <w:r>
        <w:rPr>
          <w:bCs/>
          <w:sz w:val="24"/>
          <w:highlight w:val="none"/>
        </w:rPr>
        <w:t>投料棚侧面</w:t>
      </w:r>
      <w:r>
        <w:rPr>
          <w:rFonts w:hint="eastAsia"/>
          <w:bCs/>
          <w:sz w:val="24"/>
          <w:highlight w:val="none"/>
          <w:lang w:val="en-US" w:eastAsia="zh-CN"/>
        </w:rPr>
        <w:t>2</w:t>
      </w:r>
      <w:r>
        <w:rPr>
          <w:bCs/>
          <w:sz w:val="24"/>
          <w:highlight w:val="none"/>
        </w:rPr>
        <w:t>根15m高排气筒排放</w:t>
      </w:r>
      <w:r>
        <w:rPr>
          <w:rFonts w:hint="eastAsia"/>
          <w:bCs/>
          <w:sz w:val="24"/>
          <w:highlight w:val="none"/>
          <w:lang w:eastAsia="zh-CN"/>
        </w:rPr>
        <w:t>，则</w:t>
      </w:r>
      <w:r>
        <w:rPr>
          <w:rFonts w:hint="eastAsia"/>
          <w:bCs/>
          <w:sz w:val="24"/>
          <w:highlight w:val="none"/>
          <w:lang w:val="en-US" w:eastAsia="zh-CN"/>
        </w:rPr>
        <w:t>接收过程</w:t>
      </w:r>
      <w:r>
        <w:rPr>
          <w:rFonts w:hint="eastAsia"/>
          <w:bCs/>
          <w:sz w:val="24"/>
          <w:highlight w:val="none"/>
          <w:lang w:eastAsia="zh-CN"/>
        </w:rPr>
        <w:t>每组除尘器</w:t>
      </w:r>
      <w:r>
        <w:rPr>
          <w:rFonts w:hint="eastAsia"/>
          <w:bCs/>
          <w:sz w:val="24"/>
          <w:highlight w:val="none"/>
          <w:lang w:val="en-US" w:eastAsia="zh-CN"/>
        </w:rPr>
        <w:t>粉尘有组织产生量为0.34kg/h（1.23t/a），无组织粉尘量为0.017kg/h（0.0615t/a）。每组除尘器进口处产生浓度分别为</w:t>
      </w:r>
      <w:r>
        <w:rPr>
          <w:rFonts w:hint="eastAsia"/>
          <w:b w:val="0"/>
          <w:bCs w:val="0"/>
          <w:color w:val="000000"/>
          <w:sz w:val="24"/>
          <w:highlight w:val="none"/>
          <w:u w:val="none"/>
          <w:lang w:val="en-US" w:eastAsia="zh-CN"/>
        </w:rPr>
        <w:t>43.8</w:t>
      </w:r>
      <w:r>
        <w:rPr>
          <w:b w:val="0"/>
          <w:bCs w:val="0"/>
          <w:color w:val="000000"/>
          <w:sz w:val="24"/>
          <w:highlight w:val="none"/>
          <w:u w:val="none"/>
        </w:rPr>
        <w:t>mg/m</w:t>
      </w:r>
      <w:r>
        <w:rPr>
          <w:b w:val="0"/>
          <w:bCs w:val="0"/>
          <w:color w:val="000000"/>
          <w:sz w:val="24"/>
          <w:highlight w:val="none"/>
          <w:u w:val="none"/>
          <w:vertAlign w:val="superscript"/>
        </w:rPr>
        <w:t>3</w:t>
      </w:r>
      <w:r>
        <w:rPr>
          <w:rFonts w:hint="eastAsia"/>
          <w:b w:val="0"/>
          <w:bCs w:val="0"/>
          <w:color w:val="000000"/>
          <w:sz w:val="24"/>
          <w:highlight w:val="none"/>
          <w:u w:val="none"/>
          <w:vertAlign w:val="baseline"/>
          <w:lang w:eastAsia="zh-CN"/>
        </w:rPr>
        <w:t>，</w:t>
      </w:r>
      <w:r>
        <w:rPr>
          <w:b w:val="0"/>
          <w:bCs w:val="0"/>
          <w:color w:val="000000"/>
          <w:sz w:val="24"/>
          <w:highlight w:val="none"/>
          <w:u w:val="none"/>
        </w:rPr>
        <w:t>经</w:t>
      </w:r>
      <w:r>
        <w:rPr>
          <w:rFonts w:hint="eastAsia"/>
          <w:b w:val="0"/>
          <w:bCs w:val="0"/>
          <w:color w:val="000000"/>
          <w:sz w:val="24"/>
          <w:highlight w:val="none"/>
          <w:u w:val="none"/>
          <w:lang w:eastAsia="zh-CN"/>
        </w:rPr>
        <w:t>脉冲袋式除尘器</w:t>
      </w:r>
      <w:r>
        <w:rPr>
          <w:b w:val="0"/>
          <w:bCs w:val="0"/>
          <w:color w:val="000000"/>
          <w:sz w:val="24"/>
          <w:highlight w:val="none"/>
          <w:u w:val="none"/>
        </w:rPr>
        <w:t>处理后，</w:t>
      </w:r>
      <w:r>
        <w:rPr>
          <w:rFonts w:hint="eastAsia"/>
          <w:b w:val="0"/>
          <w:bCs w:val="0"/>
          <w:color w:val="000000"/>
          <w:sz w:val="24"/>
          <w:highlight w:val="none"/>
          <w:u w:val="none"/>
          <w:lang w:eastAsia="zh-CN"/>
        </w:rPr>
        <w:t>每个排气筒</w:t>
      </w:r>
      <w:r>
        <w:rPr>
          <w:b w:val="0"/>
          <w:bCs w:val="0"/>
          <w:color w:val="000000"/>
          <w:sz w:val="24"/>
          <w:highlight w:val="none"/>
          <w:u w:val="none"/>
        </w:rPr>
        <w:t>排放速率分别为</w:t>
      </w:r>
      <w:r>
        <w:rPr>
          <w:rFonts w:hint="eastAsia"/>
          <w:b w:val="0"/>
          <w:bCs w:val="0"/>
          <w:color w:val="000000"/>
          <w:sz w:val="24"/>
          <w:highlight w:val="none"/>
          <w:u w:val="none"/>
          <w:lang w:val="en-US" w:eastAsia="zh-CN"/>
        </w:rPr>
        <w:t>0.017</w:t>
      </w:r>
      <w:r>
        <w:rPr>
          <w:b w:val="0"/>
          <w:bCs w:val="0"/>
          <w:color w:val="000000"/>
          <w:sz w:val="24"/>
          <w:highlight w:val="none"/>
          <w:u w:val="none"/>
        </w:rPr>
        <w:t>kg/h</w:t>
      </w:r>
      <w:r>
        <w:rPr>
          <w:rFonts w:hint="eastAsia"/>
          <w:bCs/>
          <w:sz w:val="24"/>
          <w:highlight w:val="none"/>
          <w:lang w:val="en-US" w:eastAsia="zh-CN"/>
        </w:rPr>
        <w:t>（0.0615t/a）</w:t>
      </w:r>
      <w:r>
        <w:rPr>
          <w:b w:val="0"/>
          <w:bCs w:val="0"/>
          <w:color w:val="000000"/>
          <w:sz w:val="24"/>
          <w:highlight w:val="none"/>
          <w:u w:val="none"/>
        </w:rPr>
        <w:t>，排放浓度分别为</w:t>
      </w:r>
      <w:r>
        <w:rPr>
          <w:rFonts w:hint="eastAsia"/>
          <w:b w:val="0"/>
          <w:bCs w:val="0"/>
          <w:color w:val="000000"/>
          <w:sz w:val="24"/>
          <w:highlight w:val="none"/>
          <w:u w:val="none"/>
          <w:lang w:val="en-US" w:eastAsia="zh-CN"/>
        </w:rPr>
        <w:t>2.19</w:t>
      </w:r>
      <w:r>
        <w:rPr>
          <w:b w:val="0"/>
          <w:bCs w:val="0"/>
          <w:color w:val="000000"/>
          <w:sz w:val="24"/>
          <w:highlight w:val="none"/>
          <w:u w:val="none"/>
        </w:rPr>
        <w:t>mg/m</w:t>
      </w:r>
      <w:r>
        <w:rPr>
          <w:b w:val="0"/>
          <w:bCs w:val="0"/>
          <w:color w:val="000000"/>
          <w:sz w:val="24"/>
          <w:highlight w:val="none"/>
          <w:u w:val="none"/>
          <w:vertAlign w:val="superscript"/>
        </w:rPr>
        <w:t>3</w:t>
      </w:r>
      <w:r>
        <w:rPr>
          <w:b w:val="0"/>
          <w:bCs w:val="0"/>
          <w:color w:val="000000"/>
          <w:sz w:val="24"/>
          <w:highlight w:val="none"/>
          <w:u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b w:val="0"/>
          <w:bCs w:val="0"/>
          <w:color w:val="000000"/>
          <w:sz w:val="24"/>
          <w:highlight w:val="none"/>
          <w:u w:val="none"/>
        </w:rPr>
      </w:pPr>
      <w:r>
        <w:rPr>
          <w:rFonts w:hint="eastAsia"/>
          <w:b/>
          <w:bCs w:val="0"/>
          <w:sz w:val="24"/>
          <w:highlight w:val="none"/>
          <w:lang w:eastAsia="zh-CN"/>
        </w:rPr>
        <w:t>清理过程产生的粉尘</w:t>
      </w:r>
      <w:r>
        <w:rPr>
          <w:bCs/>
          <w:sz w:val="24"/>
          <w:highlight w:val="none"/>
        </w:rPr>
        <w:t>经集气罩收集后经</w:t>
      </w:r>
      <w:r>
        <w:rPr>
          <w:rFonts w:hint="eastAsia"/>
          <w:bCs/>
          <w:sz w:val="24"/>
          <w:highlight w:val="none"/>
          <w:lang w:val="en-US" w:eastAsia="zh-CN"/>
        </w:rPr>
        <w:t>1</w:t>
      </w:r>
      <w:r>
        <w:rPr>
          <w:bCs/>
          <w:sz w:val="24"/>
          <w:highlight w:val="none"/>
        </w:rPr>
        <w:t>套</w:t>
      </w:r>
      <w:r>
        <w:rPr>
          <w:rFonts w:hint="eastAsia"/>
          <w:bCs/>
          <w:sz w:val="24"/>
          <w:highlight w:val="none"/>
          <w:lang w:eastAsia="zh-CN"/>
        </w:rPr>
        <w:t>沙克龙除尘器</w:t>
      </w:r>
      <w:r>
        <w:rPr>
          <w:rFonts w:hint="eastAsia"/>
          <w:bCs/>
          <w:sz w:val="24"/>
          <w:highlight w:val="none"/>
          <w:lang w:val="en-US" w:eastAsia="zh-CN"/>
        </w:rPr>
        <w:t>+</w:t>
      </w:r>
      <w:r>
        <w:rPr>
          <w:bCs/>
          <w:sz w:val="24"/>
          <w:highlight w:val="none"/>
        </w:rPr>
        <w:t>脉冲除尘器处理后通过</w:t>
      </w:r>
      <w:r>
        <w:rPr>
          <w:rFonts w:hint="eastAsia"/>
          <w:bCs/>
          <w:sz w:val="24"/>
          <w:highlight w:val="none"/>
          <w:lang w:val="en-US" w:eastAsia="zh-CN"/>
        </w:rPr>
        <w:t>1台风机送入</w:t>
      </w:r>
      <w:r>
        <w:rPr>
          <w:bCs/>
          <w:sz w:val="24"/>
          <w:highlight w:val="none"/>
        </w:rPr>
        <w:t>投料棚侧面</w:t>
      </w:r>
      <w:r>
        <w:rPr>
          <w:rFonts w:hint="eastAsia"/>
          <w:bCs/>
          <w:sz w:val="24"/>
          <w:highlight w:val="none"/>
          <w:lang w:val="en-US" w:eastAsia="zh-CN"/>
        </w:rPr>
        <w:t>1</w:t>
      </w:r>
      <w:r>
        <w:rPr>
          <w:bCs/>
          <w:sz w:val="24"/>
          <w:highlight w:val="none"/>
        </w:rPr>
        <w:t>根15m高排气筒排放，收集效率为 95%，</w:t>
      </w:r>
      <w:r>
        <w:rPr>
          <w:rFonts w:hint="eastAsia"/>
          <w:bCs/>
          <w:sz w:val="24"/>
          <w:highlight w:val="none"/>
          <w:lang w:eastAsia="zh-CN"/>
        </w:rPr>
        <w:t>沙克龙除尘器处理效率按</w:t>
      </w:r>
      <w:r>
        <w:rPr>
          <w:rFonts w:hint="eastAsia"/>
          <w:bCs/>
          <w:sz w:val="24"/>
          <w:highlight w:val="none"/>
          <w:lang w:val="en-US" w:eastAsia="zh-CN"/>
        </w:rPr>
        <w:t>60%计，</w:t>
      </w:r>
      <w:r>
        <w:rPr>
          <w:rFonts w:hint="eastAsia"/>
          <w:bCs/>
          <w:sz w:val="24"/>
          <w:highlight w:val="none"/>
          <w:lang w:eastAsia="zh-CN"/>
        </w:rPr>
        <w:t>脉冲除尘器</w:t>
      </w:r>
      <w:r>
        <w:rPr>
          <w:bCs/>
          <w:sz w:val="24"/>
          <w:highlight w:val="none"/>
        </w:rPr>
        <w:t>处理效率按95%计</w:t>
      </w:r>
      <w:r>
        <w:rPr>
          <w:rFonts w:hint="eastAsia"/>
          <w:bCs/>
          <w:sz w:val="24"/>
          <w:highlight w:val="none"/>
          <w:lang w:eastAsia="zh-CN"/>
        </w:rPr>
        <w:t>，风机风量为</w:t>
      </w:r>
      <w:r>
        <w:rPr>
          <w:rFonts w:hint="eastAsia"/>
          <w:bCs/>
          <w:sz w:val="24"/>
          <w:highlight w:val="none"/>
          <w:lang w:val="en-US" w:eastAsia="zh-CN"/>
        </w:rPr>
        <w:t>7800m</w:t>
      </w:r>
      <w:r>
        <w:rPr>
          <w:rFonts w:hint="eastAsia"/>
          <w:bCs/>
          <w:sz w:val="24"/>
          <w:highlight w:val="none"/>
          <w:vertAlign w:val="superscript"/>
          <w:lang w:val="en-US" w:eastAsia="zh-CN"/>
        </w:rPr>
        <w:t>3</w:t>
      </w:r>
      <w:r>
        <w:rPr>
          <w:rFonts w:hint="eastAsia"/>
          <w:bCs/>
          <w:sz w:val="24"/>
          <w:highlight w:val="none"/>
          <w:lang w:val="en-US" w:eastAsia="zh-CN"/>
        </w:rPr>
        <w:t>/h。</w:t>
      </w:r>
      <w:r>
        <w:rPr>
          <w:rFonts w:hint="eastAsia"/>
          <w:b w:val="0"/>
          <w:bCs w:val="0"/>
          <w:color w:val="000000"/>
          <w:sz w:val="24"/>
          <w:highlight w:val="none"/>
          <w:u w:val="none"/>
          <w:lang w:eastAsia="zh-CN"/>
        </w:rPr>
        <w:t>清理过程粉尘产生量为</w:t>
      </w:r>
      <w:r>
        <w:rPr>
          <w:rFonts w:hint="eastAsia"/>
          <w:b w:val="0"/>
          <w:bCs w:val="0"/>
          <w:color w:val="000000"/>
          <w:sz w:val="24"/>
          <w:highlight w:val="none"/>
          <w:u w:val="none"/>
          <w:lang w:val="en-US" w:eastAsia="zh-CN"/>
        </w:rPr>
        <w:t>0.774t/a</w:t>
      </w:r>
      <w:r>
        <w:rPr>
          <w:rFonts w:hint="eastAsia"/>
          <w:b w:val="0"/>
          <w:bCs w:val="0"/>
          <w:color w:val="000000"/>
          <w:sz w:val="24"/>
          <w:highlight w:val="none"/>
          <w:u w:val="none"/>
          <w:lang w:eastAsia="zh-CN"/>
        </w:rPr>
        <w:t>，年运行时间为</w:t>
      </w:r>
      <w:r>
        <w:rPr>
          <w:rFonts w:hint="eastAsia"/>
          <w:b w:val="0"/>
          <w:bCs w:val="0"/>
          <w:color w:val="000000"/>
          <w:sz w:val="24"/>
          <w:highlight w:val="none"/>
          <w:u w:val="none"/>
          <w:lang w:val="en-US" w:eastAsia="zh-CN"/>
        </w:rPr>
        <w:t>3600h/a，</w:t>
      </w:r>
      <w:r>
        <w:rPr>
          <w:rFonts w:hint="eastAsia"/>
          <w:bCs/>
          <w:sz w:val="24"/>
          <w:highlight w:val="none"/>
          <w:lang w:val="en-US" w:eastAsia="zh-CN"/>
        </w:rPr>
        <w:t>则清理过程无组织粉尘量为0.011kg/h（0.0387t/a），有组织粉尘量为0.204kg/h（0.7353t/a），除尘器进口处产生浓度为</w:t>
      </w:r>
      <w:r>
        <w:rPr>
          <w:rFonts w:hint="eastAsia"/>
          <w:b w:val="0"/>
          <w:bCs w:val="0"/>
          <w:color w:val="000000"/>
          <w:sz w:val="24"/>
          <w:highlight w:val="none"/>
          <w:u w:val="none"/>
          <w:lang w:val="en-US" w:eastAsia="zh-CN"/>
        </w:rPr>
        <w:t>26.15</w:t>
      </w:r>
      <w:r>
        <w:rPr>
          <w:b w:val="0"/>
          <w:bCs w:val="0"/>
          <w:color w:val="000000"/>
          <w:sz w:val="24"/>
          <w:highlight w:val="none"/>
          <w:u w:val="none"/>
        </w:rPr>
        <w:t>mg/m</w:t>
      </w:r>
      <w:r>
        <w:rPr>
          <w:b w:val="0"/>
          <w:bCs w:val="0"/>
          <w:color w:val="000000"/>
          <w:sz w:val="24"/>
          <w:highlight w:val="none"/>
          <w:u w:val="none"/>
          <w:vertAlign w:val="superscript"/>
        </w:rPr>
        <w:t>3</w:t>
      </w:r>
      <w:r>
        <w:rPr>
          <w:rFonts w:hint="eastAsia"/>
          <w:b w:val="0"/>
          <w:bCs w:val="0"/>
          <w:color w:val="000000"/>
          <w:sz w:val="24"/>
          <w:highlight w:val="none"/>
          <w:u w:val="none"/>
          <w:vertAlign w:val="baseline"/>
          <w:lang w:eastAsia="zh-CN"/>
        </w:rPr>
        <w:t>，</w:t>
      </w:r>
      <w:r>
        <w:rPr>
          <w:b w:val="0"/>
          <w:bCs w:val="0"/>
          <w:color w:val="000000"/>
          <w:sz w:val="24"/>
          <w:highlight w:val="none"/>
          <w:u w:val="none"/>
        </w:rPr>
        <w:t>经</w:t>
      </w:r>
      <w:r>
        <w:rPr>
          <w:rFonts w:hint="eastAsia"/>
          <w:b w:val="0"/>
          <w:bCs w:val="0"/>
          <w:color w:val="000000"/>
          <w:sz w:val="24"/>
          <w:highlight w:val="none"/>
          <w:u w:val="none"/>
        </w:rPr>
        <w:t>1套沙克龙除尘器+</w:t>
      </w:r>
      <w:r>
        <w:rPr>
          <w:rFonts w:hint="eastAsia"/>
          <w:b w:val="0"/>
          <w:bCs w:val="0"/>
          <w:color w:val="000000"/>
          <w:sz w:val="24"/>
          <w:highlight w:val="none"/>
          <w:u w:val="none"/>
          <w:lang w:eastAsia="zh-CN"/>
        </w:rPr>
        <w:t>脉冲袋式除尘器</w:t>
      </w:r>
      <w:r>
        <w:rPr>
          <w:b w:val="0"/>
          <w:bCs w:val="0"/>
          <w:color w:val="000000"/>
          <w:sz w:val="24"/>
          <w:highlight w:val="none"/>
          <w:u w:val="none"/>
        </w:rPr>
        <w:t>处理后，</w:t>
      </w:r>
      <w:r>
        <w:rPr>
          <w:rFonts w:hint="eastAsia"/>
          <w:b w:val="0"/>
          <w:bCs w:val="0"/>
          <w:color w:val="000000"/>
          <w:sz w:val="24"/>
          <w:highlight w:val="none"/>
          <w:u w:val="none"/>
          <w:lang w:eastAsia="zh-CN"/>
        </w:rPr>
        <w:t>粉尘有组织</w:t>
      </w:r>
      <w:r>
        <w:rPr>
          <w:b w:val="0"/>
          <w:bCs w:val="0"/>
          <w:color w:val="000000"/>
          <w:sz w:val="24"/>
          <w:highlight w:val="none"/>
          <w:u w:val="none"/>
        </w:rPr>
        <w:t>排放量为</w:t>
      </w:r>
      <w:r>
        <w:rPr>
          <w:rFonts w:hint="eastAsia"/>
          <w:b w:val="0"/>
          <w:bCs w:val="0"/>
          <w:color w:val="000000"/>
          <w:sz w:val="24"/>
          <w:highlight w:val="none"/>
          <w:u w:val="none"/>
          <w:lang w:val="en-US" w:eastAsia="zh-CN"/>
        </w:rPr>
        <w:t>0.015</w:t>
      </w:r>
      <w:r>
        <w:rPr>
          <w:b w:val="0"/>
          <w:bCs w:val="0"/>
          <w:color w:val="000000"/>
          <w:sz w:val="24"/>
          <w:highlight w:val="none"/>
          <w:u w:val="none"/>
        </w:rPr>
        <w:t>t/a，</w:t>
      </w:r>
      <w:r>
        <w:rPr>
          <w:rFonts w:hint="eastAsia"/>
          <w:b w:val="0"/>
          <w:bCs w:val="0"/>
          <w:color w:val="000000"/>
          <w:sz w:val="24"/>
          <w:highlight w:val="none"/>
          <w:u w:val="none"/>
          <w:lang w:eastAsia="zh-CN"/>
        </w:rPr>
        <w:t>排气筒</w:t>
      </w:r>
      <w:r>
        <w:rPr>
          <w:b w:val="0"/>
          <w:bCs w:val="0"/>
          <w:color w:val="000000"/>
          <w:sz w:val="24"/>
          <w:highlight w:val="none"/>
          <w:u w:val="none"/>
        </w:rPr>
        <w:t>排放速率为</w:t>
      </w:r>
      <w:r>
        <w:rPr>
          <w:rFonts w:hint="eastAsia"/>
          <w:b w:val="0"/>
          <w:bCs w:val="0"/>
          <w:color w:val="000000"/>
          <w:sz w:val="24"/>
          <w:highlight w:val="none"/>
          <w:u w:val="none"/>
          <w:lang w:val="en-US" w:eastAsia="zh-CN"/>
        </w:rPr>
        <w:t>0.004</w:t>
      </w:r>
      <w:r>
        <w:rPr>
          <w:b w:val="0"/>
          <w:bCs w:val="0"/>
          <w:color w:val="000000"/>
          <w:sz w:val="24"/>
          <w:highlight w:val="none"/>
          <w:u w:val="none"/>
        </w:rPr>
        <w:t>kg/h，排放浓度为</w:t>
      </w:r>
      <w:r>
        <w:rPr>
          <w:rFonts w:hint="eastAsia"/>
          <w:b w:val="0"/>
          <w:bCs w:val="0"/>
          <w:color w:val="000000"/>
          <w:sz w:val="24"/>
          <w:highlight w:val="none"/>
          <w:u w:val="none"/>
          <w:lang w:val="en-US" w:eastAsia="zh-CN"/>
        </w:rPr>
        <w:t>0.523</w:t>
      </w:r>
      <w:r>
        <w:rPr>
          <w:b w:val="0"/>
          <w:bCs w:val="0"/>
          <w:color w:val="000000"/>
          <w:sz w:val="24"/>
          <w:highlight w:val="none"/>
          <w:u w:val="none"/>
        </w:rPr>
        <w:t>mg/m</w:t>
      </w:r>
      <w:r>
        <w:rPr>
          <w:b w:val="0"/>
          <w:bCs w:val="0"/>
          <w:color w:val="000000"/>
          <w:sz w:val="24"/>
          <w:highlight w:val="none"/>
          <w:u w:val="none"/>
          <w:vertAlign w:val="superscript"/>
        </w:rPr>
        <w:t>3</w:t>
      </w:r>
      <w:r>
        <w:rPr>
          <w:b w:val="0"/>
          <w:bCs w:val="0"/>
          <w:color w:val="000000"/>
          <w:sz w:val="24"/>
          <w:highlight w:val="none"/>
          <w:u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eastAsia="宋体"/>
          <w:highlight w:val="none"/>
          <w:lang w:val="en-US" w:eastAsia="zh-CN"/>
        </w:rPr>
      </w:pPr>
      <w:r>
        <w:rPr>
          <w:rFonts w:hint="eastAsia"/>
          <w:b/>
          <w:bCs w:val="0"/>
          <w:sz w:val="24"/>
          <w:highlight w:val="none"/>
          <w:lang w:eastAsia="zh-CN"/>
        </w:rPr>
        <w:t>辅料投料过程产生的粉尘</w:t>
      </w:r>
      <w:r>
        <w:rPr>
          <w:bCs/>
          <w:sz w:val="24"/>
          <w:highlight w:val="none"/>
        </w:rPr>
        <w:t>经集气罩收集后经</w:t>
      </w:r>
      <w:r>
        <w:rPr>
          <w:rFonts w:hint="eastAsia"/>
          <w:bCs/>
          <w:sz w:val="24"/>
          <w:highlight w:val="none"/>
          <w:lang w:val="en-US" w:eastAsia="zh-CN"/>
        </w:rPr>
        <w:t>1</w:t>
      </w:r>
      <w:r>
        <w:rPr>
          <w:bCs/>
          <w:sz w:val="24"/>
          <w:highlight w:val="none"/>
        </w:rPr>
        <w:t>套脉冲除尘器处理后通过</w:t>
      </w:r>
      <w:r>
        <w:rPr>
          <w:rFonts w:hint="eastAsia"/>
          <w:bCs/>
          <w:sz w:val="24"/>
          <w:highlight w:val="none"/>
          <w:lang w:val="en-US" w:eastAsia="zh-CN"/>
        </w:rPr>
        <w:t>1台风机送入</w:t>
      </w:r>
      <w:r>
        <w:rPr>
          <w:rFonts w:hint="eastAsia"/>
          <w:bCs/>
          <w:sz w:val="24"/>
          <w:highlight w:val="none"/>
          <w:lang w:eastAsia="zh-CN"/>
        </w:rPr>
        <w:t>主车间的</w:t>
      </w:r>
      <w:r>
        <w:rPr>
          <w:rFonts w:hint="eastAsia"/>
          <w:bCs/>
          <w:sz w:val="24"/>
          <w:highlight w:val="none"/>
          <w:lang w:val="en-US" w:eastAsia="zh-CN"/>
        </w:rPr>
        <w:t>1</w:t>
      </w:r>
      <w:r>
        <w:rPr>
          <w:bCs/>
          <w:sz w:val="24"/>
          <w:highlight w:val="none"/>
        </w:rPr>
        <w:t>根15m高排气筒排放，收集效率为95%，</w:t>
      </w:r>
      <w:r>
        <w:rPr>
          <w:rFonts w:hint="eastAsia"/>
          <w:bCs/>
          <w:sz w:val="24"/>
          <w:highlight w:val="none"/>
          <w:lang w:eastAsia="zh-CN"/>
        </w:rPr>
        <w:t>脉冲除尘器</w:t>
      </w:r>
      <w:r>
        <w:rPr>
          <w:bCs/>
          <w:sz w:val="24"/>
          <w:highlight w:val="none"/>
        </w:rPr>
        <w:t>处理效率按95%计</w:t>
      </w:r>
      <w:r>
        <w:rPr>
          <w:rFonts w:hint="eastAsia"/>
          <w:bCs/>
          <w:sz w:val="24"/>
          <w:highlight w:val="none"/>
          <w:lang w:eastAsia="zh-CN"/>
        </w:rPr>
        <w:t>，风机风量为</w:t>
      </w:r>
      <w:r>
        <w:rPr>
          <w:rFonts w:hint="eastAsia"/>
          <w:bCs/>
          <w:sz w:val="24"/>
          <w:highlight w:val="none"/>
          <w:lang w:val="en-US" w:eastAsia="zh-CN"/>
        </w:rPr>
        <w:t>3000m</w:t>
      </w:r>
      <w:r>
        <w:rPr>
          <w:rFonts w:hint="eastAsia"/>
          <w:bCs/>
          <w:sz w:val="24"/>
          <w:highlight w:val="none"/>
          <w:vertAlign w:val="superscript"/>
          <w:lang w:val="en-US" w:eastAsia="zh-CN"/>
        </w:rPr>
        <w:t>3</w:t>
      </w:r>
      <w:r>
        <w:rPr>
          <w:rFonts w:hint="eastAsia"/>
          <w:bCs/>
          <w:sz w:val="24"/>
          <w:highlight w:val="none"/>
          <w:lang w:val="en-US" w:eastAsia="zh-CN"/>
        </w:rPr>
        <w:t>/h。</w:t>
      </w:r>
      <w:r>
        <w:rPr>
          <w:rFonts w:hint="eastAsia"/>
          <w:b w:val="0"/>
          <w:bCs w:val="0"/>
          <w:color w:val="000000"/>
          <w:sz w:val="24"/>
          <w:highlight w:val="none"/>
          <w:u w:val="none"/>
          <w:lang w:eastAsia="zh-CN"/>
        </w:rPr>
        <w:t>辅料投料过程粉尘产生量为</w:t>
      </w:r>
      <w:r>
        <w:rPr>
          <w:rFonts w:hint="eastAsia"/>
          <w:b w:val="0"/>
          <w:bCs w:val="0"/>
          <w:color w:val="000000"/>
          <w:sz w:val="24"/>
          <w:highlight w:val="none"/>
          <w:u w:val="none"/>
          <w:lang w:val="en-US" w:eastAsia="zh-CN"/>
        </w:rPr>
        <w:t>0.258t/a</w:t>
      </w:r>
      <w:r>
        <w:rPr>
          <w:rFonts w:hint="eastAsia"/>
          <w:b w:val="0"/>
          <w:bCs w:val="0"/>
          <w:color w:val="000000"/>
          <w:sz w:val="24"/>
          <w:highlight w:val="none"/>
          <w:u w:val="none"/>
          <w:lang w:eastAsia="zh-CN"/>
        </w:rPr>
        <w:t>，年运行时间为</w:t>
      </w:r>
      <w:r>
        <w:rPr>
          <w:rFonts w:hint="eastAsia"/>
          <w:b w:val="0"/>
          <w:bCs w:val="0"/>
          <w:color w:val="000000"/>
          <w:sz w:val="24"/>
          <w:highlight w:val="none"/>
          <w:u w:val="none"/>
          <w:lang w:val="en-US" w:eastAsia="zh-CN"/>
        </w:rPr>
        <w:t>3600h/a，</w:t>
      </w:r>
      <w:r>
        <w:rPr>
          <w:rFonts w:hint="eastAsia"/>
          <w:bCs/>
          <w:sz w:val="24"/>
          <w:highlight w:val="none"/>
          <w:lang w:val="en-US" w:eastAsia="zh-CN"/>
        </w:rPr>
        <w:t>则辅料投料过程中无组织粉尘产生量为0.0036kg/h（0.0129t/a），有组织粉尘产生量为0.068kg/h（0.2451t/a），除尘器进口处产生浓度为</w:t>
      </w:r>
      <w:r>
        <w:rPr>
          <w:rFonts w:hint="eastAsia"/>
          <w:b w:val="0"/>
          <w:bCs w:val="0"/>
          <w:color w:val="000000"/>
          <w:sz w:val="24"/>
          <w:highlight w:val="none"/>
          <w:u w:val="none"/>
          <w:lang w:val="en-US" w:eastAsia="zh-CN"/>
        </w:rPr>
        <w:t>22.67</w:t>
      </w:r>
      <w:r>
        <w:rPr>
          <w:b w:val="0"/>
          <w:bCs w:val="0"/>
          <w:color w:val="000000"/>
          <w:sz w:val="24"/>
          <w:highlight w:val="none"/>
          <w:u w:val="none"/>
        </w:rPr>
        <w:t>mg/m</w:t>
      </w:r>
      <w:r>
        <w:rPr>
          <w:b w:val="0"/>
          <w:bCs w:val="0"/>
          <w:color w:val="000000"/>
          <w:sz w:val="24"/>
          <w:highlight w:val="none"/>
          <w:u w:val="none"/>
          <w:vertAlign w:val="superscript"/>
        </w:rPr>
        <w:t>3</w:t>
      </w:r>
      <w:r>
        <w:rPr>
          <w:rFonts w:hint="eastAsia"/>
          <w:b w:val="0"/>
          <w:bCs w:val="0"/>
          <w:color w:val="000000"/>
          <w:sz w:val="24"/>
          <w:highlight w:val="none"/>
          <w:u w:val="none"/>
          <w:vertAlign w:val="baseline"/>
          <w:lang w:eastAsia="zh-CN"/>
        </w:rPr>
        <w:t>，</w:t>
      </w:r>
      <w:r>
        <w:rPr>
          <w:b w:val="0"/>
          <w:bCs w:val="0"/>
          <w:color w:val="000000"/>
          <w:sz w:val="24"/>
          <w:highlight w:val="none"/>
          <w:u w:val="none"/>
        </w:rPr>
        <w:t>经</w:t>
      </w:r>
      <w:r>
        <w:rPr>
          <w:rFonts w:hint="eastAsia"/>
          <w:b w:val="0"/>
          <w:bCs w:val="0"/>
          <w:color w:val="000000"/>
          <w:sz w:val="24"/>
          <w:highlight w:val="none"/>
          <w:u w:val="none"/>
          <w:lang w:eastAsia="zh-CN"/>
        </w:rPr>
        <w:t>脉冲袋式除尘器</w:t>
      </w:r>
      <w:r>
        <w:rPr>
          <w:b w:val="0"/>
          <w:bCs w:val="0"/>
          <w:color w:val="000000"/>
          <w:sz w:val="24"/>
          <w:highlight w:val="none"/>
          <w:u w:val="none"/>
        </w:rPr>
        <w:t>处理后，</w:t>
      </w:r>
      <w:r>
        <w:rPr>
          <w:rFonts w:hint="eastAsia"/>
          <w:b w:val="0"/>
          <w:bCs w:val="0"/>
          <w:color w:val="000000"/>
          <w:sz w:val="24"/>
          <w:highlight w:val="none"/>
          <w:u w:val="none"/>
          <w:lang w:eastAsia="zh-CN"/>
        </w:rPr>
        <w:t>粉尘有组织</w:t>
      </w:r>
      <w:r>
        <w:rPr>
          <w:b w:val="0"/>
          <w:bCs w:val="0"/>
          <w:color w:val="000000"/>
          <w:sz w:val="24"/>
          <w:highlight w:val="none"/>
          <w:u w:val="none"/>
        </w:rPr>
        <w:t>排放量为</w:t>
      </w:r>
      <w:r>
        <w:rPr>
          <w:rFonts w:hint="eastAsia"/>
          <w:b w:val="0"/>
          <w:bCs w:val="0"/>
          <w:color w:val="000000"/>
          <w:sz w:val="24"/>
          <w:highlight w:val="none"/>
          <w:u w:val="none"/>
          <w:lang w:val="en-US" w:eastAsia="zh-CN"/>
        </w:rPr>
        <w:t>0.012</w:t>
      </w:r>
      <w:r>
        <w:rPr>
          <w:b w:val="0"/>
          <w:bCs w:val="0"/>
          <w:color w:val="000000"/>
          <w:sz w:val="24"/>
          <w:highlight w:val="none"/>
          <w:u w:val="none"/>
        </w:rPr>
        <w:t>t/a，</w:t>
      </w:r>
      <w:r>
        <w:rPr>
          <w:rFonts w:hint="eastAsia"/>
          <w:b w:val="0"/>
          <w:bCs w:val="0"/>
          <w:color w:val="000000"/>
          <w:sz w:val="24"/>
          <w:highlight w:val="none"/>
          <w:u w:val="none"/>
          <w:lang w:eastAsia="zh-CN"/>
        </w:rPr>
        <w:t>排气筒</w:t>
      </w:r>
      <w:r>
        <w:rPr>
          <w:b w:val="0"/>
          <w:bCs w:val="0"/>
          <w:color w:val="000000"/>
          <w:sz w:val="24"/>
          <w:highlight w:val="none"/>
          <w:u w:val="none"/>
        </w:rPr>
        <w:t>排放速率为</w:t>
      </w:r>
      <w:r>
        <w:rPr>
          <w:rFonts w:hint="eastAsia"/>
          <w:b w:val="0"/>
          <w:bCs w:val="0"/>
          <w:color w:val="000000"/>
          <w:sz w:val="24"/>
          <w:highlight w:val="none"/>
          <w:u w:val="none"/>
          <w:lang w:val="en-US" w:eastAsia="zh-CN"/>
        </w:rPr>
        <w:t>0.0034</w:t>
      </w:r>
      <w:r>
        <w:rPr>
          <w:b w:val="0"/>
          <w:bCs w:val="0"/>
          <w:color w:val="000000"/>
          <w:sz w:val="24"/>
          <w:highlight w:val="none"/>
          <w:u w:val="none"/>
        </w:rPr>
        <w:t>kg/h，排放浓度为</w:t>
      </w:r>
      <w:r>
        <w:rPr>
          <w:rFonts w:hint="eastAsia"/>
          <w:b w:val="0"/>
          <w:bCs w:val="0"/>
          <w:color w:val="000000"/>
          <w:sz w:val="24"/>
          <w:highlight w:val="none"/>
          <w:u w:val="none"/>
          <w:lang w:val="en-US" w:eastAsia="zh-CN"/>
        </w:rPr>
        <w:t>1.13</w:t>
      </w:r>
      <w:r>
        <w:rPr>
          <w:b w:val="0"/>
          <w:bCs w:val="0"/>
          <w:color w:val="000000"/>
          <w:sz w:val="24"/>
          <w:highlight w:val="none"/>
          <w:u w:val="none"/>
        </w:rPr>
        <w:t>mg/m</w:t>
      </w:r>
      <w:r>
        <w:rPr>
          <w:b w:val="0"/>
          <w:bCs w:val="0"/>
          <w:color w:val="000000"/>
          <w:sz w:val="24"/>
          <w:highlight w:val="none"/>
          <w:u w:val="none"/>
          <w:vertAlign w:val="superscript"/>
        </w:rPr>
        <w:t>3</w:t>
      </w:r>
      <w:r>
        <w:rPr>
          <w:b w:val="0"/>
          <w:bCs w:val="0"/>
          <w:color w:val="000000"/>
          <w:sz w:val="24"/>
          <w:highlight w:val="none"/>
          <w:u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b w:val="0"/>
          <w:bCs w:val="0"/>
          <w:color w:val="000000"/>
          <w:sz w:val="24"/>
          <w:highlight w:val="none"/>
          <w:u w:val="none"/>
        </w:rPr>
      </w:pPr>
      <w:r>
        <w:rPr>
          <w:rFonts w:hint="eastAsia"/>
          <w:b/>
          <w:bCs w:val="0"/>
          <w:sz w:val="24"/>
          <w:highlight w:val="none"/>
          <w:lang w:eastAsia="zh-CN"/>
        </w:rPr>
        <w:t>粉碎过程产生的粉尘</w:t>
      </w:r>
      <w:r>
        <w:rPr>
          <w:bCs/>
          <w:sz w:val="24"/>
          <w:highlight w:val="none"/>
        </w:rPr>
        <w:t>经集气罩收集后经</w:t>
      </w:r>
      <w:r>
        <w:rPr>
          <w:rFonts w:hint="eastAsia"/>
          <w:bCs/>
          <w:sz w:val="24"/>
          <w:highlight w:val="none"/>
          <w:lang w:val="en-US" w:eastAsia="zh-CN"/>
        </w:rPr>
        <w:t>1</w:t>
      </w:r>
      <w:r>
        <w:rPr>
          <w:bCs/>
          <w:sz w:val="24"/>
          <w:highlight w:val="none"/>
        </w:rPr>
        <w:t>套脉冲除尘器处理后通过</w:t>
      </w:r>
      <w:r>
        <w:rPr>
          <w:rFonts w:hint="eastAsia"/>
          <w:bCs/>
          <w:sz w:val="24"/>
          <w:highlight w:val="none"/>
          <w:lang w:val="en-US" w:eastAsia="zh-CN"/>
        </w:rPr>
        <w:t>1台风机送入</w:t>
      </w:r>
      <w:r>
        <w:rPr>
          <w:rFonts w:hint="eastAsia"/>
          <w:bCs/>
          <w:sz w:val="24"/>
          <w:highlight w:val="none"/>
          <w:lang w:eastAsia="zh-CN"/>
        </w:rPr>
        <w:t>主车间的</w:t>
      </w:r>
      <w:r>
        <w:rPr>
          <w:rFonts w:hint="eastAsia"/>
          <w:bCs/>
          <w:sz w:val="24"/>
          <w:highlight w:val="none"/>
          <w:lang w:val="en-US" w:eastAsia="zh-CN"/>
        </w:rPr>
        <w:t>1</w:t>
      </w:r>
      <w:r>
        <w:rPr>
          <w:bCs/>
          <w:sz w:val="24"/>
          <w:highlight w:val="none"/>
        </w:rPr>
        <w:t>根15m高排气筒排放，收集效率为95%，</w:t>
      </w:r>
      <w:r>
        <w:rPr>
          <w:rFonts w:hint="eastAsia"/>
          <w:bCs/>
          <w:sz w:val="24"/>
          <w:highlight w:val="none"/>
          <w:lang w:eastAsia="zh-CN"/>
        </w:rPr>
        <w:t>脉冲除尘器</w:t>
      </w:r>
      <w:r>
        <w:rPr>
          <w:bCs/>
          <w:sz w:val="24"/>
          <w:highlight w:val="none"/>
        </w:rPr>
        <w:t>处理效率按95%计</w:t>
      </w:r>
      <w:r>
        <w:rPr>
          <w:rFonts w:hint="eastAsia"/>
          <w:bCs/>
          <w:sz w:val="24"/>
          <w:highlight w:val="none"/>
          <w:lang w:eastAsia="zh-CN"/>
        </w:rPr>
        <w:t>，风机风量为</w:t>
      </w:r>
      <w:r>
        <w:rPr>
          <w:rFonts w:hint="eastAsia"/>
          <w:bCs/>
          <w:sz w:val="24"/>
          <w:highlight w:val="none"/>
          <w:lang w:val="en-US" w:eastAsia="zh-CN"/>
        </w:rPr>
        <w:t>8000m</w:t>
      </w:r>
      <w:r>
        <w:rPr>
          <w:rFonts w:hint="eastAsia"/>
          <w:bCs/>
          <w:sz w:val="24"/>
          <w:highlight w:val="none"/>
          <w:vertAlign w:val="superscript"/>
          <w:lang w:val="en-US" w:eastAsia="zh-CN"/>
        </w:rPr>
        <w:t>3</w:t>
      </w:r>
      <w:r>
        <w:rPr>
          <w:rFonts w:hint="eastAsia"/>
          <w:bCs/>
          <w:sz w:val="24"/>
          <w:highlight w:val="none"/>
          <w:lang w:val="en-US" w:eastAsia="zh-CN"/>
        </w:rPr>
        <w:t>/h。</w:t>
      </w:r>
      <w:r>
        <w:rPr>
          <w:rFonts w:hint="eastAsia"/>
          <w:b w:val="0"/>
          <w:bCs w:val="0"/>
          <w:color w:val="000000"/>
          <w:sz w:val="24"/>
          <w:highlight w:val="none"/>
          <w:u w:val="none"/>
          <w:lang w:eastAsia="zh-CN"/>
        </w:rPr>
        <w:t>粉碎过程粉尘产生量为</w:t>
      </w:r>
      <w:r>
        <w:rPr>
          <w:rFonts w:hint="eastAsia"/>
          <w:b w:val="0"/>
          <w:bCs w:val="0"/>
          <w:color w:val="000000"/>
          <w:sz w:val="24"/>
          <w:highlight w:val="none"/>
          <w:u w:val="none"/>
          <w:lang w:val="en-US" w:eastAsia="zh-CN"/>
        </w:rPr>
        <w:t>0.774t/a</w:t>
      </w:r>
      <w:r>
        <w:rPr>
          <w:rFonts w:hint="eastAsia"/>
          <w:b w:val="0"/>
          <w:bCs w:val="0"/>
          <w:color w:val="000000"/>
          <w:sz w:val="24"/>
          <w:highlight w:val="none"/>
          <w:u w:val="none"/>
          <w:lang w:eastAsia="zh-CN"/>
        </w:rPr>
        <w:t>，年运行时间为</w:t>
      </w:r>
      <w:r>
        <w:rPr>
          <w:rFonts w:hint="eastAsia"/>
          <w:b w:val="0"/>
          <w:bCs w:val="0"/>
          <w:color w:val="000000"/>
          <w:sz w:val="24"/>
          <w:highlight w:val="none"/>
          <w:u w:val="none"/>
          <w:lang w:val="en-US" w:eastAsia="zh-CN"/>
        </w:rPr>
        <w:t>3600h/a，</w:t>
      </w:r>
      <w:r>
        <w:rPr>
          <w:rFonts w:hint="eastAsia"/>
          <w:bCs/>
          <w:sz w:val="24"/>
          <w:highlight w:val="none"/>
          <w:lang w:val="en-US" w:eastAsia="zh-CN"/>
        </w:rPr>
        <w:t>则粉碎过程无组织粉尘产生量为0.011kg/h（0.0387t/a），有组织粉尘产生量为0.204kg/h（0.7353t/a），除尘器进口处产生浓度为</w:t>
      </w:r>
      <w:r>
        <w:rPr>
          <w:rFonts w:hint="eastAsia"/>
          <w:b w:val="0"/>
          <w:bCs w:val="0"/>
          <w:color w:val="000000"/>
          <w:sz w:val="24"/>
          <w:highlight w:val="none"/>
          <w:u w:val="none"/>
          <w:lang w:val="en-US" w:eastAsia="zh-CN"/>
        </w:rPr>
        <w:t>25.5</w:t>
      </w:r>
      <w:r>
        <w:rPr>
          <w:b w:val="0"/>
          <w:bCs w:val="0"/>
          <w:color w:val="000000"/>
          <w:sz w:val="24"/>
          <w:highlight w:val="none"/>
          <w:u w:val="none"/>
        </w:rPr>
        <w:t>mg/m</w:t>
      </w:r>
      <w:r>
        <w:rPr>
          <w:b w:val="0"/>
          <w:bCs w:val="0"/>
          <w:color w:val="000000"/>
          <w:sz w:val="24"/>
          <w:highlight w:val="none"/>
          <w:u w:val="none"/>
          <w:vertAlign w:val="superscript"/>
        </w:rPr>
        <w:t>3</w:t>
      </w:r>
      <w:r>
        <w:rPr>
          <w:rFonts w:hint="eastAsia"/>
          <w:b w:val="0"/>
          <w:bCs w:val="0"/>
          <w:color w:val="000000"/>
          <w:sz w:val="24"/>
          <w:highlight w:val="none"/>
          <w:u w:val="none"/>
          <w:vertAlign w:val="baseline"/>
          <w:lang w:eastAsia="zh-CN"/>
        </w:rPr>
        <w:t>，</w:t>
      </w:r>
      <w:r>
        <w:rPr>
          <w:b w:val="0"/>
          <w:bCs w:val="0"/>
          <w:color w:val="000000"/>
          <w:sz w:val="24"/>
          <w:highlight w:val="none"/>
          <w:u w:val="none"/>
        </w:rPr>
        <w:t>经</w:t>
      </w:r>
      <w:r>
        <w:rPr>
          <w:rFonts w:hint="eastAsia"/>
          <w:b w:val="0"/>
          <w:bCs w:val="0"/>
          <w:color w:val="000000"/>
          <w:sz w:val="24"/>
          <w:highlight w:val="none"/>
          <w:u w:val="none"/>
          <w:lang w:eastAsia="zh-CN"/>
        </w:rPr>
        <w:t>脉冲袋式除尘器</w:t>
      </w:r>
      <w:r>
        <w:rPr>
          <w:b w:val="0"/>
          <w:bCs w:val="0"/>
          <w:color w:val="000000"/>
          <w:sz w:val="24"/>
          <w:highlight w:val="none"/>
          <w:u w:val="none"/>
        </w:rPr>
        <w:t>处理后，</w:t>
      </w:r>
      <w:r>
        <w:rPr>
          <w:rFonts w:hint="eastAsia"/>
          <w:b w:val="0"/>
          <w:bCs w:val="0"/>
          <w:color w:val="000000"/>
          <w:sz w:val="24"/>
          <w:highlight w:val="none"/>
          <w:u w:val="none"/>
          <w:lang w:eastAsia="zh-CN"/>
        </w:rPr>
        <w:t>粉尘有组织</w:t>
      </w:r>
      <w:r>
        <w:rPr>
          <w:b w:val="0"/>
          <w:bCs w:val="0"/>
          <w:color w:val="000000"/>
          <w:sz w:val="24"/>
          <w:highlight w:val="none"/>
          <w:u w:val="none"/>
        </w:rPr>
        <w:t>排放量为</w:t>
      </w:r>
      <w:r>
        <w:rPr>
          <w:rFonts w:hint="eastAsia"/>
          <w:b w:val="0"/>
          <w:bCs w:val="0"/>
          <w:color w:val="000000"/>
          <w:sz w:val="24"/>
          <w:highlight w:val="none"/>
          <w:u w:val="none"/>
          <w:lang w:val="en-US" w:eastAsia="zh-CN"/>
        </w:rPr>
        <w:t>0.037</w:t>
      </w:r>
      <w:r>
        <w:rPr>
          <w:b w:val="0"/>
          <w:bCs w:val="0"/>
          <w:color w:val="000000"/>
          <w:sz w:val="24"/>
          <w:highlight w:val="none"/>
          <w:u w:val="none"/>
        </w:rPr>
        <w:t>t/a，</w:t>
      </w:r>
      <w:r>
        <w:rPr>
          <w:rFonts w:hint="eastAsia"/>
          <w:b w:val="0"/>
          <w:bCs w:val="0"/>
          <w:color w:val="000000"/>
          <w:sz w:val="24"/>
          <w:highlight w:val="none"/>
          <w:u w:val="none"/>
          <w:lang w:eastAsia="zh-CN"/>
        </w:rPr>
        <w:t>排气筒</w:t>
      </w:r>
      <w:r>
        <w:rPr>
          <w:b w:val="0"/>
          <w:bCs w:val="0"/>
          <w:color w:val="000000"/>
          <w:sz w:val="24"/>
          <w:highlight w:val="none"/>
          <w:u w:val="none"/>
        </w:rPr>
        <w:t>排放速率为</w:t>
      </w:r>
      <w:r>
        <w:rPr>
          <w:rFonts w:hint="eastAsia"/>
          <w:b w:val="0"/>
          <w:bCs w:val="0"/>
          <w:color w:val="000000"/>
          <w:sz w:val="24"/>
          <w:highlight w:val="none"/>
          <w:u w:val="none"/>
          <w:lang w:val="en-US" w:eastAsia="zh-CN"/>
        </w:rPr>
        <w:t>0.01</w:t>
      </w:r>
      <w:r>
        <w:rPr>
          <w:b w:val="0"/>
          <w:bCs w:val="0"/>
          <w:color w:val="000000"/>
          <w:sz w:val="24"/>
          <w:highlight w:val="none"/>
          <w:u w:val="none"/>
        </w:rPr>
        <w:t>kg/h，排放浓度为</w:t>
      </w:r>
      <w:r>
        <w:rPr>
          <w:rFonts w:hint="eastAsia"/>
          <w:b w:val="0"/>
          <w:bCs w:val="0"/>
          <w:color w:val="000000"/>
          <w:sz w:val="24"/>
          <w:highlight w:val="none"/>
          <w:u w:val="none"/>
          <w:lang w:val="en-US" w:eastAsia="zh-CN"/>
        </w:rPr>
        <w:t>1.275</w:t>
      </w:r>
      <w:r>
        <w:rPr>
          <w:b w:val="0"/>
          <w:bCs w:val="0"/>
          <w:color w:val="000000"/>
          <w:sz w:val="24"/>
          <w:highlight w:val="none"/>
          <w:u w:val="none"/>
        </w:rPr>
        <w:t>mg/m</w:t>
      </w:r>
      <w:r>
        <w:rPr>
          <w:b w:val="0"/>
          <w:bCs w:val="0"/>
          <w:color w:val="000000"/>
          <w:sz w:val="24"/>
          <w:highlight w:val="none"/>
          <w:u w:val="none"/>
          <w:vertAlign w:val="superscript"/>
        </w:rPr>
        <w:t>3</w:t>
      </w:r>
      <w:r>
        <w:rPr>
          <w:b w:val="0"/>
          <w:bCs w:val="0"/>
          <w:color w:val="000000"/>
          <w:sz w:val="24"/>
          <w:highlight w:val="none"/>
          <w:u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b w:val="0"/>
          <w:bCs w:val="0"/>
          <w:color w:val="000000"/>
          <w:sz w:val="24"/>
          <w:highlight w:val="none"/>
          <w:u w:val="none"/>
        </w:rPr>
      </w:pPr>
      <w:r>
        <w:rPr>
          <w:rFonts w:hint="eastAsia"/>
          <w:b/>
          <w:bCs w:val="0"/>
          <w:sz w:val="24"/>
          <w:highlight w:val="none"/>
          <w:lang w:eastAsia="zh-CN"/>
        </w:rPr>
        <w:t>制粒过程产生的粉尘</w:t>
      </w:r>
      <w:r>
        <w:rPr>
          <w:bCs/>
          <w:sz w:val="24"/>
          <w:highlight w:val="none"/>
        </w:rPr>
        <w:t>经集气罩收集后经</w:t>
      </w:r>
      <w:r>
        <w:rPr>
          <w:rFonts w:hint="eastAsia"/>
          <w:bCs/>
          <w:sz w:val="24"/>
          <w:highlight w:val="none"/>
          <w:lang w:val="en-US" w:eastAsia="zh-CN"/>
        </w:rPr>
        <w:t>1</w:t>
      </w:r>
      <w:r>
        <w:rPr>
          <w:bCs/>
          <w:sz w:val="24"/>
          <w:highlight w:val="none"/>
        </w:rPr>
        <w:t>套</w:t>
      </w:r>
      <w:r>
        <w:rPr>
          <w:rFonts w:hint="eastAsia"/>
          <w:bCs/>
          <w:sz w:val="24"/>
          <w:highlight w:val="none"/>
          <w:lang w:eastAsia="zh-CN"/>
        </w:rPr>
        <w:t>沙克龙</w:t>
      </w:r>
      <w:r>
        <w:rPr>
          <w:bCs/>
          <w:sz w:val="24"/>
          <w:highlight w:val="none"/>
        </w:rPr>
        <w:t>除尘器处理后通过</w:t>
      </w:r>
      <w:r>
        <w:rPr>
          <w:rFonts w:hint="eastAsia"/>
          <w:bCs/>
          <w:sz w:val="24"/>
          <w:highlight w:val="none"/>
          <w:lang w:val="en-US" w:eastAsia="zh-CN"/>
        </w:rPr>
        <w:t>1台风机送入</w:t>
      </w:r>
      <w:r>
        <w:rPr>
          <w:rFonts w:hint="eastAsia"/>
          <w:bCs/>
          <w:sz w:val="24"/>
          <w:highlight w:val="none"/>
          <w:lang w:eastAsia="zh-CN"/>
        </w:rPr>
        <w:t>主车间的</w:t>
      </w:r>
      <w:r>
        <w:rPr>
          <w:rFonts w:hint="eastAsia"/>
          <w:bCs/>
          <w:sz w:val="24"/>
          <w:highlight w:val="none"/>
          <w:lang w:val="en-US" w:eastAsia="zh-CN"/>
        </w:rPr>
        <w:t>1</w:t>
      </w:r>
      <w:r>
        <w:rPr>
          <w:bCs/>
          <w:sz w:val="24"/>
          <w:highlight w:val="none"/>
        </w:rPr>
        <w:t>根</w:t>
      </w:r>
      <w:r>
        <w:rPr>
          <w:rFonts w:hint="eastAsia"/>
          <w:bCs/>
          <w:sz w:val="24"/>
          <w:highlight w:val="none"/>
          <w:lang w:val="en-US" w:eastAsia="zh-CN"/>
        </w:rPr>
        <w:t>20</w:t>
      </w:r>
      <w:r>
        <w:rPr>
          <w:bCs/>
          <w:sz w:val="24"/>
          <w:highlight w:val="none"/>
        </w:rPr>
        <w:t>m高排气筒排放，收集效率为95%，</w:t>
      </w:r>
      <w:r>
        <w:rPr>
          <w:rFonts w:hint="eastAsia"/>
          <w:bCs/>
          <w:sz w:val="24"/>
          <w:highlight w:val="none"/>
          <w:lang w:eastAsia="zh-CN"/>
        </w:rPr>
        <w:t>沙克龙除尘器处理效率按</w:t>
      </w:r>
      <w:r>
        <w:rPr>
          <w:rFonts w:hint="eastAsia"/>
          <w:bCs/>
          <w:sz w:val="24"/>
          <w:highlight w:val="none"/>
          <w:lang w:val="en-US" w:eastAsia="zh-CN"/>
        </w:rPr>
        <w:t>60%计</w:t>
      </w:r>
      <w:r>
        <w:rPr>
          <w:rFonts w:hint="eastAsia"/>
          <w:bCs/>
          <w:sz w:val="24"/>
          <w:highlight w:val="none"/>
          <w:lang w:eastAsia="zh-CN"/>
        </w:rPr>
        <w:t>，风机风量为</w:t>
      </w:r>
      <w:r>
        <w:rPr>
          <w:rFonts w:hint="eastAsia"/>
          <w:bCs/>
          <w:sz w:val="24"/>
          <w:highlight w:val="none"/>
          <w:lang w:val="en-US" w:eastAsia="zh-CN"/>
        </w:rPr>
        <w:t>20000m</w:t>
      </w:r>
      <w:r>
        <w:rPr>
          <w:rFonts w:hint="eastAsia"/>
          <w:bCs/>
          <w:sz w:val="24"/>
          <w:highlight w:val="none"/>
          <w:vertAlign w:val="superscript"/>
          <w:lang w:val="en-US" w:eastAsia="zh-CN"/>
        </w:rPr>
        <w:t>3</w:t>
      </w:r>
      <w:r>
        <w:rPr>
          <w:rFonts w:hint="eastAsia"/>
          <w:bCs/>
          <w:sz w:val="24"/>
          <w:highlight w:val="none"/>
          <w:lang w:val="en-US" w:eastAsia="zh-CN"/>
        </w:rPr>
        <w:t>/h。</w:t>
      </w:r>
      <w:r>
        <w:rPr>
          <w:rFonts w:hint="eastAsia"/>
          <w:b w:val="0"/>
          <w:bCs w:val="0"/>
          <w:color w:val="000000"/>
          <w:sz w:val="24"/>
          <w:highlight w:val="none"/>
          <w:u w:val="none"/>
          <w:lang w:eastAsia="zh-CN"/>
        </w:rPr>
        <w:t>制粒过程粉尘产生量为</w:t>
      </w:r>
      <w:r>
        <w:rPr>
          <w:rFonts w:hint="eastAsia"/>
          <w:b w:val="0"/>
          <w:bCs w:val="0"/>
          <w:color w:val="000000"/>
          <w:sz w:val="24"/>
          <w:highlight w:val="none"/>
          <w:u w:val="none"/>
          <w:lang w:val="en-US" w:eastAsia="zh-CN"/>
        </w:rPr>
        <w:t>0.774t/a</w:t>
      </w:r>
      <w:r>
        <w:rPr>
          <w:rFonts w:hint="eastAsia"/>
          <w:b w:val="0"/>
          <w:bCs w:val="0"/>
          <w:color w:val="000000"/>
          <w:sz w:val="24"/>
          <w:highlight w:val="none"/>
          <w:u w:val="none"/>
          <w:lang w:eastAsia="zh-CN"/>
        </w:rPr>
        <w:t>，年运行时间为</w:t>
      </w:r>
      <w:r>
        <w:rPr>
          <w:rFonts w:hint="eastAsia"/>
          <w:b w:val="0"/>
          <w:bCs w:val="0"/>
          <w:color w:val="000000"/>
          <w:sz w:val="24"/>
          <w:highlight w:val="none"/>
          <w:u w:val="none"/>
          <w:lang w:val="en-US" w:eastAsia="zh-CN"/>
        </w:rPr>
        <w:t>3600h/a，</w:t>
      </w:r>
      <w:r>
        <w:rPr>
          <w:rFonts w:hint="eastAsia"/>
          <w:bCs/>
          <w:sz w:val="24"/>
          <w:highlight w:val="none"/>
          <w:lang w:val="en-US" w:eastAsia="zh-CN"/>
        </w:rPr>
        <w:t>则制粒过程无组织粉尘量为0.011kg/h（0.0387t/a），有组织粉尘量为0.204kg/h（0.7353t/a），除尘器进口处产生浓度为</w:t>
      </w:r>
      <w:r>
        <w:rPr>
          <w:rFonts w:hint="eastAsia"/>
          <w:b w:val="0"/>
          <w:bCs w:val="0"/>
          <w:color w:val="000000"/>
          <w:sz w:val="24"/>
          <w:highlight w:val="none"/>
          <w:u w:val="none"/>
          <w:lang w:val="en-US" w:eastAsia="zh-CN"/>
        </w:rPr>
        <w:t>10.2</w:t>
      </w:r>
      <w:r>
        <w:rPr>
          <w:b w:val="0"/>
          <w:bCs w:val="0"/>
          <w:color w:val="000000"/>
          <w:sz w:val="24"/>
          <w:highlight w:val="none"/>
          <w:u w:val="none"/>
        </w:rPr>
        <w:t>mg/m</w:t>
      </w:r>
      <w:r>
        <w:rPr>
          <w:b w:val="0"/>
          <w:bCs w:val="0"/>
          <w:color w:val="000000"/>
          <w:sz w:val="24"/>
          <w:highlight w:val="none"/>
          <w:u w:val="none"/>
          <w:vertAlign w:val="superscript"/>
        </w:rPr>
        <w:t>3</w:t>
      </w:r>
      <w:r>
        <w:rPr>
          <w:rFonts w:hint="eastAsia"/>
          <w:b w:val="0"/>
          <w:bCs w:val="0"/>
          <w:color w:val="000000"/>
          <w:sz w:val="24"/>
          <w:highlight w:val="none"/>
          <w:u w:val="none"/>
          <w:vertAlign w:val="baseline"/>
          <w:lang w:eastAsia="zh-CN"/>
        </w:rPr>
        <w:t>，</w:t>
      </w:r>
      <w:r>
        <w:rPr>
          <w:b w:val="0"/>
          <w:bCs w:val="0"/>
          <w:color w:val="000000"/>
          <w:sz w:val="24"/>
          <w:highlight w:val="none"/>
          <w:u w:val="none"/>
        </w:rPr>
        <w:t>经</w:t>
      </w:r>
      <w:r>
        <w:rPr>
          <w:rFonts w:hint="eastAsia"/>
          <w:bCs/>
          <w:sz w:val="24"/>
          <w:highlight w:val="none"/>
          <w:lang w:eastAsia="zh-CN"/>
        </w:rPr>
        <w:t>沙克龙除尘器</w:t>
      </w:r>
      <w:r>
        <w:rPr>
          <w:b w:val="0"/>
          <w:bCs w:val="0"/>
          <w:color w:val="000000"/>
          <w:sz w:val="24"/>
          <w:highlight w:val="none"/>
          <w:u w:val="none"/>
        </w:rPr>
        <w:t>处理后</w:t>
      </w:r>
      <w:r>
        <w:rPr>
          <w:rFonts w:hint="eastAsia"/>
          <w:b w:val="0"/>
          <w:bCs w:val="0"/>
          <w:color w:val="000000"/>
          <w:sz w:val="24"/>
          <w:highlight w:val="none"/>
          <w:u w:val="none"/>
          <w:lang w:eastAsia="zh-CN"/>
        </w:rPr>
        <w:t>粉尘有组织</w:t>
      </w:r>
      <w:r>
        <w:rPr>
          <w:b w:val="0"/>
          <w:bCs w:val="0"/>
          <w:color w:val="000000"/>
          <w:sz w:val="24"/>
          <w:highlight w:val="none"/>
          <w:u w:val="none"/>
        </w:rPr>
        <w:t>排放量为</w:t>
      </w:r>
      <w:r>
        <w:rPr>
          <w:rFonts w:hint="eastAsia"/>
          <w:b w:val="0"/>
          <w:bCs w:val="0"/>
          <w:color w:val="000000"/>
          <w:sz w:val="24"/>
          <w:highlight w:val="none"/>
          <w:u w:val="none"/>
          <w:lang w:val="en-US" w:eastAsia="zh-CN"/>
        </w:rPr>
        <w:t>0.294</w:t>
      </w:r>
      <w:r>
        <w:rPr>
          <w:b w:val="0"/>
          <w:bCs w:val="0"/>
          <w:color w:val="000000"/>
          <w:sz w:val="24"/>
          <w:highlight w:val="none"/>
          <w:u w:val="none"/>
        </w:rPr>
        <w:t>t/a，</w:t>
      </w:r>
      <w:r>
        <w:rPr>
          <w:rFonts w:hint="eastAsia"/>
          <w:b w:val="0"/>
          <w:bCs w:val="0"/>
          <w:color w:val="000000"/>
          <w:sz w:val="24"/>
          <w:highlight w:val="none"/>
          <w:u w:val="none"/>
          <w:lang w:eastAsia="zh-CN"/>
        </w:rPr>
        <w:t>排气筒</w:t>
      </w:r>
      <w:r>
        <w:rPr>
          <w:b w:val="0"/>
          <w:bCs w:val="0"/>
          <w:color w:val="000000"/>
          <w:sz w:val="24"/>
          <w:highlight w:val="none"/>
          <w:u w:val="none"/>
        </w:rPr>
        <w:t>排放速率为</w:t>
      </w:r>
      <w:r>
        <w:rPr>
          <w:rFonts w:hint="eastAsia"/>
          <w:b w:val="0"/>
          <w:bCs w:val="0"/>
          <w:color w:val="000000"/>
          <w:sz w:val="24"/>
          <w:highlight w:val="none"/>
          <w:u w:val="none"/>
          <w:lang w:val="en-US" w:eastAsia="zh-CN"/>
        </w:rPr>
        <w:t>0.082</w:t>
      </w:r>
      <w:r>
        <w:rPr>
          <w:b w:val="0"/>
          <w:bCs w:val="0"/>
          <w:color w:val="000000"/>
          <w:sz w:val="24"/>
          <w:highlight w:val="none"/>
          <w:u w:val="none"/>
        </w:rPr>
        <w:t>kg/h，排放浓度为</w:t>
      </w:r>
      <w:r>
        <w:rPr>
          <w:rFonts w:hint="eastAsia"/>
          <w:b w:val="0"/>
          <w:bCs w:val="0"/>
          <w:color w:val="000000"/>
          <w:sz w:val="24"/>
          <w:highlight w:val="none"/>
          <w:u w:val="none"/>
          <w:lang w:val="en-US" w:eastAsia="zh-CN"/>
        </w:rPr>
        <w:t>4.08</w:t>
      </w:r>
      <w:r>
        <w:rPr>
          <w:b w:val="0"/>
          <w:bCs w:val="0"/>
          <w:color w:val="000000"/>
          <w:sz w:val="24"/>
          <w:highlight w:val="none"/>
          <w:u w:val="none"/>
        </w:rPr>
        <w:t>mg/m</w:t>
      </w:r>
      <w:r>
        <w:rPr>
          <w:b w:val="0"/>
          <w:bCs w:val="0"/>
          <w:color w:val="000000"/>
          <w:sz w:val="24"/>
          <w:highlight w:val="none"/>
          <w:u w:val="none"/>
          <w:vertAlign w:val="superscript"/>
        </w:rPr>
        <w:t>3</w:t>
      </w:r>
      <w:r>
        <w:rPr>
          <w:b w:val="0"/>
          <w:bCs w:val="0"/>
          <w:color w:val="000000"/>
          <w:sz w:val="24"/>
          <w:highlight w:val="none"/>
          <w:u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Ansi="宋体"/>
          <w:highlight w:val="none"/>
        </w:rPr>
      </w:pPr>
      <w:r>
        <w:rPr>
          <w:rFonts w:hint="eastAsia"/>
          <w:highlight w:val="none"/>
        </w:rPr>
        <w:t>本项目营运期废气</w:t>
      </w:r>
      <w:r>
        <w:rPr>
          <w:rFonts w:hint="eastAsia" w:hAnsi="宋体"/>
          <w:highlight w:val="none"/>
        </w:rPr>
        <w:t>污染源强统计见表</w:t>
      </w:r>
      <w:r>
        <w:rPr>
          <w:rFonts w:hint="eastAsia" w:hAnsi="宋体"/>
          <w:highlight w:val="none"/>
          <w:lang w:val="en-US" w:eastAsia="zh-CN"/>
        </w:rPr>
        <w:t>2</w:t>
      </w:r>
      <w:r>
        <w:rPr>
          <w:rFonts w:hint="eastAsia" w:hAnsi="宋体"/>
          <w:highlight w:val="none"/>
        </w:rPr>
        <w:t>.</w:t>
      </w:r>
      <w:r>
        <w:rPr>
          <w:rFonts w:hint="eastAsia" w:hAnsi="宋体"/>
          <w:highlight w:val="none"/>
          <w:lang w:val="en-US" w:eastAsia="zh-CN"/>
        </w:rPr>
        <w:t>12</w:t>
      </w:r>
      <w:r>
        <w:rPr>
          <w:rFonts w:hint="eastAsia" w:hAnsi="宋体"/>
          <w:highlight w:val="none"/>
        </w:rPr>
        <w:t>-</w:t>
      </w:r>
      <w:r>
        <w:rPr>
          <w:rFonts w:hint="eastAsia" w:hAnsi="宋体"/>
          <w:highlight w:val="none"/>
          <w:lang w:val="en-US" w:eastAsia="zh-CN"/>
        </w:rPr>
        <w:t>7</w:t>
      </w:r>
      <w:r>
        <w:rPr>
          <w:rFonts w:hint="eastAsia" w:hAnsi="宋体"/>
          <w:highlight w:val="none"/>
        </w:rPr>
        <w:t>。</w:t>
      </w:r>
    </w:p>
    <w:p>
      <w:pPr>
        <w:ind w:firstLine="480"/>
        <w:rPr>
          <w:rFonts w:hAnsi="宋体"/>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hint="eastAsia" w:cs="Times New Roman"/>
          <w:highlight w:val="none"/>
          <w:lang w:val="en-US" w:eastAsia="zh-CN"/>
        </w:rPr>
      </w:pPr>
      <w:r>
        <w:rPr>
          <w:rFonts w:hint="eastAsia" w:cs="Times New Roman"/>
          <w:highlight w:val="none"/>
          <w:lang w:val="en-US" w:eastAsia="zh-CN"/>
        </w:rPr>
        <w:t>表2.12-7 项目营运期废气产生及排放情况</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808"/>
        <w:gridCol w:w="947"/>
        <w:gridCol w:w="1120"/>
        <w:gridCol w:w="1350"/>
        <w:gridCol w:w="1171"/>
        <w:gridCol w:w="1109"/>
        <w:gridCol w:w="1350"/>
        <w:gridCol w:w="1168"/>
        <w:gridCol w:w="400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pct"/>
            <w:gridSpan w:val="3"/>
            <w:vMerge w:val="restart"/>
            <w:tcBorders>
              <w:top w:val="single" w:color="auto" w:sz="12" w:space="0"/>
              <w:left w:val="single" w:color="auto" w:sz="12" w:space="0"/>
            </w:tcBorders>
            <w:vAlign w:val="center"/>
          </w:tcPr>
          <w:p>
            <w:pPr>
              <w:adjustRightInd w:val="0"/>
              <w:snapToGrid w:val="0"/>
              <w:spacing w:line="240" w:lineRule="auto"/>
              <w:ind w:firstLine="0" w:firstLineChars="0"/>
              <w:jc w:val="center"/>
              <w:rPr>
                <w:b w:val="0"/>
                <w:bCs/>
                <w:kern w:val="0"/>
                <w:sz w:val="21"/>
                <w:highlight w:val="none"/>
              </w:rPr>
            </w:pPr>
            <w:r>
              <w:rPr>
                <w:rFonts w:hint="eastAsia" w:ascii="宋体" w:hAnsi="宋体"/>
                <w:b w:val="0"/>
                <w:bCs/>
                <w:kern w:val="0"/>
                <w:sz w:val="21"/>
                <w:highlight w:val="none"/>
              </w:rPr>
              <w:t>污染物</w:t>
            </w:r>
          </w:p>
        </w:tc>
        <w:tc>
          <w:tcPr>
            <w:tcW w:w="1284" w:type="pct"/>
            <w:gridSpan w:val="3"/>
            <w:tcBorders>
              <w:top w:val="single" w:color="auto" w:sz="12" w:space="0"/>
            </w:tcBorders>
            <w:vAlign w:val="center"/>
          </w:tcPr>
          <w:p>
            <w:pPr>
              <w:adjustRightInd w:val="0"/>
              <w:snapToGrid w:val="0"/>
              <w:spacing w:line="240" w:lineRule="auto"/>
              <w:ind w:firstLine="0" w:firstLineChars="0"/>
              <w:jc w:val="center"/>
              <w:rPr>
                <w:b w:val="0"/>
                <w:bCs/>
                <w:kern w:val="0"/>
                <w:sz w:val="21"/>
                <w:highlight w:val="none"/>
              </w:rPr>
            </w:pPr>
            <w:r>
              <w:rPr>
                <w:rFonts w:hint="eastAsia" w:ascii="宋体" w:hAnsi="宋体"/>
                <w:b w:val="0"/>
                <w:bCs/>
                <w:kern w:val="0"/>
                <w:sz w:val="21"/>
                <w:highlight w:val="none"/>
              </w:rPr>
              <w:t>产生情况</w:t>
            </w:r>
          </w:p>
        </w:tc>
        <w:tc>
          <w:tcPr>
            <w:tcW w:w="1279" w:type="pct"/>
            <w:gridSpan w:val="3"/>
            <w:tcBorders>
              <w:top w:val="single" w:color="auto" w:sz="12" w:space="0"/>
            </w:tcBorders>
            <w:vAlign w:val="center"/>
          </w:tcPr>
          <w:p>
            <w:pPr>
              <w:adjustRightInd w:val="0"/>
              <w:snapToGrid w:val="0"/>
              <w:spacing w:line="240" w:lineRule="auto"/>
              <w:ind w:firstLine="0" w:firstLineChars="0"/>
              <w:jc w:val="center"/>
              <w:rPr>
                <w:b w:val="0"/>
                <w:bCs/>
                <w:spacing w:val="4"/>
                <w:kern w:val="18"/>
                <w:sz w:val="21"/>
                <w:highlight w:val="none"/>
              </w:rPr>
            </w:pPr>
            <w:r>
              <w:rPr>
                <w:rFonts w:hint="eastAsia" w:ascii="宋体" w:hAnsi="宋体"/>
                <w:b w:val="0"/>
                <w:bCs/>
                <w:kern w:val="0"/>
                <w:sz w:val="21"/>
                <w:highlight w:val="none"/>
              </w:rPr>
              <w:t>排放情况</w:t>
            </w:r>
          </w:p>
        </w:tc>
        <w:tc>
          <w:tcPr>
            <w:tcW w:w="1411" w:type="pct"/>
            <w:vMerge w:val="restart"/>
            <w:tcBorders>
              <w:top w:val="single" w:color="auto" w:sz="12" w:space="0"/>
              <w:right w:val="single" w:color="auto" w:sz="12" w:space="0"/>
            </w:tcBorders>
            <w:vAlign w:val="center"/>
          </w:tcPr>
          <w:p>
            <w:pPr>
              <w:adjustRightInd w:val="0"/>
              <w:snapToGrid w:val="0"/>
              <w:spacing w:line="240" w:lineRule="auto"/>
              <w:ind w:firstLine="0" w:firstLineChars="0"/>
              <w:jc w:val="center"/>
              <w:rPr>
                <w:b w:val="0"/>
                <w:bCs/>
                <w:spacing w:val="4"/>
                <w:kern w:val="18"/>
                <w:sz w:val="21"/>
                <w:highlight w:val="none"/>
              </w:rPr>
            </w:pPr>
            <w:r>
              <w:rPr>
                <w:rFonts w:hint="eastAsia" w:ascii="宋体" w:hAnsi="宋体"/>
                <w:b w:val="0"/>
                <w:bCs/>
                <w:spacing w:val="4"/>
                <w:kern w:val="18"/>
                <w:sz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pct"/>
            <w:gridSpan w:val="3"/>
            <w:vMerge w:val="continue"/>
            <w:tcBorders>
              <w:left w:val="single" w:color="auto" w:sz="12" w:space="0"/>
            </w:tcBorders>
            <w:vAlign w:val="center"/>
          </w:tcPr>
          <w:p>
            <w:pPr>
              <w:adjustRightInd w:val="0"/>
              <w:snapToGrid w:val="0"/>
              <w:spacing w:line="240" w:lineRule="auto"/>
              <w:ind w:firstLine="420"/>
              <w:jc w:val="center"/>
              <w:rPr>
                <w:kern w:val="0"/>
                <w:sz w:val="21"/>
                <w:highlight w:val="none"/>
              </w:rPr>
            </w:pPr>
          </w:p>
        </w:tc>
        <w:tc>
          <w:tcPr>
            <w:tcW w:w="395" w:type="pct"/>
            <w:vAlign w:val="center"/>
          </w:tcPr>
          <w:p>
            <w:pPr>
              <w:adjustRightInd w:val="0"/>
              <w:snapToGrid w:val="0"/>
              <w:spacing w:line="240" w:lineRule="auto"/>
              <w:ind w:firstLine="0" w:firstLineChars="0"/>
              <w:jc w:val="center"/>
              <w:rPr>
                <w:spacing w:val="4"/>
                <w:kern w:val="18"/>
                <w:sz w:val="21"/>
                <w:highlight w:val="none"/>
              </w:rPr>
            </w:pPr>
            <w:r>
              <w:rPr>
                <w:rFonts w:hint="eastAsia" w:ascii="宋体" w:hAnsi="宋体"/>
                <w:kern w:val="0"/>
                <w:sz w:val="21"/>
                <w:highlight w:val="none"/>
              </w:rPr>
              <w:t>产生量</w:t>
            </w:r>
          </w:p>
        </w:tc>
        <w:tc>
          <w:tcPr>
            <w:tcW w:w="476" w:type="pct"/>
            <w:vAlign w:val="center"/>
          </w:tcPr>
          <w:p>
            <w:pPr>
              <w:adjustRightInd w:val="0"/>
              <w:snapToGrid w:val="0"/>
              <w:spacing w:line="240" w:lineRule="auto"/>
              <w:ind w:firstLine="0" w:firstLineChars="0"/>
              <w:jc w:val="center"/>
              <w:rPr>
                <w:spacing w:val="4"/>
                <w:kern w:val="18"/>
                <w:sz w:val="21"/>
                <w:highlight w:val="none"/>
              </w:rPr>
            </w:pPr>
            <w:r>
              <w:rPr>
                <w:rFonts w:hint="eastAsia" w:ascii="宋体" w:hAnsi="宋体"/>
                <w:kern w:val="0"/>
                <w:sz w:val="21"/>
                <w:highlight w:val="none"/>
              </w:rPr>
              <w:t>产生浓度</w:t>
            </w:r>
          </w:p>
        </w:tc>
        <w:tc>
          <w:tcPr>
            <w:tcW w:w="411" w:type="pct"/>
            <w:vAlign w:val="center"/>
          </w:tcPr>
          <w:p>
            <w:pPr>
              <w:adjustRightInd w:val="0"/>
              <w:snapToGrid w:val="0"/>
              <w:spacing w:line="240" w:lineRule="auto"/>
              <w:ind w:firstLine="0" w:firstLineChars="0"/>
              <w:jc w:val="center"/>
              <w:rPr>
                <w:kern w:val="0"/>
                <w:sz w:val="21"/>
                <w:highlight w:val="none"/>
              </w:rPr>
            </w:pPr>
            <w:r>
              <w:rPr>
                <w:rFonts w:hint="eastAsia" w:ascii="宋体" w:hAnsi="宋体"/>
                <w:kern w:val="0"/>
                <w:sz w:val="21"/>
                <w:highlight w:val="none"/>
              </w:rPr>
              <w:t>产生速率</w:t>
            </w:r>
          </w:p>
        </w:tc>
        <w:tc>
          <w:tcPr>
            <w:tcW w:w="391" w:type="pct"/>
            <w:vAlign w:val="center"/>
          </w:tcPr>
          <w:p>
            <w:pPr>
              <w:adjustRightInd w:val="0"/>
              <w:snapToGrid w:val="0"/>
              <w:spacing w:line="240" w:lineRule="auto"/>
              <w:ind w:firstLine="0" w:firstLineChars="0"/>
              <w:jc w:val="center"/>
              <w:rPr>
                <w:spacing w:val="4"/>
                <w:kern w:val="18"/>
                <w:sz w:val="21"/>
                <w:highlight w:val="none"/>
              </w:rPr>
            </w:pPr>
            <w:r>
              <w:rPr>
                <w:rFonts w:hint="eastAsia" w:ascii="宋体" w:hAnsi="宋体"/>
                <w:kern w:val="0"/>
                <w:sz w:val="21"/>
                <w:highlight w:val="none"/>
              </w:rPr>
              <w:t>排放量</w:t>
            </w:r>
          </w:p>
        </w:tc>
        <w:tc>
          <w:tcPr>
            <w:tcW w:w="476" w:type="pct"/>
            <w:vAlign w:val="center"/>
          </w:tcPr>
          <w:p>
            <w:pPr>
              <w:adjustRightInd w:val="0"/>
              <w:snapToGrid w:val="0"/>
              <w:spacing w:line="240" w:lineRule="auto"/>
              <w:ind w:firstLine="0" w:firstLineChars="0"/>
              <w:jc w:val="center"/>
              <w:rPr>
                <w:spacing w:val="4"/>
                <w:kern w:val="18"/>
                <w:sz w:val="21"/>
                <w:highlight w:val="none"/>
              </w:rPr>
            </w:pPr>
            <w:r>
              <w:rPr>
                <w:rFonts w:hint="eastAsia" w:ascii="宋体" w:hAnsi="宋体"/>
                <w:spacing w:val="4"/>
                <w:kern w:val="18"/>
                <w:sz w:val="21"/>
                <w:highlight w:val="none"/>
              </w:rPr>
              <w:t>排放浓度</w:t>
            </w:r>
          </w:p>
        </w:tc>
        <w:tc>
          <w:tcPr>
            <w:tcW w:w="411" w:type="pct"/>
            <w:vAlign w:val="center"/>
          </w:tcPr>
          <w:p>
            <w:pPr>
              <w:adjustRightInd w:val="0"/>
              <w:snapToGrid w:val="0"/>
              <w:spacing w:line="240" w:lineRule="auto"/>
              <w:ind w:firstLine="0" w:firstLineChars="0"/>
              <w:jc w:val="center"/>
              <w:rPr>
                <w:spacing w:val="4"/>
                <w:kern w:val="18"/>
                <w:sz w:val="21"/>
                <w:highlight w:val="none"/>
              </w:rPr>
            </w:pPr>
            <w:r>
              <w:rPr>
                <w:rFonts w:hint="eastAsia" w:ascii="宋体" w:hAnsi="宋体"/>
                <w:spacing w:val="4"/>
                <w:kern w:val="18"/>
                <w:sz w:val="21"/>
                <w:highlight w:val="none"/>
              </w:rPr>
              <w:t>排放速率</w:t>
            </w:r>
          </w:p>
        </w:tc>
        <w:tc>
          <w:tcPr>
            <w:tcW w:w="1411" w:type="pct"/>
            <w:vMerge w:val="continue"/>
            <w:tcBorders>
              <w:right w:val="single" w:color="auto" w:sz="12" w:space="0"/>
            </w:tcBorders>
            <w:vAlign w:val="center"/>
          </w:tcPr>
          <w:p>
            <w:pPr>
              <w:adjustRightInd w:val="0"/>
              <w:snapToGrid w:val="0"/>
              <w:spacing w:line="240" w:lineRule="auto"/>
              <w:ind w:firstLine="436"/>
              <w:jc w:val="center"/>
              <w:rPr>
                <w:spacing w:val="4"/>
                <w:kern w:val="18"/>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06" w:type="pct"/>
            <w:vMerge w:val="restart"/>
            <w:tcBorders>
              <w:left w:val="single" w:color="auto" w:sz="12" w:space="0"/>
            </w:tcBorders>
            <w:vAlign w:val="center"/>
          </w:tcPr>
          <w:p>
            <w:pPr>
              <w:adjustRightInd w:val="0"/>
              <w:snapToGrid w:val="0"/>
              <w:spacing w:line="240" w:lineRule="auto"/>
              <w:ind w:firstLine="0" w:firstLineChars="0"/>
              <w:jc w:val="center"/>
              <w:rPr>
                <w:kern w:val="0"/>
                <w:sz w:val="21"/>
                <w:highlight w:val="none"/>
              </w:rPr>
            </w:pPr>
            <w:r>
              <w:rPr>
                <w:rFonts w:hint="eastAsia"/>
                <w:kern w:val="0"/>
                <w:sz w:val="21"/>
                <w:highlight w:val="none"/>
                <w:lang w:eastAsia="zh-CN"/>
              </w:rPr>
              <w:t>养殖</w:t>
            </w:r>
            <w:r>
              <w:rPr>
                <w:rFonts w:hint="eastAsia"/>
                <w:kern w:val="0"/>
                <w:sz w:val="21"/>
                <w:highlight w:val="none"/>
              </w:rPr>
              <w:t>废气</w:t>
            </w:r>
          </w:p>
        </w:tc>
        <w:tc>
          <w:tcPr>
            <w:tcW w:w="285" w:type="pct"/>
            <w:vAlign w:val="center"/>
          </w:tcPr>
          <w:p>
            <w:pPr>
              <w:spacing w:line="240" w:lineRule="auto"/>
              <w:ind w:firstLine="0" w:firstLineChars="0"/>
              <w:jc w:val="center"/>
              <w:rPr>
                <w:rFonts w:hint="default" w:eastAsia="宋体"/>
                <w:kern w:val="0"/>
                <w:sz w:val="21"/>
                <w:highlight w:val="none"/>
                <w:lang w:val="en-US" w:eastAsia="zh-CN"/>
              </w:rPr>
            </w:pPr>
            <w:r>
              <w:rPr>
                <w:rFonts w:hint="eastAsia"/>
                <w:kern w:val="0"/>
                <w:sz w:val="21"/>
                <w:highlight w:val="none"/>
                <w:lang w:val="en-US" w:eastAsia="zh-CN"/>
              </w:rPr>
              <w:t>NH</w:t>
            </w:r>
            <w:r>
              <w:rPr>
                <w:rFonts w:hint="eastAsia"/>
                <w:kern w:val="0"/>
                <w:sz w:val="21"/>
                <w:highlight w:val="none"/>
                <w:vertAlign w:val="subscript"/>
                <w:lang w:val="en-US" w:eastAsia="zh-CN"/>
              </w:rPr>
              <w:t>3</w:t>
            </w:r>
          </w:p>
        </w:tc>
        <w:tc>
          <w:tcPr>
            <w:tcW w:w="333" w:type="pct"/>
            <w:vAlign w:val="center"/>
          </w:tcPr>
          <w:p>
            <w:pPr>
              <w:adjustRightInd w:val="0"/>
              <w:snapToGrid w:val="0"/>
              <w:spacing w:line="240" w:lineRule="auto"/>
              <w:ind w:firstLine="0" w:firstLineChars="0"/>
              <w:jc w:val="center"/>
              <w:rPr>
                <w:kern w:val="0"/>
                <w:sz w:val="21"/>
                <w:highlight w:val="none"/>
              </w:rPr>
            </w:pPr>
            <w:r>
              <w:rPr>
                <w:rFonts w:hint="eastAsia"/>
                <w:sz w:val="21"/>
                <w:highlight w:val="none"/>
              </w:rPr>
              <w:t>无组织</w:t>
            </w:r>
          </w:p>
        </w:tc>
        <w:tc>
          <w:tcPr>
            <w:tcW w:w="395" w:type="pct"/>
            <w:vAlign w:val="center"/>
          </w:tcPr>
          <w:p>
            <w:pPr>
              <w:adjustRightInd w:val="0"/>
              <w:snapToGrid w:val="0"/>
              <w:spacing w:line="240" w:lineRule="auto"/>
              <w:ind w:firstLine="0" w:firstLineChars="0"/>
              <w:jc w:val="center"/>
              <w:rPr>
                <w:kern w:val="0"/>
                <w:sz w:val="21"/>
                <w:highlight w:val="none"/>
              </w:rPr>
            </w:pPr>
            <w:r>
              <w:rPr>
                <w:rFonts w:hint="eastAsia"/>
                <w:kern w:val="0"/>
                <w:sz w:val="21"/>
                <w:highlight w:val="none"/>
              </w:rPr>
              <w:t>3.887</w:t>
            </w:r>
            <w:r>
              <w:rPr>
                <w:kern w:val="0"/>
                <w:sz w:val="21"/>
                <w:highlight w:val="none"/>
              </w:rPr>
              <w:t>t/a</w:t>
            </w:r>
          </w:p>
        </w:tc>
        <w:tc>
          <w:tcPr>
            <w:tcW w:w="476" w:type="pct"/>
            <w:vAlign w:val="center"/>
          </w:tcPr>
          <w:p>
            <w:pPr>
              <w:adjustRightInd w:val="0"/>
              <w:snapToGrid w:val="0"/>
              <w:spacing w:line="240" w:lineRule="auto"/>
              <w:ind w:firstLine="0" w:firstLineChars="0"/>
              <w:jc w:val="center"/>
              <w:rPr>
                <w:rFonts w:hint="default" w:eastAsia="宋体"/>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adjustRightInd w:val="0"/>
              <w:snapToGrid w:val="0"/>
              <w:spacing w:line="240" w:lineRule="auto"/>
              <w:ind w:firstLine="0" w:firstLineChars="0"/>
              <w:jc w:val="center"/>
              <w:rPr>
                <w:rFonts w:hint="eastAsia" w:eastAsia="宋体"/>
                <w:kern w:val="0"/>
                <w:sz w:val="21"/>
                <w:highlight w:val="none"/>
                <w:lang w:eastAsia="zh-CN"/>
              </w:rPr>
            </w:pPr>
            <w:r>
              <w:rPr>
                <w:rFonts w:hint="eastAsia"/>
                <w:kern w:val="0"/>
                <w:sz w:val="21"/>
                <w:highlight w:val="none"/>
                <w:lang w:val="en-US" w:eastAsia="zh-CN"/>
              </w:rPr>
              <w:t>/</w:t>
            </w:r>
          </w:p>
        </w:tc>
        <w:tc>
          <w:tcPr>
            <w:tcW w:w="391" w:type="pct"/>
            <w:vAlign w:val="center"/>
          </w:tcPr>
          <w:p>
            <w:pPr>
              <w:adjustRightInd w:val="0"/>
              <w:snapToGrid w:val="0"/>
              <w:spacing w:line="240" w:lineRule="auto"/>
              <w:ind w:firstLine="0" w:firstLineChars="0"/>
              <w:jc w:val="center"/>
              <w:rPr>
                <w:spacing w:val="4"/>
                <w:kern w:val="18"/>
                <w:sz w:val="21"/>
                <w:highlight w:val="none"/>
              </w:rPr>
            </w:pPr>
            <w:r>
              <w:rPr>
                <w:rFonts w:hint="eastAsia"/>
                <w:kern w:val="0"/>
                <w:sz w:val="21"/>
                <w:highlight w:val="none"/>
                <w:lang w:val="en-US" w:eastAsia="zh-CN"/>
              </w:rPr>
              <w:t>1.166</w:t>
            </w:r>
            <w:r>
              <w:rPr>
                <w:kern w:val="0"/>
                <w:sz w:val="21"/>
                <w:highlight w:val="none"/>
              </w:rPr>
              <w:t>t/a</w:t>
            </w:r>
          </w:p>
        </w:tc>
        <w:tc>
          <w:tcPr>
            <w:tcW w:w="476" w:type="pct"/>
            <w:vAlign w:val="center"/>
          </w:tcPr>
          <w:p>
            <w:pPr>
              <w:adjustRightInd w:val="0"/>
              <w:snapToGrid w:val="0"/>
              <w:spacing w:line="240" w:lineRule="auto"/>
              <w:ind w:firstLine="0" w:firstLineChars="0"/>
              <w:jc w:val="center"/>
              <w:rPr>
                <w:sz w:val="21"/>
                <w:highlight w:val="none"/>
              </w:rPr>
            </w:pPr>
            <w:r>
              <w:rPr>
                <w:sz w:val="21"/>
                <w:highlight w:val="none"/>
              </w:rPr>
              <w:t>/</w:t>
            </w:r>
          </w:p>
        </w:tc>
        <w:tc>
          <w:tcPr>
            <w:tcW w:w="411" w:type="pct"/>
            <w:vAlign w:val="center"/>
          </w:tcPr>
          <w:p>
            <w:pPr>
              <w:adjustRightInd w:val="0"/>
              <w:snapToGrid w:val="0"/>
              <w:spacing w:line="240" w:lineRule="auto"/>
              <w:ind w:firstLine="0" w:firstLineChars="0"/>
              <w:jc w:val="center"/>
              <w:rPr>
                <w:spacing w:val="4"/>
                <w:kern w:val="18"/>
                <w:sz w:val="21"/>
                <w:highlight w:val="none"/>
              </w:rPr>
            </w:pPr>
            <w:r>
              <w:rPr>
                <w:sz w:val="21"/>
                <w:highlight w:val="none"/>
              </w:rPr>
              <w:t>/</w:t>
            </w:r>
          </w:p>
        </w:tc>
        <w:tc>
          <w:tcPr>
            <w:tcW w:w="1411" w:type="pct"/>
            <w:vMerge w:val="restart"/>
            <w:tcBorders>
              <w:right w:val="single" w:color="auto" w:sz="12" w:space="0"/>
            </w:tcBorders>
            <w:vAlign w:val="center"/>
          </w:tcPr>
          <w:p>
            <w:pPr>
              <w:adjustRightInd w:val="0"/>
              <w:snapToGrid w:val="0"/>
              <w:spacing w:line="240" w:lineRule="auto"/>
              <w:ind w:firstLine="0" w:firstLineChars="0"/>
              <w:jc w:val="center"/>
              <w:rPr>
                <w:sz w:val="21"/>
                <w:highlight w:val="none"/>
              </w:rPr>
            </w:pPr>
            <w:r>
              <w:rPr>
                <w:rFonts w:hint="eastAsia" w:ascii="宋体" w:hAnsi="宋体"/>
                <w:spacing w:val="4"/>
                <w:kern w:val="18"/>
                <w:sz w:val="21"/>
                <w:highlight w:val="none"/>
              </w:rPr>
              <w:t>控制养殖密度、饲料添加剂、及时清粪、喷洒除臭剂、设置绿化带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406" w:type="pct"/>
            <w:vMerge w:val="continue"/>
            <w:tcBorders>
              <w:left w:val="single" w:color="auto" w:sz="12" w:space="0"/>
            </w:tcBorders>
            <w:vAlign w:val="center"/>
          </w:tcPr>
          <w:p>
            <w:pPr>
              <w:spacing w:line="240" w:lineRule="auto"/>
              <w:ind w:firstLine="436"/>
              <w:jc w:val="center"/>
              <w:rPr>
                <w:spacing w:val="4"/>
                <w:kern w:val="18"/>
                <w:sz w:val="21"/>
                <w:highlight w:val="none"/>
              </w:rPr>
            </w:pPr>
          </w:p>
        </w:tc>
        <w:tc>
          <w:tcPr>
            <w:tcW w:w="285" w:type="pct"/>
            <w:vAlign w:val="center"/>
          </w:tcPr>
          <w:p>
            <w:pPr>
              <w:spacing w:line="240" w:lineRule="auto"/>
              <w:ind w:left="0" w:leftChars="0" w:firstLine="0" w:firstLineChars="0"/>
              <w:jc w:val="center"/>
              <w:rPr>
                <w:rFonts w:hint="default" w:eastAsia="宋体"/>
                <w:spacing w:val="4"/>
                <w:kern w:val="18"/>
                <w:sz w:val="21"/>
                <w:highlight w:val="none"/>
                <w:lang w:val="en-US" w:eastAsia="zh-CN"/>
              </w:rPr>
            </w:pPr>
            <w:r>
              <w:rPr>
                <w:rFonts w:hint="eastAsia"/>
                <w:spacing w:val="4"/>
                <w:kern w:val="18"/>
                <w:sz w:val="21"/>
                <w:highlight w:val="none"/>
                <w:lang w:val="en-US" w:eastAsia="zh-CN"/>
              </w:rPr>
              <w:t>H</w:t>
            </w:r>
            <w:r>
              <w:rPr>
                <w:rFonts w:hint="eastAsia"/>
                <w:spacing w:val="4"/>
                <w:kern w:val="18"/>
                <w:sz w:val="21"/>
                <w:highlight w:val="none"/>
                <w:vertAlign w:val="subscript"/>
                <w:lang w:val="en-US" w:eastAsia="zh-CN"/>
              </w:rPr>
              <w:t>2</w:t>
            </w:r>
            <w:r>
              <w:rPr>
                <w:rFonts w:hint="eastAsia"/>
                <w:spacing w:val="4"/>
                <w:kern w:val="18"/>
                <w:sz w:val="21"/>
                <w:highlight w:val="none"/>
                <w:lang w:val="en-US" w:eastAsia="zh-CN"/>
              </w:rPr>
              <w:t>S</w:t>
            </w:r>
          </w:p>
        </w:tc>
        <w:tc>
          <w:tcPr>
            <w:tcW w:w="333" w:type="pct"/>
            <w:vAlign w:val="center"/>
          </w:tcPr>
          <w:p>
            <w:pPr>
              <w:spacing w:line="240" w:lineRule="auto"/>
              <w:ind w:firstLine="0" w:firstLineChars="0"/>
              <w:jc w:val="center"/>
              <w:rPr>
                <w:sz w:val="21"/>
                <w:highlight w:val="none"/>
              </w:rPr>
            </w:pPr>
            <w:r>
              <w:rPr>
                <w:rFonts w:hint="eastAsia"/>
                <w:sz w:val="21"/>
                <w:highlight w:val="none"/>
              </w:rPr>
              <w:t>无组织</w:t>
            </w:r>
          </w:p>
        </w:tc>
        <w:tc>
          <w:tcPr>
            <w:tcW w:w="395" w:type="pct"/>
            <w:vAlign w:val="center"/>
          </w:tcPr>
          <w:p>
            <w:pPr>
              <w:spacing w:line="240" w:lineRule="auto"/>
              <w:ind w:firstLine="0" w:firstLineChars="0"/>
              <w:jc w:val="center"/>
              <w:rPr>
                <w:sz w:val="21"/>
                <w:highlight w:val="none"/>
              </w:rPr>
            </w:pPr>
            <w:r>
              <w:rPr>
                <w:rFonts w:hint="eastAsia"/>
                <w:sz w:val="21"/>
                <w:highlight w:val="none"/>
              </w:rPr>
              <w:t>0.33</w:t>
            </w:r>
            <w:r>
              <w:rPr>
                <w:sz w:val="21"/>
                <w:highlight w:val="none"/>
              </w:rPr>
              <w:t>t/a</w:t>
            </w:r>
          </w:p>
        </w:tc>
        <w:tc>
          <w:tcPr>
            <w:tcW w:w="476" w:type="pct"/>
            <w:vAlign w:val="center"/>
          </w:tcPr>
          <w:p>
            <w:pPr>
              <w:spacing w:line="240" w:lineRule="auto"/>
              <w:ind w:firstLine="0" w:firstLineChars="0"/>
              <w:jc w:val="center"/>
              <w:rPr>
                <w:sz w:val="21"/>
                <w:highlight w:val="none"/>
              </w:rPr>
            </w:pPr>
            <w:r>
              <w:rPr>
                <w:sz w:val="21"/>
                <w:highlight w:val="none"/>
              </w:rPr>
              <w:t>/</w:t>
            </w:r>
          </w:p>
        </w:tc>
        <w:tc>
          <w:tcPr>
            <w:tcW w:w="411" w:type="pct"/>
            <w:vAlign w:val="center"/>
          </w:tcPr>
          <w:p>
            <w:pPr>
              <w:spacing w:line="240" w:lineRule="auto"/>
              <w:ind w:firstLine="0" w:firstLineChars="0"/>
              <w:jc w:val="center"/>
              <w:rPr>
                <w:sz w:val="21"/>
                <w:highlight w:val="none"/>
              </w:rPr>
            </w:pPr>
            <w:r>
              <w:rPr>
                <w:sz w:val="21"/>
                <w:highlight w:val="none"/>
              </w:rPr>
              <w:t>/</w:t>
            </w:r>
          </w:p>
        </w:tc>
        <w:tc>
          <w:tcPr>
            <w:tcW w:w="391" w:type="pct"/>
            <w:vAlign w:val="center"/>
          </w:tcPr>
          <w:p>
            <w:pPr>
              <w:spacing w:line="240" w:lineRule="auto"/>
              <w:ind w:firstLine="0" w:firstLineChars="0"/>
              <w:jc w:val="center"/>
              <w:rPr>
                <w:sz w:val="21"/>
                <w:highlight w:val="none"/>
              </w:rPr>
            </w:pPr>
            <w:r>
              <w:rPr>
                <w:rFonts w:hint="eastAsia"/>
                <w:sz w:val="21"/>
                <w:highlight w:val="none"/>
              </w:rPr>
              <w:t>0.</w:t>
            </w:r>
            <w:r>
              <w:rPr>
                <w:rFonts w:hint="eastAsia"/>
                <w:sz w:val="21"/>
                <w:highlight w:val="none"/>
                <w:lang w:val="en-US" w:eastAsia="zh-CN"/>
              </w:rPr>
              <w:t>1</w:t>
            </w:r>
            <w:r>
              <w:rPr>
                <w:sz w:val="21"/>
                <w:highlight w:val="none"/>
              </w:rPr>
              <w:t>t/a</w:t>
            </w:r>
          </w:p>
        </w:tc>
        <w:tc>
          <w:tcPr>
            <w:tcW w:w="476" w:type="pct"/>
            <w:vAlign w:val="center"/>
          </w:tcPr>
          <w:p>
            <w:pPr>
              <w:spacing w:line="240" w:lineRule="auto"/>
              <w:ind w:firstLine="0" w:firstLineChars="0"/>
              <w:jc w:val="center"/>
              <w:rPr>
                <w:sz w:val="21"/>
                <w:highlight w:val="none"/>
              </w:rPr>
            </w:pPr>
            <w:r>
              <w:rPr>
                <w:sz w:val="21"/>
                <w:highlight w:val="none"/>
              </w:rPr>
              <w:t>/</w:t>
            </w:r>
          </w:p>
        </w:tc>
        <w:tc>
          <w:tcPr>
            <w:tcW w:w="411" w:type="pct"/>
            <w:vAlign w:val="center"/>
          </w:tcPr>
          <w:p>
            <w:pPr>
              <w:spacing w:line="240" w:lineRule="auto"/>
              <w:ind w:firstLine="0" w:firstLineChars="0"/>
              <w:jc w:val="center"/>
              <w:rPr>
                <w:sz w:val="21"/>
                <w:highlight w:val="none"/>
              </w:rPr>
            </w:pPr>
            <w:r>
              <w:rPr>
                <w:sz w:val="21"/>
                <w:highlight w:val="none"/>
              </w:rPr>
              <w:t>/</w:t>
            </w:r>
          </w:p>
        </w:tc>
        <w:tc>
          <w:tcPr>
            <w:tcW w:w="1411" w:type="pct"/>
            <w:vMerge w:val="continue"/>
            <w:tcBorders>
              <w:right w:val="single" w:color="auto" w:sz="12" w:space="0"/>
            </w:tcBorders>
            <w:vAlign w:val="center"/>
          </w:tcPr>
          <w:p>
            <w:pPr>
              <w:spacing w:line="240" w:lineRule="auto"/>
              <w:ind w:firstLine="0" w:firstLineChars="0"/>
              <w:jc w:val="center"/>
              <w:rPr>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restart"/>
            <w:tcBorders>
              <w:left w:val="single" w:color="auto" w:sz="12" w:space="0"/>
            </w:tcBorders>
            <w:vAlign w:val="center"/>
          </w:tcPr>
          <w:p>
            <w:pPr>
              <w:spacing w:line="240" w:lineRule="auto"/>
              <w:ind w:left="0" w:leftChars="0" w:firstLine="0" w:firstLineChars="0"/>
              <w:jc w:val="center"/>
              <w:rPr>
                <w:rFonts w:hint="default"/>
                <w:spacing w:val="4"/>
                <w:kern w:val="18"/>
                <w:sz w:val="21"/>
                <w:highlight w:val="none"/>
                <w:lang w:val="en-US" w:eastAsia="zh-CN"/>
              </w:rPr>
            </w:pPr>
            <w:r>
              <w:rPr>
                <w:rFonts w:hint="eastAsia"/>
                <w:spacing w:val="4"/>
                <w:kern w:val="18"/>
                <w:sz w:val="21"/>
                <w:highlight w:val="none"/>
                <w:lang w:val="en-US" w:eastAsia="zh-CN"/>
              </w:rPr>
              <w:t>废水处理站废气</w:t>
            </w:r>
          </w:p>
        </w:tc>
        <w:tc>
          <w:tcPr>
            <w:tcW w:w="28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NH</w:t>
            </w:r>
            <w:r>
              <w:rPr>
                <w:rFonts w:hint="eastAsia"/>
                <w:spacing w:val="4"/>
                <w:kern w:val="18"/>
                <w:sz w:val="21"/>
                <w:highlight w:val="none"/>
                <w:vertAlign w:val="subscript"/>
                <w:lang w:val="en-US" w:eastAsia="zh-CN"/>
              </w:rPr>
              <w:t>3</w:t>
            </w:r>
          </w:p>
        </w:tc>
        <w:tc>
          <w:tcPr>
            <w:tcW w:w="333"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无组织</w:t>
            </w:r>
          </w:p>
        </w:tc>
        <w:tc>
          <w:tcPr>
            <w:tcW w:w="39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1.663t/a</w:t>
            </w:r>
          </w:p>
        </w:tc>
        <w:tc>
          <w:tcPr>
            <w:tcW w:w="476"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0.499t/a</w:t>
            </w:r>
          </w:p>
        </w:tc>
        <w:tc>
          <w:tcPr>
            <w:tcW w:w="476" w:type="pct"/>
            <w:vAlign w:val="center"/>
          </w:tcPr>
          <w:p>
            <w:pPr>
              <w:adjustRightInd w:val="0"/>
              <w:snapToGrid w:val="0"/>
              <w:spacing w:line="240" w:lineRule="auto"/>
              <w:ind w:firstLine="0" w:firstLineChars="0"/>
              <w:jc w:val="center"/>
              <w:rPr>
                <w:sz w:val="21"/>
                <w:highlight w:val="none"/>
              </w:rPr>
            </w:pPr>
            <w:r>
              <w:rPr>
                <w:sz w:val="21"/>
                <w:highlight w:val="none"/>
              </w:rPr>
              <w:t>/</w:t>
            </w:r>
          </w:p>
        </w:tc>
        <w:tc>
          <w:tcPr>
            <w:tcW w:w="411" w:type="pct"/>
            <w:vAlign w:val="center"/>
          </w:tcPr>
          <w:p>
            <w:pPr>
              <w:adjustRightInd w:val="0"/>
              <w:snapToGrid w:val="0"/>
              <w:spacing w:line="240" w:lineRule="auto"/>
              <w:ind w:firstLine="0" w:firstLineChars="0"/>
              <w:jc w:val="center"/>
              <w:rPr>
                <w:spacing w:val="4"/>
                <w:kern w:val="18"/>
                <w:sz w:val="21"/>
                <w:highlight w:val="none"/>
              </w:rPr>
            </w:pPr>
            <w:r>
              <w:rPr>
                <w:sz w:val="21"/>
                <w:highlight w:val="none"/>
              </w:rPr>
              <w:t>/</w:t>
            </w:r>
          </w:p>
        </w:tc>
        <w:tc>
          <w:tcPr>
            <w:tcW w:w="1411" w:type="pct"/>
            <w:vMerge w:val="restart"/>
            <w:tcBorders>
              <w:right w:val="single" w:color="auto" w:sz="12" w:space="0"/>
            </w:tcBorders>
            <w:vAlign w:val="center"/>
          </w:tcPr>
          <w:p>
            <w:pPr>
              <w:spacing w:line="240" w:lineRule="auto"/>
              <w:ind w:firstLine="0" w:firstLineChars="0"/>
              <w:jc w:val="center"/>
              <w:rPr>
                <w:sz w:val="21"/>
                <w:highlight w:val="none"/>
              </w:rPr>
            </w:pPr>
            <w:r>
              <w:rPr>
                <w:rFonts w:hint="eastAsia"/>
                <w:sz w:val="21"/>
                <w:highlight w:val="none"/>
              </w:rPr>
              <w:t>污水前处理系统收集池喷洒除臭剂，并加强场区绿化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left="0" w:leftChars="0" w:firstLine="0" w:firstLineChars="0"/>
              <w:jc w:val="center"/>
              <w:rPr>
                <w:rFonts w:hint="eastAsia"/>
                <w:spacing w:val="4"/>
                <w:kern w:val="18"/>
                <w:sz w:val="21"/>
                <w:highlight w:val="none"/>
                <w:lang w:val="en-US" w:eastAsia="zh-CN"/>
              </w:rPr>
            </w:pPr>
          </w:p>
        </w:tc>
        <w:tc>
          <w:tcPr>
            <w:tcW w:w="28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H</w:t>
            </w:r>
            <w:r>
              <w:rPr>
                <w:rFonts w:hint="eastAsia"/>
                <w:spacing w:val="4"/>
                <w:kern w:val="18"/>
                <w:sz w:val="21"/>
                <w:highlight w:val="none"/>
                <w:vertAlign w:val="subscript"/>
                <w:lang w:val="en-US" w:eastAsia="zh-CN"/>
              </w:rPr>
              <w:t>2</w:t>
            </w:r>
            <w:r>
              <w:rPr>
                <w:rFonts w:hint="eastAsia"/>
                <w:spacing w:val="4"/>
                <w:kern w:val="18"/>
                <w:sz w:val="21"/>
                <w:highlight w:val="none"/>
                <w:lang w:val="en-US" w:eastAsia="zh-CN"/>
              </w:rPr>
              <w:t>S</w:t>
            </w:r>
          </w:p>
        </w:tc>
        <w:tc>
          <w:tcPr>
            <w:tcW w:w="333"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无组织</w:t>
            </w:r>
          </w:p>
        </w:tc>
        <w:tc>
          <w:tcPr>
            <w:tcW w:w="39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0.064t/a</w:t>
            </w:r>
          </w:p>
        </w:tc>
        <w:tc>
          <w:tcPr>
            <w:tcW w:w="476"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0.019t/a</w:t>
            </w:r>
          </w:p>
        </w:tc>
        <w:tc>
          <w:tcPr>
            <w:tcW w:w="476" w:type="pct"/>
            <w:vAlign w:val="center"/>
          </w:tcPr>
          <w:p>
            <w:pPr>
              <w:spacing w:line="240" w:lineRule="auto"/>
              <w:ind w:firstLine="0" w:firstLineChars="0"/>
              <w:jc w:val="center"/>
              <w:rPr>
                <w:sz w:val="21"/>
                <w:highlight w:val="none"/>
              </w:rPr>
            </w:pPr>
            <w:r>
              <w:rPr>
                <w:sz w:val="21"/>
                <w:highlight w:val="none"/>
              </w:rPr>
              <w:t>/</w:t>
            </w:r>
          </w:p>
        </w:tc>
        <w:tc>
          <w:tcPr>
            <w:tcW w:w="411" w:type="pct"/>
            <w:vAlign w:val="center"/>
          </w:tcPr>
          <w:p>
            <w:pPr>
              <w:spacing w:line="240" w:lineRule="auto"/>
              <w:ind w:firstLine="0" w:firstLineChars="0"/>
              <w:jc w:val="center"/>
              <w:rPr>
                <w:sz w:val="21"/>
                <w:highlight w:val="none"/>
              </w:rPr>
            </w:pPr>
            <w:r>
              <w:rPr>
                <w:sz w:val="21"/>
                <w:highlight w:val="none"/>
              </w:rPr>
              <w:t>/</w:t>
            </w:r>
          </w:p>
        </w:tc>
        <w:tc>
          <w:tcPr>
            <w:tcW w:w="1411" w:type="pct"/>
            <w:vMerge w:val="continue"/>
            <w:tcBorders>
              <w:right w:val="single" w:color="auto" w:sz="12" w:space="0"/>
            </w:tcBorders>
            <w:vAlign w:val="center"/>
          </w:tcPr>
          <w:p>
            <w:pPr>
              <w:spacing w:line="240" w:lineRule="auto"/>
              <w:ind w:firstLine="0" w:firstLineChars="0"/>
              <w:jc w:val="center"/>
              <w:rPr>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restart"/>
            <w:tcBorders>
              <w:left w:val="single" w:color="auto" w:sz="12" w:space="0"/>
            </w:tcBorders>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固粪处理区废气</w:t>
            </w:r>
          </w:p>
        </w:tc>
        <w:tc>
          <w:tcPr>
            <w:tcW w:w="28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NH</w:t>
            </w:r>
            <w:r>
              <w:rPr>
                <w:rFonts w:hint="eastAsia"/>
                <w:spacing w:val="4"/>
                <w:kern w:val="18"/>
                <w:sz w:val="21"/>
                <w:highlight w:val="none"/>
                <w:vertAlign w:val="subscript"/>
                <w:lang w:val="en-US" w:eastAsia="zh-CN"/>
              </w:rPr>
              <w:t>3</w:t>
            </w:r>
          </w:p>
        </w:tc>
        <w:tc>
          <w:tcPr>
            <w:tcW w:w="333"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无组织</w:t>
            </w:r>
          </w:p>
        </w:tc>
        <w:tc>
          <w:tcPr>
            <w:tcW w:w="39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2.044t/a</w:t>
            </w:r>
          </w:p>
        </w:tc>
        <w:tc>
          <w:tcPr>
            <w:tcW w:w="476"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0.613t/a</w:t>
            </w:r>
          </w:p>
        </w:tc>
        <w:tc>
          <w:tcPr>
            <w:tcW w:w="476" w:type="pct"/>
            <w:vAlign w:val="center"/>
          </w:tcPr>
          <w:p>
            <w:pPr>
              <w:adjustRightInd w:val="0"/>
              <w:snapToGrid w:val="0"/>
              <w:spacing w:line="240" w:lineRule="auto"/>
              <w:ind w:firstLine="0" w:firstLineChars="0"/>
              <w:jc w:val="center"/>
              <w:rPr>
                <w:rFonts w:hint="eastAsia"/>
                <w:sz w:val="21"/>
                <w:highlight w:val="none"/>
              </w:rPr>
            </w:pPr>
            <w:r>
              <w:rPr>
                <w:sz w:val="21"/>
                <w:highlight w:val="none"/>
              </w:rPr>
              <w:t>/</w:t>
            </w:r>
          </w:p>
        </w:tc>
        <w:tc>
          <w:tcPr>
            <w:tcW w:w="411" w:type="pct"/>
            <w:vAlign w:val="center"/>
          </w:tcPr>
          <w:p>
            <w:pPr>
              <w:adjustRightInd w:val="0"/>
              <w:snapToGrid w:val="0"/>
              <w:spacing w:line="240" w:lineRule="auto"/>
              <w:ind w:firstLine="0" w:firstLineChars="0"/>
              <w:jc w:val="center"/>
              <w:rPr>
                <w:sz w:val="21"/>
                <w:highlight w:val="none"/>
              </w:rPr>
            </w:pPr>
            <w:r>
              <w:rPr>
                <w:sz w:val="21"/>
                <w:highlight w:val="none"/>
              </w:rPr>
              <w:t>/</w:t>
            </w:r>
          </w:p>
        </w:tc>
        <w:tc>
          <w:tcPr>
            <w:tcW w:w="1411" w:type="pct"/>
            <w:vMerge w:val="restar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rPr>
              <w:t>固粪处理区喷洒除臭剂，并加强场区绿化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406" w:type="pct"/>
            <w:vMerge w:val="continue"/>
            <w:tcBorders>
              <w:left w:val="single" w:color="auto" w:sz="12" w:space="0"/>
            </w:tcBorders>
            <w:vAlign w:val="center"/>
          </w:tcPr>
          <w:p>
            <w:pPr>
              <w:spacing w:line="240" w:lineRule="auto"/>
              <w:ind w:left="0" w:leftChars="0" w:firstLine="0" w:firstLineChars="0"/>
              <w:jc w:val="center"/>
              <w:rPr>
                <w:rFonts w:hint="eastAsia"/>
                <w:spacing w:val="4"/>
                <w:kern w:val="18"/>
                <w:sz w:val="21"/>
                <w:highlight w:val="none"/>
                <w:lang w:val="en-US" w:eastAsia="zh-CN"/>
              </w:rPr>
            </w:pPr>
          </w:p>
        </w:tc>
        <w:tc>
          <w:tcPr>
            <w:tcW w:w="28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H</w:t>
            </w:r>
            <w:r>
              <w:rPr>
                <w:rFonts w:hint="eastAsia"/>
                <w:spacing w:val="4"/>
                <w:kern w:val="18"/>
                <w:sz w:val="21"/>
                <w:highlight w:val="none"/>
                <w:vertAlign w:val="subscript"/>
                <w:lang w:val="en-US" w:eastAsia="zh-CN"/>
              </w:rPr>
              <w:t>2</w:t>
            </w:r>
            <w:r>
              <w:rPr>
                <w:rFonts w:hint="eastAsia"/>
                <w:spacing w:val="4"/>
                <w:kern w:val="18"/>
                <w:sz w:val="21"/>
                <w:highlight w:val="none"/>
                <w:lang w:val="en-US" w:eastAsia="zh-CN"/>
              </w:rPr>
              <w:t>S</w:t>
            </w:r>
          </w:p>
        </w:tc>
        <w:tc>
          <w:tcPr>
            <w:tcW w:w="333"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无组织</w:t>
            </w:r>
          </w:p>
        </w:tc>
        <w:tc>
          <w:tcPr>
            <w:tcW w:w="39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0.123t/a</w:t>
            </w:r>
          </w:p>
        </w:tc>
        <w:tc>
          <w:tcPr>
            <w:tcW w:w="476"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0.037t/a</w:t>
            </w:r>
          </w:p>
        </w:tc>
        <w:tc>
          <w:tcPr>
            <w:tcW w:w="476" w:type="pct"/>
            <w:vAlign w:val="center"/>
          </w:tcPr>
          <w:p>
            <w:pPr>
              <w:spacing w:line="240" w:lineRule="auto"/>
              <w:ind w:firstLine="0" w:firstLineChars="0"/>
              <w:jc w:val="center"/>
              <w:rPr>
                <w:rFonts w:hint="eastAsia"/>
                <w:sz w:val="21"/>
                <w:highlight w:val="none"/>
              </w:rPr>
            </w:pPr>
            <w:r>
              <w:rPr>
                <w:sz w:val="21"/>
                <w:highlight w:val="none"/>
              </w:rPr>
              <w:t>/</w:t>
            </w:r>
          </w:p>
        </w:tc>
        <w:tc>
          <w:tcPr>
            <w:tcW w:w="411" w:type="pct"/>
            <w:vAlign w:val="center"/>
          </w:tcPr>
          <w:p>
            <w:pPr>
              <w:spacing w:line="240" w:lineRule="auto"/>
              <w:ind w:firstLine="0" w:firstLineChars="0"/>
              <w:jc w:val="center"/>
              <w:rPr>
                <w:sz w:val="21"/>
                <w:highlight w:val="none"/>
              </w:rPr>
            </w:pPr>
            <w:r>
              <w:rPr>
                <w:sz w:val="21"/>
                <w:highlight w:val="none"/>
              </w:rPr>
              <w:t>/</w:t>
            </w:r>
          </w:p>
        </w:tc>
        <w:tc>
          <w:tcPr>
            <w:tcW w:w="1411" w:type="pct"/>
            <w:vMerge w:val="continue"/>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restart"/>
            <w:tcBorders>
              <w:left w:val="single" w:color="auto" w:sz="12" w:space="0"/>
            </w:tcBorders>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沼液储存池废气</w:t>
            </w:r>
          </w:p>
        </w:tc>
        <w:tc>
          <w:tcPr>
            <w:tcW w:w="28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NH</w:t>
            </w:r>
            <w:r>
              <w:rPr>
                <w:rFonts w:hint="eastAsia"/>
                <w:spacing w:val="4"/>
                <w:kern w:val="18"/>
                <w:sz w:val="21"/>
                <w:highlight w:val="none"/>
                <w:vertAlign w:val="subscript"/>
                <w:lang w:val="en-US" w:eastAsia="zh-CN"/>
              </w:rPr>
              <w:t>3</w:t>
            </w:r>
          </w:p>
        </w:tc>
        <w:tc>
          <w:tcPr>
            <w:tcW w:w="333"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无组织</w:t>
            </w:r>
          </w:p>
        </w:tc>
        <w:tc>
          <w:tcPr>
            <w:tcW w:w="39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0.219t/a</w:t>
            </w:r>
          </w:p>
        </w:tc>
        <w:tc>
          <w:tcPr>
            <w:tcW w:w="476"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0.066t/a</w:t>
            </w:r>
          </w:p>
        </w:tc>
        <w:tc>
          <w:tcPr>
            <w:tcW w:w="476" w:type="pct"/>
            <w:vAlign w:val="center"/>
          </w:tcPr>
          <w:p>
            <w:pPr>
              <w:adjustRightInd w:val="0"/>
              <w:snapToGrid w:val="0"/>
              <w:spacing w:line="240" w:lineRule="auto"/>
              <w:ind w:firstLine="0" w:firstLineChars="0"/>
              <w:jc w:val="center"/>
              <w:rPr>
                <w:sz w:val="21"/>
                <w:highlight w:val="none"/>
              </w:rPr>
            </w:pPr>
            <w:r>
              <w:rPr>
                <w:sz w:val="21"/>
                <w:highlight w:val="none"/>
              </w:rPr>
              <w:t>/</w:t>
            </w:r>
          </w:p>
        </w:tc>
        <w:tc>
          <w:tcPr>
            <w:tcW w:w="411" w:type="pct"/>
            <w:vAlign w:val="center"/>
          </w:tcPr>
          <w:p>
            <w:pPr>
              <w:adjustRightInd w:val="0"/>
              <w:snapToGrid w:val="0"/>
              <w:spacing w:line="240" w:lineRule="auto"/>
              <w:ind w:firstLine="0" w:firstLineChars="0"/>
              <w:jc w:val="center"/>
              <w:rPr>
                <w:sz w:val="21"/>
                <w:highlight w:val="none"/>
              </w:rPr>
            </w:pPr>
            <w:r>
              <w:rPr>
                <w:sz w:val="21"/>
                <w:highlight w:val="none"/>
              </w:rPr>
              <w:t>/</w:t>
            </w:r>
          </w:p>
        </w:tc>
        <w:tc>
          <w:tcPr>
            <w:tcW w:w="1411" w:type="pct"/>
            <w:vMerge w:val="restar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rPr>
              <w:t>喷洒除臭剂，并加强场区绿化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left="0" w:leftChars="0" w:firstLine="0" w:firstLineChars="0"/>
              <w:jc w:val="center"/>
              <w:rPr>
                <w:rFonts w:hint="eastAsia"/>
                <w:spacing w:val="4"/>
                <w:kern w:val="18"/>
                <w:sz w:val="21"/>
                <w:highlight w:val="none"/>
                <w:lang w:val="en-US" w:eastAsia="zh-CN"/>
              </w:rPr>
            </w:pPr>
          </w:p>
        </w:tc>
        <w:tc>
          <w:tcPr>
            <w:tcW w:w="28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H</w:t>
            </w:r>
            <w:r>
              <w:rPr>
                <w:rFonts w:hint="eastAsia"/>
                <w:spacing w:val="4"/>
                <w:kern w:val="18"/>
                <w:sz w:val="21"/>
                <w:highlight w:val="none"/>
                <w:vertAlign w:val="subscript"/>
                <w:lang w:val="en-US" w:eastAsia="zh-CN"/>
              </w:rPr>
              <w:t>2</w:t>
            </w:r>
            <w:r>
              <w:rPr>
                <w:rFonts w:hint="eastAsia"/>
                <w:spacing w:val="4"/>
                <w:kern w:val="18"/>
                <w:sz w:val="21"/>
                <w:highlight w:val="none"/>
                <w:lang w:val="en-US" w:eastAsia="zh-CN"/>
              </w:rPr>
              <w:t>S</w:t>
            </w:r>
          </w:p>
        </w:tc>
        <w:tc>
          <w:tcPr>
            <w:tcW w:w="333"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无组织</w:t>
            </w:r>
          </w:p>
        </w:tc>
        <w:tc>
          <w:tcPr>
            <w:tcW w:w="395"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0.017t/a</w:t>
            </w:r>
          </w:p>
        </w:tc>
        <w:tc>
          <w:tcPr>
            <w:tcW w:w="476"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41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spacing w:line="240" w:lineRule="auto"/>
              <w:ind w:left="0" w:leftChars="0" w:firstLine="0" w:firstLineChars="0"/>
              <w:jc w:val="center"/>
              <w:rPr>
                <w:rFonts w:hint="eastAsia"/>
                <w:spacing w:val="4"/>
                <w:kern w:val="18"/>
                <w:sz w:val="21"/>
                <w:highlight w:val="none"/>
                <w:lang w:val="en-US" w:eastAsia="zh-CN"/>
              </w:rPr>
            </w:pPr>
            <w:r>
              <w:rPr>
                <w:rFonts w:hint="eastAsia"/>
                <w:spacing w:val="4"/>
                <w:kern w:val="18"/>
                <w:sz w:val="21"/>
                <w:highlight w:val="none"/>
                <w:lang w:val="en-US" w:eastAsia="zh-CN"/>
              </w:rPr>
              <w:t>0.004t/a</w:t>
            </w:r>
          </w:p>
        </w:tc>
        <w:tc>
          <w:tcPr>
            <w:tcW w:w="476" w:type="pct"/>
            <w:vAlign w:val="center"/>
          </w:tcPr>
          <w:p>
            <w:pPr>
              <w:spacing w:line="240" w:lineRule="auto"/>
              <w:ind w:firstLine="0" w:firstLineChars="0"/>
              <w:jc w:val="center"/>
              <w:rPr>
                <w:sz w:val="21"/>
                <w:highlight w:val="none"/>
              </w:rPr>
            </w:pPr>
            <w:r>
              <w:rPr>
                <w:sz w:val="21"/>
                <w:highlight w:val="none"/>
              </w:rPr>
              <w:t>/</w:t>
            </w:r>
          </w:p>
        </w:tc>
        <w:tc>
          <w:tcPr>
            <w:tcW w:w="411" w:type="pct"/>
            <w:vAlign w:val="center"/>
          </w:tcPr>
          <w:p>
            <w:pPr>
              <w:spacing w:line="240" w:lineRule="auto"/>
              <w:ind w:firstLine="0" w:firstLineChars="0"/>
              <w:jc w:val="center"/>
              <w:rPr>
                <w:sz w:val="21"/>
                <w:highlight w:val="none"/>
              </w:rPr>
            </w:pPr>
            <w:r>
              <w:rPr>
                <w:sz w:val="21"/>
                <w:highlight w:val="none"/>
              </w:rPr>
              <w:t>/</w:t>
            </w:r>
          </w:p>
        </w:tc>
        <w:tc>
          <w:tcPr>
            <w:tcW w:w="1411" w:type="pct"/>
            <w:vMerge w:val="continue"/>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restart"/>
            <w:tcBorders>
              <w:left w:val="single" w:color="auto" w:sz="12" w:space="0"/>
            </w:tcBorders>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eastAsia="zh-CN"/>
              </w:rPr>
              <w:t>锅炉燃烧废气</w:t>
            </w:r>
          </w:p>
        </w:tc>
        <w:tc>
          <w:tcPr>
            <w:tcW w:w="285" w:type="pct"/>
            <w:vAlign w:val="center"/>
          </w:tcPr>
          <w:p>
            <w:pPr>
              <w:adjustRightInd w:val="0"/>
              <w:snapToGrid w:val="0"/>
              <w:spacing w:line="240" w:lineRule="auto"/>
              <w:ind w:firstLine="0" w:firstLineChars="0"/>
              <w:jc w:val="center"/>
              <w:rPr>
                <w:rFonts w:hint="eastAsia"/>
                <w:sz w:val="21"/>
                <w:highlight w:val="none"/>
              </w:rPr>
            </w:pPr>
            <w:r>
              <w:rPr>
                <w:rFonts w:hint="eastAsia" w:cs="Times New Roman"/>
                <w:b w:val="0"/>
                <w:bCs/>
                <w:sz w:val="21"/>
                <w:szCs w:val="21"/>
                <w:highlight w:val="none"/>
              </w:rPr>
              <w:t>NO</w:t>
            </w:r>
            <w:r>
              <w:rPr>
                <w:rFonts w:hint="eastAsia" w:cs="Times New Roman"/>
                <w:b w:val="0"/>
                <w:bCs/>
                <w:sz w:val="21"/>
                <w:szCs w:val="21"/>
                <w:highlight w:val="none"/>
                <w:vertAlign w:val="subscript"/>
              </w:rPr>
              <w:t>X</w:t>
            </w:r>
          </w:p>
        </w:tc>
        <w:tc>
          <w:tcPr>
            <w:tcW w:w="333" w:type="pct"/>
            <w:vMerge w:val="restart"/>
            <w:vAlign w:val="center"/>
          </w:tcPr>
          <w:p>
            <w:pPr>
              <w:spacing w:line="240" w:lineRule="auto"/>
              <w:ind w:firstLine="0" w:firstLineChars="0"/>
              <w:jc w:val="center"/>
              <w:rPr>
                <w:sz w:val="21"/>
                <w:highlight w:val="none"/>
              </w:rPr>
            </w:pPr>
            <w:r>
              <w:rPr>
                <w:rFonts w:hint="eastAsia"/>
                <w:sz w:val="21"/>
                <w:highlight w:val="none"/>
              </w:rPr>
              <w:t>有组织</w:t>
            </w:r>
          </w:p>
        </w:tc>
        <w:tc>
          <w:tcPr>
            <w:tcW w:w="395"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lang w:val="en-US" w:eastAsia="zh-CN"/>
              </w:rPr>
              <w:t>1.26</w:t>
            </w:r>
            <w:r>
              <w:rPr>
                <w:rFonts w:hint="eastAsia"/>
                <w:spacing w:val="4"/>
                <w:kern w:val="18"/>
                <w:sz w:val="21"/>
                <w:highlight w:val="none"/>
                <w:lang w:val="en-US" w:eastAsia="zh-CN"/>
              </w:rPr>
              <w:t>t/a</w:t>
            </w:r>
          </w:p>
        </w:tc>
        <w:tc>
          <w:tcPr>
            <w:tcW w:w="476" w:type="pct"/>
            <w:vAlign w:val="center"/>
          </w:tcPr>
          <w:p>
            <w:pPr>
              <w:adjustRightInd w:val="0"/>
              <w:snapToGrid w:val="0"/>
              <w:spacing w:line="240" w:lineRule="auto"/>
              <w:ind w:firstLine="0" w:firstLineChars="0"/>
              <w:jc w:val="center"/>
              <w:rPr>
                <w:spacing w:val="4"/>
                <w:kern w:val="18"/>
                <w:sz w:val="21"/>
                <w:highlight w:val="none"/>
              </w:rPr>
            </w:pPr>
            <w:r>
              <w:rPr>
                <w:rFonts w:hint="eastAsia" w:cs="Times New Roman"/>
                <w:b w:val="0"/>
                <w:bCs/>
                <w:sz w:val="21"/>
                <w:szCs w:val="21"/>
                <w:highlight w:val="none"/>
                <w:lang w:val="en-US" w:eastAsia="zh-CN"/>
              </w:rPr>
              <w:t>122.6</w:t>
            </w:r>
            <w:r>
              <w:rPr>
                <w:sz w:val="21"/>
                <w:highlight w:val="none"/>
              </w:rPr>
              <w:t>mg/m³</w:t>
            </w:r>
          </w:p>
        </w:tc>
        <w:tc>
          <w:tcPr>
            <w:tcW w:w="411" w:type="pct"/>
            <w:vAlign w:val="center"/>
          </w:tcPr>
          <w:p>
            <w:pPr>
              <w:spacing w:line="240" w:lineRule="auto"/>
              <w:ind w:firstLine="0" w:firstLineChars="0"/>
              <w:jc w:val="center"/>
              <w:rPr>
                <w:rFonts w:hint="eastAsia" w:eastAsia="宋体"/>
                <w:spacing w:val="4"/>
                <w:kern w:val="18"/>
                <w:sz w:val="21"/>
                <w:highlight w:val="none"/>
                <w:lang w:val="en-US" w:eastAsia="zh-CN"/>
              </w:rPr>
            </w:pPr>
            <w:r>
              <w:rPr>
                <w:rFonts w:hint="eastAsia"/>
                <w:spacing w:val="4"/>
                <w:kern w:val="18"/>
                <w:sz w:val="21"/>
                <w:highlight w:val="none"/>
                <w:lang w:val="en-US" w:eastAsia="zh-CN"/>
              </w:rPr>
              <w:t>/</w:t>
            </w:r>
          </w:p>
        </w:tc>
        <w:tc>
          <w:tcPr>
            <w:tcW w:w="391"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rPr>
              <w:t>0.</w:t>
            </w:r>
            <w:r>
              <w:rPr>
                <w:rFonts w:hint="eastAsia" w:cs="Times New Roman"/>
                <w:b w:val="0"/>
                <w:bCs/>
                <w:sz w:val="21"/>
                <w:szCs w:val="21"/>
                <w:highlight w:val="none"/>
                <w:lang w:val="en-US" w:eastAsia="zh-CN"/>
              </w:rPr>
              <w:t>252</w:t>
            </w:r>
            <w:r>
              <w:rPr>
                <w:rFonts w:hint="eastAsia"/>
                <w:spacing w:val="4"/>
                <w:kern w:val="18"/>
                <w:sz w:val="21"/>
                <w:highlight w:val="none"/>
                <w:lang w:val="en-US" w:eastAsia="zh-CN"/>
              </w:rPr>
              <w:t>t/a</w:t>
            </w:r>
          </w:p>
        </w:tc>
        <w:tc>
          <w:tcPr>
            <w:tcW w:w="476" w:type="pct"/>
            <w:vAlign w:val="center"/>
          </w:tcPr>
          <w:p>
            <w:pPr>
              <w:adjustRightInd w:val="0"/>
              <w:snapToGrid w:val="0"/>
              <w:spacing w:line="240" w:lineRule="auto"/>
              <w:ind w:firstLine="0" w:firstLineChars="0"/>
              <w:jc w:val="center"/>
              <w:rPr>
                <w:spacing w:val="4"/>
                <w:kern w:val="18"/>
                <w:sz w:val="21"/>
                <w:highlight w:val="none"/>
              </w:rPr>
            </w:pPr>
            <w:r>
              <w:rPr>
                <w:rFonts w:hint="eastAsia" w:cs="Times New Roman"/>
                <w:b w:val="0"/>
                <w:bCs/>
                <w:sz w:val="21"/>
                <w:szCs w:val="21"/>
                <w:highlight w:val="none"/>
                <w:lang w:val="en-US" w:eastAsia="zh-CN"/>
              </w:rPr>
              <w:t>24.52</w:t>
            </w:r>
            <w:r>
              <w:rPr>
                <w:sz w:val="21"/>
                <w:highlight w:val="none"/>
              </w:rPr>
              <w:t>mg/m</w:t>
            </w:r>
            <w:r>
              <w:rPr>
                <w:sz w:val="21"/>
                <w:highlight w:val="none"/>
                <w:vertAlign w:val="superscript"/>
              </w:rPr>
              <w:t>3</w:t>
            </w:r>
          </w:p>
        </w:tc>
        <w:tc>
          <w:tcPr>
            <w:tcW w:w="411" w:type="pct"/>
            <w:vAlign w:val="center"/>
          </w:tcPr>
          <w:p>
            <w:pPr>
              <w:spacing w:line="240" w:lineRule="auto"/>
              <w:ind w:firstLine="0" w:firstLineChars="0"/>
              <w:jc w:val="center"/>
              <w:rPr>
                <w:rFonts w:hint="default" w:eastAsia="宋体"/>
                <w:spacing w:val="4"/>
                <w:kern w:val="18"/>
                <w:sz w:val="21"/>
                <w:highlight w:val="none"/>
                <w:lang w:val="en-US" w:eastAsia="zh-CN"/>
              </w:rPr>
            </w:pPr>
            <w:r>
              <w:rPr>
                <w:rFonts w:hint="eastAsia"/>
                <w:sz w:val="21"/>
                <w:highlight w:val="none"/>
                <w:lang w:val="en-US" w:eastAsia="zh-CN"/>
              </w:rPr>
              <w:t>0.07kg/h</w:t>
            </w:r>
          </w:p>
        </w:tc>
        <w:tc>
          <w:tcPr>
            <w:tcW w:w="1411" w:type="pct"/>
            <w:vMerge w:val="restart"/>
            <w:tcBorders>
              <w:right w:val="single" w:color="auto" w:sz="12" w:space="0"/>
            </w:tcBorders>
            <w:vAlign w:val="center"/>
          </w:tcPr>
          <w:p>
            <w:pPr>
              <w:spacing w:line="240" w:lineRule="auto"/>
              <w:ind w:firstLine="0" w:firstLineChars="0"/>
              <w:jc w:val="center"/>
              <w:rPr>
                <w:sz w:val="21"/>
                <w:highlight w:val="none"/>
              </w:rPr>
            </w:pPr>
            <w:r>
              <w:rPr>
                <w:rFonts w:hint="eastAsia"/>
                <w:sz w:val="21"/>
                <w:highlight w:val="none"/>
              </w:rPr>
              <w:t>高效低氮燃烧器+</w:t>
            </w:r>
            <w:r>
              <w:rPr>
                <w:rFonts w:hint="eastAsia"/>
                <w:sz w:val="21"/>
                <w:highlight w:val="none"/>
                <w:lang w:val="en-US" w:eastAsia="zh-CN"/>
              </w:rPr>
              <w:t>7#8</w:t>
            </w:r>
            <w:r>
              <w:rPr>
                <w:rFonts w:hint="eastAsia"/>
                <w:sz w:val="21"/>
                <w:highlight w:val="none"/>
              </w:rPr>
              <w:t>m排气筒</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sz w:val="21"/>
                <w:highlight w:val="none"/>
              </w:rPr>
            </w:pPr>
          </w:p>
        </w:tc>
        <w:tc>
          <w:tcPr>
            <w:tcW w:w="285"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rPr>
              <w:t>SO</w:t>
            </w:r>
            <w:r>
              <w:rPr>
                <w:rFonts w:hint="eastAsia" w:cs="Times New Roman"/>
                <w:b w:val="0"/>
                <w:bCs/>
                <w:sz w:val="21"/>
                <w:szCs w:val="21"/>
                <w:highlight w:val="none"/>
                <w:vertAlign w:val="subscript"/>
              </w:rPr>
              <w:t>2</w:t>
            </w:r>
          </w:p>
        </w:tc>
        <w:tc>
          <w:tcPr>
            <w:tcW w:w="333" w:type="pct"/>
            <w:vMerge w:val="continue"/>
            <w:vAlign w:val="center"/>
          </w:tcPr>
          <w:p>
            <w:pPr>
              <w:spacing w:line="240" w:lineRule="auto"/>
              <w:ind w:firstLine="0" w:firstLineChars="0"/>
              <w:jc w:val="center"/>
              <w:rPr>
                <w:sz w:val="21"/>
                <w:highlight w:val="none"/>
              </w:rPr>
            </w:pPr>
          </w:p>
        </w:tc>
        <w:tc>
          <w:tcPr>
            <w:tcW w:w="395"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lang w:val="en-US" w:eastAsia="zh-CN"/>
              </w:rPr>
              <w:t>0.028</w:t>
            </w:r>
            <w:r>
              <w:rPr>
                <w:rFonts w:hint="eastAsia"/>
                <w:spacing w:val="4"/>
                <w:kern w:val="18"/>
                <w:sz w:val="21"/>
                <w:highlight w:val="none"/>
                <w:lang w:val="en-US" w:eastAsia="zh-CN"/>
              </w:rPr>
              <w:t>t/a</w:t>
            </w:r>
          </w:p>
        </w:tc>
        <w:tc>
          <w:tcPr>
            <w:tcW w:w="476" w:type="pct"/>
            <w:vAlign w:val="center"/>
          </w:tcPr>
          <w:p>
            <w:pPr>
              <w:adjustRightInd w:val="0"/>
              <w:snapToGrid w:val="0"/>
              <w:spacing w:line="240" w:lineRule="auto"/>
              <w:ind w:firstLine="0" w:firstLineChars="0"/>
              <w:jc w:val="center"/>
              <w:rPr>
                <w:rFonts w:hint="eastAsia"/>
                <w:sz w:val="21"/>
                <w:highlight w:val="none"/>
              </w:rPr>
            </w:pPr>
            <w:r>
              <w:rPr>
                <w:rFonts w:hint="eastAsia" w:cs="Times New Roman"/>
                <w:b w:val="0"/>
                <w:bCs/>
                <w:sz w:val="21"/>
                <w:szCs w:val="21"/>
                <w:highlight w:val="none"/>
                <w:lang w:val="en-US" w:eastAsia="zh-CN"/>
              </w:rPr>
              <w:t>2.72</w:t>
            </w:r>
            <w:r>
              <w:rPr>
                <w:sz w:val="21"/>
                <w:highlight w:val="none"/>
              </w:rPr>
              <w:t>mg/m³</w:t>
            </w:r>
          </w:p>
        </w:tc>
        <w:tc>
          <w:tcPr>
            <w:tcW w:w="411" w:type="pct"/>
            <w:vAlign w:val="center"/>
          </w:tcPr>
          <w:p>
            <w:pPr>
              <w:spacing w:line="240" w:lineRule="auto"/>
              <w:ind w:firstLine="0" w:firstLineChars="0"/>
              <w:jc w:val="center"/>
              <w:rPr>
                <w:spacing w:val="4"/>
                <w:kern w:val="18"/>
                <w:sz w:val="21"/>
                <w:highlight w:val="none"/>
              </w:rPr>
            </w:pPr>
            <w:r>
              <w:rPr>
                <w:sz w:val="21"/>
                <w:highlight w:val="none"/>
              </w:rPr>
              <w:t>/</w:t>
            </w:r>
          </w:p>
        </w:tc>
        <w:tc>
          <w:tcPr>
            <w:tcW w:w="391"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rPr>
              <w:t>0.</w:t>
            </w:r>
            <w:r>
              <w:rPr>
                <w:rFonts w:hint="eastAsia" w:cs="Times New Roman"/>
                <w:b w:val="0"/>
                <w:bCs/>
                <w:sz w:val="21"/>
                <w:szCs w:val="21"/>
                <w:highlight w:val="none"/>
                <w:lang w:val="en-US" w:eastAsia="zh-CN"/>
              </w:rPr>
              <w:t>028</w:t>
            </w:r>
            <w:r>
              <w:rPr>
                <w:rFonts w:hint="eastAsia"/>
                <w:spacing w:val="4"/>
                <w:kern w:val="18"/>
                <w:sz w:val="21"/>
                <w:highlight w:val="none"/>
                <w:lang w:val="en-US" w:eastAsia="zh-CN"/>
              </w:rPr>
              <w:t>t/a</w:t>
            </w:r>
          </w:p>
        </w:tc>
        <w:tc>
          <w:tcPr>
            <w:tcW w:w="476" w:type="pct"/>
            <w:vAlign w:val="center"/>
          </w:tcPr>
          <w:p>
            <w:pPr>
              <w:adjustRightInd w:val="0"/>
              <w:snapToGrid w:val="0"/>
              <w:spacing w:line="240" w:lineRule="auto"/>
              <w:ind w:firstLine="0" w:firstLineChars="0"/>
              <w:jc w:val="center"/>
              <w:rPr>
                <w:spacing w:val="4"/>
                <w:kern w:val="18"/>
                <w:sz w:val="21"/>
                <w:highlight w:val="none"/>
              </w:rPr>
            </w:pPr>
            <w:r>
              <w:rPr>
                <w:rFonts w:hint="eastAsia" w:cs="Times New Roman"/>
                <w:b w:val="0"/>
                <w:bCs/>
                <w:sz w:val="21"/>
                <w:szCs w:val="21"/>
                <w:highlight w:val="none"/>
                <w:lang w:val="en-US" w:eastAsia="zh-CN"/>
              </w:rPr>
              <w:t>2.72</w:t>
            </w:r>
            <w:r>
              <w:rPr>
                <w:sz w:val="21"/>
                <w:highlight w:val="none"/>
              </w:rPr>
              <w:t>mg/m</w:t>
            </w:r>
            <w:r>
              <w:rPr>
                <w:sz w:val="21"/>
                <w:highlight w:val="none"/>
                <w:vertAlign w:val="superscript"/>
              </w:rPr>
              <w:t>3</w:t>
            </w:r>
          </w:p>
        </w:tc>
        <w:tc>
          <w:tcPr>
            <w:tcW w:w="411" w:type="pct"/>
            <w:vAlign w:val="center"/>
          </w:tcPr>
          <w:p>
            <w:pPr>
              <w:spacing w:line="240" w:lineRule="auto"/>
              <w:ind w:firstLine="0" w:firstLineChars="0"/>
              <w:jc w:val="center"/>
              <w:rPr>
                <w:rFonts w:hint="default" w:eastAsia="宋体"/>
                <w:spacing w:val="4"/>
                <w:kern w:val="18"/>
                <w:sz w:val="21"/>
                <w:highlight w:val="none"/>
                <w:lang w:val="en-US" w:eastAsia="zh-CN"/>
              </w:rPr>
            </w:pPr>
            <w:r>
              <w:rPr>
                <w:rFonts w:hint="eastAsia"/>
                <w:sz w:val="21"/>
                <w:highlight w:val="none"/>
                <w:lang w:val="en-US" w:eastAsia="zh-CN"/>
              </w:rPr>
              <w:t>0.0078kg/h</w:t>
            </w:r>
          </w:p>
        </w:tc>
        <w:tc>
          <w:tcPr>
            <w:tcW w:w="1411" w:type="pct"/>
            <w:vMerge w:val="continue"/>
            <w:tcBorders>
              <w:right w:val="single" w:color="auto" w:sz="12" w:space="0"/>
            </w:tcBorders>
            <w:vAlign w:val="center"/>
          </w:tcPr>
          <w:p>
            <w:pPr>
              <w:spacing w:line="240" w:lineRule="auto"/>
              <w:ind w:firstLine="0" w:firstLineChars="0"/>
              <w:jc w:val="center"/>
              <w:rPr>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sz w:val="21"/>
                <w:highlight w:val="none"/>
              </w:rPr>
            </w:pPr>
          </w:p>
        </w:tc>
        <w:tc>
          <w:tcPr>
            <w:tcW w:w="285"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rPr>
              <w:t>颗粒物</w:t>
            </w:r>
          </w:p>
        </w:tc>
        <w:tc>
          <w:tcPr>
            <w:tcW w:w="333" w:type="pct"/>
            <w:vMerge w:val="continue"/>
            <w:vAlign w:val="center"/>
          </w:tcPr>
          <w:p>
            <w:pPr>
              <w:spacing w:line="240" w:lineRule="auto"/>
              <w:ind w:firstLine="0" w:firstLineChars="0"/>
              <w:jc w:val="center"/>
              <w:rPr>
                <w:rFonts w:hint="eastAsia"/>
                <w:sz w:val="21"/>
                <w:highlight w:val="none"/>
              </w:rPr>
            </w:pPr>
          </w:p>
        </w:tc>
        <w:tc>
          <w:tcPr>
            <w:tcW w:w="395" w:type="pct"/>
            <w:vAlign w:val="center"/>
          </w:tcPr>
          <w:p>
            <w:pPr>
              <w:adjustRightInd w:val="0"/>
              <w:snapToGrid w:val="0"/>
              <w:spacing w:line="240" w:lineRule="auto"/>
              <w:ind w:firstLine="0" w:firstLineChars="0"/>
              <w:jc w:val="center"/>
              <w:rPr>
                <w:rFonts w:hint="eastAsia"/>
                <w:sz w:val="21"/>
                <w:highlight w:val="none"/>
              </w:rPr>
            </w:pPr>
            <w:r>
              <w:rPr>
                <w:rFonts w:hint="eastAsia" w:cs="Times New Roman"/>
                <w:b w:val="0"/>
                <w:bCs/>
                <w:sz w:val="21"/>
                <w:szCs w:val="21"/>
                <w:highlight w:val="none"/>
                <w:lang w:val="en-US" w:eastAsia="zh-CN"/>
              </w:rPr>
              <w:t>0.038</w:t>
            </w:r>
            <w:r>
              <w:rPr>
                <w:rFonts w:hint="eastAsia"/>
                <w:spacing w:val="4"/>
                <w:kern w:val="18"/>
                <w:sz w:val="21"/>
                <w:highlight w:val="none"/>
                <w:lang w:val="en-US" w:eastAsia="zh-CN"/>
              </w:rPr>
              <w:t>t/a</w:t>
            </w:r>
          </w:p>
        </w:tc>
        <w:tc>
          <w:tcPr>
            <w:tcW w:w="476" w:type="pct"/>
            <w:vAlign w:val="center"/>
          </w:tcPr>
          <w:p>
            <w:pPr>
              <w:adjustRightInd w:val="0"/>
              <w:snapToGrid w:val="0"/>
              <w:spacing w:line="240" w:lineRule="auto"/>
              <w:ind w:firstLine="0" w:firstLineChars="0"/>
              <w:jc w:val="center"/>
              <w:rPr>
                <w:rFonts w:hint="eastAsia"/>
                <w:sz w:val="21"/>
                <w:highlight w:val="none"/>
              </w:rPr>
            </w:pPr>
            <w:r>
              <w:rPr>
                <w:rFonts w:hint="eastAsia" w:cs="Times New Roman"/>
                <w:b w:val="0"/>
                <w:bCs/>
                <w:sz w:val="21"/>
                <w:szCs w:val="21"/>
                <w:highlight w:val="none"/>
                <w:lang w:val="en-US" w:eastAsia="zh-CN"/>
              </w:rPr>
              <w:t>3.70</w:t>
            </w:r>
            <w:r>
              <w:rPr>
                <w:sz w:val="21"/>
                <w:highlight w:val="none"/>
              </w:rPr>
              <w:t>mg/m³</w:t>
            </w:r>
          </w:p>
        </w:tc>
        <w:tc>
          <w:tcPr>
            <w:tcW w:w="411" w:type="pct"/>
            <w:vAlign w:val="center"/>
          </w:tcPr>
          <w:p>
            <w:pPr>
              <w:spacing w:line="240" w:lineRule="auto"/>
              <w:ind w:firstLine="0" w:firstLineChars="0"/>
              <w:jc w:val="center"/>
              <w:rPr>
                <w:rFonts w:hint="default" w:eastAsia="宋体"/>
                <w:sz w:val="21"/>
                <w:highlight w:val="none"/>
                <w:lang w:val="en-US" w:eastAsia="zh-CN"/>
              </w:rPr>
            </w:pPr>
            <w:r>
              <w:rPr>
                <w:rFonts w:hint="eastAsia"/>
                <w:sz w:val="21"/>
                <w:highlight w:val="none"/>
                <w:lang w:val="en-US" w:eastAsia="zh-CN"/>
              </w:rPr>
              <w:t>/</w:t>
            </w:r>
          </w:p>
        </w:tc>
        <w:tc>
          <w:tcPr>
            <w:tcW w:w="391" w:type="pct"/>
            <w:vAlign w:val="center"/>
          </w:tcPr>
          <w:p>
            <w:pPr>
              <w:adjustRightInd w:val="0"/>
              <w:snapToGrid w:val="0"/>
              <w:spacing w:line="240" w:lineRule="auto"/>
              <w:ind w:firstLine="0" w:firstLineChars="0"/>
              <w:jc w:val="center"/>
              <w:rPr>
                <w:rFonts w:hint="eastAsia"/>
                <w:sz w:val="21"/>
                <w:highlight w:val="none"/>
              </w:rPr>
            </w:pPr>
            <w:r>
              <w:rPr>
                <w:rFonts w:hint="eastAsia" w:cs="Times New Roman"/>
                <w:b w:val="0"/>
                <w:bCs/>
                <w:sz w:val="21"/>
                <w:szCs w:val="21"/>
                <w:highlight w:val="none"/>
              </w:rPr>
              <w:t>0.0</w:t>
            </w:r>
            <w:r>
              <w:rPr>
                <w:rFonts w:hint="eastAsia" w:cs="Times New Roman"/>
                <w:b w:val="0"/>
                <w:bCs/>
                <w:sz w:val="21"/>
                <w:szCs w:val="21"/>
                <w:highlight w:val="none"/>
                <w:lang w:val="en-US" w:eastAsia="zh-CN"/>
              </w:rPr>
              <w:t>38</w:t>
            </w:r>
            <w:r>
              <w:rPr>
                <w:rFonts w:hint="eastAsia"/>
                <w:spacing w:val="4"/>
                <w:kern w:val="18"/>
                <w:sz w:val="21"/>
                <w:highlight w:val="none"/>
                <w:lang w:val="en-US" w:eastAsia="zh-CN"/>
              </w:rPr>
              <w:t>t/a</w:t>
            </w:r>
          </w:p>
        </w:tc>
        <w:tc>
          <w:tcPr>
            <w:tcW w:w="476" w:type="pct"/>
            <w:vAlign w:val="center"/>
          </w:tcPr>
          <w:p>
            <w:pPr>
              <w:adjustRightInd w:val="0"/>
              <w:snapToGrid w:val="0"/>
              <w:spacing w:line="240" w:lineRule="auto"/>
              <w:ind w:firstLine="0" w:firstLineChars="0"/>
              <w:jc w:val="center"/>
              <w:rPr>
                <w:sz w:val="21"/>
                <w:highlight w:val="none"/>
              </w:rPr>
            </w:pPr>
            <w:r>
              <w:rPr>
                <w:rFonts w:hint="eastAsia" w:cs="Times New Roman"/>
                <w:b w:val="0"/>
                <w:bCs/>
                <w:sz w:val="21"/>
                <w:szCs w:val="21"/>
                <w:highlight w:val="none"/>
                <w:lang w:val="en-US" w:eastAsia="zh-CN"/>
              </w:rPr>
              <w:t>3.70</w:t>
            </w:r>
            <w:r>
              <w:rPr>
                <w:sz w:val="21"/>
                <w:highlight w:val="none"/>
              </w:rPr>
              <w:t>mg/m</w:t>
            </w:r>
            <w:r>
              <w:rPr>
                <w:sz w:val="21"/>
                <w:highlight w:val="none"/>
                <w:vertAlign w:val="superscript"/>
              </w:rPr>
              <w:t>3</w:t>
            </w:r>
          </w:p>
        </w:tc>
        <w:tc>
          <w:tcPr>
            <w:tcW w:w="411" w:type="pct"/>
            <w:vAlign w:val="center"/>
          </w:tcPr>
          <w:p>
            <w:pPr>
              <w:spacing w:line="240" w:lineRule="auto"/>
              <w:ind w:firstLine="0" w:firstLineChars="0"/>
              <w:jc w:val="center"/>
              <w:rPr>
                <w:rFonts w:hint="default" w:eastAsia="宋体"/>
                <w:sz w:val="21"/>
                <w:highlight w:val="none"/>
                <w:lang w:val="en-US" w:eastAsia="zh-CN"/>
              </w:rPr>
            </w:pPr>
            <w:r>
              <w:rPr>
                <w:rFonts w:hint="eastAsia"/>
                <w:sz w:val="21"/>
                <w:highlight w:val="none"/>
                <w:lang w:val="en-US" w:eastAsia="zh-CN"/>
              </w:rPr>
              <w:t>0.011kg/h</w:t>
            </w:r>
          </w:p>
        </w:tc>
        <w:tc>
          <w:tcPr>
            <w:tcW w:w="1411" w:type="pct"/>
            <w:vMerge w:val="continue"/>
            <w:tcBorders>
              <w:right w:val="single" w:color="auto" w:sz="12" w:space="0"/>
            </w:tcBorders>
            <w:vAlign w:val="center"/>
          </w:tcPr>
          <w:p>
            <w:pPr>
              <w:spacing w:line="240" w:lineRule="auto"/>
              <w:ind w:firstLine="0" w:firstLineChars="0"/>
              <w:jc w:val="center"/>
              <w:rPr>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91" w:type="pct"/>
            <w:gridSpan w:val="2"/>
            <w:tcBorders>
              <w:left w:val="single" w:color="auto" w:sz="12" w:space="0"/>
            </w:tcBorders>
            <w:vAlign w:val="center"/>
          </w:tcPr>
          <w:p>
            <w:pPr>
              <w:spacing w:line="240" w:lineRule="auto"/>
              <w:ind w:firstLine="0" w:firstLineChars="0"/>
              <w:jc w:val="center"/>
              <w:rPr>
                <w:sz w:val="21"/>
                <w:highlight w:val="none"/>
              </w:rPr>
            </w:pPr>
            <w:r>
              <w:rPr>
                <w:rFonts w:hint="eastAsia"/>
                <w:sz w:val="21"/>
                <w:highlight w:val="none"/>
              </w:rPr>
              <w:t>食堂油烟</w:t>
            </w:r>
          </w:p>
        </w:tc>
        <w:tc>
          <w:tcPr>
            <w:tcW w:w="333" w:type="pct"/>
            <w:vAlign w:val="center"/>
          </w:tcPr>
          <w:p>
            <w:pPr>
              <w:spacing w:line="240" w:lineRule="auto"/>
              <w:ind w:firstLine="0" w:firstLineChars="0"/>
              <w:jc w:val="center"/>
              <w:rPr>
                <w:sz w:val="21"/>
                <w:highlight w:val="none"/>
              </w:rPr>
            </w:pPr>
            <w:r>
              <w:rPr>
                <w:rFonts w:hint="eastAsia"/>
                <w:sz w:val="21"/>
                <w:highlight w:val="none"/>
              </w:rPr>
              <w:t>/</w:t>
            </w:r>
          </w:p>
        </w:tc>
        <w:tc>
          <w:tcPr>
            <w:tcW w:w="395" w:type="pct"/>
            <w:vAlign w:val="center"/>
          </w:tcPr>
          <w:p>
            <w:pPr>
              <w:spacing w:line="240" w:lineRule="auto"/>
              <w:ind w:firstLine="0" w:firstLineChars="0"/>
              <w:jc w:val="center"/>
              <w:rPr>
                <w:sz w:val="21"/>
                <w:highlight w:val="none"/>
              </w:rPr>
            </w:pPr>
            <w:r>
              <w:rPr>
                <w:rFonts w:hint="eastAsia"/>
                <w:sz w:val="21"/>
                <w:highlight w:val="none"/>
                <w:lang w:val="en-US" w:eastAsia="zh-CN"/>
              </w:rPr>
              <w:t>0.025t</w:t>
            </w:r>
            <w:r>
              <w:rPr>
                <w:sz w:val="21"/>
                <w:highlight w:val="none"/>
              </w:rPr>
              <w:t>/a</w:t>
            </w:r>
          </w:p>
        </w:tc>
        <w:tc>
          <w:tcPr>
            <w:tcW w:w="476" w:type="pct"/>
            <w:vAlign w:val="center"/>
          </w:tcPr>
          <w:p>
            <w:pPr>
              <w:spacing w:line="240" w:lineRule="auto"/>
              <w:ind w:firstLine="0" w:firstLineChars="0"/>
              <w:jc w:val="center"/>
              <w:rPr>
                <w:sz w:val="21"/>
                <w:highlight w:val="none"/>
              </w:rPr>
            </w:pPr>
            <w:r>
              <w:rPr>
                <w:rFonts w:hint="eastAsia"/>
                <w:sz w:val="21"/>
                <w:highlight w:val="none"/>
                <w:lang w:val="en-US" w:eastAsia="zh-CN"/>
              </w:rPr>
              <w:t>3.42</w:t>
            </w:r>
            <w:r>
              <w:rPr>
                <w:sz w:val="21"/>
                <w:highlight w:val="none"/>
              </w:rPr>
              <w:t>mg/m</w:t>
            </w:r>
            <w:r>
              <w:rPr>
                <w:sz w:val="21"/>
                <w:highlight w:val="none"/>
                <w:vertAlign w:val="superscript"/>
              </w:rPr>
              <w:t>3</w:t>
            </w:r>
          </w:p>
        </w:tc>
        <w:tc>
          <w:tcPr>
            <w:tcW w:w="411" w:type="pct"/>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val="en-US" w:eastAsia="zh-CN"/>
              </w:rPr>
              <w:t>/</w:t>
            </w:r>
          </w:p>
        </w:tc>
        <w:tc>
          <w:tcPr>
            <w:tcW w:w="391" w:type="pct"/>
            <w:vAlign w:val="center"/>
          </w:tcPr>
          <w:p>
            <w:pPr>
              <w:spacing w:line="240" w:lineRule="auto"/>
              <w:ind w:firstLine="0" w:firstLineChars="0"/>
              <w:jc w:val="center"/>
              <w:rPr>
                <w:sz w:val="21"/>
                <w:highlight w:val="none"/>
              </w:rPr>
            </w:pPr>
            <w:r>
              <w:rPr>
                <w:rFonts w:hint="eastAsia"/>
                <w:sz w:val="21"/>
                <w:highlight w:val="none"/>
                <w:lang w:val="en-US" w:eastAsia="zh-CN"/>
              </w:rPr>
              <w:t>0.0025t</w:t>
            </w:r>
            <w:r>
              <w:rPr>
                <w:sz w:val="21"/>
                <w:highlight w:val="none"/>
              </w:rPr>
              <w:t>/a</w:t>
            </w:r>
          </w:p>
        </w:tc>
        <w:tc>
          <w:tcPr>
            <w:tcW w:w="476" w:type="pct"/>
            <w:vAlign w:val="center"/>
          </w:tcPr>
          <w:p>
            <w:pPr>
              <w:spacing w:line="240" w:lineRule="auto"/>
              <w:ind w:firstLine="0" w:firstLineChars="0"/>
              <w:jc w:val="center"/>
              <w:rPr>
                <w:sz w:val="21"/>
                <w:highlight w:val="none"/>
              </w:rPr>
            </w:pPr>
            <w:r>
              <w:rPr>
                <w:rFonts w:hint="eastAsia"/>
                <w:sz w:val="21"/>
                <w:highlight w:val="none"/>
                <w:lang w:val="en-US" w:eastAsia="zh-CN"/>
              </w:rPr>
              <w:t>0.34</w:t>
            </w:r>
            <w:r>
              <w:rPr>
                <w:sz w:val="21"/>
                <w:highlight w:val="none"/>
              </w:rPr>
              <w:t>mg/m</w:t>
            </w:r>
            <w:r>
              <w:rPr>
                <w:sz w:val="21"/>
                <w:highlight w:val="none"/>
                <w:vertAlign w:val="superscript"/>
              </w:rPr>
              <w:t>3</w:t>
            </w:r>
          </w:p>
        </w:tc>
        <w:tc>
          <w:tcPr>
            <w:tcW w:w="411" w:type="pct"/>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val="en-US" w:eastAsia="zh-CN"/>
              </w:rPr>
              <w:t>/</w:t>
            </w:r>
          </w:p>
        </w:tc>
        <w:tc>
          <w:tcPr>
            <w:tcW w:w="1411" w:type="pct"/>
            <w:tcBorders>
              <w:right w:val="single" w:color="auto" w:sz="12" w:space="0"/>
            </w:tcBorders>
            <w:vAlign w:val="center"/>
          </w:tcPr>
          <w:p>
            <w:pPr>
              <w:spacing w:line="240" w:lineRule="auto"/>
              <w:ind w:firstLine="0" w:firstLineChars="0"/>
              <w:jc w:val="center"/>
              <w:rPr>
                <w:sz w:val="21"/>
                <w:highlight w:val="none"/>
              </w:rPr>
            </w:pPr>
            <w:r>
              <w:rPr>
                <w:rFonts w:hint="eastAsia"/>
                <w:sz w:val="21"/>
                <w:highlight w:val="none"/>
              </w:rPr>
              <w:t>采用油烟净化器处理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restart"/>
            <w:tcBorders>
              <w:left w:val="single" w:color="auto" w:sz="12" w:space="0"/>
            </w:tcBorders>
            <w:vAlign w:val="center"/>
          </w:tcPr>
          <w:p>
            <w:pPr>
              <w:spacing w:line="240" w:lineRule="auto"/>
              <w:ind w:firstLine="0" w:firstLineChars="0"/>
              <w:jc w:val="center"/>
              <w:rPr>
                <w:rFonts w:hint="default" w:eastAsia="宋体"/>
                <w:sz w:val="21"/>
                <w:highlight w:val="none"/>
                <w:lang w:val="en-US" w:eastAsia="zh-CN"/>
              </w:rPr>
            </w:pPr>
            <w:r>
              <w:rPr>
                <w:rFonts w:hint="eastAsia"/>
                <w:sz w:val="21"/>
                <w:highlight w:val="none"/>
                <w:lang w:val="en-US" w:eastAsia="zh-CN"/>
              </w:rPr>
              <w:t>饲料加工</w:t>
            </w:r>
          </w:p>
        </w:tc>
        <w:tc>
          <w:tcPr>
            <w:tcW w:w="285" w:type="pct"/>
            <w:vMerge w:val="restart"/>
            <w:vAlign w:val="center"/>
          </w:tcPr>
          <w:p>
            <w:pPr>
              <w:spacing w:line="240" w:lineRule="auto"/>
              <w:ind w:firstLine="0" w:firstLineChars="0"/>
              <w:jc w:val="center"/>
              <w:rPr>
                <w:rFonts w:hint="default"/>
                <w:sz w:val="21"/>
                <w:highlight w:val="none"/>
                <w:lang w:val="en-US" w:eastAsia="zh-CN"/>
              </w:rPr>
            </w:pPr>
            <w:r>
              <w:rPr>
                <w:rFonts w:hint="eastAsia"/>
                <w:sz w:val="21"/>
                <w:highlight w:val="none"/>
                <w:lang w:val="en-US" w:eastAsia="zh-CN"/>
              </w:rPr>
              <w:t>接收粉尘1</w:t>
            </w: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有组织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1.23</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43.8</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0.34</w:t>
            </w:r>
            <w:r>
              <w:rPr>
                <w:sz w:val="21"/>
                <w:highlight w:val="none"/>
              </w:rPr>
              <w:t>kg/h</w:t>
            </w:r>
          </w:p>
        </w:tc>
        <w:tc>
          <w:tcPr>
            <w:tcW w:w="39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lang w:val="en-US" w:eastAsia="zh-CN"/>
              </w:rPr>
              <w:t>0615</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2.19</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rPr>
              <w:t>0</w:t>
            </w:r>
            <w:r>
              <w:rPr>
                <w:rFonts w:hint="eastAsia"/>
                <w:sz w:val="21"/>
                <w:highlight w:val="none"/>
                <w:lang w:val="en-US" w:eastAsia="zh-CN"/>
              </w:rPr>
              <w:t>17</w:t>
            </w:r>
            <w:r>
              <w:rPr>
                <w:sz w:val="21"/>
                <w:highlight w:val="none"/>
              </w:rPr>
              <w:t>kg/h</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lang w:val="en-US" w:eastAsia="zh-CN"/>
              </w:rPr>
              <w:t>负压收集+2</w:t>
            </w:r>
            <w:r>
              <w:rPr>
                <w:rFonts w:hint="eastAsia"/>
                <w:sz w:val="21"/>
                <w:highlight w:val="none"/>
              </w:rPr>
              <w:t>套脉冲除尘器</w:t>
            </w:r>
            <w:r>
              <w:rPr>
                <w:rFonts w:hint="eastAsia"/>
                <w:sz w:val="21"/>
                <w:highlight w:val="none"/>
                <w:lang w:val="en-US" w:eastAsia="zh-CN"/>
              </w:rPr>
              <w:t>+1#</w:t>
            </w:r>
            <w:r>
              <w:rPr>
                <w:rFonts w:hint="eastAsia"/>
                <w:sz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lang w:val="en-US" w:eastAsia="zh-CN"/>
              </w:rPr>
            </w:pPr>
          </w:p>
        </w:tc>
        <w:tc>
          <w:tcPr>
            <w:tcW w:w="285" w:type="pct"/>
            <w:vMerge w:val="continue"/>
            <w:vAlign w:val="center"/>
          </w:tcPr>
          <w:p>
            <w:pPr>
              <w:spacing w:line="240" w:lineRule="auto"/>
              <w:ind w:firstLine="0" w:firstLineChars="0"/>
              <w:jc w:val="center"/>
              <w:rPr>
                <w:rFonts w:hint="eastAsia"/>
                <w:sz w:val="21"/>
                <w:highlight w:val="none"/>
                <w:lang w:val="en-US" w:eastAsia="zh-CN"/>
              </w:rPr>
            </w:pP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无组织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0.0615t/a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39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rPr>
              <w:t>0</w:t>
            </w:r>
            <w:r>
              <w:rPr>
                <w:rFonts w:hint="eastAsia"/>
                <w:sz w:val="21"/>
                <w:highlight w:val="none"/>
                <w:lang w:val="en-US" w:eastAsia="zh-CN"/>
              </w:rPr>
              <w:t>615</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restart"/>
            <w:vAlign w:val="center"/>
          </w:tcPr>
          <w:p>
            <w:pPr>
              <w:spacing w:line="240" w:lineRule="auto"/>
              <w:ind w:firstLine="0" w:firstLineChars="0"/>
              <w:jc w:val="center"/>
              <w:rPr>
                <w:rFonts w:hint="eastAsia"/>
                <w:sz w:val="21"/>
                <w:highlight w:val="none"/>
              </w:rPr>
            </w:pPr>
            <w:r>
              <w:rPr>
                <w:rFonts w:hint="eastAsia"/>
                <w:sz w:val="21"/>
                <w:highlight w:val="none"/>
                <w:lang w:val="en-US" w:eastAsia="zh-CN"/>
              </w:rPr>
              <w:t>接收粉尘2</w:t>
            </w: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有组织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1.23</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43.8</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0.34</w:t>
            </w:r>
            <w:r>
              <w:rPr>
                <w:sz w:val="21"/>
                <w:highlight w:val="none"/>
              </w:rPr>
              <w:t>kg/h</w:t>
            </w:r>
          </w:p>
        </w:tc>
        <w:tc>
          <w:tcPr>
            <w:tcW w:w="39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lang w:val="en-US" w:eastAsia="zh-CN"/>
              </w:rPr>
              <w:t>0615</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2.19</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rPr>
              <w:t>0</w:t>
            </w:r>
            <w:r>
              <w:rPr>
                <w:rFonts w:hint="eastAsia"/>
                <w:sz w:val="21"/>
                <w:highlight w:val="none"/>
                <w:lang w:val="en-US" w:eastAsia="zh-CN"/>
              </w:rPr>
              <w:t>17</w:t>
            </w:r>
            <w:r>
              <w:rPr>
                <w:sz w:val="21"/>
                <w:highlight w:val="none"/>
              </w:rPr>
              <w:t>kg/h</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lang w:val="en-US" w:eastAsia="zh-CN"/>
              </w:rPr>
              <w:t>负压收集+2</w:t>
            </w:r>
            <w:r>
              <w:rPr>
                <w:rFonts w:hint="eastAsia"/>
                <w:sz w:val="21"/>
                <w:highlight w:val="none"/>
              </w:rPr>
              <w:t>套脉冲除尘器</w:t>
            </w:r>
            <w:r>
              <w:rPr>
                <w:rFonts w:hint="eastAsia"/>
                <w:sz w:val="21"/>
                <w:highlight w:val="none"/>
                <w:lang w:val="en-US" w:eastAsia="zh-CN"/>
              </w:rPr>
              <w:t>+2#</w:t>
            </w:r>
            <w:r>
              <w:rPr>
                <w:rFonts w:hint="eastAsia"/>
                <w:sz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continue"/>
            <w:vAlign w:val="center"/>
          </w:tcPr>
          <w:p>
            <w:pPr>
              <w:spacing w:line="240" w:lineRule="auto"/>
              <w:ind w:firstLine="0" w:firstLineChars="0"/>
              <w:jc w:val="center"/>
              <w:rPr>
                <w:rFonts w:hint="eastAsia"/>
                <w:sz w:val="21"/>
                <w:highlight w:val="none"/>
                <w:lang w:val="en-US" w:eastAsia="zh-CN"/>
              </w:rPr>
            </w:pP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无组织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0.0615t/a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39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rPr>
              <w:t>0</w:t>
            </w:r>
            <w:r>
              <w:rPr>
                <w:rFonts w:hint="eastAsia"/>
                <w:sz w:val="21"/>
                <w:highlight w:val="none"/>
                <w:lang w:val="en-US" w:eastAsia="zh-CN"/>
              </w:rPr>
              <w:t>615</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restart"/>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eastAsia="zh-CN"/>
              </w:rPr>
              <w:t>初清粉尘</w:t>
            </w: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有组织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w:t>
            </w:r>
            <w:r>
              <w:rPr>
                <w:rFonts w:hint="eastAsia"/>
                <w:sz w:val="21"/>
                <w:highlight w:val="none"/>
                <w:lang w:val="en-US" w:eastAsia="zh-CN"/>
              </w:rPr>
              <w:t>7353</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26.15</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w:t>
            </w:r>
            <w:r>
              <w:rPr>
                <w:rFonts w:hint="eastAsia"/>
                <w:sz w:val="21"/>
                <w:highlight w:val="none"/>
                <w:lang w:val="en-US" w:eastAsia="zh-CN"/>
              </w:rPr>
              <w:t>204</w:t>
            </w:r>
            <w:r>
              <w:rPr>
                <w:sz w:val="21"/>
                <w:highlight w:val="none"/>
              </w:rPr>
              <w:t>kg/h</w:t>
            </w:r>
          </w:p>
        </w:tc>
        <w:tc>
          <w:tcPr>
            <w:tcW w:w="39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lang w:val="en-US" w:eastAsia="zh-CN"/>
              </w:rPr>
              <w:t>015</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w:t>
            </w:r>
            <w:r>
              <w:rPr>
                <w:rFonts w:hint="eastAsia"/>
                <w:sz w:val="21"/>
                <w:highlight w:val="none"/>
                <w:lang w:val="en-US" w:eastAsia="zh-CN"/>
              </w:rPr>
              <w:t>523</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rPr>
              <w:t>00</w:t>
            </w:r>
            <w:r>
              <w:rPr>
                <w:rFonts w:hint="eastAsia"/>
                <w:sz w:val="21"/>
                <w:highlight w:val="none"/>
                <w:lang w:val="en-US" w:eastAsia="zh-CN"/>
              </w:rPr>
              <w:t>4</w:t>
            </w:r>
            <w:r>
              <w:rPr>
                <w:sz w:val="21"/>
                <w:highlight w:val="none"/>
              </w:rPr>
              <w:t>kg/h</w:t>
            </w:r>
          </w:p>
        </w:tc>
        <w:tc>
          <w:tcPr>
            <w:tcW w:w="1411" w:type="pct"/>
            <w:tcBorders>
              <w:right w:val="single" w:color="auto" w:sz="12" w:space="0"/>
            </w:tcBorders>
            <w:vAlign w:val="center"/>
          </w:tcPr>
          <w:p>
            <w:pPr>
              <w:spacing w:line="240" w:lineRule="auto"/>
              <w:ind w:firstLine="0" w:firstLineChars="0"/>
              <w:jc w:val="center"/>
              <w:rPr>
                <w:rFonts w:hint="default" w:eastAsia="宋体"/>
                <w:sz w:val="21"/>
                <w:highlight w:val="none"/>
                <w:lang w:val="en-US" w:eastAsia="zh-CN"/>
              </w:rPr>
            </w:pPr>
            <w:r>
              <w:rPr>
                <w:rFonts w:hint="eastAsia"/>
                <w:sz w:val="21"/>
                <w:highlight w:val="none"/>
                <w:lang w:eastAsia="zh-CN"/>
              </w:rPr>
              <w:t>收集</w:t>
            </w:r>
            <w:r>
              <w:rPr>
                <w:rFonts w:hint="eastAsia"/>
                <w:sz w:val="21"/>
                <w:highlight w:val="none"/>
                <w:lang w:val="en-US" w:eastAsia="zh-CN"/>
              </w:rPr>
              <w:t>+1套沙克龙除尘器+脉冲袋式除尘器+3#</w:t>
            </w:r>
            <w:r>
              <w:rPr>
                <w:rFonts w:hint="eastAsia"/>
                <w:sz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continue"/>
            <w:vAlign w:val="center"/>
          </w:tcPr>
          <w:p>
            <w:pPr>
              <w:spacing w:line="240" w:lineRule="auto"/>
              <w:ind w:firstLine="0" w:firstLineChars="0"/>
              <w:jc w:val="center"/>
              <w:rPr>
                <w:rFonts w:hint="eastAsia"/>
                <w:sz w:val="21"/>
                <w:highlight w:val="none"/>
                <w:lang w:eastAsia="zh-CN"/>
              </w:rPr>
            </w:pP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无组织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0.0387</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391"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0.0387</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restart"/>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eastAsia="zh-CN"/>
              </w:rPr>
              <w:t>辅料投加粉尘</w:t>
            </w: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有组织</w:t>
            </w:r>
          </w:p>
        </w:tc>
        <w:tc>
          <w:tcPr>
            <w:tcW w:w="395"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0.2451</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22.67</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0.068</w:t>
            </w:r>
            <w:r>
              <w:rPr>
                <w:sz w:val="21"/>
                <w:highlight w:val="none"/>
              </w:rPr>
              <w:t>kg/h</w:t>
            </w:r>
          </w:p>
        </w:tc>
        <w:tc>
          <w:tcPr>
            <w:tcW w:w="391"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rPr>
              <w:t>0.012</w:t>
            </w:r>
            <w:r>
              <w:rPr>
                <w:sz w:val="21"/>
                <w:highlight w:val="none"/>
              </w:rPr>
              <w:t>t/a</w:t>
            </w:r>
          </w:p>
        </w:tc>
        <w:tc>
          <w:tcPr>
            <w:tcW w:w="476" w:type="pct"/>
            <w:vAlign w:val="center"/>
          </w:tcPr>
          <w:p>
            <w:pPr>
              <w:spacing w:line="240" w:lineRule="auto"/>
              <w:ind w:firstLine="0" w:firstLineChars="0"/>
              <w:jc w:val="center"/>
              <w:rPr>
                <w:rFonts w:hint="eastAsia"/>
                <w:sz w:val="21"/>
                <w:highlight w:val="none"/>
                <w:lang w:val="en-US" w:eastAsia="zh-CN"/>
              </w:rPr>
            </w:pPr>
            <w:r>
              <w:rPr>
                <w:rFonts w:hint="eastAsia"/>
                <w:sz w:val="21"/>
                <w:highlight w:val="none"/>
                <w:lang w:val="en-US" w:eastAsia="zh-CN"/>
              </w:rPr>
              <w:t>1.13</w:t>
            </w:r>
            <w:r>
              <w:rPr>
                <w:sz w:val="21"/>
                <w:highlight w:val="none"/>
              </w:rPr>
              <w:t>mg/m³</w:t>
            </w:r>
          </w:p>
        </w:tc>
        <w:tc>
          <w:tcPr>
            <w:tcW w:w="411" w:type="pct"/>
            <w:vAlign w:val="center"/>
          </w:tcPr>
          <w:p>
            <w:pPr>
              <w:spacing w:line="240" w:lineRule="auto"/>
              <w:ind w:firstLine="0" w:firstLineChars="0"/>
              <w:jc w:val="center"/>
              <w:rPr>
                <w:rFonts w:hint="eastAsia"/>
                <w:sz w:val="21"/>
                <w:highlight w:val="none"/>
                <w:lang w:val="en-US" w:eastAsia="zh-CN"/>
              </w:rPr>
            </w:pPr>
            <w:r>
              <w:rPr>
                <w:sz w:val="21"/>
                <w:highlight w:val="none"/>
              </w:rPr>
              <w:t>0.</w:t>
            </w:r>
            <w:r>
              <w:rPr>
                <w:rFonts w:hint="eastAsia"/>
                <w:sz w:val="21"/>
                <w:highlight w:val="none"/>
              </w:rPr>
              <w:t>00</w:t>
            </w:r>
            <w:r>
              <w:rPr>
                <w:rFonts w:hint="eastAsia"/>
                <w:sz w:val="21"/>
                <w:highlight w:val="none"/>
                <w:lang w:val="en-US" w:eastAsia="zh-CN"/>
              </w:rPr>
              <w:t>34</w:t>
            </w:r>
            <w:r>
              <w:rPr>
                <w:sz w:val="21"/>
                <w:highlight w:val="none"/>
              </w:rPr>
              <w:t>kg/h</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lang w:eastAsia="zh-CN"/>
              </w:rPr>
              <w:t>收集</w:t>
            </w:r>
            <w:r>
              <w:rPr>
                <w:rFonts w:hint="eastAsia"/>
                <w:sz w:val="21"/>
                <w:highlight w:val="none"/>
                <w:lang w:val="en-US" w:eastAsia="zh-CN"/>
              </w:rPr>
              <w:t>+1套脉冲袋式除尘器+4#</w:t>
            </w:r>
            <w:r>
              <w:rPr>
                <w:rFonts w:hint="eastAsia"/>
                <w:sz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continue"/>
            <w:vAlign w:val="center"/>
          </w:tcPr>
          <w:p>
            <w:pPr>
              <w:spacing w:line="240" w:lineRule="auto"/>
              <w:ind w:firstLine="0" w:firstLineChars="0"/>
              <w:jc w:val="center"/>
              <w:rPr>
                <w:rFonts w:hint="eastAsia"/>
                <w:sz w:val="21"/>
                <w:highlight w:val="none"/>
                <w:lang w:eastAsia="zh-CN"/>
              </w:rPr>
            </w:pP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无组织</w:t>
            </w:r>
          </w:p>
        </w:tc>
        <w:tc>
          <w:tcPr>
            <w:tcW w:w="395"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rPr>
              <w:t>0.0129</w:t>
            </w:r>
            <w:r>
              <w:rPr>
                <w:sz w:val="21"/>
                <w:szCs w:val="21"/>
                <w:highlight w:val="none"/>
              </w:rPr>
              <w:t>t/a</w:t>
            </w:r>
          </w:p>
        </w:tc>
        <w:tc>
          <w:tcPr>
            <w:tcW w:w="476"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411"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391"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rPr>
              <w:t>0.0129</w:t>
            </w:r>
            <w:r>
              <w:rPr>
                <w:sz w:val="21"/>
                <w:szCs w:val="21"/>
                <w:highlight w:val="none"/>
              </w:rPr>
              <w:t>t/a</w:t>
            </w:r>
          </w:p>
        </w:tc>
        <w:tc>
          <w:tcPr>
            <w:tcW w:w="476"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411"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restart"/>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eastAsia="zh-CN"/>
              </w:rPr>
              <w:t>粉碎粉尘</w:t>
            </w: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有组织</w:t>
            </w:r>
          </w:p>
        </w:tc>
        <w:tc>
          <w:tcPr>
            <w:tcW w:w="395" w:type="pct"/>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0.7353t/a</w:t>
            </w:r>
          </w:p>
        </w:tc>
        <w:tc>
          <w:tcPr>
            <w:tcW w:w="476"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25.5</w:t>
            </w:r>
            <w:r>
              <w:rPr>
                <w:b w:val="0"/>
                <w:bCs w:val="0"/>
                <w:color w:val="000000"/>
                <w:sz w:val="21"/>
                <w:szCs w:val="21"/>
                <w:highlight w:val="none"/>
                <w:u w:val="none"/>
              </w:rPr>
              <w:t>mg/m</w:t>
            </w:r>
            <w:r>
              <w:rPr>
                <w:b w:val="0"/>
                <w:bCs w:val="0"/>
                <w:color w:val="000000"/>
                <w:sz w:val="21"/>
                <w:szCs w:val="21"/>
                <w:highlight w:val="none"/>
                <w:u w:val="none"/>
                <w:vertAlign w:val="superscript"/>
              </w:rPr>
              <w:t>3</w:t>
            </w:r>
          </w:p>
        </w:tc>
        <w:tc>
          <w:tcPr>
            <w:tcW w:w="411" w:type="pct"/>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0.204kg/h</w:t>
            </w:r>
          </w:p>
        </w:tc>
        <w:tc>
          <w:tcPr>
            <w:tcW w:w="391"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0.037</w:t>
            </w:r>
            <w:r>
              <w:rPr>
                <w:b w:val="0"/>
                <w:bCs w:val="0"/>
                <w:color w:val="000000"/>
                <w:sz w:val="21"/>
                <w:szCs w:val="21"/>
                <w:highlight w:val="none"/>
                <w:u w:val="none"/>
              </w:rPr>
              <w:t>t/a</w:t>
            </w:r>
          </w:p>
        </w:tc>
        <w:tc>
          <w:tcPr>
            <w:tcW w:w="476"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1.275</w:t>
            </w:r>
            <w:r>
              <w:rPr>
                <w:b w:val="0"/>
                <w:bCs w:val="0"/>
                <w:color w:val="000000"/>
                <w:sz w:val="21"/>
                <w:szCs w:val="21"/>
                <w:highlight w:val="none"/>
                <w:u w:val="none"/>
              </w:rPr>
              <w:t>mg/m</w:t>
            </w:r>
            <w:r>
              <w:rPr>
                <w:b w:val="0"/>
                <w:bCs w:val="0"/>
                <w:color w:val="000000"/>
                <w:sz w:val="21"/>
                <w:szCs w:val="21"/>
                <w:highlight w:val="none"/>
                <w:u w:val="none"/>
                <w:vertAlign w:val="superscript"/>
              </w:rPr>
              <w:t>3</w:t>
            </w:r>
          </w:p>
        </w:tc>
        <w:tc>
          <w:tcPr>
            <w:tcW w:w="411"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0.01</w:t>
            </w:r>
            <w:r>
              <w:rPr>
                <w:b w:val="0"/>
                <w:bCs w:val="0"/>
                <w:color w:val="000000"/>
                <w:sz w:val="21"/>
                <w:szCs w:val="21"/>
                <w:highlight w:val="none"/>
                <w:u w:val="none"/>
              </w:rPr>
              <w:t>kg/h</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lang w:eastAsia="zh-CN"/>
              </w:rPr>
              <w:t>收集</w:t>
            </w:r>
            <w:r>
              <w:rPr>
                <w:rFonts w:hint="eastAsia"/>
                <w:sz w:val="21"/>
                <w:highlight w:val="none"/>
                <w:lang w:val="en-US" w:eastAsia="zh-CN"/>
              </w:rPr>
              <w:t>+1套脉冲袋式除尘器+5#</w:t>
            </w:r>
            <w:r>
              <w:rPr>
                <w:rFonts w:hint="eastAsia"/>
                <w:sz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continue"/>
            <w:vAlign w:val="center"/>
          </w:tcPr>
          <w:p>
            <w:pPr>
              <w:spacing w:line="240" w:lineRule="auto"/>
              <w:ind w:firstLine="0" w:firstLineChars="0"/>
              <w:jc w:val="center"/>
              <w:rPr>
                <w:rFonts w:hint="eastAsia"/>
                <w:sz w:val="21"/>
                <w:highlight w:val="none"/>
                <w:lang w:eastAsia="zh-CN"/>
              </w:rPr>
            </w:pP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无组织</w:t>
            </w:r>
          </w:p>
        </w:tc>
        <w:tc>
          <w:tcPr>
            <w:tcW w:w="395" w:type="pct"/>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0.0387t/a</w:t>
            </w:r>
          </w:p>
        </w:tc>
        <w:tc>
          <w:tcPr>
            <w:tcW w:w="476"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411"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391" w:type="pct"/>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0.0387t/a</w:t>
            </w:r>
          </w:p>
        </w:tc>
        <w:tc>
          <w:tcPr>
            <w:tcW w:w="476"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411" w:type="pct"/>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tcBorders>
            <w:vAlign w:val="center"/>
          </w:tcPr>
          <w:p>
            <w:pPr>
              <w:spacing w:line="240" w:lineRule="auto"/>
              <w:ind w:firstLine="0" w:firstLineChars="0"/>
              <w:jc w:val="center"/>
              <w:rPr>
                <w:rFonts w:hint="eastAsia"/>
                <w:sz w:val="21"/>
                <w:highlight w:val="none"/>
              </w:rPr>
            </w:pPr>
          </w:p>
        </w:tc>
        <w:tc>
          <w:tcPr>
            <w:tcW w:w="285" w:type="pct"/>
            <w:vMerge w:val="restart"/>
            <w:vAlign w:val="center"/>
          </w:tcPr>
          <w:p>
            <w:pPr>
              <w:spacing w:line="240" w:lineRule="auto"/>
              <w:ind w:firstLine="0" w:firstLineChars="0"/>
              <w:jc w:val="center"/>
              <w:rPr>
                <w:rFonts w:hint="eastAsia" w:eastAsia="宋体"/>
                <w:sz w:val="21"/>
                <w:highlight w:val="none"/>
                <w:lang w:eastAsia="zh-CN"/>
              </w:rPr>
            </w:pPr>
            <w:r>
              <w:rPr>
                <w:rFonts w:hint="eastAsia"/>
                <w:sz w:val="21"/>
                <w:highlight w:val="none"/>
                <w:lang w:eastAsia="zh-CN"/>
              </w:rPr>
              <w:t>制粒冷却粉尘</w:t>
            </w:r>
          </w:p>
        </w:tc>
        <w:tc>
          <w:tcPr>
            <w:tcW w:w="333" w:type="pct"/>
            <w:vAlign w:val="center"/>
          </w:tcPr>
          <w:p>
            <w:pPr>
              <w:spacing w:line="240" w:lineRule="auto"/>
              <w:ind w:firstLine="0" w:firstLineChars="0"/>
              <w:jc w:val="center"/>
              <w:rPr>
                <w:rFonts w:hint="eastAsia"/>
                <w:sz w:val="21"/>
                <w:highlight w:val="none"/>
              </w:rPr>
            </w:pPr>
            <w:r>
              <w:rPr>
                <w:rFonts w:hint="eastAsia"/>
                <w:sz w:val="21"/>
                <w:highlight w:val="none"/>
              </w:rPr>
              <w:t>有组织</w:t>
            </w:r>
          </w:p>
        </w:tc>
        <w:tc>
          <w:tcPr>
            <w:tcW w:w="395" w:type="pct"/>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0.7353t/a</w:t>
            </w:r>
          </w:p>
        </w:tc>
        <w:tc>
          <w:tcPr>
            <w:tcW w:w="47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10.2</w:t>
            </w:r>
            <w:r>
              <w:rPr>
                <w:sz w:val="21"/>
                <w:szCs w:val="21"/>
                <w:highlight w:val="none"/>
              </w:rPr>
              <w:t>mg/m³</w:t>
            </w:r>
          </w:p>
        </w:tc>
        <w:tc>
          <w:tcPr>
            <w:tcW w:w="411" w:type="pct"/>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0.204kg/h</w:t>
            </w:r>
          </w:p>
        </w:tc>
        <w:tc>
          <w:tcPr>
            <w:tcW w:w="391"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0.294</w:t>
            </w:r>
            <w:r>
              <w:rPr>
                <w:b w:val="0"/>
                <w:bCs w:val="0"/>
                <w:color w:val="000000"/>
                <w:sz w:val="21"/>
                <w:szCs w:val="21"/>
                <w:highlight w:val="none"/>
                <w:u w:val="none"/>
              </w:rPr>
              <w:t>t/a</w:t>
            </w:r>
          </w:p>
        </w:tc>
        <w:tc>
          <w:tcPr>
            <w:tcW w:w="476"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4.08</w:t>
            </w:r>
            <w:r>
              <w:rPr>
                <w:b w:val="0"/>
                <w:bCs w:val="0"/>
                <w:color w:val="000000"/>
                <w:sz w:val="21"/>
                <w:szCs w:val="21"/>
                <w:highlight w:val="none"/>
                <w:u w:val="none"/>
              </w:rPr>
              <w:t>mg/m</w:t>
            </w:r>
            <w:r>
              <w:rPr>
                <w:b w:val="0"/>
                <w:bCs w:val="0"/>
                <w:color w:val="000000"/>
                <w:sz w:val="21"/>
                <w:szCs w:val="21"/>
                <w:highlight w:val="none"/>
                <w:u w:val="none"/>
                <w:vertAlign w:val="superscript"/>
              </w:rPr>
              <w:t>3</w:t>
            </w:r>
          </w:p>
        </w:tc>
        <w:tc>
          <w:tcPr>
            <w:tcW w:w="411" w:type="pct"/>
            <w:vAlign w:val="center"/>
          </w:tcPr>
          <w:p>
            <w:pPr>
              <w:spacing w:line="240" w:lineRule="auto"/>
              <w:ind w:firstLine="0" w:firstLineChars="0"/>
              <w:jc w:val="center"/>
              <w:rPr>
                <w:rFonts w:hint="eastAsia"/>
                <w:sz w:val="21"/>
                <w:szCs w:val="21"/>
                <w:highlight w:val="none"/>
                <w:lang w:val="en-US" w:eastAsia="zh-CN"/>
              </w:rPr>
            </w:pPr>
            <w:r>
              <w:rPr>
                <w:rFonts w:hint="eastAsia"/>
                <w:b w:val="0"/>
                <w:bCs w:val="0"/>
                <w:color w:val="000000"/>
                <w:sz w:val="21"/>
                <w:szCs w:val="21"/>
                <w:highlight w:val="none"/>
                <w:u w:val="none"/>
                <w:lang w:val="en-US" w:eastAsia="zh-CN"/>
              </w:rPr>
              <w:t>0.082</w:t>
            </w:r>
            <w:r>
              <w:rPr>
                <w:b w:val="0"/>
                <w:bCs w:val="0"/>
                <w:color w:val="000000"/>
                <w:sz w:val="21"/>
                <w:szCs w:val="21"/>
                <w:highlight w:val="none"/>
                <w:u w:val="none"/>
              </w:rPr>
              <w:t>kg/h</w:t>
            </w:r>
          </w:p>
        </w:tc>
        <w:tc>
          <w:tcPr>
            <w:tcW w:w="1411" w:type="pct"/>
            <w:tcBorders>
              <w:right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lang w:eastAsia="zh-CN"/>
              </w:rPr>
              <w:t>收集</w:t>
            </w:r>
            <w:r>
              <w:rPr>
                <w:rFonts w:hint="eastAsia"/>
                <w:sz w:val="21"/>
                <w:highlight w:val="none"/>
                <w:lang w:val="en-US" w:eastAsia="zh-CN"/>
              </w:rPr>
              <w:t>+1套沙克龙除尘器+6#20</w:t>
            </w:r>
            <w:r>
              <w:rPr>
                <w:rFonts w:hint="eastAsia"/>
                <w:sz w:val="21"/>
                <w:highlight w:val="none"/>
              </w:rPr>
              <w:t>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vMerge w:val="continue"/>
            <w:tcBorders>
              <w:left w:val="single" w:color="auto" w:sz="12" w:space="0"/>
              <w:bottom w:val="single" w:color="auto" w:sz="12" w:space="0"/>
            </w:tcBorders>
            <w:vAlign w:val="center"/>
          </w:tcPr>
          <w:p>
            <w:pPr>
              <w:spacing w:line="240" w:lineRule="auto"/>
              <w:ind w:firstLine="0" w:firstLineChars="0"/>
              <w:jc w:val="center"/>
              <w:rPr>
                <w:rFonts w:hint="eastAsia"/>
                <w:sz w:val="21"/>
                <w:highlight w:val="none"/>
              </w:rPr>
            </w:pPr>
          </w:p>
        </w:tc>
        <w:tc>
          <w:tcPr>
            <w:tcW w:w="285" w:type="pct"/>
            <w:vMerge w:val="continue"/>
            <w:tcBorders>
              <w:bottom w:val="single" w:color="auto" w:sz="12" w:space="0"/>
            </w:tcBorders>
            <w:vAlign w:val="center"/>
          </w:tcPr>
          <w:p>
            <w:pPr>
              <w:spacing w:line="240" w:lineRule="auto"/>
              <w:ind w:firstLine="0" w:firstLineChars="0"/>
              <w:jc w:val="center"/>
              <w:rPr>
                <w:rFonts w:hint="eastAsia"/>
                <w:sz w:val="21"/>
                <w:highlight w:val="none"/>
                <w:lang w:eastAsia="zh-CN"/>
              </w:rPr>
            </w:pPr>
          </w:p>
        </w:tc>
        <w:tc>
          <w:tcPr>
            <w:tcW w:w="333" w:type="pct"/>
            <w:tcBorders>
              <w:bottom w:val="single" w:color="auto" w:sz="12" w:space="0"/>
            </w:tcBorders>
            <w:vAlign w:val="center"/>
          </w:tcPr>
          <w:p>
            <w:pPr>
              <w:spacing w:line="240" w:lineRule="auto"/>
              <w:ind w:firstLine="0" w:firstLineChars="0"/>
              <w:jc w:val="center"/>
              <w:rPr>
                <w:rFonts w:hint="eastAsia"/>
                <w:sz w:val="21"/>
                <w:highlight w:val="none"/>
              </w:rPr>
            </w:pPr>
            <w:r>
              <w:rPr>
                <w:rFonts w:hint="eastAsia"/>
                <w:sz w:val="21"/>
                <w:highlight w:val="none"/>
              </w:rPr>
              <w:t>无组织</w:t>
            </w:r>
          </w:p>
        </w:tc>
        <w:tc>
          <w:tcPr>
            <w:tcW w:w="395" w:type="pct"/>
            <w:tcBorders>
              <w:bottom w:val="single" w:color="auto" w:sz="12" w:space="0"/>
            </w:tcBorders>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0.0387t/a</w:t>
            </w:r>
          </w:p>
        </w:tc>
        <w:tc>
          <w:tcPr>
            <w:tcW w:w="476" w:type="pct"/>
            <w:tcBorders>
              <w:bottom w:val="single" w:color="auto" w:sz="12" w:space="0"/>
            </w:tcBorders>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411" w:type="pct"/>
            <w:tcBorders>
              <w:bottom w:val="single" w:color="auto" w:sz="12" w:space="0"/>
            </w:tcBorders>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391" w:type="pct"/>
            <w:tcBorders>
              <w:bottom w:val="single" w:color="auto" w:sz="12" w:space="0"/>
            </w:tcBorders>
            <w:vAlign w:val="center"/>
          </w:tcPr>
          <w:p>
            <w:pPr>
              <w:spacing w:line="240" w:lineRule="auto"/>
              <w:ind w:firstLine="0" w:firstLineChars="0"/>
              <w:jc w:val="center"/>
              <w:rPr>
                <w:rFonts w:hint="eastAsia"/>
                <w:sz w:val="21"/>
                <w:szCs w:val="21"/>
                <w:highlight w:val="none"/>
                <w:lang w:val="en-US" w:eastAsia="zh-CN"/>
              </w:rPr>
            </w:pPr>
            <w:r>
              <w:rPr>
                <w:rFonts w:hint="eastAsia"/>
                <w:bCs/>
                <w:sz w:val="21"/>
                <w:szCs w:val="21"/>
                <w:highlight w:val="none"/>
                <w:lang w:val="en-US" w:eastAsia="zh-CN"/>
              </w:rPr>
              <w:t>0.0387t/a</w:t>
            </w:r>
          </w:p>
        </w:tc>
        <w:tc>
          <w:tcPr>
            <w:tcW w:w="476" w:type="pct"/>
            <w:tcBorders>
              <w:bottom w:val="single" w:color="auto" w:sz="12" w:space="0"/>
            </w:tcBorders>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411" w:type="pct"/>
            <w:tcBorders>
              <w:bottom w:val="single" w:color="auto" w:sz="12" w:space="0"/>
            </w:tcBorders>
            <w:vAlign w:val="center"/>
          </w:tcPr>
          <w:p>
            <w:pPr>
              <w:spacing w:line="240" w:lineRule="auto"/>
              <w:ind w:firstLine="0" w:firstLineChars="0"/>
              <w:jc w:val="center"/>
              <w:rPr>
                <w:rFonts w:hint="eastAsia"/>
                <w:sz w:val="21"/>
                <w:szCs w:val="21"/>
                <w:highlight w:val="none"/>
                <w:lang w:val="en-US" w:eastAsia="zh-CN"/>
              </w:rPr>
            </w:pPr>
            <w:r>
              <w:rPr>
                <w:sz w:val="21"/>
                <w:szCs w:val="21"/>
                <w:highlight w:val="none"/>
              </w:rPr>
              <w:t>/</w:t>
            </w:r>
          </w:p>
        </w:tc>
        <w:tc>
          <w:tcPr>
            <w:tcW w:w="1411" w:type="pct"/>
            <w:tcBorders>
              <w:bottom w:val="single" w:color="auto" w:sz="12" w:space="0"/>
              <w:right w:val="single" w:color="auto" w:sz="12" w:space="0"/>
            </w:tcBorders>
            <w:vAlign w:val="center"/>
          </w:tcPr>
          <w:p>
            <w:pPr>
              <w:spacing w:line="240" w:lineRule="auto"/>
              <w:ind w:firstLine="0" w:firstLineChars="0"/>
              <w:jc w:val="center"/>
              <w:rPr>
                <w:rFonts w:hint="eastAsia"/>
                <w:sz w:val="21"/>
                <w:highlight w:val="none"/>
              </w:rPr>
            </w:pPr>
          </w:p>
        </w:tc>
      </w:tr>
    </w:tbl>
    <w:p>
      <w:pPr>
        <w:ind w:firstLine="482"/>
        <w:jc w:val="center"/>
        <w:rPr>
          <w:rFonts w:cs="Times New Roman"/>
          <w:b/>
          <w:highlight w:val="none"/>
        </w:rPr>
      </w:pPr>
    </w:p>
    <w:p>
      <w:pPr>
        <w:ind w:firstLine="482"/>
        <w:jc w:val="center"/>
        <w:rPr>
          <w:rFonts w:cs="Times New Roman"/>
          <w:b/>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p>
    <w:p>
      <w:pPr>
        <w:pStyle w:val="8"/>
        <w:ind w:firstLine="482"/>
        <w:rPr>
          <w:highlight w:val="none"/>
        </w:rPr>
      </w:pPr>
      <w:r>
        <w:rPr>
          <w:rFonts w:hint="eastAsia"/>
          <w:highlight w:val="none"/>
          <w:lang w:val="en-US" w:eastAsia="zh-CN"/>
        </w:rPr>
        <w:t>2</w:t>
      </w:r>
      <w:r>
        <w:rPr>
          <w:rFonts w:hint="eastAsia"/>
          <w:highlight w:val="none"/>
        </w:rPr>
        <w:t>.</w:t>
      </w:r>
      <w:r>
        <w:rPr>
          <w:rFonts w:hint="eastAsia"/>
          <w:highlight w:val="none"/>
          <w:lang w:val="en-US" w:eastAsia="zh-CN"/>
        </w:rPr>
        <w:t>12</w:t>
      </w:r>
      <w:r>
        <w:rPr>
          <w:rFonts w:hint="eastAsia"/>
          <w:highlight w:val="none"/>
        </w:rPr>
        <w:t>.</w:t>
      </w:r>
      <w:r>
        <w:rPr>
          <w:rFonts w:hint="eastAsia"/>
          <w:highlight w:val="none"/>
          <w:lang w:val="en-US" w:eastAsia="zh-CN"/>
        </w:rPr>
        <w:t>1</w:t>
      </w:r>
      <w:r>
        <w:rPr>
          <w:rFonts w:hint="eastAsia"/>
          <w:highlight w:val="none"/>
        </w:rPr>
        <w:t>.2废水</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cs="Times New Roman"/>
          <w:highlight w:val="none"/>
        </w:rPr>
      </w:pPr>
      <w:r>
        <w:rPr>
          <w:rFonts w:hint="eastAsia"/>
          <w:highlight w:val="none"/>
        </w:rPr>
        <w:t>废水是养猪场产生的重要污染物，包括猪尿、猪舍冲洗废水、猪粪带入废水及员工生活污水等，废水中含有高浓度有机物和N、P等，如若处理不当，如不经处理直接排入附近的水体，将对周边水体和人群健康存在巨大的潜在风险。由水平衡分析可知：本项目养殖废水117470.9</w:t>
      </w:r>
      <w:r>
        <w:rPr>
          <w:rFonts w:hint="eastAsia"/>
          <w:highlight w:val="none"/>
          <w:lang w:val="en-US" w:eastAsia="zh-CN"/>
        </w:rPr>
        <w:t>7</w:t>
      </w:r>
      <w:r>
        <w:rPr>
          <w:rFonts w:hint="eastAsia"/>
          <w:highlight w:val="none"/>
        </w:rPr>
        <w:t>m</w:t>
      </w:r>
      <w:r>
        <w:rPr>
          <w:rFonts w:hint="eastAsia"/>
          <w:highlight w:val="none"/>
          <w:vertAlign w:val="superscript"/>
        </w:rPr>
        <w:t>3</w:t>
      </w:r>
      <w:r>
        <w:rPr>
          <w:rFonts w:hint="eastAsia"/>
          <w:highlight w:val="none"/>
        </w:rPr>
        <w:t>/a、生活污水</w:t>
      </w:r>
      <w:r>
        <w:rPr>
          <w:rFonts w:hint="eastAsia"/>
          <w:highlight w:val="none"/>
          <w:lang w:val="en-US" w:eastAsia="zh-CN"/>
        </w:rPr>
        <w:t>3153.6</w:t>
      </w:r>
      <w:r>
        <w:rPr>
          <w:rFonts w:hint="eastAsia"/>
          <w:highlight w:val="none"/>
        </w:rPr>
        <w:t>m</w:t>
      </w:r>
      <w:r>
        <w:rPr>
          <w:rFonts w:hint="eastAsia"/>
          <w:highlight w:val="none"/>
          <w:vertAlign w:val="superscript"/>
        </w:rPr>
        <w:t>3</w:t>
      </w:r>
      <w:r>
        <w:rPr>
          <w:rFonts w:hint="eastAsia"/>
          <w:highlight w:val="none"/>
        </w:rPr>
        <w:t>/a</w:t>
      </w:r>
      <w:r>
        <w:rPr>
          <w:rFonts w:cs="Times New Roman"/>
          <w:highlight w:val="none"/>
        </w:rPr>
        <w:t>。</w:t>
      </w:r>
    </w:p>
    <w:p>
      <w:pPr>
        <w:keepNext w:val="0"/>
        <w:keepLines w:val="0"/>
        <w:pageBreakBefore w:val="0"/>
        <w:numPr>
          <w:ilvl w:val="0"/>
          <w:numId w:val="12"/>
        </w:numPr>
        <w:tabs>
          <w:tab w:val="left" w:pos="2640"/>
        </w:tabs>
        <w:kinsoku/>
        <w:wordWrap/>
        <w:overflowPunct/>
        <w:topLinePunct w:val="0"/>
        <w:autoSpaceDE/>
        <w:autoSpaceDN/>
        <w:bidi w:val="0"/>
        <w:adjustRightInd/>
        <w:snapToGrid/>
        <w:spacing w:line="360" w:lineRule="auto"/>
        <w:ind w:firstLine="480"/>
        <w:textAlignment w:val="auto"/>
        <w:rPr>
          <w:rFonts w:hint="eastAsia"/>
          <w:b w:val="0"/>
          <w:highlight w:val="none"/>
          <w:lang w:eastAsia="zh-CN"/>
        </w:rPr>
      </w:pPr>
      <w:r>
        <w:rPr>
          <w:rFonts w:hint="eastAsia"/>
          <w:b w:val="0"/>
          <w:highlight w:val="none"/>
          <w:lang w:eastAsia="zh-CN"/>
        </w:rPr>
        <w:t>污水水质分析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项目养殖废水总排放量为</w:t>
      </w:r>
      <w:r>
        <w:rPr>
          <w:rFonts w:hint="eastAsia" w:ascii="Times New Roman" w:hAnsi="Times New Roman" w:cs="Times New Roman"/>
          <w:bCs/>
          <w:color w:val="000000"/>
          <w:sz w:val="24"/>
          <w:szCs w:val="24"/>
          <w:highlight w:val="none"/>
        </w:rPr>
        <w:t>117470.97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vertAlign w:val="baseline"/>
        </w:rPr>
        <w:t>/</w:t>
      </w:r>
      <w:r>
        <w:rPr>
          <w:rFonts w:ascii="Times New Roman" w:hAnsi="Times New Roman" w:cs="Times New Roman"/>
          <w:bCs/>
          <w:color w:val="000000"/>
          <w:sz w:val="24"/>
          <w:szCs w:val="24"/>
          <w:highlight w:val="none"/>
        </w:rPr>
        <w:t>a。项目进入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沼气池的养殖废水中主要污染物产生浓度分别为COD15000mg/L、BOD</w:t>
      </w:r>
      <w:r>
        <w:rPr>
          <w:rFonts w:ascii="Times New Roman" w:hAnsi="Times New Roman" w:cs="Times New Roman"/>
          <w:bCs/>
          <w:color w:val="000000"/>
          <w:sz w:val="24"/>
          <w:szCs w:val="24"/>
          <w:highlight w:val="none"/>
          <w:vertAlign w:val="subscript"/>
        </w:rPr>
        <w:t xml:space="preserve">5 </w:t>
      </w:r>
      <w:r>
        <w:rPr>
          <w:rFonts w:hint="eastAsia" w:ascii="Times New Roman" w:hAnsi="Times New Roman" w:cs="Times New Roman"/>
          <w:bCs/>
          <w:color w:val="000000"/>
          <w:sz w:val="24"/>
          <w:szCs w:val="24"/>
          <w:highlight w:val="none"/>
          <w:lang w:val="en-US" w:eastAsia="zh-CN"/>
        </w:rPr>
        <w:t>6</w:t>
      </w:r>
      <w:r>
        <w:rPr>
          <w:rFonts w:ascii="Times New Roman" w:hAnsi="Times New Roman" w:cs="Times New Roman"/>
          <w:bCs/>
          <w:color w:val="000000"/>
          <w:sz w:val="24"/>
          <w:szCs w:val="24"/>
          <w:highlight w:val="none"/>
        </w:rPr>
        <w:t>000mg/L、SS</w:t>
      </w:r>
      <w:r>
        <w:rPr>
          <w:rFonts w:hint="eastAsia" w:ascii="Times New Roman" w:hAnsi="Times New Roman" w:cs="Times New Roman"/>
          <w:bCs/>
          <w:color w:val="000000"/>
          <w:sz w:val="24"/>
          <w:szCs w:val="24"/>
          <w:highlight w:val="none"/>
          <w:lang w:val="en-US" w:eastAsia="zh-CN"/>
        </w:rPr>
        <w:t>78</w:t>
      </w:r>
      <w:r>
        <w:rPr>
          <w:rFonts w:ascii="Times New Roman" w:hAnsi="Times New Roman" w:cs="Times New Roman"/>
          <w:bCs/>
          <w:color w:val="000000"/>
          <w:sz w:val="24"/>
          <w:szCs w:val="24"/>
          <w:highlight w:val="none"/>
        </w:rPr>
        <w:t>00mg/L、NH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-N1</w:t>
      </w:r>
      <w:r>
        <w:rPr>
          <w:rFonts w:hint="eastAsia" w:ascii="Times New Roman" w:hAnsi="Times New Roman" w:cs="Times New Roman"/>
          <w:bCs/>
          <w:color w:val="000000"/>
          <w:sz w:val="24"/>
          <w:szCs w:val="24"/>
          <w:highlight w:val="none"/>
          <w:lang w:val="en-US" w:eastAsia="zh-CN"/>
        </w:rPr>
        <w:t>0</w:t>
      </w:r>
      <w:r>
        <w:rPr>
          <w:rFonts w:ascii="Times New Roman" w:hAnsi="Times New Roman" w:cs="Times New Roman"/>
          <w:bCs/>
          <w:color w:val="000000"/>
          <w:sz w:val="24"/>
          <w:szCs w:val="24"/>
          <w:highlight w:val="none"/>
        </w:rPr>
        <w:t>00mg/L。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生活污水产生量为</w:t>
      </w:r>
      <w:r>
        <w:rPr>
          <w:rFonts w:hint="eastAsia" w:ascii="Times New Roman" w:hAnsi="Times New Roman" w:cs="Times New Roman"/>
          <w:bCs/>
          <w:color w:val="000000"/>
          <w:sz w:val="24"/>
          <w:szCs w:val="24"/>
          <w:highlight w:val="none"/>
          <w:lang w:val="en-US" w:eastAsia="zh-CN"/>
        </w:rPr>
        <w:t>8.64</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cs="Times New Roman"/>
          <w:bCs/>
          <w:color w:val="000000"/>
          <w:sz w:val="24"/>
          <w:szCs w:val="24"/>
          <w:highlight w:val="none"/>
          <w:lang w:val="en-US" w:eastAsia="zh-CN"/>
        </w:rPr>
        <w:t>3153.6</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/a，主要污染物产生浓度分别为COD300mg/L、BOD</w:t>
      </w:r>
      <w:r>
        <w:rPr>
          <w:rFonts w:ascii="Times New Roman" w:hAnsi="Times New Roman" w:cs="Times New Roman"/>
          <w:bCs/>
          <w:color w:val="000000"/>
          <w:sz w:val="24"/>
          <w:szCs w:val="24"/>
          <w:highlight w:val="none"/>
          <w:vertAlign w:val="subscript"/>
        </w:rPr>
        <w:t>5</w:t>
      </w:r>
      <w:r>
        <w:rPr>
          <w:rFonts w:ascii="Times New Roman" w:hAnsi="Times New Roman" w:cs="Times New Roman"/>
          <w:bCs/>
          <w:color w:val="000000"/>
          <w:sz w:val="24"/>
          <w:szCs w:val="24"/>
          <w:highlight w:val="none"/>
        </w:rPr>
        <w:t>150mg/L、SS200mg/L</w:t>
      </w:r>
      <w:r>
        <w:rPr>
          <w:rFonts w:hint="eastAsia" w:ascii="Times New Roman" w:hAnsi="Times New Roman" w:cs="Times New Roman"/>
          <w:bCs/>
          <w:color w:val="000000"/>
          <w:sz w:val="24"/>
          <w:szCs w:val="24"/>
          <w:highlight w:val="none"/>
          <w:lang w:eastAsia="zh-CN"/>
        </w:rPr>
        <w:t>、</w:t>
      </w:r>
      <w:r>
        <w:rPr>
          <w:rFonts w:ascii="Times New Roman" w:hAnsi="Times New Roman" w:cs="Times New Roman"/>
          <w:bCs/>
          <w:color w:val="000000"/>
          <w:sz w:val="24"/>
          <w:szCs w:val="24"/>
          <w:highlight w:val="none"/>
        </w:rPr>
        <w:t>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-N30mg/L，污染物产生量分别为COD0.</w:t>
      </w:r>
      <w:r>
        <w:rPr>
          <w:rFonts w:hint="eastAsia" w:ascii="Times New Roman" w:hAnsi="Times New Roman" w:cs="Times New Roman"/>
          <w:bCs/>
          <w:color w:val="000000"/>
          <w:sz w:val="24"/>
          <w:szCs w:val="24"/>
          <w:highlight w:val="none"/>
          <w:lang w:val="en-US" w:eastAsia="zh-CN"/>
        </w:rPr>
        <w:t>95</w:t>
      </w:r>
      <w:r>
        <w:rPr>
          <w:rFonts w:ascii="Times New Roman" w:hAnsi="Times New Roman" w:cs="Times New Roman"/>
          <w:bCs/>
          <w:color w:val="000000"/>
          <w:sz w:val="24"/>
          <w:szCs w:val="24"/>
          <w:highlight w:val="none"/>
        </w:rPr>
        <w:t>t/a、BOD</w:t>
      </w:r>
      <w:r>
        <w:rPr>
          <w:rFonts w:ascii="Times New Roman" w:hAnsi="Times New Roman" w:cs="Times New Roman"/>
          <w:bCs/>
          <w:color w:val="000000"/>
          <w:sz w:val="24"/>
          <w:szCs w:val="24"/>
          <w:highlight w:val="none"/>
          <w:vertAlign w:val="subscript"/>
        </w:rPr>
        <w:t>5</w:t>
      </w:r>
      <w:r>
        <w:rPr>
          <w:rFonts w:ascii="Times New Roman" w:hAnsi="Times New Roman" w:cs="Times New Roman"/>
          <w:bCs/>
          <w:color w:val="000000"/>
          <w:sz w:val="24"/>
          <w:szCs w:val="24"/>
          <w:highlight w:val="none"/>
        </w:rPr>
        <w:t>0.</w:t>
      </w:r>
      <w:r>
        <w:rPr>
          <w:rFonts w:hint="eastAsia" w:ascii="Times New Roman" w:hAnsi="Times New Roman" w:cs="Times New Roman"/>
          <w:bCs/>
          <w:color w:val="000000"/>
          <w:sz w:val="24"/>
          <w:szCs w:val="24"/>
          <w:highlight w:val="none"/>
          <w:lang w:val="en-US" w:eastAsia="zh-CN"/>
        </w:rPr>
        <w:t>47</w:t>
      </w:r>
      <w:r>
        <w:rPr>
          <w:rFonts w:ascii="Times New Roman" w:hAnsi="Times New Roman" w:cs="Times New Roman"/>
          <w:bCs/>
          <w:color w:val="000000"/>
          <w:sz w:val="24"/>
          <w:szCs w:val="24"/>
          <w:highlight w:val="none"/>
        </w:rPr>
        <w:t>t/a、SS0.</w:t>
      </w:r>
      <w:r>
        <w:rPr>
          <w:rFonts w:hint="eastAsia" w:ascii="Times New Roman" w:hAnsi="Times New Roman" w:cs="Times New Roman"/>
          <w:bCs/>
          <w:color w:val="000000"/>
          <w:sz w:val="24"/>
          <w:szCs w:val="24"/>
          <w:highlight w:val="none"/>
          <w:lang w:val="en-US" w:eastAsia="zh-CN"/>
        </w:rPr>
        <w:t>63</w:t>
      </w:r>
      <w:r>
        <w:rPr>
          <w:rFonts w:ascii="Times New Roman" w:hAnsi="Times New Roman" w:cs="Times New Roman"/>
          <w:bCs/>
          <w:color w:val="000000"/>
          <w:sz w:val="24"/>
          <w:szCs w:val="24"/>
          <w:highlight w:val="none"/>
        </w:rPr>
        <w:t>t/a、NH</w:t>
      </w:r>
      <w:r>
        <w:rPr>
          <w:rFonts w:ascii="Times New Roman" w:hAnsi="Times New Roman" w:cs="Times New Roman"/>
          <w:bCs/>
          <w:color w:val="000000"/>
          <w:sz w:val="24"/>
          <w:szCs w:val="24"/>
          <w:highlight w:val="none"/>
          <w:vertAlign w:val="subscript"/>
        </w:rPr>
        <w:t>3</w:t>
      </w:r>
      <w:r>
        <w:rPr>
          <w:rFonts w:ascii="Times New Roman" w:hAnsi="Times New Roman" w:cs="Times New Roman"/>
          <w:bCs/>
          <w:color w:val="000000"/>
          <w:sz w:val="24"/>
          <w:szCs w:val="24"/>
          <w:highlight w:val="none"/>
        </w:rPr>
        <w:t>-N0.0</w:t>
      </w:r>
      <w:r>
        <w:rPr>
          <w:rFonts w:hint="eastAsia" w:ascii="Times New Roman" w:hAnsi="Times New Roman" w:cs="Times New Roman"/>
          <w:bCs/>
          <w:color w:val="000000"/>
          <w:sz w:val="24"/>
          <w:szCs w:val="24"/>
          <w:highlight w:val="none"/>
          <w:lang w:val="en-US" w:eastAsia="zh-CN"/>
        </w:rPr>
        <w:t>95</w:t>
      </w:r>
      <w:r>
        <w:rPr>
          <w:rFonts w:ascii="Times New Roman" w:hAnsi="Times New Roman" w:cs="Times New Roman"/>
          <w:bCs/>
          <w:color w:val="000000"/>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根据牧原食品股份有限公司实际运营过程中统计数据，养殖场在春、秋、冬季节用排水量无明显差异，因此项目废水排放量分析按照夏季及春、秋、冬季节（即非夏季）进行分析，养殖废水与生活污水混合后，废水总排水量为</w:t>
      </w:r>
      <w:r>
        <w:rPr>
          <w:rFonts w:hint="eastAsia" w:ascii="Times New Roman" w:hAnsi="Times New Roman" w:cs="Times New Roman"/>
          <w:bCs/>
          <w:color w:val="000000"/>
          <w:sz w:val="24"/>
          <w:szCs w:val="24"/>
          <w:highlight w:val="none"/>
        </w:rPr>
        <w:t>120624.5</w:t>
      </w:r>
      <w:r>
        <w:rPr>
          <w:rFonts w:hint="eastAsia" w:cs="Times New Roman"/>
          <w:bCs/>
          <w:color w:val="000000"/>
          <w:sz w:val="24"/>
          <w:szCs w:val="24"/>
          <w:highlight w:val="none"/>
          <w:lang w:val="en-US" w:eastAsia="zh-CN"/>
        </w:rPr>
        <w:t>7</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/a，即夏季</w:t>
      </w:r>
      <w:r>
        <w:rPr>
          <w:rFonts w:hint="eastAsia" w:cs="Times New Roman"/>
          <w:bCs/>
          <w:color w:val="000000"/>
          <w:sz w:val="24"/>
          <w:szCs w:val="24"/>
          <w:highlight w:val="none"/>
          <w:lang w:val="en-US" w:eastAsia="zh-CN"/>
        </w:rPr>
        <w:t>416.91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/d，其他季节</w:t>
      </w:r>
      <w:r>
        <w:rPr>
          <w:rFonts w:hint="eastAsia" w:cs="Times New Roman"/>
          <w:bCs/>
          <w:color w:val="000000"/>
          <w:sz w:val="24"/>
          <w:szCs w:val="24"/>
          <w:highlight w:val="none"/>
          <w:lang w:val="en-US" w:eastAsia="zh-CN"/>
        </w:rPr>
        <w:t>287.08</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本项目采取</w:t>
      </w:r>
      <w:r>
        <w:rPr>
          <w:rFonts w:hint="eastAsia" w:asciiTheme="minorEastAsia" w:hAnsiTheme="minorEastAsia" w:eastAsiaTheme="minorEastAsia" w:cstheme="minorEastAsia"/>
          <w:bCs/>
          <w:color w:val="000000"/>
          <w:sz w:val="24"/>
          <w:szCs w:val="24"/>
          <w:highlight w:val="none"/>
        </w:rPr>
        <w:t>“环保部认定的干清粪、</w:t>
      </w:r>
      <w:r>
        <w:rPr>
          <w:rFonts w:hint="eastAsia" w:asciiTheme="minorEastAsia" w:hAnsiTheme="minorEastAsia" w:eastAsiaTheme="minorEastAsia" w:cstheme="minorEastAsia"/>
          <w:bCs/>
          <w:color w:val="000000"/>
          <w:sz w:val="24"/>
          <w:szCs w:val="24"/>
          <w:highlight w:val="none"/>
          <w:lang w:eastAsia="zh-CN"/>
        </w:rPr>
        <w:t>黑膜</w:t>
      </w:r>
      <w:r>
        <w:rPr>
          <w:rFonts w:hint="eastAsia" w:asciiTheme="minorEastAsia" w:hAnsiTheme="minorEastAsia" w:eastAsiaTheme="minorEastAsia" w:cstheme="minorEastAsia"/>
          <w:bCs/>
          <w:color w:val="000000"/>
          <w:sz w:val="24"/>
          <w:szCs w:val="24"/>
          <w:highlight w:val="none"/>
        </w:rPr>
        <w:t>沼气池、沼气沼液沼渣综合利用”</w:t>
      </w:r>
      <w:r>
        <w:rPr>
          <w:rFonts w:ascii="Times New Roman" w:hAnsi="Times New Roman" w:cs="Times New Roman"/>
          <w:bCs/>
          <w:color w:val="000000"/>
          <w:sz w:val="24"/>
          <w:szCs w:val="24"/>
          <w:highlight w:val="none"/>
        </w:rPr>
        <w:t>处理工艺，养殖废水和生活污水进入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沼气池进行30d厌氧发酵处理，</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沼气池设计总容积为1</w:t>
      </w:r>
      <w:r>
        <w:rPr>
          <w:rFonts w:hint="eastAsia" w:ascii="Times New Roman" w:hAnsi="Times New Roman" w:cs="Times New Roman"/>
          <w:bCs/>
          <w:color w:val="000000"/>
          <w:sz w:val="24"/>
          <w:szCs w:val="24"/>
          <w:highlight w:val="none"/>
          <w:lang w:val="en-US" w:eastAsia="zh-CN"/>
        </w:rPr>
        <w:t>7</w:t>
      </w:r>
      <w:r>
        <w:rPr>
          <w:rFonts w:ascii="Times New Roman" w:hAnsi="Times New Roman" w:cs="Times New Roman"/>
          <w:bCs/>
          <w:color w:val="000000"/>
          <w:sz w:val="24"/>
          <w:szCs w:val="24"/>
          <w:highlight w:val="none"/>
        </w:rPr>
        <w:t>000m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，满足夏季最大容纳30天共</w:t>
      </w:r>
      <w:r>
        <w:rPr>
          <w:rFonts w:hint="eastAsia" w:cs="Times New Roman"/>
          <w:bCs/>
          <w:color w:val="000000"/>
          <w:sz w:val="24"/>
          <w:szCs w:val="24"/>
          <w:highlight w:val="none"/>
          <w:lang w:val="en-US" w:eastAsia="zh-CN"/>
        </w:rPr>
        <w:t>12507.3</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废水处理需求。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color w:val="000000"/>
          <w:sz w:val="24"/>
          <w:szCs w:val="24"/>
          <w:highlight w:val="none"/>
        </w:rPr>
        <w:t>项目场区废水产生后统一进入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沼气池进行处理，经过厌氧发酵的出水沼液在耕作施肥期用于配套消纳地进行综合利用，在非耕作期于场内沼液储存池中暂存，不外排。项目废水中主要污染物去除效率为COD</w:t>
      </w:r>
      <w:r>
        <w:rPr>
          <w:rFonts w:hint="eastAsia" w:cs="Times New Roman"/>
          <w:bCs/>
          <w:color w:val="000000"/>
          <w:sz w:val="24"/>
          <w:szCs w:val="24"/>
          <w:highlight w:val="none"/>
          <w:lang w:val="en-US" w:eastAsia="zh-CN"/>
        </w:rPr>
        <w:t>79.5</w:t>
      </w:r>
      <w:r>
        <w:rPr>
          <w:rFonts w:ascii="Times New Roman" w:hAnsi="Times New Roman" w:cs="Times New Roman"/>
          <w:bCs/>
          <w:color w:val="000000"/>
          <w:sz w:val="24"/>
          <w:szCs w:val="24"/>
          <w:highlight w:val="none"/>
        </w:rPr>
        <w:t>%、BOD</w:t>
      </w:r>
      <w:r>
        <w:rPr>
          <w:rFonts w:ascii="Times New Roman" w:hAnsi="Times New Roman" w:cs="Times New Roman"/>
          <w:bCs/>
          <w:color w:val="000000"/>
          <w:sz w:val="24"/>
          <w:szCs w:val="24"/>
          <w:highlight w:val="none"/>
          <w:vertAlign w:val="subscript"/>
        </w:rPr>
        <w:t>5</w:t>
      </w:r>
      <w:r>
        <w:rPr>
          <w:rFonts w:hint="eastAsia" w:cs="Times New Roman"/>
          <w:bCs/>
          <w:color w:val="000000"/>
          <w:sz w:val="24"/>
          <w:szCs w:val="24"/>
          <w:highlight w:val="none"/>
          <w:lang w:val="en-US" w:eastAsia="zh-CN"/>
        </w:rPr>
        <w:t>76.1</w:t>
      </w:r>
      <w:r>
        <w:rPr>
          <w:rFonts w:ascii="Times New Roman" w:hAnsi="Times New Roman" w:cs="Times New Roman"/>
          <w:bCs/>
          <w:color w:val="000000"/>
          <w:sz w:val="24"/>
          <w:szCs w:val="24"/>
          <w:highlight w:val="none"/>
        </w:rPr>
        <w:t>%、SS</w:t>
      </w:r>
      <w:r>
        <w:rPr>
          <w:rFonts w:hint="eastAsia" w:cs="Times New Roman"/>
          <w:bCs/>
          <w:color w:val="000000"/>
          <w:sz w:val="24"/>
          <w:szCs w:val="24"/>
          <w:highlight w:val="none"/>
          <w:lang w:val="en-US" w:eastAsia="zh-CN"/>
        </w:rPr>
        <w:t>73.7</w:t>
      </w:r>
      <w:r>
        <w:rPr>
          <w:rFonts w:ascii="Times New Roman" w:hAnsi="Times New Roman" w:cs="Times New Roman"/>
          <w:bCs/>
          <w:color w:val="000000"/>
          <w:sz w:val="24"/>
          <w:szCs w:val="24"/>
          <w:highlight w:val="none"/>
        </w:rPr>
        <w:t>%、氨氮</w:t>
      </w:r>
      <w:r>
        <w:rPr>
          <w:rFonts w:hint="eastAsia" w:cs="Times New Roman"/>
          <w:bCs/>
          <w:color w:val="000000"/>
          <w:sz w:val="24"/>
          <w:szCs w:val="24"/>
          <w:highlight w:val="none"/>
          <w:lang w:val="en-US" w:eastAsia="zh-CN"/>
        </w:rPr>
        <w:t>7.7</w:t>
      </w:r>
      <w:r>
        <w:rPr>
          <w:rFonts w:ascii="Times New Roman" w:hAnsi="Times New Roman" w:cs="Times New Roman"/>
          <w:bCs/>
          <w:color w:val="000000"/>
          <w:sz w:val="24"/>
          <w:szCs w:val="24"/>
          <w:highlight w:val="none"/>
        </w:rPr>
        <w:t>%。项目废水主要污染物产生及排放汇总表见表</w:t>
      </w:r>
      <w:r>
        <w:rPr>
          <w:rFonts w:hint="eastAsia" w:cs="Times New Roman"/>
          <w:bCs/>
          <w:color w:val="000000"/>
          <w:sz w:val="24"/>
          <w:szCs w:val="24"/>
          <w:highlight w:val="none"/>
          <w:lang w:val="en-US" w:eastAsia="zh-CN"/>
        </w:rPr>
        <w:t>2</w:t>
      </w:r>
      <w:r>
        <w:rPr>
          <w:rFonts w:hint="eastAsia" w:ascii="Times New Roman" w:hAnsi="Times New Roman" w:cs="Times New Roman"/>
          <w:bCs/>
          <w:color w:val="000000"/>
          <w:sz w:val="24"/>
          <w:szCs w:val="24"/>
          <w:highlight w:val="none"/>
          <w:lang w:val="en-US" w:eastAsia="zh-CN"/>
        </w:rPr>
        <w:t>.</w:t>
      </w:r>
      <w:r>
        <w:rPr>
          <w:rFonts w:hint="eastAsia" w:cs="Times New Roman"/>
          <w:bCs/>
          <w:color w:val="000000"/>
          <w:sz w:val="24"/>
          <w:szCs w:val="24"/>
          <w:highlight w:val="none"/>
          <w:lang w:val="en-US" w:eastAsia="zh-CN"/>
        </w:rPr>
        <w:t>12</w:t>
      </w:r>
      <w:r>
        <w:rPr>
          <w:rFonts w:ascii="Times New Roman" w:hAnsi="Times New Roman" w:cs="Times New Roman"/>
          <w:bCs/>
          <w:color w:val="000000"/>
          <w:sz w:val="24"/>
          <w:szCs w:val="24"/>
          <w:highlight w:val="none"/>
        </w:rPr>
        <w:t>-</w:t>
      </w:r>
      <w:r>
        <w:rPr>
          <w:rFonts w:hint="eastAsia" w:cs="Times New Roman"/>
          <w:bCs/>
          <w:color w:val="000000"/>
          <w:sz w:val="24"/>
          <w:szCs w:val="24"/>
          <w:highlight w:val="none"/>
          <w:lang w:val="en-US" w:eastAsia="zh-CN"/>
        </w:rPr>
        <w:t>8</w:t>
      </w:r>
      <w:r>
        <w:rPr>
          <w:rFonts w:ascii="Times New Roman" w:hAnsi="Times New Roman" w:cs="Times New Roman"/>
          <w:bCs/>
          <w:color w:val="000000"/>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表2.12-8 项目污水产生及排放情况</w:t>
      </w:r>
    </w:p>
    <w:tbl>
      <w:tblPr>
        <w:tblStyle w:val="24"/>
        <w:tblW w:w="512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264"/>
        <w:gridCol w:w="842"/>
        <w:gridCol w:w="154"/>
        <w:gridCol w:w="945"/>
        <w:gridCol w:w="1032"/>
        <w:gridCol w:w="1116"/>
        <w:gridCol w:w="15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来源</w:t>
            </w:r>
          </w:p>
        </w:tc>
        <w:tc>
          <w:tcPr>
            <w:tcW w:w="740" w:type="pc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水量m</w:t>
            </w:r>
            <w:r>
              <w:rPr>
                <w:rFonts w:hint="default" w:cs="Times New Roman"/>
                <w:bCs/>
                <w:spacing w:val="2"/>
                <w:sz w:val="21"/>
                <w:highlight w:val="none"/>
                <w:vertAlign w:val="superscript"/>
              </w:rPr>
              <w:t>3</w:t>
            </w:r>
            <w:r>
              <w:rPr>
                <w:rFonts w:hint="default" w:cs="Times New Roman"/>
                <w:bCs/>
                <w:spacing w:val="2"/>
                <w:sz w:val="21"/>
                <w:highlight w:val="none"/>
              </w:rPr>
              <w:t>/a</w:t>
            </w:r>
          </w:p>
        </w:tc>
        <w:tc>
          <w:tcPr>
            <w:tcW w:w="583" w:type="pct"/>
            <w:gridSpan w:val="2"/>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指标</w:t>
            </w:r>
          </w:p>
        </w:tc>
        <w:tc>
          <w:tcPr>
            <w:tcW w:w="553" w:type="pc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浓度mg/L</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产生量t/a</w:t>
            </w:r>
          </w:p>
        </w:tc>
        <w:tc>
          <w:tcPr>
            <w:tcW w:w="653" w:type="pc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排放量t/a</w:t>
            </w:r>
          </w:p>
        </w:tc>
        <w:tc>
          <w:tcPr>
            <w:tcW w:w="889"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restar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养殖废水（尿液、猪舍冲洗废水、进污水站猪粪含水等）</w:t>
            </w:r>
          </w:p>
        </w:tc>
        <w:tc>
          <w:tcPr>
            <w:tcW w:w="740" w:type="pct"/>
            <w:vMerge w:val="restar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117470.97</w:t>
            </w:r>
          </w:p>
        </w:tc>
        <w:tc>
          <w:tcPr>
            <w:tcW w:w="583" w:type="pct"/>
            <w:gridSpan w:val="2"/>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COD</w:t>
            </w:r>
          </w:p>
        </w:tc>
        <w:tc>
          <w:tcPr>
            <w:tcW w:w="553" w:type="pc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15000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1762.06</w:t>
            </w:r>
          </w:p>
        </w:tc>
        <w:tc>
          <w:tcPr>
            <w:tcW w:w="653" w:type="pct"/>
            <w:vMerge w:val="restar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0</w:t>
            </w:r>
          </w:p>
        </w:tc>
        <w:tc>
          <w:tcPr>
            <w:tcW w:w="889" w:type="pct"/>
            <w:vMerge w:val="restar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农肥施用季节做农肥，雨季由沼液储存池暂时贮存，不外排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583" w:type="pct"/>
            <w:gridSpan w:val="2"/>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BOD</w:t>
            </w:r>
            <w:r>
              <w:rPr>
                <w:rFonts w:hint="default" w:cs="Times New Roman"/>
                <w:bCs/>
                <w:spacing w:val="2"/>
                <w:sz w:val="21"/>
                <w:highlight w:val="none"/>
                <w:vertAlign w:val="subscript"/>
              </w:rPr>
              <w:t>5</w:t>
            </w:r>
          </w:p>
        </w:tc>
        <w:tc>
          <w:tcPr>
            <w:tcW w:w="553" w:type="pc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6000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704.8</w:t>
            </w:r>
            <w:r>
              <w:rPr>
                <w:rFonts w:hint="eastAsia" w:cs="Times New Roman"/>
                <w:bCs/>
                <w:spacing w:val="2"/>
                <w:sz w:val="21"/>
                <w:highlight w:val="none"/>
                <w:lang w:val="en-US" w:eastAsia="zh-CN"/>
              </w:rPr>
              <w:t>3</w:t>
            </w:r>
          </w:p>
        </w:tc>
        <w:tc>
          <w:tcPr>
            <w:tcW w:w="653"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889"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SS</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7800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916.27</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NH</w:t>
            </w:r>
            <w:r>
              <w:rPr>
                <w:rFonts w:hint="default" w:cs="Times New Roman"/>
                <w:bCs/>
                <w:spacing w:val="2"/>
                <w:sz w:val="21"/>
                <w:highlight w:val="none"/>
                <w:vertAlign w:val="subscript"/>
              </w:rPr>
              <w:t>3</w:t>
            </w:r>
            <w:r>
              <w:rPr>
                <w:rFonts w:hint="default" w:cs="Times New Roman"/>
                <w:bCs/>
                <w:spacing w:val="2"/>
                <w:sz w:val="21"/>
                <w:highlight w:val="none"/>
              </w:rPr>
              <w:t>-N</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1000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117.47</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restar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生活污水</w:t>
            </w:r>
          </w:p>
        </w:tc>
        <w:tc>
          <w:tcPr>
            <w:tcW w:w="740" w:type="pct"/>
            <w:vMerge w:val="restar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eastAsia" w:cs="Times New Roman"/>
                <w:bCs/>
                <w:spacing w:val="2"/>
                <w:sz w:val="21"/>
                <w:highlight w:val="none"/>
                <w:lang w:val="en-US" w:eastAsia="zh-CN"/>
              </w:rPr>
              <w:t>3153.6</w:t>
            </w: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COD</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300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rPr>
            </w:pPr>
            <w:r>
              <w:rPr>
                <w:rFonts w:hint="default" w:cs="Times New Roman"/>
                <w:bCs/>
                <w:spacing w:val="2"/>
                <w:sz w:val="21"/>
                <w:highlight w:val="none"/>
                <w:lang w:val="en-US" w:eastAsia="zh-CN"/>
              </w:rPr>
              <w:t>0.</w:t>
            </w:r>
            <w:r>
              <w:rPr>
                <w:rFonts w:hint="eastAsia" w:cs="Times New Roman"/>
                <w:bCs/>
                <w:spacing w:val="2"/>
                <w:sz w:val="21"/>
                <w:highlight w:val="none"/>
                <w:lang w:val="en-US" w:eastAsia="zh-CN"/>
              </w:rPr>
              <w:t>95</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BOD</w:t>
            </w:r>
            <w:r>
              <w:rPr>
                <w:rFonts w:hint="default" w:cs="Times New Roman"/>
                <w:bCs/>
                <w:spacing w:val="2"/>
                <w:sz w:val="21"/>
                <w:highlight w:val="none"/>
                <w:vertAlign w:val="subscript"/>
              </w:rPr>
              <w:t>5</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150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lang w:val="en-US" w:eastAsia="zh-CN"/>
              </w:rPr>
              <w:t>0.4</w:t>
            </w:r>
            <w:r>
              <w:rPr>
                <w:rFonts w:hint="eastAsia" w:cs="Times New Roman"/>
                <w:bCs/>
                <w:spacing w:val="2"/>
                <w:sz w:val="21"/>
                <w:highlight w:val="none"/>
                <w:lang w:val="en-US" w:eastAsia="zh-CN"/>
              </w:rPr>
              <w:t>7</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SS</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200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rPr>
            </w:pPr>
            <w:r>
              <w:rPr>
                <w:rFonts w:hint="default" w:cs="Times New Roman"/>
                <w:bCs/>
                <w:spacing w:val="2"/>
                <w:sz w:val="21"/>
                <w:highlight w:val="none"/>
                <w:lang w:val="en-US" w:eastAsia="zh-CN"/>
              </w:rPr>
              <w:t>0.</w:t>
            </w:r>
            <w:r>
              <w:rPr>
                <w:rFonts w:hint="eastAsia" w:cs="Times New Roman"/>
                <w:bCs/>
                <w:spacing w:val="2"/>
                <w:sz w:val="21"/>
                <w:highlight w:val="none"/>
                <w:lang w:val="en-US" w:eastAsia="zh-CN"/>
              </w:rPr>
              <w:t>63</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NH</w:t>
            </w:r>
            <w:r>
              <w:rPr>
                <w:rFonts w:hint="default" w:cs="Times New Roman"/>
                <w:bCs/>
                <w:spacing w:val="2"/>
                <w:sz w:val="21"/>
                <w:highlight w:val="none"/>
                <w:vertAlign w:val="subscript"/>
              </w:rPr>
              <w:t>3</w:t>
            </w:r>
            <w:r>
              <w:rPr>
                <w:rFonts w:hint="default" w:cs="Times New Roman"/>
                <w:bCs/>
                <w:spacing w:val="2"/>
                <w:sz w:val="21"/>
                <w:highlight w:val="none"/>
              </w:rPr>
              <w:t>-N</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30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rPr>
            </w:pPr>
            <w:r>
              <w:rPr>
                <w:rFonts w:hint="default" w:cs="Times New Roman"/>
                <w:bCs/>
                <w:spacing w:val="2"/>
                <w:sz w:val="21"/>
                <w:highlight w:val="none"/>
                <w:lang w:val="en-US" w:eastAsia="zh-CN"/>
              </w:rPr>
              <w:t>0.0</w:t>
            </w:r>
            <w:r>
              <w:rPr>
                <w:rFonts w:hint="eastAsia" w:cs="Times New Roman"/>
                <w:bCs/>
                <w:spacing w:val="2"/>
                <w:sz w:val="21"/>
                <w:highlight w:val="none"/>
                <w:lang w:val="en-US" w:eastAsia="zh-CN"/>
              </w:rPr>
              <w:t>95</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restar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混合后废水</w:t>
            </w:r>
          </w:p>
        </w:tc>
        <w:tc>
          <w:tcPr>
            <w:tcW w:w="740" w:type="pct"/>
            <w:vMerge w:val="restar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eastAsia" w:cs="Times New Roman"/>
                <w:bCs/>
                <w:spacing w:val="2"/>
                <w:sz w:val="21"/>
                <w:highlight w:val="none"/>
                <w:lang w:val="en-US" w:eastAsia="zh-CN"/>
              </w:rPr>
              <w:t>120624.57</w:t>
            </w: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COD</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1461</w:t>
            </w:r>
            <w:r>
              <w:rPr>
                <w:rFonts w:hint="eastAsia" w:cs="Times New Roman"/>
                <w:bCs/>
                <w:spacing w:val="2"/>
                <w:sz w:val="21"/>
                <w:highlight w:val="none"/>
                <w:lang w:val="en-US" w:eastAsia="zh-CN"/>
              </w:rPr>
              <w:t>6</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1763.01</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BOD</w:t>
            </w:r>
            <w:r>
              <w:rPr>
                <w:rFonts w:hint="default" w:cs="Times New Roman"/>
                <w:bCs/>
                <w:spacing w:val="2"/>
                <w:sz w:val="21"/>
                <w:highlight w:val="none"/>
                <w:vertAlign w:val="subscript"/>
              </w:rPr>
              <w:t>5</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5847</w:t>
            </w:r>
            <w:r>
              <w:rPr>
                <w:rFonts w:hint="eastAsia" w:cs="Times New Roman"/>
                <w:bCs/>
                <w:spacing w:val="2"/>
                <w:sz w:val="21"/>
                <w:highlight w:val="none"/>
                <w:lang w:val="en-US" w:eastAsia="zh-CN"/>
              </w:rPr>
              <w:t>.1</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705.</w:t>
            </w:r>
            <w:r>
              <w:rPr>
                <w:rFonts w:hint="eastAsia" w:cs="Times New Roman"/>
                <w:bCs/>
                <w:spacing w:val="2"/>
                <w:sz w:val="21"/>
                <w:highlight w:val="none"/>
                <w:lang w:val="en-US" w:eastAsia="zh-CN"/>
              </w:rPr>
              <w:t>30</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SS</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7601</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916.90</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NH</w:t>
            </w:r>
            <w:r>
              <w:rPr>
                <w:rFonts w:hint="default" w:cs="Times New Roman"/>
                <w:bCs/>
                <w:spacing w:val="2"/>
                <w:sz w:val="21"/>
                <w:highlight w:val="none"/>
                <w:vertAlign w:val="subscript"/>
              </w:rPr>
              <w:t>3</w:t>
            </w:r>
            <w:r>
              <w:rPr>
                <w:rFonts w:hint="default" w:cs="Times New Roman"/>
                <w:bCs/>
                <w:spacing w:val="2"/>
                <w:sz w:val="21"/>
                <w:highlight w:val="none"/>
              </w:rPr>
              <w:t>-N</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97</w:t>
            </w:r>
            <w:r>
              <w:rPr>
                <w:rFonts w:hint="eastAsia" w:cs="Times New Roman"/>
                <w:bCs/>
                <w:spacing w:val="2"/>
                <w:sz w:val="21"/>
                <w:highlight w:val="none"/>
                <w:lang w:val="en-US" w:eastAsia="zh-CN"/>
              </w:rPr>
              <w:t>5</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lang w:val="en-US" w:eastAsia="zh-CN"/>
              </w:rPr>
            </w:pPr>
            <w:r>
              <w:rPr>
                <w:rFonts w:hint="default" w:cs="Times New Roman"/>
                <w:bCs/>
                <w:spacing w:val="2"/>
                <w:sz w:val="21"/>
                <w:highlight w:val="none"/>
                <w:lang w:val="en-US" w:eastAsia="zh-CN"/>
              </w:rPr>
              <w:t>117.5</w:t>
            </w:r>
            <w:r>
              <w:rPr>
                <w:rFonts w:hint="eastAsia" w:cs="Times New Roman"/>
                <w:bCs/>
                <w:spacing w:val="2"/>
                <w:sz w:val="21"/>
                <w:highlight w:val="none"/>
                <w:lang w:val="en-US" w:eastAsia="zh-CN"/>
              </w:rPr>
              <w:t>7</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75" w:type="pct"/>
            <w:vMerge w:val="restar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处理后废水</w:t>
            </w:r>
          </w:p>
        </w:tc>
        <w:tc>
          <w:tcPr>
            <w:tcW w:w="740" w:type="pct"/>
            <w:vMerge w:val="restart"/>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eastAsia" w:cs="Times New Roman"/>
                <w:bCs/>
                <w:spacing w:val="2"/>
                <w:sz w:val="21"/>
                <w:highlight w:val="none"/>
                <w:lang w:val="en-US" w:eastAsia="zh-CN"/>
              </w:rPr>
              <w:t>120624.57</w:t>
            </w: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COD</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3000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lang w:val="en-US" w:eastAsia="zh-CN"/>
              </w:rPr>
              <w:t>361.87</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BOD</w:t>
            </w:r>
            <w:r>
              <w:rPr>
                <w:rFonts w:hint="default" w:cs="Times New Roman"/>
                <w:bCs/>
                <w:spacing w:val="2"/>
                <w:sz w:val="21"/>
                <w:highlight w:val="none"/>
                <w:vertAlign w:val="subscript"/>
              </w:rPr>
              <w:t>5</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1400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lang w:val="en-US" w:eastAsia="zh-CN"/>
              </w:rPr>
              <w:t>168.87</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SS</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2000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lang w:val="en-US" w:eastAsia="zh-CN"/>
              </w:rPr>
              <w:t>241.2</w:t>
            </w:r>
            <w:r>
              <w:rPr>
                <w:rFonts w:hint="eastAsia" w:cs="Times New Roman"/>
                <w:bCs/>
                <w:spacing w:val="2"/>
                <w:sz w:val="21"/>
                <w:highlight w:val="none"/>
                <w:lang w:val="en-US" w:eastAsia="zh-CN"/>
              </w:rPr>
              <w:t>5</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75"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740" w:type="pct"/>
            <w:vMerge w:val="continue"/>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p>
        </w:tc>
        <w:tc>
          <w:tcPr>
            <w:tcW w:w="493"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NH</w:t>
            </w:r>
            <w:r>
              <w:rPr>
                <w:rFonts w:hint="default" w:cs="Times New Roman"/>
                <w:bCs/>
                <w:spacing w:val="2"/>
                <w:sz w:val="21"/>
                <w:highlight w:val="none"/>
                <w:vertAlign w:val="subscript"/>
              </w:rPr>
              <w:t>3</w:t>
            </w:r>
            <w:r>
              <w:rPr>
                <w:rFonts w:hint="default" w:cs="Times New Roman"/>
                <w:bCs/>
                <w:spacing w:val="2"/>
                <w:sz w:val="21"/>
                <w:highlight w:val="none"/>
              </w:rPr>
              <w:t>-N</w:t>
            </w:r>
          </w:p>
        </w:tc>
        <w:tc>
          <w:tcPr>
            <w:tcW w:w="642" w:type="pct"/>
            <w:gridSpan w:val="2"/>
            <w:tcBorders>
              <w:tl2br w:val="nil"/>
              <w:tr2bl w:val="nil"/>
            </w:tcBorders>
            <w:noWrap w:val="0"/>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rPr>
              <w:t>900</w:t>
            </w:r>
          </w:p>
        </w:tc>
        <w:tc>
          <w:tcPr>
            <w:tcW w:w="604" w:type="pct"/>
            <w:tcBorders>
              <w:tl2br w:val="nil"/>
              <w:tr2bl w:val="nil"/>
            </w:tcBorders>
            <w:noWrap w:val="0"/>
            <w:tcMar>
              <w:top w:w="0" w:type="dxa"/>
              <w:left w:w="0" w:type="dxa"/>
              <w:bottom w:w="0" w:type="dxa"/>
              <w:right w:w="0" w:type="dxa"/>
            </w:tcMar>
            <w:vAlign w:val="center"/>
          </w:tcPr>
          <w:p>
            <w:pPr>
              <w:spacing w:line="240" w:lineRule="auto"/>
              <w:ind w:right="-20" w:firstLine="0" w:firstLineChars="0"/>
              <w:jc w:val="center"/>
              <w:rPr>
                <w:rFonts w:hint="default" w:cs="Times New Roman"/>
                <w:bCs/>
                <w:spacing w:val="2"/>
                <w:sz w:val="21"/>
                <w:highlight w:val="none"/>
              </w:rPr>
            </w:pPr>
            <w:r>
              <w:rPr>
                <w:rFonts w:hint="default" w:cs="Times New Roman"/>
                <w:bCs/>
                <w:spacing w:val="2"/>
                <w:sz w:val="21"/>
                <w:highlight w:val="none"/>
                <w:lang w:val="en-US" w:eastAsia="zh-CN"/>
              </w:rPr>
              <w:t>108.56</w:t>
            </w:r>
          </w:p>
        </w:tc>
        <w:tc>
          <w:tcPr>
            <w:tcW w:w="653"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c>
          <w:tcPr>
            <w:tcW w:w="889" w:type="pct"/>
            <w:vMerge w:val="continue"/>
            <w:tcBorders>
              <w:tl2br w:val="nil"/>
              <w:tr2bl w:val="nil"/>
            </w:tcBorders>
            <w:noWrap w:val="0"/>
            <w:vAlign w:val="center"/>
          </w:tcPr>
          <w:p>
            <w:pPr>
              <w:widowControl/>
              <w:jc w:val="center"/>
              <w:rPr>
                <w:rFonts w:hint="default" w:ascii="Times New Roman" w:hAnsi="Times New Roman" w:cs="Times New Roman"/>
                <w:b w:val="0"/>
                <w:bCs/>
                <w:color w:val="auto"/>
                <w:sz w:val="21"/>
                <w:szCs w:val="21"/>
                <w:highlight w:val="none"/>
                <w:u w:val="none"/>
              </w:rPr>
            </w:pPr>
          </w:p>
        </w:tc>
      </w:tr>
    </w:tbl>
    <w:p>
      <w:pPr>
        <w:pStyle w:val="8"/>
        <w:ind w:firstLine="482"/>
        <w:rPr>
          <w:highlight w:val="none"/>
        </w:rPr>
      </w:pPr>
      <w:r>
        <w:rPr>
          <w:rFonts w:hint="eastAsia"/>
          <w:highlight w:val="none"/>
          <w:lang w:val="en-US" w:eastAsia="zh-CN"/>
        </w:rPr>
        <w:t>2</w:t>
      </w:r>
      <w:r>
        <w:rPr>
          <w:highlight w:val="none"/>
        </w:rPr>
        <w:t>.</w:t>
      </w:r>
      <w:r>
        <w:rPr>
          <w:rFonts w:hint="eastAsia"/>
          <w:highlight w:val="none"/>
          <w:lang w:val="en-US" w:eastAsia="zh-CN"/>
        </w:rPr>
        <w:t>12</w:t>
      </w:r>
      <w:r>
        <w:rPr>
          <w:highlight w:val="none"/>
        </w:rPr>
        <w:t>.</w:t>
      </w:r>
      <w:r>
        <w:rPr>
          <w:rFonts w:hint="eastAsia"/>
          <w:highlight w:val="none"/>
          <w:lang w:val="en-US" w:eastAsia="zh-CN"/>
        </w:rPr>
        <w:t>1</w:t>
      </w:r>
      <w:r>
        <w:rPr>
          <w:rFonts w:hint="eastAsia"/>
          <w:highlight w:val="none"/>
        </w:rPr>
        <w:t>.</w:t>
      </w:r>
      <w:r>
        <w:rPr>
          <w:highlight w:val="none"/>
        </w:rPr>
        <w:t>3固废</w:t>
      </w:r>
    </w:p>
    <w:p>
      <w:pPr>
        <w:ind w:firstLine="480" w:firstLineChars="0"/>
        <w:rPr>
          <w:rFonts w:hint="eastAsia" w:cs="Times New Roman"/>
          <w:highlight w:val="none"/>
        </w:rPr>
      </w:pPr>
      <w:r>
        <w:rPr>
          <w:rFonts w:hint="eastAsia" w:cs="Times New Roman"/>
          <w:highlight w:val="none"/>
        </w:rPr>
        <w:t>本项目产生的固体废物主要包括猪粪固形物、厌氧发酵后的沼渣、疾病防疫产生的医疗废物、职工生活垃圾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w:t>
      </w:r>
      <w:r>
        <w:rPr>
          <w:rFonts w:hint="eastAsia" w:cs="Times New Roman"/>
          <w:highlight w:val="none"/>
          <w:lang w:eastAsia="zh-CN"/>
        </w:rPr>
        <w:t>、饲料加工过程产生的杂质、除尘器收集的粉尘、锅炉软水制备产生的废离子交换树脂</w:t>
      </w:r>
      <w:r>
        <w:rPr>
          <w:rFonts w:hint="eastAsia" w:cs="Times New Roman"/>
          <w:highlight w:val="none"/>
        </w:rPr>
        <w:t>等。</w:t>
      </w:r>
    </w:p>
    <w:p>
      <w:pPr>
        <w:ind w:firstLine="480" w:firstLineChars="0"/>
        <w:rPr>
          <w:rFonts w:hint="eastAsia" w:cs="Times New Roman"/>
          <w:highlight w:val="none"/>
        </w:rPr>
      </w:pPr>
      <w:r>
        <w:rPr>
          <w:rFonts w:hint="eastAsia" w:cs="Times New Roman"/>
          <w:highlight w:val="none"/>
        </w:rPr>
        <w:t>（一）猪粪固形物和沼渣</w:t>
      </w:r>
    </w:p>
    <w:p>
      <w:pPr>
        <w:ind w:firstLine="480" w:firstLineChars="0"/>
        <w:rPr>
          <w:rFonts w:hint="eastAsia" w:cs="Times New Roman"/>
          <w:highlight w:val="none"/>
        </w:rPr>
      </w:pPr>
      <w:r>
        <w:rPr>
          <w:rFonts w:hint="eastAsia" w:cs="Times New Roman"/>
          <w:highlight w:val="none"/>
        </w:rPr>
        <w:t>（1）猪粪固形物</w:t>
      </w:r>
    </w:p>
    <w:p>
      <w:pPr>
        <w:ind w:firstLine="480" w:firstLineChars="0"/>
        <w:rPr>
          <w:rFonts w:hint="eastAsia" w:cs="Times New Roman"/>
          <w:highlight w:val="none"/>
        </w:rPr>
      </w:pPr>
      <w:r>
        <w:rPr>
          <w:rFonts w:hint="eastAsia" w:cs="Times New Roman"/>
          <w:highlight w:val="none"/>
        </w:rPr>
        <w:t>根据《畜禽养殖污染防治最佳可行技术指南》（试行），猪粪排泄量计算公式为：</w:t>
      </w:r>
    </w:p>
    <w:p>
      <w:pPr>
        <w:ind w:firstLine="480" w:firstLineChars="0"/>
        <w:rPr>
          <w:rFonts w:hint="eastAsia" w:cs="Times New Roman"/>
          <w:highlight w:val="none"/>
        </w:rPr>
      </w:pPr>
      <w:r>
        <w:rPr>
          <w:rFonts w:hint="eastAsia" w:cs="Times New Roman"/>
          <w:highlight w:val="none"/>
        </w:rPr>
        <w:t>Yf=0.530F-0.049</w:t>
      </w:r>
    </w:p>
    <w:p>
      <w:pPr>
        <w:ind w:firstLine="480" w:firstLineChars="0"/>
        <w:rPr>
          <w:rFonts w:hint="eastAsia" w:cs="Times New Roman"/>
          <w:highlight w:val="none"/>
        </w:rPr>
      </w:pPr>
      <w:r>
        <w:rPr>
          <w:rFonts w:hint="eastAsia" w:cs="Times New Roman"/>
          <w:highlight w:val="none"/>
        </w:rPr>
        <w:t>式中：Yf——为猪粪排泄量（kg/头·d）；未折算为干粪。</w:t>
      </w:r>
    </w:p>
    <w:p>
      <w:pPr>
        <w:ind w:firstLine="480" w:firstLineChars="0"/>
        <w:rPr>
          <w:rFonts w:hint="eastAsia" w:cs="Times New Roman"/>
          <w:highlight w:val="none"/>
        </w:rPr>
      </w:pPr>
      <w:r>
        <w:rPr>
          <w:rFonts w:hint="eastAsia" w:cs="Times New Roman"/>
          <w:highlight w:val="none"/>
        </w:rPr>
        <w:t>F——为饲料采食量（kg/头·d）。</w:t>
      </w:r>
    </w:p>
    <w:p>
      <w:pPr>
        <w:pStyle w:val="10"/>
        <w:rPr>
          <w:rFonts w:hint="eastAsia"/>
          <w:color w:val="auto"/>
          <w:sz w:val="24"/>
          <w:szCs w:val="24"/>
          <w:highlight w:val="none"/>
          <w:lang w:val="en-US" w:eastAsia="zh-CN"/>
        </w:rPr>
      </w:pPr>
      <w:r>
        <w:rPr>
          <w:rFonts w:ascii="Times New Roman" w:hAnsi="Times New Roman"/>
          <w:color w:val="auto"/>
          <w:sz w:val="24"/>
          <w:szCs w:val="24"/>
          <w:highlight w:val="none"/>
        </w:rPr>
        <w:t>通过计算，项目猪粪产生情况见表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9。</w:t>
      </w:r>
    </w:p>
    <w:p>
      <w:pPr>
        <w:pStyle w:val="40"/>
        <w:rPr>
          <w:rFonts w:hint="eastAsia" w:cs="Times New Roman"/>
          <w:highlight w:val="none"/>
          <w:lang w:val="en-US" w:eastAsia="zh-CN"/>
        </w:rPr>
      </w:pPr>
      <w:r>
        <w:rPr>
          <w:rFonts w:hint="eastAsia" w:cs="Times New Roman"/>
          <w:highlight w:val="none"/>
          <w:lang w:val="en-US" w:eastAsia="zh-CN"/>
        </w:rPr>
        <w:t>表2.12-9 猪粪产生情况一览表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20"/>
        <w:gridCol w:w="1209"/>
        <w:gridCol w:w="1824"/>
        <w:gridCol w:w="1560"/>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种类</w:t>
            </w:r>
          </w:p>
        </w:tc>
        <w:tc>
          <w:tcPr>
            <w:tcW w:w="724"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存栏数（头）</w:t>
            </w:r>
          </w:p>
        </w:tc>
        <w:tc>
          <w:tcPr>
            <w:tcW w:w="718" w:type="pct"/>
            <w:vMerge w:val="restar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饲料定额</w:t>
            </w:r>
          </w:p>
          <w:p>
            <w:pPr>
              <w:spacing w:line="276" w:lineRule="auto"/>
              <w:ind w:firstLine="0" w:firstLineChars="0"/>
              <w:jc w:val="center"/>
              <w:rPr>
                <w:rFonts w:hint="default"/>
                <w:sz w:val="21"/>
                <w:highlight w:val="none"/>
                <w:lang w:eastAsia="zh-CN"/>
              </w:rPr>
            </w:pPr>
            <w:r>
              <w:rPr>
                <w:rFonts w:hint="default"/>
                <w:sz w:val="21"/>
                <w:highlight w:val="none"/>
                <w:lang w:eastAsia="zh-CN"/>
              </w:rPr>
              <w:t>（kg/头·d）</w:t>
            </w:r>
          </w:p>
        </w:tc>
        <w:tc>
          <w:tcPr>
            <w:tcW w:w="1081"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单头猪粪便产生量</w:t>
            </w:r>
          </w:p>
          <w:p>
            <w:pPr>
              <w:spacing w:line="276" w:lineRule="auto"/>
              <w:ind w:firstLine="0" w:firstLineChars="0"/>
              <w:jc w:val="center"/>
              <w:rPr>
                <w:rFonts w:hint="default"/>
                <w:sz w:val="21"/>
                <w:highlight w:val="none"/>
                <w:lang w:eastAsia="zh-CN"/>
              </w:rPr>
            </w:pPr>
            <w:r>
              <w:rPr>
                <w:rFonts w:hint="default"/>
                <w:sz w:val="21"/>
                <w:highlight w:val="none"/>
                <w:lang w:eastAsia="zh-CN"/>
              </w:rPr>
              <w:t>（kg/头·d）</w:t>
            </w:r>
          </w:p>
        </w:tc>
        <w:tc>
          <w:tcPr>
            <w:tcW w:w="1756"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猪粪便产生量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724"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718"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1081"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18"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怀孕猪</w:t>
            </w:r>
          </w:p>
        </w:tc>
        <w:tc>
          <w:tcPr>
            <w:tcW w:w="724"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4944</w:t>
            </w:r>
          </w:p>
        </w:tc>
        <w:tc>
          <w:tcPr>
            <w:tcW w:w="718"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2.5</w:t>
            </w:r>
          </w:p>
        </w:tc>
        <w:tc>
          <w:tcPr>
            <w:tcW w:w="1081"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1.276</w:t>
            </w: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6.3</w:t>
            </w:r>
            <w:r>
              <w:rPr>
                <w:rFonts w:hint="eastAsia"/>
                <w:sz w:val="21"/>
                <w:highlight w:val="none"/>
                <w:lang w:val="en-US" w:eastAsia="zh-CN"/>
              </w:rPr>
              <w:t>1</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2302.61856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18"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哺乳猪</w:t>
            </w:r>
          </w:p>
        </w:tc>
        <w:tc>
          <w:tcPr>
            <w:tcW w:w="724"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1056</w:t>
            </w:r>
          </w:p>
        </w:tc>
        <w:tc>
          <w:tcPr>
            <w:tcW w:w="718"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5.5</w:t>
            </w:r>
          </w:p>
        </w:tc>
        <w:tc>
          <w:tcPr>
            <w:tcW w:w="1081"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2.866</w:t>
            </w: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3.0</w:t>
            </w:r>
            <w:r>
              <w:rPr>
                <w:rFonts w:hint="eastAsia"/>
                <w:sz w:val="21"/>
                <w:highlight w:val="none"/>
                <w:lang w:val="en-US" w:eastAsia="zh-CN"/>
              </w:rPr>
              <w:t>3</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1104.67104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保育猪</w:t>
            </w:r>
          </w:p>
        </w:tc>
        <w:tc>
          <w:tcPr>
            <w:tcW w:w="724"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20000</w:t>
            </w:r>
          </w:p>
        </w:tc>
        <w:tc>
          <w:tcPr>
            <w:tcW w:w="71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0.8</w:t>
            </w:r>
          </w:p>
        </w:tc>
        <w:tc>
          <w:tcPr>
            <w:tcW w:w="1081"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0.375</w:t>
            </w: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7.5</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2737.5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育肥猪</w:t>
            </w:r>
          </w:p>
        </w:tc>
        <w:tc>
          <w:tcPr>
            <w:tcW w:w="724"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40000</w:t>
            </w:r>
          </w:p>
        </w:tc>
        <w:tc>
          <w:tcPr>
            <w:tcW w:w="71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2</w:t>
            </w:r>
          </w:p>
        </w:tc>
        <w:tc>
          <w:tcPr>
            <w:tcW w:w="1081"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1.011</w:t>
            </w: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40.44</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14760.6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后备猪</w:t>
            </w:r>
          </w:p>
        </w:tc>
        <w:tc>
          <w:tcPr>
            <w:tcW w:w="724"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eastAsia"/>
                <w:sz w:val="21"/>
                <w:highlight w:val="none"/>
                <w:lang w:eastAsia="zh-CN"/>
              </w:rPr>
              <w:t>1</w:t>
            </w:r>
            <w:r>
              <w:rPr>
                <w:rFonts w:hint="eastAsia"/>
                <w:sz w:val="21"/>
                <w:highlight w:val="none"/>
                <w:lang w:val="en-US" w:eastAsia="zh-CN"/>
              </w:rPr>
              <w:t>200</w:t>
            </w:r>
          </w:p>
        </w:tc>
        <w:tc>
          <w:tcPr>
            <w:tcW w:w="71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2</w:t>
            </w:r>
          </w:p>
        </w:tc>
        <w:tc>
          <w:tcPr>
            <w:tcW w:w="1081" w:type="pc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1.011</w:t>
            </w: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1.21</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442.818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3" w:type="pct"/>
            <w:gridSpan w:val="4"/>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全场合计</w:t>
            </w:r>
          </w:p>
        </w:tc>
        <w:tc>
          <w:tcPr>
            <w:tcW w:w="926"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58.49</w:t>
            </w:r>
          </w:p>
        </w:tc>
        <w:tc>
          <w:tcPr>
            <w:tcW w:w="830"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21348.21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养殖粪污在固粪处理区进行固液分离，</w:t>
      </w:r>
      <w:r>
        <w:rPr>
          <w:rFonts w:hint="eastAsia" w:ascii="Times New Roman" w:hAnsi="Times New Roman"/>
          <w:color w:val="auto"/>
          <w:sz w:val="24"/>
          <w:szCs w:val="24"/>
          <w:highlight w:val="none"/>
          <w:lang w:val="en-US" w:eastAsia="zh-CN"/>
        </w:rPr>
        <w:t>猪粪含水量80%，</w:t>
      </w:r>
      <w:r>
        <w:rPr>
          <w:rFonts w:ascii="Times New Roman" w:hAnsi="Times New Roman"/>
          <w:color w:val="auto"/>
          <w:sz w:val="24"/>
          <w:szCs w:val="24"/>
          <w:highlight w:val="none"/>
        </w:rPr>
        <w:t>固液分离效率按分离出干物质的50%计，则分离出来的猪粪总重（以含水量65%计）为</w:t>
      </w:r>
      <w:r>
        <w:rPr>
          <w:rFonts w:hint="eastAsia"/>
          <w:color w:val="auto"/>
          <w:sz w:val="24"/>
          <w:szCs w:val="24"/>
          <w:highlight w:val="none"/>
          <w:lang w:val="en-US" w:eastAsia="zh-CN"/>
        </w:rPr>
        <w:t>6099.49</w:t>
      </w:r>
      <w:r>
        <w:rPr>
          <w:rFonts w:ascii="Times New Roman" w:hAnsi="Times New Roman"/>
          <w:color w:val="auto"/>
          <w:sz w:val="24"/>
          <w:szCs w:val="24"/>
          <w:highlight w:val="none"/>
        </w:rPr>
        <w:t>t/a，在固粪处理区发酵生产有机肥基料，剩余溶解在废水里的猪粪进入</w:t>
      </w:r>
      <w:r>
        <w:rPr>
          <w:rFonts w:hint="eastAsia"/>
          <w:color w:val="auto"/>
          <w:sz w:val="24"/>
          <w:szCs w:val="24"/>
          <w:highlight w:val="none"/>
          <w:lang w:eastAsia="zh-CN"/>
        </w:rPr>
        <w:t>黑膜</w:t>
      </w:r>
      <w:r>
        <w:rPr>
          <w:rFonts w:ascii="Times New Roman" w:hAnsi="Times New Roman"/>
          <w:color w:val="auto"/>
          <w:sz w:val="24"/>
          <w:szCs w:val="24"/>
          <w:highlight w:val="none"/>
        </w:rPr>
        <w:t>沼气池进行处理。项目产生的粪便及去向详见表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10</w:t>
      </w:r>
      <w:r>
        <w:rPr>
          <w:rFonts w:ascii="Times New Roman" w:hAnsi="Times New Roman"/>
          <w:color w:val="auto"/>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表2.12-10  项目猪粪产生及去向一览表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728"/>
        <w:gridCol w:w="1000"/>
        <w:gridCol w:w="1096"/>
        <w:gridCol w:w="1229"/>
        <w:gridCol w:w="956"/>
        <w:gridCol w:w="1331"/>
        <w:gridCol w:w="1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restar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产生/去向</w:t>
            </w:r>
          </w:p>
          <w:p>
            <w:pPr>
              <w:spacing w:line="276" w:lineRule="auto"/>
              <w:ind w:firstLine="0" w:firstLineChars="0"/>
              <w:jc w:val="center"/>
              <w:rPr>
                <w:rFonts w:hint="default"/>
                <w:sz w:val="21"/>
                <w:highlight w:val="none"/>
                <w:lang w:eastAsia="zh-CN"/>
              </w:rPr>
            </w:pPr>
            <w:r>
              <w:rPr>
                <w:rFonts w:hint="default"/>
                <w:sz w:val="21"/>
                <w:highlight w:val="none"/>
                <w:lang w:eastAsia="zh-CN"/>
              </w:rPr>
              <w:t>类别</w:t>
            </w:r>
          </w:p>
        </w:tc>
        <w:tc>
          <w:tcPr>
            <w:tcW w:w="1245"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猪粪总产生量（含水率80%）</w:t>
            </w:r>
          </w:p>
        </w:tc>
        <w:tc>
          <w:tcPr>
            <w:tcW w:w="1298"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固液分离后堆肥（含水率65%）</w:t>
            </w:r>
          </w:p>
        </w:tc>
        <w:tc>
          <w:tcPr>
            <w:tcW w:w="1427" w:type="pct"/>
            <w:gridSpan w:val="2"/>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进入</w:t>
            </w:r>
            <w:r>
              <w:rPr>
                <w:rFonts w:hint="eastAsia"/>
                <w:sz w:val="21"/>
                <w:highlight w:val="none"/>
                <w:lang w:eastAsia="zh-CN"/>
              </w:rPr>
              <w:t>黑膜</w:t>
            </w:r>
            <w:r>
              <w:rPr>
                <w:rFonts w:hint="default"/>
                <w:sz w:val="21"/>
                <w:highlight w:val="none"/>
                <w:lang w:eastAsia="zh-CN"/>
              </w:rPr>
              <w:t>沼气池的猪粪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continue"/>
            <w:tcBorders>
              <w:tl2br w:val="nil"/>
              <w:tr2bl w:val="nil"/>
            </w:tcBorders>
            <w:noWrap w:val="0"/>
            <w:vAlign w:val="center"/>
          </w:tcPr>
          <w:p>
            <w:pPr>
              <w:spacing w:line="276" w:lineRule="auto"/>
              <w:ind w:firstLine="0" w:firstLineChars="0"/>
              <w:jc w:val="center"/>
              <w:rPr>
                <w:rFonts w:hint="default"/>
                <w:sz w:val="21"/>
                <w:highlight w:val="none"/>
                <w:lang w:eastAsia="zh-CN"/>
              </w:rPr>
            </w:pP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t/d</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湿重</w:t>
            </w: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58.4</w:t>
            </w:r>
            <w:r>
              <w:rPr>
                <w:rFonts w:hint="eastAsia"/>
                <w:sz w:val="21"/>
                <w:highlight w:val="none"/>
                <w:lang w:val="en-US" w:eastAsia="zh-CN"/>
              </w:rPr>
              <w:t>9</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21348.21</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16.71</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6099.4</w:t>
            </w:r>
            <w:r>
              <w:rPr>
                <w:rFonts w:hint="eastAsia"/>
                <w:sz w:val="21"/>
                <w:highlight w:val="none"/>
                <w:lang w:val="en-US" w:eastAsia="zh-CN"/>
              </w:rPr>
              <w:t>9</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41.7</w:t>
            </w:r>
            <w:r>
              <w:rPr>
                <w:rFonts w:hint="eastAsia"/>
                <w:sz w:val="21"/>
                <w:highlight w:val="none"/>
                <w:lang w:val="en-US" w:eastAsia="zh-CN"/>
              </w:rPr>
              <w:t>8</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15248.72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干重</w:t>
            </w:r>
          </w:p>
        </w:tc>
        <w:tc>
          <w:tcPr>
            <w:tcW w:w="59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val="en-US" w:eastAsia="zh-CN"/>
              </w:rPr>
              <w:t>11.</w:t>
            </w:r>
            <w:r>
              <w:rPr>
                <w:rFonts w:hint="eastAsia"/>
                <w:sz w:val="21"/>
                <w:highlight w:val="none"/>
                <w:lang w:val="en-US" w:eastAsia="zh-CN"/>
              </w:rPr>
              <w:t>70</w:t>
            </w:r>
          </w:p>
        </w:tc>
        <w:tc>
          <w:tcPr>
            <w:tcW w:w="651"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4269.64</w:t>
            </w:r>
          </w:p>
        </w:tc>
        <w:tc>
          <w:tcPr>
            <w:tcW w:w="730"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5.8</w:t>
            </w:r>
            <w:r>
              <w:rPr>
                <w:rFonts w:hint="eastAsia"/>
                <w:sz w:val="21"/>
                <w:highlight w:val="none"/>
                <w:lang w:val="en-US" w:eastAsia="zh-CN"/>
              </w:rPr>
              <w:t>5</w:t>
            </w:r>
          </w:p>
        </w:tc>
        <w:tc>
          <w:tcPr>
            <w:tcW w:w="568"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2134.82</w:t>
            </w:r>
          </w:p>
        </w:tc>
        <w:tc>
          <w:tcPr>
            <w:tcW w:w="791"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5.8</w:t>
            </w:r>
            <w:r>
              <w:rPr>
                <w:rFonts w:hint="eastAsia"/>
                <w:sz w:val="21"/>
                <w:highlight w:val="none"/>
                <w:lang w:val="en-US" w:eastAsia="zh-CN"/>
              </w:rPr>
              <w:t>5</w:t>
            </w:r>
          </w:p>
        </w:tc>
        <w:tc>
          <w:tcPr>
            <w:tcW w:w="636"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val="en-US" w:eastAsia="zh-CN"/>
              </w:rPr>
              <w:t>2134.82</w:t>
            </w:r>
          </w:p>
        </w:tc>
      </w:tr>
    </w:tbl>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color w:val="auto"/>
          <w:sz w:val="24"/>
          <w:szCs w:val="24"/>
          <w:highlight w:val="none"/>
        </w:rPr>
        <w:t>经分离后的猪粪通过接种半成品通过发酵生成有机肥基料。有机肥基料产生量按原料总量的25%计，有机肥基料产生量为</w:t>
      </w:r>
      <w:r>
        <w:rPr>
          <w:rFonts w:hint="eastAsia"/>
          <w:color w:val="auto"/>
          <w:sz w:val="24"/>
          <w:szCs w:val="24"/>
          <w:highlight w:val="none"/>
          <w:lang w:val="en-US" w:eastAsia="zh-CN"/>
        </w:rPr>
        <w:t>1524.87</w:t>
      </w:r>
      <w:r>
        <w:rPr>
          <w:color w:val="auto"/>
          <w:sz w:val="24"/>
          <w:szCs w:val="24"/>
          <w:highlight w:val="none"/>
        </w:rPr>
        <w:t>t/a。项目发酵后的固体有机肥</w:t>
      </w:r>
      <w:r>
        <w:rPr>
          <w:rFonts w:hint="default" w:ascii="Times New Roman" w:hAnsi="Times New Roman" w:cs="Times New Roman"/>
          <w:color w:val="auto"/>
          <w:sz w:val="24"/>
          <w:szCs w:val="24"/>
          <w:highlight w:val="none"/>
        </w:rPr>
        <w:t>基料，经过晾晒等方法把含水量降至30%以下定期外售</w:t>
      </w:r>
      <w:r>
        <w:rPr>
          <w:rFonts w:hint="default" w:ascii="Times New Roman" w:hAnsi="Times New Roman"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（2）沼渣</w:t>
      </w:r>
    </w:p>
    <w:p>
      <w:pPr>
        <w:pStyle w:val="3"/>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项目进入</w:t>
      </w:r>
      <w:r>
        <w:rPr>
          <w:rFonts w:hint="eastAsia" w:ascii="Times New Roman" w:hAnsi="Times New Roman" w:cs="Times New Roman"/>
          <w:color w:val="auto"/>
          <w:sz w:val="24"/>
          <w:szCs w:val="24"/>
          <w:highlight w:val="none"/>
          <w:lang w:eastAsia="zh-CN"/>
        </w:rPr>
        <w:t>黑膜</w:t>
      </w:r>
      <w:r>
        <w:rPr>
          <w:rFonts w:hint="default" w:ascii="Times New Roman" w:hAnsi="Times New Roman" w:cs="Times New Roman"/>
          <w:color w:val="auto"/>
          <w:sz w:val="24"/>
          <w:szCs w:val="24"/>
          <w:highlight w:val="none"/>
        </w:rPr>
        <w:t>沼气池猪粪干重为</w:t>
      </w:r>
      <w:r>
        <w:rPr>
          <w:rFonts w:hint="eastAsia" w:ascii="Times New Roman" w:hAnsi="Times New Roman" w:cs="Times New Roman"/>
          <w:color w:val="auto"/>
          <w:sz w:val="24"/>
          <w:szCs w:val="24"/>
          <w:highlight w:val="none"/>
          <w:lang w:val="en-US" w:eastAsia="zh-CN"/>
        </w:rPr>
        <w:t>2134.82</w:t>
      </w:r>
      <w:r>
        <w:rPr>
          <w:rFonts w:hint="default" w:ascii="Times New Roman" w:hAnsi="Times New Roman" w:cs="Times New Roman"/>
          <w:color w:val="auto"/>
          <w:sz w:val="24"/>
          <w:szCs w:val="24"/>
          <w:highlight w:val="none"/>
        </w:rPr>
        <w:t>t/a，粪便中的有机物质在厌氧反应阶段被降解50%，20%进入沼液，30%转化为沼渣，厌氧反应处理后沼渣实际含水率为85%，故沼渣产生量（总重）为</w:t>
      </w:r>
      <w:r>
        <w:rPr>
          <w:rFonts w:hint="eastAsia" w:ascii="Times New Roman" w:hAnsi="Times New Roman" w:cs="Times New Roman"/>
          <w:color w:val="auto"/>
          <w:sz w:val="24"/>
          <w:szCs w:val="24"/>
          <w:highlight w:val="none"/>
          <w:lang w:val="en-US" w:eastAsia="zh-CN"/>
        </w:rPr>
        <w:t>4270.5</w:t>
      </w:r>
      <w:r>
        <w:rPr>
          <w:rFonts w:hint="default" w:ascii="Times New Roman" w:hAnsi="Times New Roman" w:cs="Times New Roman"/>
          <w:color w:val="auto"/>
          <w:sz w:val="24"/>
          <w:szCs w:val="24"/>
          <w:highlight w:val="none"/>
        </w:rPr>
        <w:t>t/a。沼渣收集后通过管道送至收集池固液分离后含水率60%，作为有机肥基肥外售，有机肥基肥产生量为</w:t>
      </w:r>
      <w:r>
        <w:rPr>
          <w:rFonts w:hint="eastAsia" w:ascii="Times New Roman" w:hAnsi="Times New Roman" w:cs="Times New Roman"/>
          <w:color w:val="auto"/>
          <w:sz w:val="24"/>
          <w:szCs w:val="24"/>
          <w:highlight w:val="none"/>
          <w:lang w:val="en-US" w:eastAsia="zh-CN"/>
        </w:rPr>
        <w:t>1601.44</w:t>
      </w:r>
      <w:r>
        <w:rPr>
          <w:rFonts w:hint="default" w:ascii="Times New Roman" w:hAnsi="Times New Roman" w:cs="Times New Roman"/>
          <w:color w:val="auto"/>
          <w:sz w:val="24"/>
          <w:szCs w:val="24"/>
          <w:highlight w:val="none"/>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项目猪粪、沼渣平衡图见图</w:t>
      </w:r>
      <w:r>
        <w:rPr>
          <w:rFonts w:hint="eastAsia" w:cs="Times New Roman"/>
          <w:bCs/>
          <w:color w:val="auto"/>
          <w:sz w:val="24"/>
          <w:szCs w:val="24"/>
          <w:highlight w:val="none"/>
          <w:lang w:val="en-US" w:eastAsia="zh-CN"/>
        </w:rPr>
        <w:t>2</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12</w:t>
      </w:r>
      <w:r>
        <w:rPr>
          <w:rFonts w:hint="default" w:ascii="Times New Roman" w:hAnsi="Times New Roman" w:cs="Times New Roman"/>
          <w:bCs/>
          <w:color w:val="auto"/>
          <w:sz w:val="24"/>
          <w:szCs w:val="24"/>
          <w:highlight w:val="none"/>
        </w:rPr>
        <w:t>-1。</w:t>
      </w:r>
    </w:p>
    <w:p>
      <w:pPr>
        <w:pStyle w:val="10"/>
        <w:jc w:val="center"/>
        <w:rPr>
          <w:rFonts w:hint="default" w:ascii="Times New Roman" w:hAnsi="Times New Roman" w:cs="Times New Roman"/>
          <w:bCs/>
          <w:color w:val="auto"/>
          <w:sz w:val="24"/>
          <w:szCs w:val="24"/>
          <w:highlight w:val="none"/>
        </w:rPr>
      </w:pPr>
      <w:r>
        <w:rPr>
          <w:rStyle w:val="43"/>
          <w:rFonts w:hint="eastAsia" w:ascii="Times New Roman" w:hAnsi="Times New Roman"/>
          <w:szCs w:val="22"/>
          <w:highlight w:val="none"/>
          <w:lang w:val="en-US" w:eastAsia="zh-CN"/>
        </w:rPr>
        <w:t>图2.12-1  项目猪粪、沼渣平衡图单位：干t/d</w:t>
      </w:r>
      <w:r>
        <w:rPr>
          <w:rFonts w:ascii="Times New Roman" w:hAnsi="Times New Roman" w:cs="Times New Roman"/>
          <w:color w:val="auto"/>
          <w:szCs w:val="22"/>
          <w:highlight w:val="none"/>
        </w:rPr>
        <mc:AlternateContent>
          <mc:Choice Requires="wpc">
            <w:drawing>
              <wp:anchor distT="0" distB="0" distL="114300" distR="114300" simplePos="0" relativeHeight="252424192" behindDoc="0" locked="0" layoutInCell="1" allowOverlap="1">
                <wp:simplePos x="0" y="0"/>
                <wp:positionH relativeFrom="column">
                  <wp:posOffset>-102870</wp:posOffset>
                </wp:positionH>
                <wp:positionV relativeFrom="paragraph">
                  <wp:posOffset>96520</wp:posOffset>
                </wp:positionV>
                <wp:extent cx="5629275" cy="1302385"/>
                <wp:effectExtent l="0" t="0" r="0" b="12700"/>
                <wp:wrapSquare wrapText="bothSides"/>
                <wp:docPr id="733" name="画布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文本框 717"/>
                        <wps:cNvSpPr txBox="1"/>
                        <wps:spPr>
                          <a:xfrm>
                            <a:off x="128202" y="108507"/>
                            <a:ext cx="991913"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11.7</w:t>
                              </w:r>
                            </w:p>
                          </w:txbxContent>
                        </wps:txbx>
                        <wps:bodyPr upright="1"/>
                      </wps:wsp>
                      <wps:wsp>
                        <wps:cNvPr id="718" name="直接箭头连接符 718"/>
                        <wps:cNvCnPr/>
                        <wps:spPr>
                          <a:xfrm>
                            <a:off x="1120115" y="259717"/>
                            <a:ext cx="845211" cy="0"/>
                          </a:xfrm>
                          <a:prstGeom prst="straightConnector1">
                            <a:avLst/>
                          </a:prstGeom>
                          <a:ln w="9525" cap="flat" cmpd="sng">
                            <a:solidFill>
                              <a:srgbClr val="000000"/>
                            </a:solidFill>
                            <a:prstDash val="solid"/>
                            <a:headEnd type="none" w="med" len="med"/>
                            <a:tailEnd type="triangle" w="med" len="med"/>
                          </a:ln>
                        </wps:spPr>
                        <wps:bodyPr/>
                      </wps:wsp>
                      <wps:wsp>
                        <wps:cNvPr id="719" name="文本框 719"/>
                        <wps:cNvSpPr txBox="1"/>
                        <wps:spPr>
                          <a:xfrm>
                            <a:off x="1965326" y="108507"/>
                            <a:ext cx="1401419"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wps:txbx>
                        <wps:bodyPr upright="1"/>
                      </wps:wsp>
                      <wps:wsp>
                        <wps:cNvPr id="720" name="文本框 720"/>
                        <wps:cNvSpPr txBox="1"/>
                        <wps:spPr>
                          <a:xfrm>
                            <a:off x="2023127" y="954462"/>
                            <a:ext cx="2910839" cy="300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wps:txbx>
                        <wps:bodyPr upright="1"/>
                      </wps:wsp>
                      <wps:wsp>
                        <wps:cNvPr id="721" name="肘形连接符 721"/>
                        <wps:cNvCnPr/>
                        <wps:spPr>
                          <a:xfrm rot="-5400000" flipH="1">
                            <a:off x="1261017" y="343422"/>
                            <a:ext cx="845211" cy="678244"/>
                          </a:xfrm>
                          <a:prstGeom prst="bentConnector2">
                            <a:avLst/>
                          </a:prstGeom>
                          <a:ln w="9525" cap="flat" cmpd="sng">
                            <a:solidFill>
                              <a:srgbClr val="000000"/>
                            </a:solidFill>
                            <a:prstDash val="solid"/>
                            <a:miter/>
                            <a:headEnd type="none" w="med" len="med"/>
                            <a:tailEnd type="triangle" w="med" len="med"/>
                          </a:ln>
                        </wps:spPr>
                        <wps:bodyPr/>
                      </wps:wsp>
                      <wps:wsp>
                        <wps:cNvPr id="722" name="文本框 722"/>
                        <wps:cNvSpPr txBox="1"/>
                        <wps:spPr>
                          <a:xfrm>
                            <a:off x="1386218" y="0"/>
                            <a:ext cx="579108" cy="327021"/>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wps:txbx>
                        <wps:bodyPr upright="1"/>
                      </wps:wsp>
                      <wps:wsp>
                        <wps:cNvPr id="723" name="文本框 723"/>
                        <wps:cNvSpPr txBox="1"/>
                        <wps:spPr>
                          <a:xfrm>
                            <a:off x="1344918" y="826754"/>
                            <a:ext cx="638209"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wps:txbx>
                        <wps:bodyPr upright="1"/>
                      </wps:wsp>
                      <wps:wsp>
                        <wps:cNvPr id="724" name="直接箭头连接符 724"/>
                        <wps:cNvCnPr/>
                        <wps:spPr>
                          <a:xfrm>
                            <a:off x="3370545" y="257817"/>
                            <a:ext cx="491507" cy="600"/>
                          </a:xfrm>
                          <a:prstGeom prst="straightConnector1">
                            <a:avLst/>
                          </a:prstGeom>
                          <a:ln w="9525" cap="flat" cmpd="sng">
                            <a:solidFill>
                              <a:srgbClr val="000000"/>
                            </a:solidFill>
                            <a:prstDash val="solid"/>
                            <a:headEnd type="none" w="med" len="med"/>
                            <a:tailEnd type="none" w="med" len="med"/>
                          </a:ln>
                        </wps:spPr>
                        <wps:bodyPr/>
                      </wps:wsp>
                      <wps:wsp>
                        <wps:cNvPr id="725" name="直接箭头连接符 725"/>
                        <wps:cNvCnPr/>
                        <wps:spPr>
                          <a:xfrm>
                            <a:off x="3872852" y="170811"/>
                            <a:ext cx="700" cy="603239"/>
                          </a:xfrm>
                          <a:prstGeom prst="straightConnector1">
                            <a:avLst/>
                          </a:prstGeom>
                          <a:ln w="9525" cap="flat" cmpd="sng">
                            <a:solidFill>
                              <a:srgbClr val="000000"/>
                            </a:solidFill>
                            <a:prstDash val="solid"/>
                            <a:headEnd type="none" w="med" len="med"/>
                            <a:tailEnd type="none" w="med" len="med"/>
                          </a:ln>
                        </wps:spPr>
                        <wps:bodyPr/>
                      </wps:wsp>
                      <wps:wsp>
                        <wps:cNvPr id="726" name="直接箭头连接符 726"/>
                        <wps:cNvCnPr/>
                        <wps:spPr>
                          <a:xfrm>
                            <a:off x="3872852" y="170811"/>
                            <a:ext cx="448306" cy="600"/>
                          </a:xfrm>
                          <a:prstGeom prst="straightConnector1">
                            <a:avLst/>
                          </a:prstGeom>
                          <a:ln w="9525" cap="flat" cmpd="sng">
                            <a:solidFill>
                              <a:srgbClr val="000000"/>
                            </a:solidFill>
                            <a:prstDash val="solid"/>
                            <a:headEnd type="none" w="med" len="med"/>
                            <a:tailEnd type="triangle" w="med" len="med"/>
                          </a:ln>
                        </wps:spPr>
                        <wps:bodyPr/>
                      </wps:wsp>
                      <wps:wsp>
                        <wps:cNvPr id="727" name="文本框 727"/>
                        <wps:cNvSpPr txBox="1"/>
                        <wps:spPr>
                          <a:xfrm>
                            <a:off x="4224656" y="4400"/>
                            <a:ext cx="892212" cy="332122"/>
                          </a:xfrm>
                          <a:prstGeom prst="rect">
                            <a:avLst/>
                          </a:prstGeom>
                          <a:noFill/>
                          <a:ln>
                            <a:noFill/>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2.925</w:t>
                              </w:r>
                            </w:p>
                          </w:txbxContent>
                        </wps:txbx>
                        <wps:bodyPr upright="1"/>
                      </wps:wsp>
                      <wps:wsp>
                        <wps:cNvPr id="728" name="文本框 728"/>
                        <wps:cNvSpPr txBox="1"/>
                        <wps:spPr>
                          <a:xfrm>
                            <a:off x="4320558" y="636242"/>
                            <a:ext cx="518207" cy="30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729" name="文本框 729"/>
                        <wps:cNvSpPr txBox="1"/>
                        <wps:spPr>
                          <a:xfrm>
                            <a:off x="3854451" y="425428"/>
                            <a:ext cx="633708"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xbxContent>
                        </wps:txbx>
                        <wps:bodyPr upright="1"/>
                      </wps:wsp>
                      <wps:wsp>
                        <wps:cNvPr id="730" name="直接箭头连接符 730"/>
                        <wps:cNvCnPr/>
                        <wps:spPr>
                          <a:xfrm>
                            <a:off x="3872852" y="774751"/>
                            <a:ext cx="448306" cy="600"/>
                          </a:xfrm>
                          <a:prstGeom prst="straightConnector1">
                            <a:avLst/>
                          </a:prstGeom>
                          <a:ln w="9525" cap="flat" cmpd="sng">
                            <a:solidFill>
                              <a:srgbClr val="000000"/>
                            </a:solidFill>
                            <a:prstDash val="solid"/>
                            <a:headEnd type="none" w="med" len="med"/>
                            <a:tailEnd type="triangle" w="med" len="med"/>
                          </a:ln>
                        </wps:spPr>
                        <wps:bodyPr/>
                      </wps:wsp>
                      <wps:wsp>
                        <wps:cNvPr id="731" name="直接箭头连接符 731"/>
                        <wps:cNvCnPr/>
                        <wps:spPr>
                          <a:xfrm>
                            <a:off x="2661935" y="411427"/>
                            <a:ext cx="600" cy="545536"/>
                          </a:xfrm>
                          <a:prstGeom prst="straightConnector1">
                            <a:avLst/>
                          </a:prstGeom>
                          <a:ln w="9525" cap="flat" cmpd="sng">
                            <a:solidFill>
                              <a:srgbClr val="000000"/>
                            </a:solidFill>
                            <a:prstDash val="solid"/>
                            <a:headEnd type="none" w="med" len="med"/>
                            <a:tailEnd type="triangle" w="med" len="med"/>
                          </a:ln>
                        </wps:spPr>
                        <wps:bodyPr/>
                      </wps:wsp>
                      <wps:wsp>
                        <wps:cNvPr id="732" name="文本框 732"/>
                        <wps:cNvSpPr txBox="1"/>
                        <wps:spPr>
                          <a:xfrm>
                            <a:off x="2278330" y="531435"/>
                            <a:ext cx="998313" cy="374124"/>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1.755</w:t>
                              </w:r>
                            </w:p>
                          </w:txbxContent>
                        </wps:txbx>
                        <wps:bodyPr upright="1"/>
                      </wps:wsp>
                    </wpc:wpc>
                  </a:graphicData>
                </a:graphic>
              </wp:anchor>
            </w:drawing>
          </mc:Choice>
          <mc:Fallback>
            <w:pict>
              <v:group id="_x0000_s1026" o:spid="_x0000_s1026" o:spt="203" style="position:absolute;left:0pt;margin-left:-8.1pt;margin-top:7.6pt;height:102.55pt;width:443.25pt;mso-wrap-distance-bottom:0pt;mso-wrap-distance-left:9pt;mso-wrap-distance-right:9pt;mso-wrap-distance-top:0pt;z-index:252424192;mso-width-relative:page;mso-height-relative:page;" coordsize="5629275,1302385" editas="canvas"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HcIayLaAAAACgEAAA8A&#10;AAAAAAAAAQAgAAAAIgAAAGRycy9kb3ducmV2LnhtbFBLAQIUABQAAAAIAIdO4kBMnXK5bAUAAM0i&#10;AAAOAAAAAAAAAAEAIAAAACkBAABkcnMvZTJvRG9jLnhtbFBLBQYAAAAABgAGAFkBAAAHCQAAAAA=&#10;">
                <o:lock v:ext="edit" aspectratio="f"/>
                <v:shape id="_x0000_s1026" o:spid="_x0000_s1026" style="position:absolute;left:0;top:0;height:1302385;width:5629275;" filled="f" stroked="f" coordsize="21600,21600"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B3CGsi2gAAAAoBAAAPAAAAAAAAAAEAIAAAACIA&#10;AABkcnMvZG93bnJldi54bWxQSwECFAAUAAAACACHTuJAhuveJSUFAABGIgAADgAAAAAAAAABACAA&#10;AAApAQAAZHJzL2Uyb0RvYy54bWxQSwUGAAAAAAYABgBZAQAAwAgAAAAA&#10;">
                  <v:fill on="f" focussize="0,0"/>
                  <v:stroke on="f"/>
                  <v:imagedata o:title=""/>
                  <o:lock v:ext="edit" aspectratio="t"/>
                </v:shape>
                <v:shape id="_x0000_s1026" o:spid="_x0000_s1026" o:spt="202" type="#_x0000_t202" style="position:absolute;left:128202;top:108507;height:301720;width:991913;"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9PoJLZAAAACgEAAA8AAAAAAAAAAQAgAAAAIgAAAGRycy9kb3ducmV2&#10;LnhtbFBLAQIUABQAAAAIAIdO4kAZn0yc+wEAAPUDAAAOAAAAAAAAAAEAIAAAACgBAABkcnMvZTJv&#10;RG9jLnhtbFBLBQYAAAAABgAGAFkBAACVBQAAAAA=&#10;">
                  <v:fill on="t" focussize="0,0"/>
                  <v:stroke color="#000000" joinstyle="miter"/>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11.7</w:t>
                        </w:r>
                      </w:p>
                    </w:txbxContent>
                  </v:textbox>
                </v:shape>
                <v:shape id="_x0000_s1026" o:spid="_x0000_s1026" o:spt="32" type="#_x0000_t32" style="position:absolute;left:1120115;top:259717;height:0;width:845211;"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hXHH2gAAAAoBAAAPAAAAAAAAAAEAIAAAACIAAABkcnMvZG93bnJldi54&#10;bWxQSwECFAAUAAAACACHTuJAfuCDWfgBAACwAwAADgAAAAAAAAABACAAAAApAQAAZHJzL2Uyb0Rv&#10;Yy54bWxQSwUGAAAAAAYABgBZAQAAkwUAAAAA&#10;">
                  <v:fill on="f" focussize="0,0"/>
                  <v:stroke color="#000000" joinstyle="round" endarrow="block"/>
                  <v:imagedata o:title=""/>
                  <o:lock v:ext="edit" aspectratio="f"/>
                </v:shape>
                <v:shape id="_x0000_s1026" o:spid="_x0000_s1026" o:spt="202" type="#_x0000_t202" style="position:absolute;left:1965326;top:108507;height:301720;width:140141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0+gktkAAAAKAQAADwAAAAAAAAABACAAAAAiAAAAZHJzL2Rvd25y&#10;ZXYueG1sUEsBAhQAFAAAAAgAh07iQPllBJr9AQAA9wMAAA4AAAAAAAAAAQAgAAAAKAEAAGRycy9l&#10;Mm9Eb2MueG1sUEsFBgAAAAAGAAYAWQEAAJcFA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v:textbox>
                </v:shape>
                <v:shape id="_x0000_s1026" o:spid="_x0000_s1026" o:spt="202" type="#_x0000_t202" style="position:absolute;left:2023127;top:954462;height:300920;width:291083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0+gktkAAAAKAQAADwAAAAAAAAABACAAAAAiAAAAZHJzL2Rvd25y&#10;ZXYueG1sUEsBAhQAFAAAAAgAh07iQNER6Xz9AQAA9wMAAA4AAAAAAAAAAQAgAAAAKAEAAGRycy9l&#10;Mm9Eb2MueG1sUEsFBgAAAAAGAAYAWQEAAJcFA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v:textbox>
                </v:shape>
                <v:shape id="_x0000_s1026" o:spid="_x0000_s1026" o:spt="33" type="#_x0000_t33" style="position:absolute;left:1261017;top:343422;flip:x;height:678244;width:845211;rotation:5898240f;" filled="f" stroked="t" coordsize="21600,21600" o:gfxdata="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IEd5zZAAAACgEAAA8AAAAAAAAAAQAg&#10;AAAAIgAAAGRycy9kb3ducmV2LnhtbFBLAQIUABQAAAAIAIdO4kD7XIgpDQIAAM4DAAAOAAAAAAAA&#10;AAEAIAAAACgBAABkcnMvZTJvRG9jLnhtbFBLBQYAAAAABgAGAFkBAACnBQAAAAA=&#10;">
                  <v:fill on="f" focussize="0,0"/>
                  <v:stroke color="#000000" joinstyle="miter" endarrow="block"/>
                  <v:imagedata o:title=""/>
                  <o:lock v:ext="edit" aspectratio="f"/>
                </v:shape>
                <v:shape id="_x0000_s1026" o:spid="_x0000_s1026" o:spt="202" type="#_x0000_t202" style="position:absolute;left:1386218;top:0;height:327021;width:5791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VtlBPXAAAACgEAAA8AAAAAAAAAAQAgAAAAIgAA&#10;AGRycy9kb3ducmV2LnhtbFBLAQIUABQAAAAIAIdO4kARbmIjlwEAAAkDAAAOAAAAAAAAAAEAIAAA&#10;ACYBAABkcnMvZTJvRG9jLnhtbFBLBQYAAAAABgAGAFkBAAAv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v:textbox>
                </v:shape>
                <v:shape id="_x0000_s1026" o:spid="_x0000_s1026" o:spt="202" type="#_x0000_t202" style="position:absolute;left:1344918;top:826754;height:311820;width:638209;"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VtlBPXAAAACgEAAA8AAAAAAAAAAQAg&#10;AAAAIgAAAGRycy9kb3ducmV2LnhtbFBLAQIUABQAAAAIAIdO4kA5AJ71nQEAAA4DAAAOAAAAAAAA&#10;AAEAIAAAACYBAABkcnMvZTJvRG9jLnhtbFBLBQYAAAAABgAGAFkBAAA1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xbxContent>
                  </v:textbox>
                </v:shape>
                <v:shape id="_x0000_s1026" o:spid="_x0000_s1026" o:spt="32" type="#_x0000_t32" style="position:absolute;left:3370545;top:257817;height:600;width:491507;"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Q8LR2AAAAAoBAAAPAAAAAAAAAAEAIAAAACIAAABkcnMvZG93bnJldi54bWxQ&#10;SwECFAAUAAAACACHTuJAZJyiovcBAACuAwAADgAAAAAAAAABACAAAAAnAQAAZHJzL2Uyb0RvYy54&#10;bWxQSwUGAAAAAAYABgBZAQAAkAUAAAAA&#10;">
                  <v:fill on="f" focussize="0,0"/>
                  <v:stroke color="#000000" joinstyle="round"/>
                  <v:imagedata o:title=""/>
                  <o:lock v:ext="edit" aspectratio="f"/>
                </v:shape>
                <v:shape id="_x0000_s1026" o:spid="_x0000_s1026" o:spt="32" type="#_x0000_t32" style="position:absolute;left:3872852;top:170811;height:603239;width:700;"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kPC0dgAAAAKAQAADwAAAAAAAAABACAAAAAiAAAAZHJzL2Rvd25yZXYueG1sUEsBAhQA&#10;FAAAAAgAh07iQEdMQKjyAQAArgMAAA4AAAAAAAAAAQAgAAAAJwEAAGRycy9lMm9Eb2MueG1sUEsF&#10;BgAAAAAGAAYAWQEAAIsFAAAAAA==&#10;">
                  <v:fill on="f" focussize="0,0"/>
                  <v:stroke color="#000000" joinstyle="round"/>
                  <v:imagedata o:title=""/>
                  <o:lock v:ext="edit" aspectratio="f"/>
                </v:shape>
                <v:shape id="_x0000_s1026" o:spid="_x0000_s1026" o:spt="32" type="#_x0000_t32" style="position:absolute;left:3872852;top:17081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hXHH2gAAAAoBAAAPAAAAAAAAAAEAIAAAACIAAABkcnMvZG93bnJl&#10;di54bWxQSwECFAAUAAAACACHTuJA1d/NwvsBAACyAwAADgAAAAAAAAABACAAAAApAQAAZHJzL2Uy&#10;b0RvYy54bWxQSwUGAAAAAAYABgBZAQAAlgUAAAAA&#10;">
                  <v:fill on="f" focussize="0,0"/>
                  <v:stroke color="#000000" joinstyle="round" endarrow="block"/>
                  <v:imagedata o:title=""/>
                  <o:lock v:ext="edit" aspectratio="f"/>
                </v:shape>
                <v:shape id="_x0000_s1026" o:spid="_x0000_s1026" o:spt="202" type="#_x0000_t202" style="position:absolute;left:4224656;top:4400;height:332122;width:892212;"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VtlBPXAAAACgEAAA8AAAAAAAAAAQAgAAAA&#10;IgAAAGRycy9kb3ducmV2LnhtbFBLAQIUABQAAAAIAIdO4kA+LUBnmgEAAAwDAAAOAAAAAAAAAAEA&#10;IAAAACYBAABkcnMvZTJvRG9jLnhtbFBLBQYAAAAABgAGAFkBAAAyBQAAAAA=&#10;">
                  <v:fill on="f" focussize="0,0"/>
                  <v:stroke on="f"/>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2.925</w:t>
                        </w:r>
                      </w:p>
                    </w:txbxContent>
                  </v:textbox>
                </v:shape>
                <v:shape id="_x0000_s1026" o:spid="_x0000_s1026" o:spt="202" type="#_x0000_t202" style="position:absolute;left:4320558;top:636242;height:301620;width:518207;"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T6CS2QAAAAoBAAAPAAAAAAAAAAEAIAAAACIAAABkcnMvZG93&#10;bnJldi54bWxQSwECFAAUAAAACACHTuJA78e2c/8BAAD2AwAADgAAAAAAAAABACAAAAAoAQAAZHJz&#10;L2Uyb0RvYy54bWxQSwUGAAAAAAYABgBZAQAAmQU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shape>
                <v:shape id="_x0000_s1026" o:spid="_x0000_s1026" o:spt="202" type="#_x0000_t202" style="position:absolute;left:3854451;top:425428;height:311820;width:6337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VtlBPXAAAACgEAAA8AAAAAAAAA&#10;AQAgAAAAIgAAAGRycy9kb3ducmV2LnhtbFBLAQIUABQAAAAIAIdO4kAWlaWUoAEAAA4DAAAOAAAA&#10;AAAAAAEAIAAAACYBAABkcnMvZTJvRG9jLnhtbFBLBQYAAAAABgAGAFkBAAA4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xbxContent>
                  </v:textbox>
                </v:shape>
                <v:shape id="_x0000_s1026" o:spid="_x0000_s1026" o:spt="32" type="#_x0000_t32" style="position:absolute;left:3872852;top:77475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IVxx9oAAAAKAQAADwAAAAAAAAABACAAAAAiAAAAZHJzL2Rvd25yZXYu&#10;eG1sUEsBAhQAFAAAAAgAh07iQMCOg3D5AQAAsgMAAA4AAAAAAAAAAQAgAAAAKQEAAGRycy9lMm9E&#10;b2MueG1sUEsFBgAAAAAGAAYAWQEAAJQFAAAAAA==&#10;">
                  <v:fill on="f" focussize="0,0"/>
                  <v:stroke color="#000000" joinstyle="round" endarrow="block"/>
                  <v:imagedata o:title=""/>
                  <o:lock v:ext="edit" aspectratio="f"/>
                </v:shape>
                <v:shape id="_x0000_s1026" o:spid="_x0000_s1026" o:spt="32" type="#_x0000_t32" style="position:absolute;left:2661935;top:411427;height:545536;width:600;"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iFccfaAAAACgEAAA8AAAAAAAAAAQAgAAAAIgAAAGRycy9kb3ducmV2&#10;LnhtbFBLAQIUABQAAAAIAIdO4kCMrozy+gEAALIDAAAOAAAAAAAAAAEAIAAAACkBAABkcnMvZTJv&#10;RG9jLnhtbFBLBQYAAAAABgAGAFkBAACVBQAAAAA=&#10;">
                  <v:fill on="f" focussize="0,0"/>
                  <v:stroke color="#000000" joinstyle="round" endarrow="block"/>
                  <v:imagedata o:title=""/>
                  <o:lock v:ext="edit" aspectratio="f"/>
                </v:shape>
                <v:shape id="_x0000_s1026" o:spid="_x0000_s1026" o:spt="202" type="#_x0000_t202" style="position:absolute;left:2278330;top:531435;height:374124;width:998313;"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W2UE9cAAAAKAQAADwAAAAAAAAAB&#10;ACAAAAAiAAAAZHJzL2Rvd25yZXYueG1sUEsBAhQAFAAAAAgAh07iQEDibEifAQAADgMAAA4AAAAA&#10;AAAAAQAgAAAAJgEAAGRycy9lMm9Eb2MueG1sUEsFBgAAAAAGAAYAWQEAADcFAAAAAA==&#10;">
                  <v:fill on="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1.755</w:t>
                        </w:r>
                      </w:p>
                    </w:txbxContent>
                  </v:textbox>
                </v:shape>
                <w10:wrap type="square"/>
              </v:group>
            </w:pict>
          </mc:Fallback>
        </mc:AlternateConten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（二）病死猪尸体</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根据《关于病害动物无害化处理有关意见的复函》（环办函[2014]789号）中相关内容：“为防治动物传染病而需要收集和处置的废物”被列入《国家危险废物名录》，但是，根据法律位阶高于部门规章的法律适用原则，病害动物的无害化处理应执行《动物防疫法》，不宜再认定为危险废物集中处置项目。同时根据农业部“关于印发《病死动物无害化处理技术规范》的通知”农医发〔2017〕25号的相关技术要求，故该项目病死猪按一般固废处置。</w:t>
      </w:r>
    </w:p>
    <w:p>
      <w:pPr>
        <w:pStyle w:val="40"/>
        <w:rPr>
          <w:rFonts w:hint="eastAsia" w:cs="Times New Roman"/>
          <w:highlight w:val="none"/>
          <w:lang w:val="en-US" w:eastAsia="zh-CN"/>
        </w:rPr>
      </w:pPr>
      <w:r>
        <w:rPr>
          <w:rFonts w:hint="eastAsia" w:cs="Times New Roman"/>
          <w:highlight w:val="none"/>
          <w:lang w:val="en-US" w:eastAsia="zh-CN"/>
        </w:rPr>
        <w:t>表2.12-11 各种类猪死亡率及平均重量一览表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463"/>
        <w:gridCol w:w="1374"/>
        <w:gridCol w:w="1369"/>
        <w:gridCol w:w="1214"/>
        <w:gridCol w:w="1520"/>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种类</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存栏量（头）</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平均死亡率</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平均重量（kg/头）</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病死数</w:t>
            </w:r>
          </w:p>
          <w:p>
            <w:pPr>
              <w:spacing w:line="276" w:lineRule="auto"/>
              <w:ind w:firstLine="0" w:firstLineChars="0"/>
              <w:jc w:val="center"/>
              <w:rPr>
                <w:rFonts w:hint="default"/>
                <w:sz w:val="21"/>
                <w:highlight w:val="none"/>
                <w:lang w:eastAsia="zh-CN"/>
              </w:rPr>
            </w:pPr>
            <w:r>
              <w:rPr>
                <w:rFonts w:hint="default"/>
                <w:sz w:val="21"/>
                <w:highlight w:val="none"/>
                <w:lang w:eastAsia="zh-CN"/>
              </w:rPr>
              <w:t>（头/a）</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病死猪重量（t/a）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50"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怀孕猪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4944</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eastAsia"/>
                <w:sz w:val="21"/>
                <w:highlight w:val="none"/>
                <w:lang w:val="en-US" w:eastAsia="zh-CN"/>
              </w:rPr>
              <w:t>49</w:t>
            </w:r>
            <w:r>
              <w:rPr>
                <w:rFonts w:hint="default"/>
                <w:sz w:val="21"/>
                <w:highlight w:val="none"/>
                <w:lang w:val="en-US" w:eastAsia="zh-CN"/>
              </w:rPr>
              <w:t xml:space="preserve"> </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哺乳猪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1056</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11</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仔猪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7200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5%</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eastAsia"/>
                <w:sz w:val="21"/>
                <w:highlight w:val="none"/>
                <w:lang w:val="en-US" w:eastAsia="zh-CN"/>
              </w:rPr>
              <w:t>2</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360</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保育猪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20000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2%</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10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400</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eastAsia"/>
                <w:sz w:val="21"/>
                <w:highlight w:val="none"/>
                <w:lang w:val="en-US" w:eastAsia="zh-CN"/>
              </w:rPr>
              <w:t>4</w:t>
            </w:r>
            <w:r>
              <w:rPr>
                <w:rFonts w:hint="default"/>
                <w:sz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育肥猪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40000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default"/>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400</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后备育肥猪</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eastAsia="zh-CN"/>
              </w:rPr>
              <w:t>1</w:t>
            </w:r>
            <w:r>
              <w:rPr>
                <w:rFonts w:hint="eastAsia"/>
                <w:sz w:val="21"/>
                <w:highlight w:val="none"/>
                <w:lang w:val="en-US" w:eastAsia="zh-CN"/>
              </w:rPr>
              <w:t>200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70</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12</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03" w:hRule="atLeast"/>
          <w:jc w:val="center"/>
        </w:trPr>
        <w:tc>
          <w:tcPr>
            <w:tcW w:w="859"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合计</w:t>
            </w:r>
          </w:p>
        </w:tc>
        <w:tc>
          <w:tcPr>
            <w:tcW w:w="807"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134870</w:t>
            </w:r>
          </w:p>
        </w:tc>
        <w:tc>
          <w:tcPr>
            <w:tcW w:w="804"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w:t>
            </w:r>
          </w:p>
        </w:tc>
        <w:tc>
          <w:tcPr>
            <w:tcW w:w="713" w:type="pct"/>
            <w:tcBorders>
              <w:tl2br w:val="nil"/>
              <w:tr2bl w:val="nil"/>
            </w:tcBorders>
            <w:noWrap w:val="0"/>
            <w:vAlign w:val="center"/>
          </w:tcPr>
          <w:p>
            <w:pPr>
              <w:spacing w:line="276" w:lineRule="auto"/>
              <w:ind w:firstLine="0" w:firstLineChars="0"/>
              <w:jc w:val="center"/>
              <w:rPr>
                <w:rFonts w:hint="default"/>
                <w:sz w:val="21"/>
                <w:highlight w:val="none"/>
                <w:lang w:eastAsia="zh-CN"/>
              </w:rPr>
            </w:pPr>
            <w:r>
              <w:rPr>
                <w:rFonts w:hint="default"/>
                <w:sz w:val="21"/>
                <w:highlight w:val="none"/>
                <w:lang w:eastAsia="zh-CN"/>
              </w:rPr>
              <w:t>/</w:t>
            </w:r>
          </w:p>
        </w:tc>
        <w:tc>
          <w:tcPr>
            <w:tcW w:w="892"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1183</w:t>
            </w:r>
          </w:p>
        </w:tc>
        <w:tc>
          <w:tcPr>
            <w:tcW w:w="923" w:type="pct"/>
            <w:tcBorders>
              <w:tl2br w:val="nil"/>
              <w:tr2bl w:val="nil"/>
            </w:tcBorders>
            <w:noWrap w:val="0"/>
            <w:vAlign w:val="center"/>
          </w:tcPr>
          <w:p>
            <w:pPr>
              <w:spacing w:line="276" w:lineRule="auto"/>
              <w:ind w:firstLine="0" w:firstLineChars="0"/>
              <w:jc w:val="center"/>
              <w:rPr>
                <w:rFonts w:hint="default"/>
                <w:sz w:val="21"/>
                <w:highlight w:val="none"/>
                <w:lang w:val="en-US" w:eastAsia="zh-CN"/>
              </w:rPr>
            </w:pPr>
            <w:r>
              <w:rPr>
                <w:rFonts w:hint="eastAsia"/>
                <w:sz w:val="21"/>
                <w:highlight w:val="none"/>
                <w:lang w:val="en-US" w:eastAsia="zh-CN"/>
              </w:rPr>
              <w:t>21.76</w:t>
            </w:r>
          </w:p>
        </w:tc>
      </w:tr>
    </w:tbl>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由</w:t>
      </w:r>
      <w:r>
        <w:rPr>
          <w:rFonts w:hint="eastAsia" w:ascii="Times New Roman" w:hAnsi="Times New Roman"/>
          <w:color w:val="auto"/>
          <w:sz w:val="24"/>
          <w:szCs w:val="24"/>
          <w:highlight w:val="none"/>
          <w:lang w:val="en-US" w:eastAsia="zh-CN"/>
        </w:rPr>
        <w:t>上</w:t>
      </w:r>
      <w:r>
        <w:rPr>
          <w:rFonts w:ascii="Times New Roman" w:hAnsi="Times New Roman"/>
          <w:color w:val="auto"/>
          <w:sz w:val="24"/>
          <w:szCs w:val="24"/>
          <w:highlight w:val="none"/>
        </w:rPr>
        <w:t>表可知，</w:t>
      </w:r>
      <w:r>
        <w:rPr>
          <w:rFonts w:hint="eastAsia" w:ascii="Times New Roman" w:hAnsi="Times New Roman"/>
          <w:color w:val="auto"/>
          <w:sz w:val="24"/>
          <w:szCs w:val="24"/>
          <w:highlight w:val="none"/>
          <w:lang w:val="en-US" w:eastAsia="zh-CN"/>
        </w:rPr>
        <w:t>项目</w:t>
      </w:r>
      <w:r>
        <w:rPr>
          <w:rFonts w:ascii="Times New Roman" w:hAnsi="Times New Roman"/>
          <w:color w:val="auto"/>
          <w:sz w:val="24"/>
          <w:szCs w:val="24"/>
          <w:highlight w:val="none"/>
        </w:rPr>
        <w:t>病死猪产生量为</w:t>
      </w:r>
      <w:r>
        <w:rPr>
          <w:rFonts w:hint="eastAsia"/>
          <w:color w:val="auto"/>
          <w:sz w:val="24"/>
          <w:szCs w:val="24"/>
          <w:highlight w:val="none"/>
          <w:lang w:val="en-US" w:eastAsia="zh-CN"/>
        </w:rPr>
        <w:t>21.76</w:t>
      </w:r>
      <w:r>
        <w:rPr>
          <w:rFonts w:ascii="Times New Roman" w:hAnsi="Times New Roman"/>
          <w:color w:val="auto"/>
          <w:sz w:val="24"/>
          <w:szCs w:val="24"/>
          <w:highlight w:val="none"/>
        </w:rPr>
        <w:t>t/a</w:t>
      </w:r>
      <w:r>
        <w:rPr>
          <w:rFonts w:ascii="Times New Roman" w:hAnsi="Times New Roman"/>
          <w:color w:val="auto"/>
          <w:sz w:val="21"/>
          <w:szCs w:val="21"/>
          <w:highlight w:val="none"/>
        </w:rPr>
        <w:t>，</w:t>
      </w:r>
      <w:r>
        <w:rPr>
          <w:rFonts w:ascii="Times New Roman" w:hAnsi="Times New Roman"/>
          <w:color w:val="auto"/>
          <w:sz w:val="24"/>
          <w:szCs w:val="24"/>
          <w:highlight w:val="none"/>
        </w:rPr>
        <w:t>根据企业提供的资料，产生的病死猪送</w:t>
      </w:r>
      <w:r>
        <w:rPr>
          <w:rFonts w:hint="eastAsia" w:ascii="Times New Roman" w:hAnsi="Times New Roman"/>
          <w:color w:val="auto"/>
          <w:sz w:val="24"/>
          <w:szCs w:val="24"/>
          <w:highlight w:val="none"/>
        </w:rPr>
        <w:t>正阳一场</w:t>
      </w:r>
      <w:r>
        <w:rPr>
          <w:rFonts w:ascii="Times New Roman" w:hAnsi="Times New Roman"/>
          <w:color w:val="auto"/>
          <w:sz w:val="24"/>
          <w:szCs w:val="24"/>
          <w:highlight w:val="none"/>
        </w:rPr>
        <w:t>无害化处理车间进行高温处理（采用高温化制工艺），病死猪产生后做到日产日处理，高温化制</w:t>
      </w:r>
      <w:r>
        <w:rPr>
          <w:rFonts w:hint="eastAsia" w:ascii="Times New Roman" w:hAnsi="Times New Roman"/>
          <w:color w:val="auto"/>
          <w:sz w:val="24"/>
          <w:szCs w:val="24"/>
          <w:highlight w:val="none"/>
        </w:rPr>
        <w:t>最大日处理病死猪8吨</w:t>
      </w:r>
      <w:r>
        <w:rPr>
          <w:rFonts w:ascii="Times New Roman" w:hAnsi="Times New Roman"/>
          <w:bCs/>
          <w:color w:val="auto"/>
          <w:sz w:val="24"/>
          <w:szCs w:val="24"/>
          <w:highlight w:val="none"/>
        </w:rPr>
        <w:t>，能够满足本厂区的病死猪处理，可以确保本项目病死猪做到日产日处理。</w:t>
      </w:r>
    </w:p>
    <w:p>
      <w:pPr>
        <w:keepNext w:val="0"/>
        <w:keepLines w:val="0"/>
        <w:pageBreakBefore w:val="0"/>
        <w:widowControl/>
        <w:tabs>
          <w:tab w:val="right" w:leader="dot" w:pos="8647"/>
        </w:tabs>
        <w:kinsoku/>
        <w:wordWrap/>
        <w:overflowPunct/>
        <w:topLinePunct/>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（三）母猪胎盘</w:t>
      </w:r>
    </w:p>
    <w:p>
      <w:pPr>
        <w:keepNext w:val="0"/>
        <w:keepLines w:val="0"/>
        <w:pageBreakBefore w:val="0"/>
        <w:widowControl/>
        <w:tabs>
          <w:tab w:val="right" w:leader="dot" w:pos="8647"/>
        </w:tabs>
        <w:kinsoku/>
        <w:wordWrap/>
        <w:overflowPunct/>
        <w:topLinePunct/>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母猪在生育过程中会产生一定量的胎盘，每头母猪生育产生胎盘量约为2kg/a，本工程母猪胎盘产生量约为</w:t>
      </w:r>
      <w:r>
        <w:rPr>
          <w:rFonts w:hint="eastAsia"/>
          <w:bCs/>
          <w:color w:val="auto"/>
          <w:sz w:val="24"/>
          <w:highlight w:val="none"/>
          <w:lang w:val="en-US" w:eastAsia="zh-CN"/>
        </w:rPr>
        <w:t>9.888</w:t>
      </w:r>
      <w:r>
        <w:rPr>
          <w:rFonts w:ascii="Times New Roman" w:hAnsi="Times New Roman"/>
          <w:bCs/>
          <w:color w:val="auto"/>
          <w:sz w:val="24"/>
          <w:highlight w:val="none"/>
        </w:rPr>
        <w:t>t/a，即时送至</w:t>
      </w:r>
      <w:r>
        <w:rPr>
          <w:rFonts w:hint="eastAsia" w:ascii="Times New Roman" w:hAnsi="Times New Roman"/>
          <w:bCs/>
          <w:color w:val="auto"/>
          <w:sz w:val="24"/>
          <w:highlight w:val="none"/>
        </w:rPr>
        <w:t>正阳一场无害化处理车间</w:t>
      </w:r>
      <w:r>
        <w:rPr>
          <w:rFonts w:ascii="Times New Roman" w:hAnsi="Times New Roman"/>
          <w:bCs/>
          <w:color w:val="auto"/>
          <w:sz w:val="24"/>
          <w:highlight w:val="none"/>
        </w:rPr>
        <w:t>处理。</w:t>
      </w:r>
    </w:p>
    <w:p>
      <w:pPr>
        <w:keepNext w:val="0"/>
        <w:keepLines w:val="0"/>
        <w:pageBreakBefore w:val="0"/>
        <w:widowControl/>
        <w:tabs>
          <w:tab w:val="center" w:pos="4365"/>
        </w:tabs>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（四）疾病防疫产生的医疗废物</w:t>
      </w:r>
      <w:r>
        <w:rPr>
          <w:rFonts w:ascii="Times New Roman" w:hAnsi="Times New Roman"/>
          <w:color w:val="auto"/>
          <w:sz w:val="24"/>
          <w:szCs w:val="24"/>
          <w:highlight w:val="none"/>
        </w:rPr>
        <w:tab/>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生猪在生长过程接种免疫或发病期接受治疗产生的少量医疗废物，每头猪防疫产生医疗废物量约为0.005kg/a，全场产生量约为</w:t>
      </w:r>
      <w:r>
        <w:rPr>
          <w:rFonts w:hint="eastAsia"/>
          <w:color w:val="auto"/>
          <w:sz w:val="24"/>
          <w:szCs w:val="24"/>
          <w:highlight w:val="none"/>
          <w:lang w:val="en-US" w:eastAsia="zh-CN"/>
        </w:rPr>
        <w:t>0.75</w:t>
      </w:r>
      <w:r>
        <w:rPr>
          <w:rFonts w:ascii="Times New Roman" w:hAnsi="Times New Roman"/>
          <w:color w:val="auto"/>
          <w:sz w:val="24"/>
          <w:szCs w:val="24"/>
          <w:highlight w:val="none"/>
        </w:rPr>
        <w:t>t/a，暂存于</w:t>
      </w:r>
      <w:r>
        <w:rPr>
          <w:rFonts w:hint="eastAsia"/>
          <w:color w:val="auto"/>
          <w:sz w:val="24"/>
          <w:szCs w:val="24"/>
          <w:highlight w:val="none"/>
          <w:lang w:eastAsia="zh-CN"/>
        </w:rPr>
        <w:t>医</w:t>
      </w:r>
      <w:r>
        <w:rPr>
          <w:rFonts w:ascii="Times New Roman" w:hAnsi="Times New Roman"/>
          <w:color w:val="auto"/>
          <w:sz w:val="24"/>
          <w:szCs w:val="24"/>
          <w:highlight w:val="none"/>
        </w:rPr>
        <w:t>废暂存间，定期交新蔡县中绿环保科技有限公司处置</w:t>
      </w:r>
      <w:r>
        <w:rPr>
          <w:rFonts w:hint="eastAsia" w:ascii="Times New Roman" w:hAnsi="Times New Roman"/>
          <w:color w:val="auto"/>
          <w:sz w:val="24"/>
          <w:szCs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（五）废脱硫剂</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采用干法对沼气中硫化氢进行去除，沼气通过氧化铁等构成的填料层，使硫化氢氧化成单质硫或硫氧化物。根据《沼气常温氧化铁脱硫催化剂的研制》（武汉工程大学学报2010.07）可知：常温下，理论上每100g活性氧化铁一次可吸收脱除57.5g硫化氢气体。根据牧原食品股份有限公司提供沼气脱硫装置情况，项目所使用脱硫剂氧化铁含量为30%，废脱硫剂半年再生一次，脱硫剂一年更换一次，更换废脱硫剂产生量约为0.</w:t>
      </w:r>
      <w:r>
        <w:rPr>
          <w:rFonts w:hint="eastAsia"/>
          <w:color w:val="auto"/>
          <w:sz w:val="24"/>
          <w:szCs w:val="24"/>
          <w:highlight w:val="none"/>
          <w:lang w:val="en-US" w:eastAsia="zh-CN"/>
        </w:rPr>
        <w:t>2</w:t>
      </w:r>
      <w:r>
        <w:rPr>
          <w:rFonts w:ascii="Times New Roman" w:hAnsi="Times New Roman"/>
          <w:color w:val="auto"/>
          <w:sz w:val="24"/>
          <w:szCs w:val="24"/>
          <w:highlight w:val="none"/>
        </w:rPr>
        <w:t>t/a。沼气脱硫装置中失去活性的废脱硫剂（主要成分为废活性炭和氧化铁）由生产厂家统一回收处置。</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（六）生活垃圾</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生活垃圾产生系数按0.5kg/d·人计，</w:t>
      </w:r>
      <w:r>
        <w:rPr>
          <w:rFonts w:hint="eastAsia" w:ascii="Times New Roman" w:hAnsi="Times New Roman"/>
          <w:color w:val="auto"/>
          <w:sz w:val="24"/>
          <w:szCs w:val="24"/>
          <w:highlight w:val="none"/>
          <w:lang w:val="en-US" w:eastAsia="zh-CN"/>
        </w:rPr>
        <w:t>项目劳动定员</w:t>
      </w:r>
      <w:r>
        <w:rPr>
          <w:rFonts w:hint="eastAsia"/>
          <w:color w:val="auto"/>
          <w:sz w:val="24"/>
          <w:szCs w:val="24"/>
          <w:highlight w:val="none"/>
          <w:lang w:val="en-US" w:eastAsia="zh-CN"/>
        </w:rPr>
        <w:t>9</w:t>
      </w:r>
      <w:r>
        <w:rPr>
          <w:rFonts w:hint="eastAsia" w:ascii="Times New Roman" w:hAnsi="Times New Roman"/>
          <w:color w:val="auto"/>
          <w:sz w:val="24"/>
          <w:szCs w:val="24"/>
          <w:highlight w:val="none"/>
          <w:lang w:val="en-US" w:eastAsia="zh-CN"/>
        </w:rPr>
        <w:t>0人，</w:t>
      </w:r>
      <w:r>
        <w:rPr>
          <w:rFonts w:ascii="Times New Roman" w:hAnsi="Times New Roman"/>
          <w:color w:val="auto"/>
          <w:sz w:val="24"/>
          <w:szCs w:val="24"/>
          <w:highlight w:val="none"/>
        </w:rPr>
        <w:t>则场区职工生活垃圾产生量为</w:t>
      </w:r>
      <w:r>
        <w:rPr>
          <w:rFonts w:hint="eastAsia"/>
          <w:color w:val="auto"/>
          <w:sz w:val="24"/>
          <w:szCs w:val="24"/>
          <w:highlight w:val="none"/>
          <w:lang w:val="en-US" w:eastAsia="zh-CN"/>
        </w:rPr>
        <w:t>16.43</w:t>
      </w:r>
      <w:r>
        <w:rPr>
          <w:rFonts w:ascii="Times New Roman" w:hAnsi="Times New Roman"/>
          <w:color w:val="auto"/>
          <w:sz w:val="24"/>
          <w:szCs w:val="24"/>
          <w:highlight w:val="none"/>
        </w:rPr>
        <w:t>t/a。生活垃圾由环卫部门定期收集后运往垃圾填埋场。</w:t>
      </w:r>
    </w:p>
    <w:p>
      <w:pPr>
        <w:pStyle w:val="10"/>
        <w:keepNext w:val="0"/>
        <w:keepLines w:val="0"/>
        <w:pageBreakBefore w:val="0"/>
        <w:widowControl/>
        <w:numPr>
          <w:ilvl w:val="0"/>
          <w:numId w:val="13"/>
        </w:numPr>
        <w:kinsoku/>
        <w:wordWrap/>
        <w:overflowPunct/>
        <w:topLinePunct w:val="0"/>
        <w:autoSpaceDE/>
        <w:autoSpaceDN/>
        <w:bidi w:val="0"/>
        <w:adjustRightInd/>
        <w:snapToGrid/>
        <w:ind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饲料加工过程产生的杂质</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项目在饲料加工过程中会清理出饲料原料中的杂质，杂质主要为尘土和金属杂质，杂质在原料中含量约为0.2</w:t>
      </w:r>
      <w:r>
        <w:rPr>
          <w:rFonts w:hint="default" w:ascii="Times New Roman" w:hAnsi="Times New Roman" w:cs="Times New Roman"/>
          <w:color w:val="auto"/>
          <w:sz w:val="24"/>
          <w:szCs w:val="24"/>
          <w:highlight w:val="none"/>
          <w:lang w:eastAsia="zh-CN"/>
        </w:rPr>
        <w:t>‰</w:t>
      </w:r>
      <w:r>
        <w:rPr>
          <w:rFonts w:hint="eastAsia"/>
          <w:color w:val="auto"/>
          <w:sz w:val="24"/>
          <w:szCs w:val="24"/>
          <w:highlight w:val="none"/>
          <w:lang w:eastAsia="zh-CN"/>
        </w:rPr>
        <w:t>，其中金属杂质和尘土各占一半。原料总用量</w:t>
      </w:r>
      <w:r>
        <w:rPr>
          <w:rFonts w:hint="eastAsia"/>
          <w:color w:val="auto"/>
          <w:sz w:val="24"/>
          <w:szCs w:val="24"/>
          <w:highlight w:val="none"/>
          <w:lang w:val="en-US" w:eastAsia="zh-CN"/>
        </w:rPr>
        <w:t>12</w:t>
      </w:r>
      <w:r>
        <w:rPr>
          <w:rFonts w:hint="eastAsia"/>
          <w:color w:val="auto"/>
          <w:sz w:val="24"/>
          <w:szCs w:val="24"/>
          <w:highlight w:val="none"/>
          <w:lang w:eastAsia="zh-CN"/>
        </w:rPr>
        <w:t>万t，则杂质产生量</w:t>
      </w:r>
      <w:r>
        <w:rPr>
          <w:rFonts w:hint="eastAsia"/>
          <w:color w:val="auto"/>
          <w:sz w:val="24"/>
          <w:szCs w:val="24"/>
          <w:highlight w:val="none"/>
          <w:lang w:val="en-US" w:eastAsia="zh-CN"/>
        </w:rPr>
        <w:t>24</w:t>
      </w:r>
      <w:r>
        <w:rPr>
          <w:rFonts w:hint="eastAsia"/>
          <w:color w:val="auto"/>
          <w:sz w:val="24"/>
          <w:szCs w:val="24"/>
          <w:highlight w:val="none"/>
          <w:lang w:eastAsia="zh-CN"/>
        </w:rPr>
        <w:t>t/a，尘土</w:t>
      </w:r>
      <w:r>
        <w:rPr>
          <w:rFonts w:hint="eastAsia"/>
          <w:color w:val="auto"/>
          <w:sz w:val="24"/>
          <w:szCs w:val="24"/>
          <w:highlight w:val="none"/>
          <w:lang w:val="en-US" w:eastAsia="zh-CN"/>
        </w:rPr>
        <w:t>12</w:t>
      </w:r>
      <w:r>
        <w:rPr>
          <w:rFonts w:hint="eastAsia"/>
          <w:color w:val="auto"/>
          <w:sz w:val="24"/>
          <w:szCs w:val="24"/>
          <w:highlight w:val="none"/>
          <w:lang w:eastAsia="zh-CN"/>
        </w:rPr>
        <w:t>t/a，金属杂质</w:t>
      </w:r>
      <w:r>
        <w:rPr>
          <w:rFonts w:hint="eastAsia"/>
          <w:color w:val="auto"/>
          <w:sz w:val="24"/>
          <w:szCs w:val="24"/>
          <w:highlight w:val="none"/>
          <w:lang w:val="en-US" w:eastAsia="zh-CN"/>
        </w:rPr>
        <w:t>12</w:t>
      </w:r>
      <w:r>
        <w:rPr>
          <w:rFonts w:hint="eastAsia"/>
          <w:color w:val="auto"/>
          <w:sz w:val="24"/>
          <w:szCs w:val="24"/>
          <w:highlight w:val="none"/>
          <w:lang w:eastAsia="zh-CN"/>
        </w:rPr>
        <w:t>t/a。金属杂质袋装临时贮存于固废暂存场内，定期由物资回收公司回收；尘土用于区域场地平整。</w:t>
      </w:r>
    </w:p>
    <w:p>
      <w:pPr>
        <w:pStyle w:val="10"/>
        <w:keepNext w:val="0"/>
        <w:keepLines w:val="0"/>
        <w:pageBreakBefore w:val="0"/>
        <w:widowControl/>
        <w:numPr>
          <w:ilvl w:val="0"/>
          <w:numId w:val="13"/>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除尘器收集的粉尘</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项目在饲料加工过程中会产生粉尘，各工段采用除尘器进行除尘处理，根据废气工程分析可知，除尘器收集的粉尘量为</w:t>
      </w:r>
      <w:r>
        <w:rPr>
          <w:rFonts w:hint="eastAsia"/>
          <w:color w:val="auto"/>
          <w:sz w:val="24"/>
          <w:szCs w:val="24"/>
          <w:highlight w:val="none"/>
          <w:lang w:val="en-US" w:eastAsia="zh-CN"/>
        </w:rPr>
        <w:t>4.43</w:t>
      </w:r>
      <w:r>
        <w:rPr>
          <w:rFonts w:hint="eastAsia"/>
          <w:color w:val="auto"/>
          <w:sz w:val="24"/>
          <w:szCs w:val="24"/>
          <w:highlight w:val="none"/>
          <w:lang w:eastAsia="zh-CN"/>
        </w:rPr>
        <w:t>t/a，除尘器收集的粉尘回用于饲料加工过程作为原料。</w:t>
      </w:r>
    </w:p>
    <w:p>
      <w:pPr>
        <w:pStyle w:val="10"/>
        <w:keepNext w:val="0"/>
        <w:keepLines w:val="0"/>
        <w:pageBreakBefore w:val="0"/>
        <w:widowControl/>
        <w:numPr>
          <w:ilvl w:val="0"/>
          <w:numId w:val="13"/>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废离子交换树脂</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项目饲料加工过程使用的锅炉</w:t>
      </w:r>
      <w:r>
        <w:rPr>
          <w:rFonts w:hint="eastAsia"/>
          <w:color w:val="auto"/>
          <w:sz w:val="24"/>
          <w:szCs w:val="24"/>
          <w:highlight w:val="none"/>
          <w:lang w:val="en-US" w:eastAsia="zh-CN"/>
        </w:rPr>
        <w:t>需</w:t>
      </w:r>
      <w:r>
        <w:rPr>
          <w:rFonts w:hint="default"/>
          <w:color w:val="auto"/>
          <w:sz w:val="24"/>
          <w:szCs w:val="24"/>
          <w:highlight w:val="none"/>
          <w:lang w:val="en-US" w:eastAsia="zh-CN"/>
        </w:rPr>
        <w:t>要制备软水，项目采用离子交换法制备软水过程会产生废离子交换树脂，废离子交换树脂产生量</w:t>
      </w:r>
      <w:r>
        <w:rPr>
          <w:rFonts w:hint="eastAsia"/>
          <w:color w:val="auto"/>
          <w:sz w:val="24"/>
          <w:szCs w:val="24"/>
          <w:highlight w:val="none"/>
          <w:lang w:val="en-US" w:eastAsia="zh-CN"/>
        </w:rPr>
        <w:t>约</w:t>
      </w:r>
      <w:r>
        <w:rPr>
          <w:rFonts w:hint="default"/>
          <w:color w:val="auto"/>
          <w:sz w:val="24"/>
          <w:szCs w:val="24"/>
          <w:highlight w:val="none"/>
          <w:lang w:val="en-US" w:eastAsia="zh-CN"/>
        </w:rPr>
        <w:t>为0.2t/a。根据《国家危险废物名录》，废离子交换树脂属于HW13有机树脂类（废物饱和或废弃的离子交换树脂900-015-13）。废离子交换树脂暂存在危废间内，定期交由具有危废处理资质的单位进行处理。</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项目固体废物产排情况及处置措施见表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12</w:t>
      </w:r>
      <w:r>
        <w:rPr>
          <w:rFonts w:ascii="Times New Roman" w:hAnsi="Times New Roman"/>
          <w:color w:val="auto"/>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表2.12-12 运营期固体废物分析结果汇总表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46"/>
        <w:gridCol w:w="466"/>
        <w:gridCol w:w="467"/>
        <w:gridCol w:w="467"/>
        <w:gridCol w:w="1057"/>
        <w:gridCol w:w="430"/>
        <w:gridCol w:w="776"/>
        <w:gridCol w:w="1197"/>
        <w:gridCol w:w="984"/>
        <w:gridCol w:w="1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49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27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620"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危险特性鉴别方法</w:t>
            </w: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废物类别</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废物代码</w:t>
            </w:r>
          </w:p>
        </w:tc>
        <w:tc>
          <w:tcPr>
            <w:tcW w:w="577"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8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496"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273"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《国家 危险废 物名录》</w:t>
            </w:r>
          </w:p>
          <w:p>
            <w:pPr>
              <w:spacing w:line="240" w:lineRule="auto"/>
              <w:ind w:firstLine="0" w:firstLineChars="0"/>
              <w:jc w:val="center"/>
              <w:rPr>
                <w:rFonts w:cs="Times New Roman"/>
                <w:sz w:val="21"/>
                <w:szCs w:val="21"/>
                <w:highlight w:val="none"/>
              </w:rPr>
            </w:pPr>
            <w:r>
              <w:rPr>
                <w:rFonts w:hint="eastAsia" w:cs="Times New Roman"/>
                <w:sz w:val="21"/>
                <w:szCs w:val="21"/>
                <w:highlight w:val="none"/>
              </w:rPr>
              <w:t>（2016）</w:t>
            </w: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6099.49</w:t>
            </w:r>
          </w:p>
        </w:tc>
        <w:tc>
          <w:tcPr>
            <w:tcW w:w="8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96" w:type="pct"/>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274"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hint="eastAsia"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4270.5</w:t>
            </w:r>
          </w:p>
        </w:tc>
        <w:tc>
          <w:tcPr>
            <w:tcW w:w="821"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49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16.43</w:t>
            </w:r>
          </w:p>
        </w:tc>
        <w:tc>
          <w:tcPr>
            <w:tcW w:w="821"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496" w:type="pct"/>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0.2</w:t>
            </w:r>
          </w:p>
        </w:tc>
        <w:tc>
          <w:tcPr>
            <w:tcW w:w="8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w:t>
            </w:r>
          </w:p>
        </w:tc>
        <w:tc>
          <w:tcPr>
            <w:tcW w:w="496" w:type="pct"/>
            <w:vAlign w:val="center"/>
          </w:tcPr>
          <w:p>
            <w:pPr>
              <w:spacing w:line="320" w:lineRule="exact"/>
              <w:ind w:left="0" w:leftChars="0" w:firstLine="0" w:firstLineChars="0"/>
              <w:jc w:val="center"/>
              <w:rPr>
                <w:rFonts w:hint="eastAsia" w:cs="Times New Roman"/>
                <w:sz w:val="21"/>
                <w:szCs w:val="21"/>
                <w:highlight w:val="none"/>
              </w:rPr>
            </w:pPr>
            <w:r>
              <w:rPr>
                <w:rFonts w:hint="eastAsia" w:ascii="Times New Roman" w:hAnsi="Times New Roman"/>
                <w:color w:val="000000"/>
                <w:sz w:val="21"/>
                <w:szCs w:val="21"/>
                <w:highlight w:val="none"/>
                <w:lang w:eastAsia="zh-CN"/>
              </w:rPr>
              <w:t>饲料加工</w:t>
            </w:r>
            <w:r>
              <w:rPr>
                <w:rFonts w:hint="eastAsia"/>
                <w:color w:val="000000"/>
                <w:sz w:val="21"/>
                <w:szCs w:val="21"/>
                <w:highlight w:val="none"/>
                <w:lang w:eastAsia="zh-CN"/>
              </w:rPr>
              <w:t>杂质</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饲料加工</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24</w:t>
            </w:r>
          </w:p>
        </w:tc>
        <w:tc>
          <w:tcPr>
            <w:tcW w:w="82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w:t>
            </w:r>
          </w:p>
        </w:tc>
        <w:tc>
          <w:tcPr>
            <w:tcW w:w="496" w:type="pct"/>
            <w:vAlign w:val="center"/>
          </w:tcPr>
          <w:p>
            <w:pPr>
              <w:spacing w:line="320" w:lineRule="exact"/>
              <w:ind w:left="0" w:leftChars="0" w:firstLine="0" w:firstLineChars="0"/>
              <w:jc w:val="center"/>
              <w:rPr>
                <w:rFonts w:hint="eastAsia" w:cs="Times New Roman"/>
                <w:sz w:val="21"/>
                <w:szCs w:val="21"/>
                <w:highlight w:val="none"/>
              </w:rPr>
            </w:pPr>
            <w:r>
              <w:rPr>
                <w:rFonts w:hint="eastAsia" w:ascii="Times New Roman" w:hAnsi="Times New Roman"/>
                <w:color w:val="000000"/>
                <w:sz w:val="21"/>
                <w:szCs w:val="21"/>
                <w:highlight w:val="none"/>
                <w:lang w:eastAsia="zh-CN"/>
              </w:rPr>
              <w:t>饲料加工</w:t>
            </w:r>
            <w:r>
              <w:rPr>
                <w:rFonts w:hint="eastAsia"/>
                <w:color w:val="000000"/>
                <w:sz w:val="21"/>
                <w:szCs w:val="21"/>
                <w:highlight w:val="none"/>
                <w:lang w:eastAsia="zh-CN"/>
              </w:rPr>
              <w:t>粉尘</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除尘器回收</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4.43</w:t>
            </w:r>
          </w:p>
        </w:tc>
        <w:tc>
          <w:tcPr>
            <w:tcW w:w="82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7</w:t>
            </w:r>
          </w:p>
        </w:tc>
        <w:tc>
          <w:tcPr>
            <w:tcW w:w="49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21.76</w:t>
            </w:r>
          </w:p>
        </w:tc>
        <w:tc>
          <w:tcPr>
            <w:tcW w:w="8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w:t>
            </w:r>
          </w:p>
        </w:tc>
        <w:tc>
          <w:tcPr>
            <w:tcW w:w="496"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母猪胎盘</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养殖</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9.888</w:t>
            </w:r>
          </w:p>
        </w:tc>
        <w:tc>
          <w:tcPr>
            <w:tcW w:w="8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9</w:t>
            </w:r>
          </w:p>
        </w:tc>
        <w:tc>
          <w:tcPr>
            <w:tcW w:w="496"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273"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27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27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In</w:t>
            </w:r>
          </w:p>
        </w:tc>
        <w:tc>
          <w:tcPr>
            <w:tcW w:w="455"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HW</w:t>
            </w:r>
            <w:r>
              <w:rPr>
                <w:rFonts w:hint="eastAsia" w:cs="Times New Roman"/>
                <w:sz w:val="21"/>
                <w:szCs w:val="21"/>
                <w:highlight w:val="none"/>
                <w:lang w:val="en-US" w:eastAsia="zh-CN"/>
              </w:rPr>
              <w:t>01</w:t>
            </w:r>
          </w:p>
        </w:tc>
        <w:tc>
          <w:tcPr>
            <w:tcW w:w="702"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900-001-01</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75</w:t>
            </w:r>
          </w:p>
        </w:tc>
        <w:tc>
          <w:tcPr>
            <w:tcW w:w="8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w:t>
            </w:r>
          </w:p>
        </w:tc>
        <w:tc>
          <w:tcPr>
            <w:tcW w:w="496"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废离子交换树脂</w:t>
            </w:r>
          </w:p>
        </w:tc>
        <w:tc>
          <w:tcPr>
            <w:tcW w:w="273" w:type="pct"/>
            <w:vMerge w:val="continue"/>
            <w:vAlign w:val="center"/>
          </w:tcPr>
          <w:p>
            <w:pPr>
              <w:spacing w:line="240" w:lineRule="auto"/>
              <w:ind w:firstLine="0" w:firstLineChars="0"/>
              <w:jc w:val="center"/>
              <w:rPr>
                <w:rFonts w:cs="Times New Roman"/>
                <w:sz w:val="21"/>
                <w:szCs w:val="21"/>
                <w:highlight w:val="none"/>
              </w:rPr>
            </w:pPr>
          </w:p>
        </w:tc>
        <w:tc>
          <w:tcPr>
            <w:tcW w:w="274" w:type="pct"/>
            <w:vAlign w:val="center"/>
          </w:tcPr>
          <w:p>
            <w:pPr>
              <w:spacing w:line="240" w:lineRule="auto"/>
              <w:ind w:firstLine="0" w:firstLineChars="0"/>
              <w:jc w:val="center"/>
              <w:rPr>
                <w:rFonts w:hint="eastAsia" w:cs="Times New Roman"/>
                <w:sz w:val="21"/>
                <w:szCs w:val="21"/>
                <w:highlight w:val="none"/>
                <w:lang w:eastAsia="zh-CN"/>
              </w:rPr>
            </w:pPr>
            <w:r>
              <w:rPr>
                <w:rFonts w:hint="eastAsia" w:ascii="Times New Roman" w:hAnsi="Times New Roman"/>
                <w:color w:val="000000"/>
                <w:sz w:val="21"/>
                <w:szCs w:val="21"/>
                <w:highlight w:val="none"/>
              </w:rPr>
              <w:t>软水制备</w:t>
            </w:r>
          </w:p>
        </w:tc>
        <w:tc>
          <w:tcPr>
            <w:tcW w:w="27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0" w:type="pct"/>
            <w:vMerge w:val="continue"/>
            <w:vAlign w:val="center"/>
          </w:tcPr>
          <w:p>
            <w:pPr>
              <w:spacing w:line="240" w:lineRule="auto"/>
              <w:ind w:firstLine="0" w:firstLineChars="0"/>
              <w:jc w:val="center"/>
              <w:rPr>
                <w:rFonts w:cs="Times New Roman"/>
                <w:sz w:val="21"/>
                <w:szCs w:val="21"/>
                <w:highlight w:val="none"/>
              </w:rPr>
            </w:pPr>
          </w:p>
        </w:tc>
        <w:tc>
          <w:tcPr>
            <w:tcW w:w="252"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T</w:t>
            </w:r>
          </w:p>
        </w:tc>
        <w:tc>
          <w:tcPr>
            <w:tcW w:w="455"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HW13</w:t>
            </w:r>
          </w:p>
        </w:tc>
        <w:tc>
          <w:tcPr>
            <w:tcW w:w="702"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900-015-13</w:t>
            </w:r>
          </w:p>
        </w:tc>
        <w:tc>
          <w:tcPr>
            <w:tcW w:w="577"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w:t>
            </w:r>
          </w:p>
        </w:tc>
        <w:tc>
          <w:tcPr>
            <w:tcW w:w="8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暂存于危废暂存间，定期交新蔡县中绿环保科技有限公司处置</w:t>
            </w:r>
          </w:p>
        </w:tc>
      </w:tr>
    </w:tbl>
    <w:p>
      <w:pPr>
        <w:pStyle w:val="8"/>
        <w:keepNext w:val="0"/>
        <w:keepLines w:val="0"/>
        <w:pageBreakBefore w:val="0"/>
        <w:widowControl/>
        <w:kinsoku/>
        <w:wordWrap/>
        <w:overflowPunct/>
        <w:topLinePunct w:val="0"/>
        <w:autoSpaceDE/>
        <w:autoSpaceDN/>
        <w:bidi w:val="0"/>
        <w:adjustRightInd/>
        <w:snapToGrid/>
        <w:spacing w:line="360" w:lineRule="auto"/>
        <w:ind w:firstLine="482"/>
        <w:textAlignment w:val="auto"/>
        <w:rPr>
          <w:highlight w:val="none"/>
        </w:rPr>
      </w:pP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rPr>
        <w:t>2</w:t>
      </w:r>
      <w:r>
        <w:rPr>
          <w:rFonts w:hint="eastAsia"/>
          <w:highlight w:val="none"/>
          <w:lang w:val="en-US" w:eastAsia="zh-CN"/>
        </w:rPr>
        <w:t>.1</w:t>
      </w:r>
      <w:r>
        <w:rPr>
          <w:rFonts w:hint="eastAsia"/>
          <w:highlight w:val="none"/>
        </w:rPr>
        <w:t>.</w:t>
      </w:r>
      <w:r>
        <w:rPr>
          <w:highlight w:val="none"/>
        </w:rPr>
        <w:t>4噪声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w:t>
      </w:r>
      <w:r>
        <w:rPr>
          <w:rFonts w:ascii="Times New Roman" w:hAnsi="Times New Roman"/>
          <w:color w:val="auto"/>
          <w:sz w:val="24"/>
          <w:highlight w:val="none"/>
        </w:rPr>
        <w:t>、除尘器风机</w:t>
      </w:r>
      <w:r>
        <w:rPr>
          <w:rFonts w:ascii="Times New Roman" w:hAnsi="Times New Roman"/>
          <w:color w:val="auto"/>
          <w:sz w:val="24"/>
          <w:szCs w:val="24"/>
          <w:highlight w:val="none"/>
        </w:rPr>
        <w:t>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～90dB(A)。项目主要噪声设施源强情况见表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13</w:t>
      </w:r>
      <w:r>
        <w:rPr>
          <w:rFonts w:ascii="Times New Roman" w:hAnsi="Times New Roman"/>
          <w:color w:val="auto"/>
          <w:sz w:val="24"/>
          <w:szCs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表2.12-13 项目主要噪声源强一览表单位：dB(A)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16"/>
        <w:gridCol w:w="1319"/>
        <w:gridCol w:w="981"/>
        <w:gridCol w:w="981"/>
        <w:gridCol w:w="2581"/>
        <w:gridCol w:w="1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治理措施</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厂房隔声、减振</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饲料加工区</w:t>
            </w: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圆筒初清筛</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6</w:t>
            </w:r>
            <w:r>
              <w:rPr>
                <w:rFonts w:hint="eastAsia" w:cs="Times New Roman"/>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永磁筒</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锤片式粉碎机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8</w:t>
            </w:r>
            <w:r>
              <w:rPr>
                <w:rFonts w:hint="eastAsia" w:cs="Times New Roman"/>
                <w:sz w:val="21"/>
                <w:szCs w:val="21"/>
                <w:highlight w:val="none"/>
                <w:lang w:val="en-US" w:eastAsia="zh-CN"/>
              </w:rPr>
              <w:t>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单轴桨叶式混合机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8</w:t>
            </w:r>
            <w:r>
              <w:rPr>
                <w:rFonts w:hint="eastAsia" w:cs="Times New Roman"/>
                <w:sz w:val="21"/>
                <w:szCs w:val="21"/>
                <w:highlight w:val="none"/>
                <w:lang w:val="en-US" w:eastAsia="zh-CN"/>
              </w:rPr>
              <w:t>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自清式斗式提升机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制粒机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8</w:t>
            </w:r>
            <w:r>
              <w:rPr>
                <w:rFonts w:hint="eastAsia" w:cs="Times New Roman"/>
                <w:sz w:val="21"/>
                <w:szCs w:val="21"/>
                <w:highlight w:val="none"/>
                <w:lang w:val="en-US" w:eastAsia="zh-CN"/>
              </w:rPr>
              <w:t>5</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65</w:t>
            </w:r>
          </w:p>
        </w:tc>
      </w:tr>
    </w:tbl>
    <w:p>
      <w:pPr>
        <w:pStyle w:val="6"/>
        <w:spacing w:before="132"/>
        <w:rPr>
          <w:highlight w:val="none"/>
        </w:rPr>
      </w:pPr>
      <w:bookmarkStart w:id="26" w:name="_Toc18541"/>
      <w:r>
        <w:rPr>
          <w:rFonts w:hint="eastAsia"/>
          <w:highlight w:val="none"/>
          <w:lang w:val="en-US" w:eastAsia="zh-CN"/>
        </w:rPr>
        <w:t>2</w:t>
      </w:r>
      <w:r>
        <w:rPr>
          <w:highlight w:val="none"/>
        </w:rPr>
        <w:t>.</w:t>
      </w:r>
      <w:r>
        <w:rPr>
          <w:rFonts w:hint="eastAsia"/>
          <w:highlight w:val="none"/>
          <w:lang w:val="en-US" w:eastAsia="zh-CN"/>
        </w:rPr>
        <w:t>13</w:t>
      </w:r>
      <w:r>
        <w:rPr>
          <w:rFonts w:hint="eastAsia"/>
          <w:highlight w:val="none"/>
        </w:rPr>
        <w:t>全厂项目污染物环保措施及排放情况</w:t>
      </w:r>
      <w:r>
        <w:rPr>
          <w:highlight w:val="none"/>
        </w:rPr>
        <w:t>汇总</w:t>
      </w:r>
      <w:bookmarkEnd w:id="26"/>
    </w:p>
    <w:p>
      <w:pPr>
        <w:ind w:firstLine="480"/>
        <w:rPr>
          <w:highlight w:val="none"/>
        </w:rPr>
      </w:pPr>
      <w:r>
        <w:rPr>
          <w:rFonts w:hint="eastAsia"/>
          <w:highlight w:val="none"/>
        </w:rPr>
        <w:t>全厂</w:t>
      </w:r>
      <w:r>
        <w:rPr>
          <w:highlight w:val="none"/>
        </w:rPr>
        <w:t>项目</w:t>
      </w:r>
      <w:r>
        <w:rPr>
          <w:rFonts w:hint="eastAsia"/>
          <w:highlight w:val="none"/>
        </w:rPr>
        <w:t>实施后</w:t>
      </w:r>
      <w:r>
        <w:rPr>
          <w:highlight w:val="none"/>
        </w:rPr>
        <w:t>污染物排放及治理措施见表</w:t>
      </w:r>
      <w:r>
        <w:rPr>
          <w:rFonts w:hint="eastAsia"/>
          <w:highlight w:val="none"/>
          <w:lang w:val="en-US" w:eastAsia="zh-CN"/>
        </w:rPr>
        <w:t>2</w:t>
      </w:r>
      <w:r>
        <w:rPr>
          <w:highlight w:val="none"/>
        </w:rPr>
        <w:t>.</w:t>
      </w:r>
      <w:r>
        <w:rPr>
          <w:rFonts w:hint="eastAsia"/>
          <w:highlight w:val="none"/>
          <w:lang w:val="en-US" w:eastAsia="zh-CN"/>
        </w:rPr>
        <w:t>12</w:t>
      </w:r>
      <w:r>
        <w:rPr>
          <w:highlight w:val="none"/>
        </w:rPr>
        <w:t>-1</w:t>
      </w:r>
      <w:r>
        <w:rPr>
          <w:rFonts w:hint="eastAsia"/>
          <w:highlight w:val="none"/>
          <w:lang w:val="en-US" w:eastAsia="zh-CN"/>
        </w:rPr>
        <w:t>4</w:t>
      </w:r>
      <w:r>
        <w:rPr>
          <w:highlight w:val="none"/>
        </w:rPr>
        <w:t>。</w:t>
      </w:r>
    </w:p>
    <w:p>
      <w:pPr>
        <w:pStyle w:val="40"/>
        <w:jc w:val="both"/>
        <w:rPr>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hint="eastAsia" w:cs="Times New Roman"/>
          <w:highlight w:val="none"/>
          <w:lang w:val="en-US" w:eastAsia="zh-CN"/>
        </w:rPr>
      </w:pPr>
      <w:r>
        <w:rPr>
          <w:rFonts w:hint="eastAsia" w:cs="Times New Roman"/>
          <w:highlight w:val="none"/>
          <w:lang w:val="en-US" w:eastAsia="zh-CN"/>
        </w:rPr>
        <w:t>表2.12-14 项目主要污染物产排情况表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544"/>
        <w:gridCol w:w="1021"/>
        <w:gridCol w:w="833"/>
        <w:gridCol w:w="899"/>
        <w:gridCol w:w="1306"/>
        <w:gridCol w:w="1289"/>
        <w:gridCol w:w="1109"/>
        <w:gridCol w:w="1109"/>
        <w:gridCol w:w="1058"/>
        <w:gridCol w:w="1036"/>
        <w:gridCol w:w="3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项目</w:t>
            </w: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污染物</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名称</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产生浓度mg/m</w:t>
            </w:r>
            <w:r>
              <w:rPr>
                <w:rFonts w:cs="Times New Roman"/>
                <w:sz w:val="21"/>
                <w:szCs w:val="21"/>
                <w:highlight w:val="none"/>
                <w:vertAlign w:val="superscript"/>
                <w:lang w:val="en-US" w:eastAsia="zh-CN"/>
              </w:rPr>
              <w:t>3</w:t>
            </w:r>
          </w:p>
        </w:tc>
        <w:tc>
          <w:tcPr>
            <w:tcW w:w="110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产生量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110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削减量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处理后</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浓度mg/m</w:t>
            </w:r>
            <w:r>
              <w:rPr>
                <w:rFonts w:cs="Times New Roman"/>
                <w:sz w:val="21"/>
                <w:szCs w:val="21"/>
                <w:highlight w:val="none"/>
                <w:vertAlign w:val="superscript"/>
                <w:lang w:val="en-US" w:eastAsia="zh-CN"/>
              </w:rPr>
              <w:t>3</w:t>
            </w:r>
          </w:p>
        </w:tc>
        <w:tc>
          <w:tcPr>
            <w:tcW w:w="103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排放量</w:t>
            </w:r>
          </w:p>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（t/a）</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备注—治理措施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71" w:hRule="atLeast"/>
        </w:trPr>
        <w:tc>
          <w:tcPr>
            <w:tcW w:w="544"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废气</w:t>
            </w:r>
          </w:p>
        </w:tc>
        <w:tc>
          <w:tcPr>
            <w:tcW w:w="2753" w:type="dxa"/>
            <w:gridSpan w:val="3"/>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场区</w:t>
            </w: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NH</w:t>
            </w:r>
            <w:r>
              <w:rPr>
                <w:rFonts w:cs="Times New Roman"/>
                <w:sz w:val="21"/>
                <w:szCs w:val="21"/>
                <w:highlight w:val="none"/>
                <w:vertAlign w:val="subscript"/>
                <w:lang w:val="en-US" w:eastAsia="zh-CN"/>
              </w:rPr>
              <w:t>3</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7.913</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5.569</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2.344</w:t>
            </w:r>
          </w:p>
        </w:tc>
        <w:tc>
          <w:tcPr>
            <w:tcW w:w="3970"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控制养殖密度、饲料添加剂、及时清粪、喷洒除臭剂、设置绿化带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21"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2753" w:type="dxa"/>
            <w:gridSpan w:val="3"/>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H</w:t>
            </w:r>
            <w:r>
              <w:rPr>
                <w:rFonts w:cs="Times New Roman"/>
                <w:sz w:val="21"/>
                <w:szCs w:val="21"/>
                <w:highlight w:val="none"/>
                <w:vertAlign w:val="subscript"/>
                <w:lang w:val="en-US" w:eastAsia="zh-CN"/>
              </w:rPr>
              <w:t>2</w:t>
            </w:r>
            <w:r>
              <w:rPr>
                <w:rFonts w:cs="Times New Roman"/>
                <w:sz w:val="21"/>
                <w:szCs w:val="21"/>
                <w:highlight w:val="none"/>
                <w:lang w:val="en-US" w:eastAsia="zh-CN"/>
              </w:rPr>
              <w:t>S</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0.534</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0.374</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0.16</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2753" w:type="dxa"/>
            <w:gridSpan w:val="3"/>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食堂</w:t>
            </w: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油烟</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3.42</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0.025</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0.0225</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0.34</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0.0025</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1套处理效率为90%的油烟净化装置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2753" w:type="dxa"/>
            <w:gridSpan w:val="3"/>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燃气锅炉</w:t>
            </w: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NO</w:t>
            </w:r>
            <w:r>
              <w:rPr>
                <w:rFonts w:cs="Times New Roman"/>
                <w:sz w:val="21"/>
                <w:szCs w:val="21"/>
                <w:highlight w:val="none"/>
                <w:vertAlign w:val="subscript"/>
                <w:lang w:val="en-US" w:eastAsia="zh-CN"/>
              </w:rPr>
              <w:t>X</w:t>
            </w:r>
          </w:p>
        </w:tc>
        <w:tc>
          <w:tcPr>
            <w:tcW w:w="1289"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122.6</w:t>
            </w:r>
          </w:p>
        </w:tc>
        <w:tc>
          <w:tcPr>
            <w:tcW w:w="1109"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1.26</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1.008</w:t>
            </w:r>
          </w:p>
        </w:tc>
        <w:tc>
          <w:tcPr>
            <w:tcW w:w="1058"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24.52</w:t>
            </w:r>
          </w:p>
        </w:tc>
        <w:tc>
          <w:tcPr>
            <w:tcW w:w="1036"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rPr>
              <w:t>0.</w:t>
            </w:r>
            <w:r>
              <w:rPr>
                <w:rFonts w:hint="eastAsia" w:cs="Times New Roman"/>
                <w:b w:val="0"/>
                <w:bCs/>
                <w:sz w:val="21"/>
                <w:szCs w:val="21"/>
                <w:highlight w:val="none"/>
                <w:lang w:val="en-US" w:eastAsia="zh-CN"/>
              </w:rPr>
              <w:t>252</w:t>
            </w:r>
          </w:p>
        </w:tc>
        <w:tc>
          <w:tcPr>
            <w:tcW w:w="3970"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lang w:val="en-US" w:eastAsia="zh-CN"/>
              </w:rPr>
              <w:t>高效低氮燃烧器</w:t>
            </w:r>
            <w:r>
              <w:rPr>
                <w:rFonts w:hint="eastAsia" w:cs="Times New Roman"/>
                <w:sz w:val="21"/>
                <w:szCs w:val="21"/>
                <w:highlight w:val="none"/>
                <w:lang w:val="en-US" w:eastAsia="zh-CN"/>
              </w:rPr>
              <w:t>+7#8</w:t>
            </w:r>
            <w:r>
              <w:rPr>
                <w:rFonts w:cs="Times New Roman"/>
                <w:sz w:val="21"/>
                <w:szCs w:val="21"/>
                <w:highlight w:val="none"/>
              </w:rPr>
              <w:t>米高空排放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03"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2753" w:type="dxa"/>
            <w:gridSpan w:val="3"/>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SO</w:t>
            </w:r>
            <w:r>
              <w:rPr>
                <w:rFonts w:cs="Times New Roman"/>
                <w:sz w:val="21"/>
                <w:szCs w:val="21"/>
                <w:highlight w:val="none"/>
                <w:vertAlign w:val="subscript"/>
                <w:lang w:val="en-US" w:eastAsia="zh-CN"/>
              </w:rPr>
              <w:t>2</w:t>
            </w:r>
          </w:p>
        </w:tc>
        <w:tc>
          <w:tcPr>
            <w:tcW w:w="1289"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2.72</w:t>
            </w:r>
          </w:p>
        </w:tc>
        <w:tc>
          <w:tcPr>
            <w:tcW w:w="1109"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0.028</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1058"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2.72</w:t>
            </w:r>
          </w:p>
        </w:tc>
        <w:tc>
          <w:tcPr>
            <w:tcW w:w="1036"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0.028</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2753" w:type="dxa"/>
            <w:gridSpan w:val="3"/>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3.70</w:t>
            </w:r>
          </w:p>
        </w:tc>
        <w:tc>
          <w:tcPr>
            <w:tcW w:w="1109"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0.038</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1058"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3.70</w:t>
            </w:r>
          </w:p>
        </w:tc>
        <w:tc>
          <w:tcPr>
            <w:tcW w:w="1036" w:type="dxa"/>
            <w:tcBorders>
              <w:tl2br w:val="nil"/>
              <w:tr2bl w:val="nil"/>
            </w:tcBorders>
            <w:noWrap w:val="0"/>
            <w:vAlign w:val="center"/>
          </w:tcPr>
          <w:p>
            <w:pPr>
              <w:adjustRightInd w:val="0"/>
              <w:snapToGrid w:val="0"/>
              <w:spacing w:line="240" w:lineRule="auto"/>
              <w:ind w:firstLine="0" w:firstLineChars="0"/>
              <w:jc w:val="center"/>
              <w:rPr>
                <w:rFonts w:hint="default" w:cs="Times New Roman"/>
                <w:sz w:val="21"/>
                <w:szCs w:val="21"/>
                <w:highlight w:val="none"/>
                <w:lang w:val="en-US" w:eastAsia="zh-CN"/>
              </w:rPr>
            </w:pPr>
            <w:r>
              <w:rPr>
                <w:rFonts w:hint="eastAsia" w:cs="Times New Roman"/>
                <w:b w:val="0"/>
                <w:bCs/>
                <w:sz w:val="21"/>
                <w:szCs w:val="21"/>
                <w:highlight w:val="none"/>
                <w:lang w:val="en-US" w:eastAsia="zh-CN"/>
              </w:rPr>
              <w:t>0.038</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77"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饲料加工废气</w:t>
            </w:r>
          </w:p>
        </w:tc>
        <w:tc>
          <w:tcPr>
            <w:tcW w:w="833"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接收粉尘1</w:t>
            </w: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有组织</w:t>
            </w:r>
          </w:p>
        </w:tc>
        <w:tc>
          <w:tcPr>
            <w:tcW w:w="1306"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43.8</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highlight w:val="none"/>
                <w:lang w:val="en-US" w:eastAsia="zh-CN"/>
              </w:rPr>
              <w:t>1.23</w:t>
            </w:r>
          </w:p>
        </w:tc>
        <w:tc>
          <w:tcPr>
            <w:tcW w:w="1109" w:type="dxa"/>
            <w:tcBorders>
              <w:tl2br w:val="nil"/>
              <w:tr2bl w:val="nil"/>
            </w:tcBorders>
            <w:noWrap w:val="0"/>
            <w:vAlign w:val="center"/>
          </w:tcPr>
          <w:p>
            <w:pPr>
              <w:spacing w:line="240" w:lineRule="auto"/>
              <w:ind w:firstLine="0" w:firstLineChars="0"/>
              <w:jc w:val="center"/>
              <w:rPr>
                <w:rFonts w:hint="eastAsia"/>
                <w:bCs/>
                <w:sz w:val="21"/>
                <w:szCs w:val="21"/>
                <w:highlight w:val="none"/>
                <w:lang w:val="en-US" w:eastAsia="zh-CN"/>
              </w:rPr>
            </w:pPr>
            <w:r>
              <w:rPr>
                <w:rFonts w:hint="eastAsia"/>
                <w:bCs/>
                <w:sz w:val="21"/>
                <w:szCs w:val="21"/>
                <w:highlight w:val="none"/>
                <w:lang w:val="en-US" w:eastAsia="zh-CN"/>
              </w:rPr>
              <w:t>1.1685</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2.19</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sz w:val="21"/>
                <w:highlight w:val="none"/>
              </w:rPr>
              <w:t>0.</w:t>
            </w:r>
            <w:r>
              <w:rPr>
                <w:rFonts w:hint="eastAsia"/>
                <w:sz w:val="21"/>
                <w:highlight w:val="none"/>
                <w:lang w:val="en-US" w:eastAsia="zh-CN"/>
              </w:rPr>
              <w:t>0615</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负压收集+2</w:t>
            </w:r>
            <w:r>
              <w:rPr>
                <w:rFonts w:hint="eastAsia" w:cs="Times New Roman"/>
                <w:sz w:val="21"/>
                <w:szCs w:val="21"/>
                <w:highlight w:val="none"/>
              </w:rPr>
              <w:t>套脉冲除尘器</w:t>
            </w:r>
            <w:r>
              <w:rPr>
                <w:rFonts w:hint="eastAsia" w:cs="Times New Roman"/>
                <w:sz w:val="21"/>
                <w:szCs w:val="21"/>
                <w:highlight w:val="none"/>
                <w:lang w:val="en-US" w:eastAsia="zh-CN"/>
              </w:rPr>
              <w:t>+1#</w:t>
            </w:r>
            <w:r>
              <w:rPr>
                <w:rFonts w:hint="eastAsia" w:cs="Times New Roman"/>
                <w:sz w:val="21"/>
                <w:szCs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33"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无组织</w:t>
            </w:r>
          </w:p>
        </w:tc>
        <w:tc>
          <w:tcPr>
            <w:tcW w:w="1306"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cs="Times New Roman"/>
                <w:sz w:val="21"/>
                <w:szCs w:val="21"/>
                <w:highlight w:val="none"/>
              </w:rPr>
              <w:t>0.</w:t>
            </w:r>
            <w:r>
              <w:rPr>
                <w:rFonts w:hint="eastAsia" w:cs="Times New Roman"/>
                <w:sz w:val="21"/>
                <w:szCs w:val="21"/>
                <w:highlight w:val="none"/>
              </w:rPr>
              <w:t>0</w:t>
            </w:r>
            <w:r>
              <w:rPr>
                <w:rFonts w:hint="eastAsia" w:cs="Times New Roman"/>
                <w:sz w:val="21"/>
                <w:szCs w:val="21"/>
                <w:highlight w:val="none"/>
                <w:lang w:val="en-US" w:eastAsia="zh-CN"/>
              </w:rPr>
              <w:t>615</w:t>
            </w:r>
          </w:p>
        </w:tc>
        <w:tc>
          <w:tcPr>
            <w:tcW w:w="1109" w:type="dxa"/>
            <w:tcBorders>
              <w:tl2br w:val="nil"/>
              <w:tr2bl w:val="nil"/>
            </w:tcBorders>
            <w:noWrap w:val="0"/>
            <w:vAlign w:val="center"/>
          </w:tcPr>
          <w:p>
            <w:pPr>
              <w:spacing w:line="240" w:lineRule="auto"/>
              <w:ind w:firstLine="0" w:firstLineChars="0"/>
              <w:jc w:val="center"/>
              <w:rPr>
                <w:rFonts w:hint="default"/>
                <w:bCs/>
                <w:sz w:val="21"/>
                <w:szCs w:val="21"/>
                <w:highlight w:val="none"/>
                <w:lang w:val="en-US" w:eastAsia="zh-CN"/>
              </w:rPr>
            </w:pPr>
            <w:r>
              <w:rPr>
                <w:rFonts w:hint="eastAsia"/>
                <w:bCs/>
                <w:sz w:val="21"/>
                <w:szCs w:val="21"/>
                <w:highlight w:val="none"/>
                <w:lang w:val="en-US" w:eastAsia="zh-CN"/>
              </w:rPr>
              <w:t>0</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cs="Times New Roman"/>
                <w:sz w:val="21"/>
                <w:szCs w:val="21"/>
                <w:highlight w:val="none"/>
              </w:rPr>
              <w:t>0.</w:t>
            </w:r>
            <w:r>
              <w:rPr>
                <w:rFonts w:hint="eastAsia" w:cs="Times New Roman"/>
                <w:sz w:val="21"/>
                <w:szCs w:val="21"/>
                <w:highlight w:val="none"/>
              </w:rPr>
              <w:t>0</w:t>
            </w:r>
            <w:r>
              <w:rPr>
                <w:rFonts w:hint="eastAsia" w:cs="Times New Roman"/>
                <w:sz w:val="21"/>
                <w:szCs w:val="21"/>
                <w:highlight w:val="none"/>
                <w:lang w:val="en-US" w:eastAsia="zh-CN"/>
              </w:rPr>
              <w:t>615</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33"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接收粉尘2</w:t>
            </w: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有组织</w:t>
            </w:r>
          </w:p>
        </w:tc>
        <w:tc>
          <w:tcPr>
            <w:tcW w:w="1306"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43.8</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highlight w:val="none"/>
                <w:lang w:val="en-US" w:eastAsia="zh-CN"/>
              </w:rPr>
              <w:t>1.23</w:t>
            </w:r>
          </w:p>
        </w:tc>
        <w:tc>
          <w:tcPr>
            <w:tcW w:w="1109" w:type="dxa"/>
            <w:tcBorders>
              <w:tl2br w:val="nil"/>
              <w:tr2bl w:val="nil"/>
            </w:tcBorders>
            <w:noWrap w:val="0"/>
            <w:vAlign w:val="center"/>
          </w:tcPr>
          <w:p>
            <w:pPr>
              <w:spacing w:line="240" w:lineRule="auto"/>
              <w:ind w:firstLine="0" w:firstLineChars="0"/>
              <w:jc w:val="center"/>
              <w:rPr>
                <w:rFonts w:hint="eastAsia"/>
                <w:bCs/>
                <w:sz w:val="21"/>
                <w:szCs w:val="21"/>
                <w:highlight w:val="none"/>
                <w:lang w:val="en-US" w:eastAsia="zh-CN"/>
              </w:rPr>
            </w:pPr>
            <w:r>
              <w:rPr>
                <w:rFonts w:hint="eastAsia"/>
                <w:bCs/>
                <w:sz w:val="21"/>
                <w:szCs w:val="21"/>
                <w:highlight w:val="none"/>
                <w:lang w:val="en-US" w:eastAsia="zh-CN"/>
              </w:rPr>
              <w:t>1.1685</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2.19</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sz w:val="21"/>
                <w:highlight w:val="none"/>
              </w:rPr>
              <w:t>0.</w:t>
            </w:r>
            <w:r>
              <w:rPr>
                <w:rFonts w:hint="eastAsia"/>
                <w:sz w:val="21"/>
                <w:highlight w:val="none"/>
                <w:lang w:val="en-US" w:eastAsia="zh-CN"/>
              </w:rPr>
              <w:t>0615</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负压收集+2</w:t>
            </w:r>
            <w:r>
              <w:rPr>
                <w:rFonts w:hint="eastAsia" w:cs="Times New Roman"/>
                <w:sz w:val="21"/>
                <w:szCs w:val="21"/>
                <w:highlight w:val="none"/>
              </w:rPr>
              <w:t>套脉冲除尘器</w:t>
            </w:r>
            <w:r>
              <w:rPr>
                <w:rFonts w:hint="eastAsia" w:cs="Times New Roman"/>
                <w:sz w:val="21"/>
                <w:szCs w:val="21"/>
                <w:highlight w:val="none"/>
                <w:lang w:val="en-US" w:eastAsia="zh-CN"/>
              </w:rPr>
              <w:t>+2#</w:t>
            </w:r>
            <w:r>
              <w:rPr>
                <w:rFonts w:hint="eastAsia" w:cs="Times New Roman"/>
                <w:sz w:val="21"/>
                <w:szCs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33"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无组织</w:t>
            </w:r>
          </w:p>
        </w:tc>
        <w:tc>
          <w:tcPr>
            <w:tcW w:w="1306"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cs="Times New Roman"/>
                <w:sz w:val="21"/>
                <w:szCs w:val="21"/>
                <w:highlight w:val="none"/>
              </w:rPr>
              <w:t>0.</w:t>
            </w:r>
            <w:r>
              <w:rPr>
                <w:rFonts w:hint="eastAsia" w:cs="Times New Roman"/>
                <w:sz w:val="21"/>
                <w:szCs w:val="21"/>
                <w:highlight w:val="none"/>
              </w:rPr>
              <w:t>0</w:t>
            </w:r>
            <w:r>
              <w:rPr>
                <w:rFonts w:hint="eastAsia" w:cs="Times New Roman"/>
                <w:sz w:val="21"/>
                <w:szCs w:val="21"/>
                <w:highlight w:val="none"/>
                <w:lang w:val="en-US" w:eastAsia="zh-CN"/>
              </w:rPr>
              <w:t>615</w:t>
            </w:r>
          </w:p>
        </w:tc>
        <w:tc>
          <w:tcPr>
            <w:tcW w:w="1109" w:type="dxa"/>
            <w:tcBorders>
              <w:tl2br w:val="nil"/>
              <w:tr2bl w:val="nil"/>
            </w:tcBorders>
            <w:noWrap w:val="0"/>
            <w:vAlign w:val="center"/>
          </w:tcPr>
          <w:p>
            <w:pPr>
              <w:spacing w:line="240" w:lineRule="auto"/>
              <w:ind w:firstLine="0" w:firstLineChars="0"/>
              <w:jc w:val="center"/>
              <w:rPr>
                <w:rFonts w:hint="default"/>
                <w:bCs/>
                <w:sz w:val="21"/>
                <w:szCs w:val="21"/>
                <w:highlight w:val="none"/>
                <w:lang w:val="en-US" w:eastAsia="zh-CN"/>
              </w:rPr>
            </w:pPr>
            <w:r>
              <w:rPr>
                <w:rFonts w:hint="eastAsia"/>
                <w:bCs/>
                <w:sz w:val="21"/>
                <w:szCs w:val="21"/>
                <w:highlight w:val="none"/>
                <w:lang w:val="en-US" w:eastAsia="zh-CN"/>
              </w:rPr>
              <w:t>0</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cs="Times New Roman"/>
                <w:sz w:val="21"/>
                <w:szCs w:val="21"/>
                <w:highlight w:val="none"/>
              </w:rPr>
              <w:t>0.</w:t>
            </w:r>
            <w:r>
              <w:rPr>
                <w:rFonts w:hint="eastAsia" w:cs="Times New Roman"/>
                <w:sz w:val="21"/>
                <w:szCs w:val="21"/>
                <w:highlight w:val="none"/>
              </w:rPr>
              <w:t>0</w:t>
            </w:r>
            <w:r>
              <w:rPr>
                <w:rFonts w:hint="eastAsia" w:cs="Times New Roman"/>
                <w:sz w:val="21"/>
                <w:szCs w:val="21"/>
                <w:highlight w:val="none"/>
                <w:lang w:val="en-US" w:eastAsia="zh-CN"/>
              </w:rPr>
              <w:t>615</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659"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33"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eastAsia="zh-CN"/>
              </w:rPr>
              <w:t>初清粉尘</w:t>
            </w: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有组织</w:t>
            </w:r>
          </w:p>
        </w:tc>
        <w:tc>
          <w:tcPr>
            <w:tcW w:w="1306"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26.15</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highlight w:val="none"/>
              </w:rPr>
              <w:t>0.</w:t>
            </w:r>
            <w:r>
              <w:rPr>
                <w:rFonts w:hint="eastAsia"/>
                <w:sz w:val="21"/>
                <w:highlight w:val="none"/>
                <w:lang w:val="en-US" w:eastAsia="zh-CN"/>
              </w:rPr>
              <w:t>7353</w:t>
            </w:r>
          </w:p>
        </w:tc>
        <w:tc>
          <w:tcPr>
            <w:tcW w:w="1109" w:type="dxa"/>
            <w:tcBorders>
              <w:tl2br w:val="nil"/>
              <w:tr2bl w:val="nil"/>
            </w:tcBorders>
            <w:noWrap w:val="0"/>
            <w:vAlign w:val="center"/>
          </w:tcPr>
          <w:p>
            <w:pPr>
              <w:spacing w:line="240" w:lineRule="auto"/>
              <w:ind w:firstLine="0" w:firstLineChars="0"/>
              <w:jc w:val="center"/>
              <w:rPr>
                <w:rFonts w:hint="eastAsia"/>
                <w:bCs/>
                <w:sz w:val="21"/>
                <w:szCs w:val="21"/>
                <w:highlight w:val="none"/>
                <w:lang w:val="en-US" w:eastAsia="zh-CN"/>
              </w:rPr>
            </w:pPr>
            <w:r>
              <w:rPr>
                <w:rFonts w:hint="eastAsia"/>
                <w:bCs/>
                <w:sz w:val="21"/>
                <w:szCs w:val="21"/>
                <w:highlight w:val="none"/>
                <w:lang w:val="en-US" w:eastAsia="zh-CN"/>
              </w:rPr>
              <w:t>0.7203</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rPr>
              <w:t>0.</w:t>
            </w:r>
            <w:r>
              <w:rPr>
                <w:rFonts w:hint="eastAsia"/>
                <w:sz w:val="21"/>
                <w:highlight w:val="none"/>
                <w:lang w:val="en-US" w:eastAsia="zh-CN"/>
              </w:rPr>
              <w:t>523</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sz w:val="21"/>
                <w:highlight w:val="none"/>
              </w:rPr>
              <w:t>0.</w:t>
            </w:r>
            <w:r>
              <w:rPr>
                <w:rFonts w:hint="eastAsia"/>
                <w:sz w:val="21"/>
                <w:highlight w:val="none"/>
                <w:lang w:val="en-US" w:eastAsia="zh-CN"/>
              </w:rPr>
              <w:t>015</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eastAsia="zh-CN"/>
              </w:rPr>
              <w:t>收集</w:t>
            </w:r>
            <w:r>
              <w:rPr>
                <w:rFonts w:hint="eastAsia" w:cs="Times New Roman"/>
                <w:sz w:val="21"/>
                <w:szCs w:val="21"/>
                <w:highlight w:val="none"/>
                <w:lang w:val="en-US" w:eastAsia="zh-CN"/>
              </w:rPr>
              <w:t>+1套沙克龙除尘器+脉冲袋式除尘器+3#</w:t>
            </w:r>
            <w:r>
              <w:rPr>
                <w:rFonts w:hint="eastAsia" w:cs="Times New Roman"/>
                <w:sz w:val="21"/>
                <w:szCs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81"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33"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无组织</w:t>
            </w:r>
          </w:p>
        </w:tc>
        <w:tc>
          <w:tcPr>
            <w:tcW w:w="1306"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p>
        </w:tc>
        <w:tc>
          <w:tcPr>
            <w:tcW w:w="128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cs="Times New Roman"/>
                <w:sz w:val="21"/>
                <w:szCs w:val="21"/>
                <w:highlight w:val="none"/>
              </w:rPr>
              <w:t>/</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sz w:val="21"/>
                <w:highlight w:val="none"/>
              </w:rPr>
              <w:t>0.0387</w:t>
            </w:r>
          </w:p>
        </w:tc>
        <w:tc>
          <w:tcPr>
            <w:tcW w:w="1109" w:type="dxa"/>
            <w:tcBorders>
              <w:tl2br w:val="nil"/>
              <w:tr2bl w:val="nil"/>
            </w:tcBorders>
            <w:noWrap w:val="0"/>
            <w:vAlign w:val="center"/>
          </w:tcPr>
          <w:p>
            <w:pPr>
              <w:spacing w:line="240" w:lineRule="auto"/>
              <w:ind w:firstLine="0" w:firstLineChars="0"/>
              <w:jc w:val="center"/>
              <w:rPr>
                <w:rFonts w:hint="default"/>
                <w:bCs/>
                <w:sz w:val="21"/>
                <w:szCs w:val="21"/>
                <w:highlight w:val="none"/>
                <w:lang w:val="en-US" w:eastAsia="zh-CN"/>
              </w:rPr>
            </w:pPr>
            <w:r>
              <w:rPr>
                <w:rFonts w:hint="eastAsia"/>
                <w:bCs/>
                <w:sz w:val="21"/>
                <w:szCs w:val="21"/>
                <w:highlight w:val="none"/>
                <w:lang w:val="en-US" w:eastAsia="zh-CN"/>
              </w:rPr>
              <w:t>0</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cs="Times New Roman"/>
                <w:sz w:val="21"/>
                <w:szCs w:val="21"/>
                <w:highlight w:val="none"/>
              </w:rPr>
              <w:t>/</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sz w:val="21"/>
                <w:highlight w:val="none"/>
              </w:rPr>
              <w:t>0.0387</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0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33"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eastAsia="zh-CN"/>
              </w:rPr>
              <w:t>辅料投加粉尘</w:t>
            </w: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有组织</w:t>
            </w:r>
          </w:p>
        </w:tc>
        <w:tc>
          <w:tcPr>
            <w:tcW w:w="1306"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22.67</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highlight w:val="none"/>
              </w:rPr>
              <w:t>0.2451</w:t>
            </w:r>
          </w:p>
        </w:tc>
        <w:tc>
          <w:tcPr>
            <w:tcW w:w="1109" w:type="dxa"/>
            <w:tcBorders>
              <w:tl2br w:val="nil"/>
              <w:tr2bl w:val="nil"/>
            </w:tcBorders>
            <w:noWrap w:val="0"/>
            <w:vAlign w:val="center"/>
          </w:tcPr>
          <w:p>
            <w:pPr>
              <w:spacing w:line="240" w:lineRule="auto"/>
              <w:ind w:firstLine="0" w:firstLineChars="0"/>
              <w:jc w:val="center"/>
              <w:rPr>
                <w:rFonts w:hint="eastAsia"/>
                <w:bCs/>
                <w:sz w:val="21"/>
                <w:szCs w:val="21"/>
                <w:highlight w:val="none"/>
                <w:lang w:val="en-US" w:eastAsia="zh-CN"/>
              </w:rPr>
            </w:pPr>
            <w:r>
              <w:rPr>
                <w:rFonts w:hint="eastAsia"/>
                <w:bCs/>
                <w:sz w:val="21"/>
                <w:szCs w:val="21"/>
                <w:highlight w:val="none"/>
                <w:lang w:val="en-US" w:eastAsia="zh-CN"/>
              </w:rPr>
              <w:t>0.2331</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highlight w:val="none"/>
                <w:lang w:val="en-US" w:eastAsia="zh-CN"/>
              </w:rPr>
              <w:t>1.13</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highlight w:val="none"/>
              </w:rPr>
              <w:t>0.012</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eastAsia="zh-CN"/>
              </w:rPr>
              <w:t>收集</w:t>
            </w:r>
            <w:r>
              <w:rPr>
                <w:rFonts w:hint="eastAsia" w:cs="Times New Roman"/>
                <w:sz w:val="21"/>
                <w:szCs w:val="21"/>
                <w:highlight w:val="none"/>
                <w:lang w:val="en-US" w:eastAsia="zh-CN"/>
              </w:rPr>
              <w:t>+1套脉冲袋式除尘器+4#</w:t>
            </w:r>
            <w:r>
              <w:rPr>
                <w:rFonts w:hint="eastAsia" w:cs="Times New Roman"/>
                <w:sz w:val="21"/>
                <w:szCs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33"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无组织</w:t>
            </w:r>
          </w:p>
        </w:tc>
        <w:tc>
          <w:tcPr>
            <w:tcW w:w="1306"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szCs w:val="21"/>
                <w:highlight w:val="none"/>
              </w:rPr>
              <w:t>0.0129</w:t>
            </w:r>
          </w:p>
        </w:tc>
        <w:tc>
          <w:tcPr>
            <w:tcW w:w="1109" w:type="dxa"/>
            <w:tcBorders>
              <w:tl2br w:val="nil"/>
              <w:tr2bl w:val="nil"/>
            </w:tcBorders>
            <w:noWrap w:val="0"/>
            <w:vAlign w:val="center"/>
          </w:tcPr>
          <w:p>
            <w:pPr>
              <w:spacing w:line="240" w:lineRule="auto"/>
              <w:ind w:firstLine="0" w:firstLineChars="0"/>
              <w:jc w:val="center"/>
              <w:rPr>
                <w:rFonts w:hint="eastAsia"/>
                <w:bCs/>
                <w:sz w:val="21"/>
                <w:szCs w:val="21"/>
                <w:highlight w:val="none"/>
                <w:lang w:val="en-US" w:eastAsia="zh-CN"/>
              </w:rPr>
            </w:pPr>
            <w:r>
              <w:rPr>
                <w:rFonts w:hint="eastAsia"/>
                <w:bCs/>
                <w:sz w:val="21"/>
                <w:szCs w:val="21"/>
                <w:highlight w:val="none"/>
                <w:lang w:val="en-US" w:eastAsia="zh-CN"/>
              </w:rPr>
              <w:t>0</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sz w:val="21"/>
                <w:szCs w:val="21"/>
                <w:highlight w:val="none"/>
              </w:rPr>
              <w:t>0.0129</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36"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c>
          <w:tcPr>
            <w:tcW w:w="833"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eastAsia="zh-CN"/>
              </w:rPr>
              <w:t>粉碎粉尘</w:t>
            </w: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有组织</w:t>
            </w:r>
          </w:p>
        </w:tc>
        <w:tc>
          <w:tcPr>
            <w:tcW w:w="1306"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b w:val="0"/>
                <w:bCs w:val="0"/>
                <w:color w:val="000000"/>
                <w:sz w:val="21"/>
                <w:szCs w:val="21"/>
                <w:highlight w:val="none"/>
                <w:u w:val="none"/>
                <w:lang w:val="en-US" w:eastAsia="zh-CN"/>
              </w:rPr>
              <w:t>25.5</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bCs/>
                <w:sz w:val="21"/>
                <w:szCs w:val="21"/>
                <w:highlight w:val="none"/>
                <w:lang w:val="en-US" w:eastAsia="zh-CN"/>
              </w:rPr>
              <w:t>0.7353</w:t>
            </w:r>
          </w:p>
        </w:tc>
        <w:tc>
          <w:tcPr>
            <w:tcW w:w="1109" w:type="dxa"/>
            <w:tcBorders>
              <w:tl2br w:val="nil"/>
              <w:tr2bl w:val="nil"/>
            </w:tcBorders>
            <w:noWrap w:val="0"/>
            <w:vAlign w:val="center"/>
          </w:tcPr>
          <w:p>
            <w:pPr>
              <w:spacing w:line="240" w:lineRule="auto"/>
              <w:ind w:firstLine="0" w:firstLineChars="0"/>
              <w:jc w:val="center"/>
              <w:rPr>
                <w:rFonts w:hint="default"/>
                <w:bCs/>
                <w:sz w:val="21"/>
                <w:szCs w:val="21"/>
                <w:highlight w:val="none"/>
                <w:lang w:val="en-US" w:eastAsia="zh-CN"/>
              </w:rPr>
            </w:pPr>
            <w:r>
              <w:rPr>
                <w:rFonts w:hint="eastAsia"/>
                <w:bCs/>
                <w:sz w:val="21"/>
                <w:szCs w:val="21"/>
                <w:highlight w:val="none"/>
                <w:lang w:val="en-US" w:eastAsia="zh-CN"/>
              </w:rPr>
              <w:t>0.6983</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b w:val="0"/>
                <w:bCs w:val="0"/>
                <w:color w:val="000000"/>
                <w:sz w:val="21"/>
                <w:szCs w:val="21"/>
                <w:highlight w:val="none"/>
                <w:u w:val="none"/>
                <w:lang w:val="en-US" w:eastAsia="zh-CN"/>
              </w:rPr>
              <w:t>1.275</w:t>
            </w:r>
          </w:p>
        </w:tc>
        <w:tc>
          <w:tcPr>
            <w:tcW w:w="103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b w:val="0"/>
                <w:bCs w:val="0"/>
                <w:color w:val="000000"/>
                <w:sz w:val="21"/>
                <w:szCs w:val="21"/>
                <w:highlight w:val="none"/>
                <w:u w:val="none"/>
                <w:lang w:val="en-US" w:eastAsia="zh-CN"/>
              </w:rPr>
              <w:t>0.037</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收集</w:t>
            </w:r>
            <w:r>
              <w:rPr>
                <w:rFonts w:hint="eastAsia" w:cs="Times New Roman"/>
                <w:sz w:val="21"/>
                <w:szCs w:val="21"/>
                <w:highlight w:val="none"/>
                <w:lang w:val="en-US" w:eastAsia="zh-CN"/>
              </w:rPr>
              <w:t>+1套脉冲袋式除尘器+5#</w:t>
            </w:r>
            <w:r>
              <w:rPr>
                <w:rFonts w:hint="eastAsia" w:cs="Times New Roman"/>
                <w:sz w:val="21"/>
                <w:szCs w:val="21"/>
                <w:highlight w:val="none"/>
              </w:rPr>
              <w:t>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17"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33"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无组织</w:t>
            </w:r>
          </w:p>
        </w:tc>
        <w:tc>
          <w:tcPr>
            <w:tcW w:w="1306"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p>
        </w:tc>
        <w:tc>
          <w:tcPr>
            <w:tcW w:w="128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cs="Times New Roman"/>
                <w:sz w:val="21"/>
                <w:szCs w:val="21"/>
                <w:highlight w:val="none"/>
              </w:rPr>
              <w:t>/</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bCs/>
                <w:sz w:val="21"/>
                <w:szCs w:val="21"/>
                <w:highlight w:val="none"/>
                <w:lang w:val="en-US" w:eastAsia="zh-CN"/>
              </w:rPr>
              <w:t>0.0387</w:t>
            </w:r>
          </w:p>
        </w:tc>
        <w:tc>
          <w:tcPr>
            <w:tcW w:w="1109" w:type="dxa"/>
            <w:tcBorders>
              <w:tl2br w:val="nil"/>
              <w:tr2bl w:val="nil"/>
            </w:tcBorders>
            <w:noWrap w:val="0"/>
            <w:vAlign w:val="center"/>
          </w:tcPr>
          <w:p>
            <w:pPr>
              <w:spacing w:line="240" w:lineRule="auto"/>
              <w:ind w:firstLine="0" w:firstLineChars="0"/>
              <w:jc w:val="center"/>
              <w:rPr>
                <w:rFonts w:hint="eastAsia"/>
                <w:bCs/>
                <w:sz w:val="21"/>
                <w:szCs w:val="21"/>
                <w:highlight w:val="none"/>
                <w:lang w:val="en-US" w:eastAsia="zh-CN"/>
              </w:rPr>
            </w:pPr>
            <w:r>
              <w:rPr>
                <w:rFonts w:hint="eastAsia"/>
                <w:bCs/>
                <w:sz w:val="21"/>
                <w:szCs w:val="21"/>
                <w:highlight w:val="none"/>
                <w:lang w:val="en-US" w:eastAsia="zh-CN"/>
              </w:rPr>
              <w:t>0</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cs="Times New Roman"/>
                <w:sz w:val="21"/>
                <w:szCs w:val="21"/>
                <w:highlight w:val="none"/>
              </w:rPr>
              <w:t>/</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bCs/>
                <w:sz w:val="21"/>
                <w:szCs w:val="21"/>
                <w:highlight w:val="none"/>
                <w:lang w:val="en-US" w:eastAsia="zh-CN"/>
              </w:rPr>
              <w:t>0.0387</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61"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33"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制粒冷却粉尘</w:t>
            </w: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有组织</w:t>
            </w:r>
          </w:p>
        </w:tc>
        <w:tc>
          <w:tcPr>
            <w:tcW w:w="1306"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颗粒物</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sz w:val="21"/>
                <w:szCs w:val="21"/>
                <w:highlight w:val="none"/>
                <w:lang w:val="en-US" w:eastAsia="zh-CN"/>
              </w:rPr>
              <w:t>10.2</w:t>
            </w:r>
          </w:p>
        </w:tc>
        <w:tc>
          <w:tcPr>
            <w:tcW w:w="110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bCs/>
                <w:sz w:val="21"/>
                <w:szCs w:val="21"/>
                <w:highlight w:val="none"/>
                <w:lang w:val="en-US" w:eastAsia="zh-CN"/>
              </w:rPr>
              <w:t>0.7353</w:t>
            </w:r>
          </w:p>
        </w:tc>
        <w:tc>
          <w:tcPr>
            <w:tcW w:w="1109" w:type="dxa"/>
            <w:tcBorders>
              <w:tl2br w:val="nil"/>
              <w:tr2bl w:val="nil"/>
            </w:tcBorders>
            <w:noWrap w:val="0"/>
            <w:vAlign w:val="center"/>
          </w:tcPr>
          <w:p>
            <w:pPr>
              <w:spacing w:line="240" w:lineRule="auto"/>
              <w:ind w:firstLine="0" w:firstLineChars="0"/>
              <w:jc w:val="center"/>
              <w:rPr>
                <w:rFonts w:hint="default"/>
                <w:bCs/>
                <w:sz w:val="21"/>
                <w:szCs w:val="21"/>
                <w:highlight w:val="none"/>
                <w:lang w:val="en-US" w:eastAsia="zh-CN"/>
              </w:rPr>
            </w:pPr>
            <w:r>
              <w:rPr>
                <w:rFonts w:hint="eastAsia"/>
                <w:bCs/>
                <w:sz w:val="21"/>
                <w:szCs w:val="21"/>
                <w:highlight w:val="none"/>
                <w:lang w:val="en-US" w:eastAsia="zh-CN"/>
              </w:rPr>
              <w:t>0.4413</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b w:val="0"/>
                <w:bCs w:val="0"/>
                <w:color w:val="000000"/>
                <w:sz w:val="21"/>
                <w:szCs w:val="21"/>
                <w:highlight w:val="none"/>
                <w:u w:val="none"/>
                <w:lang w:val="en-US" w:eastAsia="zh-CN"/>
              </w:rPr>
              <w:t>4.08</w:t>
            </w:r>
          </w:p>
        </w:tc>
        <w:tc>
          <w:tcPr>
            <w:tcW w:w="103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b w:val="0"/>
                <w:bCs w:val="0"/>
                <w:color w:val="000000"/>
                <w:sz w:val="21"/>
                <w:szCs w:val="21"/>
                <w:highlight w:val="none"/>
                <w:u w:val="none"/>
                <w:lang w:val="en-US" w:eastAsia="zh-CN"/>
              </w:rPr>
              <w:t>0.294</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收集</w:t>
            </w:r>
            <w:r>
              <w:rPr>
                <w:rFonts w:hint="eastAsia" w:cs="Times New Roman"/>
                <w:sz w:val="21"/>
                <w:szCs w:val="21"/>
                <w:highlight w:val="none"/>
                <w:lang w:val="en-US" w:eastAsia="zh-CN"/>
              </w:rPr>
              <w:t>+1套沙克龙除尘器+6#20</w:t>
            </w:r>
            <w:r>
              <w:rPr>
                <w:rFonts w:hint="eastAsia" w:cs="Times New Roman"/>
                <w:sz w:val="21"/>
                <w:szCs w:val="21"/>
                <w:highlight w:val="none"/>
              </w:rPr>
              <w:t>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61" w:hRule="atLeast"/>
        </w:trPr>
        <w:tc>
          <w:tcPr>
            <w:tcW w:w="544"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021"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33"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89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rPr>
              <w:t>无组织</w:t>
            </w:r>
          </w:p>
        </w:tc>
        <w:tc>
          <w:tcPr>
            <w:tcW w:w="1306"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p>
        </w:tc>
        <w:tc>
          <w:tcPr>
            <w:tcW w:w="128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cs="Times New Roman"/>
                <w:sz w:val="21"/>
                <w:szCs w:val="21"/>
                <w:highlight w:val="none"/>
              </w:rPr>
              <w:t>/</w:t>
            </w:r>
          </w:p>
        </w:tc>
        <w:tc>
          <w:tcPr>
            <w:tcW w:w="110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bCs/>
                <w:sz w:val="21"/>
                <w:szCs w:val="21"/>
                <w:highlight w:val="none"/>
                <w:lang w:val="en-US" w:eastAsia="zh-CN"/>
              </w:rPr>
              <w:t>0.0387</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cs="Times New Roman"/>
                <w:sz w:val="21"/>
                <w:szCs w:val="21"/>
                <w:highlight w:val="none"/>
              </w:rPr>
              <w:t>/</w:t>
            </w:r>
          </w:p>
        </w:tc>
        <w:tc>
          <w:tcPr>
            <w:tcW w:w="10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r>
              <w:rPr>
                <w:rFonts w:hint="eastAsia"/>
                <w:bCs/>
                <w:sz w:val="21"/>
                <w:szCs w:val="21"/>
                <w:highlight w:val="none"/>
                <w:lang w:val="en-US" w:eastAsia="zh-CN"/>
              </w:rPr>
              <w:t>0.0387</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废水</w:t>
            </w: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废水量</w:t>
            </w:r>
          </w:p>
        </w:tc>
        <w:tc>
          <w:tcPr>
            <w:tcW w:w="128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120624.57</w:t>
            </w:r>
          </w:p>
        </w:tc>
        <w:tc>
          <w:tcPr>
            <w:tcW w:w="1109"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120624.57</w:t>
            </w:r>
          </w:p>
        </w:tc>
        <w:tc>
          <w:tcPr>
            <w:tcW w:w="1058"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0</w:t>
            </w:r>
          </w:p>
        </w:tc>
        <w:tc>
          <w:tcPr>
            <w:tcW w:w="3970"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经</w:t>
            </w:r>
            <w:r>
              <w:rPr>
                <w:rFonts w:hint="eastAsia" w:cs="Times New Roman"/>
                <w:sz w:val="21"/>
                <w:szCs w:val="21"/>
                <w:highlight w:val="none"/>
                <w:lang w:val="en-US" w:eastAsia="zh-CN"/>
              </w:rPr>
              <w:t>黑膜</w:t>
            </w:r>
            <w:r>
              <w:rPr>
                <w:rFonts w:cs="Times New Roman"/>
                <w:sz w:val="21"/>
                <w:szCs w:val="21"/>
                <w:highlight w:val="none"/>
                <w:lang w:val="en-US" w:eastAsia="zh-CN"/>
              </w:rPr>
              <w:t>沼气池处理后，做农肥使用,不外排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COD</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1461</w:t>
            </w:r>
            <w:r>
              <w:rPr>
                <w:rFonts w:hint="eastAsia" w:cs="Times New Roman"/>
                <w:sz w:val="21"/>
                <w:szCs w:val="21"/>
                <w:highlight w:val="none"/>
                <w:lang w:val="en-US" w:eastAsia="zh-CN"/>
              </w:rPr>
              <w:t>6</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1763.01</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1401.14</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3000</w:t>
            </w:r>
          </w:p>
        </w:tc>
        <w:tc>
          <w:tcPr>
            <w:tcW w:w="103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0</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BOD</w:t>
            </w:r>
            <w:r>
              <w:rPr>
                <w:rFonts w:cs="Times New Roman"/>
                <w:sz w:val="21"/>
                <w:szCs w:val="21"/>
                <w:highlight w:val="none"/>
                <w:vertAlign w:val="subscript"/>
                <w:lang w:val="en-US" w:eastAsia="zh-CN"/>
              </w:rPr>
              <w:t>5</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5847</w:t>
            </w:r>
            <w:r>
              <w:rPr>
                <w:rFonts w:hint="eastAsia" w:cs="Times New Roman"/>
                <w:sz w:val="21"/>
                <w:szCs w:val="21"/>
                <w:highlight w:val="none"/>
                <w:lang w:val="en-US" w:eastAsia="zh-CN"/>
              </w:rPr>
              <w:t>6</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705.</w:t>
            </w:r>
            <w:r>
              <w:rPr>
                <w:rFonts w:hint="eastAsia" w:cs="Times New Roman"/>
                <w:sz w:val="21"/>
                <w:szCs w:val="21"/>
                <w:highlight w:val="none"/>
                <w:lang w:val="en-US" w:eastAsia="zh-CN"/>
              </w:rPr>
              <w:t>30</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536.43</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1400</w:t>
            </w:r>
          </w:p>
        </w:tc>
        <w:tc>
          <w:tcPr>
            <w:tcW w:w="103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0</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SS</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7601</w:t>
            </w:r>
            <w:r>
              <w:rPr>
                <w:rFonts w:hint="eastAsia" w:cs="Times New Roman"/>
                <w:sz w:val="21"/>
                <w:szCs w:val="21"/>
                <w:highlight w:val="none"/>
                <w:lang w:val="en-US" w:eastAsia="zh-CN"/>
              </w:rPr>
              <w:t>6</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916.90</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675.65</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2000</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NH</w:t>
            </w:r>
            <w:r>
              <w:rPr>
                <w:rFonts w:cs="Times New Roman"/>
                <w:sz w:val="21"/>
                <w:szCs w:val="21"/>
                <w:highlight w:val="none"/>
                <w:vertAlign w:val="subscript"/>
                <w:lang w:val="en-US" w:eastAsia="zh-CN"/>
              </w:rPr>
              <w:t>3</w:t>
            </w:r>
            <w:r>
              <w:rPr>
                <w:rFonts w:cs="Times New Roman"/>
                <w:sz w:val="21"/>
                <w:szCs w:val="21"/>
                <w:highlight w:val="none"/>
                <w:lang w:val="en-US" w:eastAsia="zh-CN"/>
              </w:rPr>
              <w:t>-N</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97</w:t>
            </w:r>
            <w:r>
              <w:rPr>
                <w:rFonts w:hint="eastAsia" w:cs="Times New Roman"/>
                <w:sz w:val="21"/>
                <w:szCs w:val="21"/>
                <w:highlight w:val="none"/>
                <w:lang w:val="en-US" w:eastAsia="zh-CN"/>
              </w:rPr>
              <w:t>5</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117.5</w:t>
            </w:r>
            <w:r>
              <w:rPr>
                <w:rFonts w:hint="eastAsia" w:cs="Times New Roman"/>
                <w:sz w:val="21"/>
                <w:szCs w:val="21"/>
                <w:highlight w:val="none"/>
                <w:lang w:val="en-US" w:eastAsia="zh-CN"/>
              </w:rPr>
              <w:t>7</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9.01</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900</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固体废物</w:t>
            </w: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固液分离的猪粪</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6099.49</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6099.49</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发酵制有机肥基肥，外售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沼渣</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4270.5</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4270.5</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作为基肥外售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病死猪尸体</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21.76</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21.76</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vMerge w:val="restar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母猪胎盘</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9.888</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9.888</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vMerge w:val="continue"/>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生活垃圾</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16.43</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16.43</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医疗废物</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0.75</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0.75</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由新蔡县中绿环保科技有限公司</w:t>
            </w:r>
            <w:r>
              <w:rPr>
                <w:rFonts w:cs="Times New Roman"/>
                <w:sz w:val="21"/>
                <w:szCs w:val="21"/>
                <w:highlight w:val="none"/>
                <w:lang w:val="en-US" w:eastAsia="zh-CN"/>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废脱硫剂</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default"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由生产厂家统一回收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杂质</w:t>
            </w:r>
          </w:p>
        </w:tc>
        <w:tc>
          <w:tcPr>
            <w:tcW w:w="128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24</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24</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粉尘</w:t>
            </w:r>
          </w:p>
        </w:tc>
        <w:tc>
          <w:tcPr>
            <w:tcW w:w="128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4.43</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4.43</w:t>
            </w:r>
          </w:p>
        </w:tc>
        <w:tc>
          <w:tcPr>
            <w:tcW w:w="1058"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hint="eastAsia" w:cs="Times New Roman"/>
                <w:sz w:val="21"/>
                <w:szCs w:val="21"/>
                <w:highlight w:val="none"/>
                <w:lang w:val="en-US"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3297" w:type="dxa"/>
            <w:gridSpan w:val="4"/>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130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废离子交换树脂</w:t>
            </w:r>
          </w:p>
        </w:tc>
        <w:tc>
          <w:tcPr>
            <w:tcW w:w="128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w:t>
            </w:r>
          </w:p>
        </w:tc>
        <w:tc>
          <w:tcPr>
            <w:tcW w:w="1109"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w:t>
            </w:r>
          </w:p>
        </w:tc>
        <w:tc>
          <w:tcPr>
            <w:tcW w:w="1058"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10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w:t>
            </w:r>
          </w:p>
        </w:tc>
        <w:tc>
          <w:tcPr>
            <w:tcW w:w="397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由新蔡县中绿环保科技有限公司</w:t>
            </w:r>
            <w:r>
              <w:rPr>
                <w:rFonts w:cs="Times New Roman"/>
                <w:sz w:val="21"/>
                <w:szCs w:val="21"/>
                <w:highlight w:val="none"/>
                <w:lang w:val="en-US" w:eastAsia="zh-CN"/>
              </w:rPr>
              <w:t>处置</w:t>
            </w:r>
          </w:p>
        </w:tc>
      </w:tr>
    </w:tbl>
    <w:p>
      <w:pPr>
        <w:pStyle w:val="10"/>
        <w:ind w:left="0" w:leftChars="0" w:firstLine="0" w:firstLineChars="0"/>
        <w:rPr>
          <w:rFonts w:hint="eastAsia" w:cs="Times New Roman"/>
          <w:b/>
          <w:highlight w:val="none"/>
        </w:rPr>
      </w:pPr>
    </w:p>
    <w:p>
      <w:pPr>
        <w:pStyle w:val="40"/>
        <w:jc w:val="both"/>
        <w:rPr>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p>
    <w:p>
      <w:pPr>
        <w:pStyle w:val="5"/>
        <w:spacing w:before="166" w:after="166"/>
        <w:rPr>
          <w:highlight w:val="none"/>
        </w:rPr>
      </w:pPr>
      <w:bookmarkStart w:id="27" w:name="_Toc4113"/>
      <w:r>
        <w:rPr>
          <w:rFonts w:hint="eastAsia"/>
          <w:highlight w:val="none"/>
          <w:lang w:val="en-US" w:eastAsia="zh-CN"/>
        </w:rPr>
        <w:t>3</w:t>
      </w:r>
      <w:r>
        <w:rPr>
          <w:rFonts w:hint="eastAsia"/>
          <w:highlight w:val="none"/>
        </w:rPr>
        <w:t>环境现状调查与评价</w:t>
      </w:r>
      <w:bookmarkEnd w:id="27"/>
    </w:p>
    <w:p>
      <w:pPr>
        <w:pStyle w:val="6"/>
        <w:spacing w:before="132"/>
        <w:rPr>
          <w:highlight w:val="none"/>
        </w:rPr>
      </w:pPr>
      <w:bookmarkStart w:id="28" w:name="_Toc10061"/>
      <w:r>
        <w:rPr>
          <w:rFonts w:hint="eastAsia"/>
          <w:highlight w:val="none"/>
          <w:lang w:val="en-US" w:eastAsia="zh-CN"/>
        </w:rPr>
        <w:t>3</w:t>
      </w:r>
      <w:r>
        <w:rPr>
          <w:highlight w:val="none"/>
        </w:rPr>
        <w:t>.1</w:t>
      </w:r>
      <w:r>
        <w:rPr>
          <w:rFonts w:hint="eastAsia"/>
          <w:highlight w:val="none"/>
        </w:rPr>
        <w:t>区域自然</w:t>
      </w:r>
      <w:r>
        <w:rPr>
          <w:highlight w:val="none"/>
        </w:rPr>
        <w:t>环境概况</w:t>
      </w:r>
      <w:bookmarkEnd w:id="28"/>
    </w:p>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.1.1地理位置</w:t>
      </w:r>
    </w:p>
    <w:p>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ascii="Times New Roman" w:hAnsi="Times New Roman"/>
          <w:spacing w:val="8"/>
          <w:sz w:val="24"/>
          <w:szCs w:val="28"/>
          <w:highlight w:val="none"/>
        </w:rPr>
      </w:pPr>
      <w:r>
        <w:rPr>
          <w:rFonts w:ascii="Times New Roman" w:hAnsi="Times New Roman"/>
          <w:spacing w:val="8"/>
          <w:sz w:val="24"/>
          <w:szCs w:val="28"/>
          <w:highlight w:val="none"/>
        </w:rPr>
        <w:t>驻马店市位于河南省中南部，东经113°10ˊ～115°12ˊ、北纬32°18ˊ～33°35ˊ。东西长191.5km，南北宽137.5km，总面积15095km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，占全省总面积的8.9%。驻马店市东接安徽省阜阳地区，西连南阳市，北靠周口市、平顶山市和漯河，南邻信阳市，现管辖遂平、西平、上蔡、平舆、新蔡、正阳、泌阳、汝南、确山九县和驿城区。</w:t>
      </w:r>
    </w:p>
    <w:p>
      <w:pPr>
        <w:keepNext w:val="0"/>
        <w:keepLines w:val="0"/>
        <w:pageBreakBefore w:val="0"/>
        <w:widowControl/>
        <w:kinsoku/>
        <w:wordWrap/>
        <w:overflowPunct/>
        <w:topLinePunct w:val="0"/>
        <w:autoSpaceDE/>
        <w:autoSpaceDN/>
        <w:bidi w:val="0"/>
        <w:adjustRightInd/>
        <w:snapToGrid/>
        <w:spacing w:line="360" w:lineRule="auto"/>
        <w:ind w:firstLine="425"/>
        <w:textAlignment w:val="auto"/>
        <w:rPr>
          <w:rFonts w:ascii="Times New Roman" w:hAnsi="Times New Roman"/>
          <w:sz w:val="24"/>
          <w:highlight w:val="none"/>
        </w:rPr>
      </w:pPr>
      <w:bookmarkStart w:id="29" w:name="_Toc163642755"/>
      <w:bookmarkStart w:id="30" w:name="_Toc163642520"/>
      <w:bookmarkStart w:id="31" w:name="_Toc163642638"/>
      <w:r>
        <w:rPr>
          <w:rFonts w:ascii="Times New Roman" w:hAnsi="Times New Roman"/>
          <w:sz w:val="24"/>
          <w:highlight w:val="none"/>
        </w:rPr>
        <w:t>正阳县位于河南省东南部，淮河北岸。东与新蔡、息县接壤，西与确山县毗邻，北靠汝南、平舆，南与罗山、信阳县隔淮相望。地处</w:t>
      </w:r>
      <w:bookmarkStart w:id="32" w:name="_Toc163642678"/>
      <w:bookmarkStart w:id="33" w:name="_Toc163642795"/>
      <w:bookmarkStart w:id="34" w:name="_Toc163642560"/>
      <w:r>
        <w:rPr>
          <w:rFonts w:ascii="Times New Roman" w:hAnsi="Times New Roman"/>
          <w:sz w:val="24"/>
          <w:highlight w:val="none"/>
        </w:rPr>
        <w:t>地处东经114º11´～114º53´,北纬32º16´～ 32º48´之间，南北长57km</w:t>
      </w:r>
      <w:r>
        <w:rPr>
          <w:rFonts w:ascii="Times New Roman" w:hAnsi="Times New Roman"/>
          <w:sz w:val="24"/>
          <w:highlight w:val="none"/>
          <w:vertAlign w:val="superscript"/>
        </w:rPr>
        <w:t>2</w:t>
      </w:r>
      <w:r>
        <w:rPr>
          <w:rFonts w:ascii="Times New Roman" w:hAnsi="Times New Roman"/>
          <w:sz w:val="24"/>
          <w:highlight w:val="none"/>
        </w:rPr>
        <w:t>，东西宽64.5km</w:t>
      </w:r>
      <w:r>
        <w:rPr>
          <w:rFonts w:ascii="Times New Roman" w:hAnsi="Times New Roman"/>
          <w:sz w:val="24"/>
          <w:highlight w:val="none"/>
          <w:vertAlign w:val="superscript"/>
        </w:rPr>
        <w:t>2</w:t>
      </w:r>
      <w:r>
        <w:rPr>
          <w:rFonts w:ascii="Times New Roman" w:hAnsi="Times New Roman"/>
          <w:sz w:val="24"/>
          <w:highlight w:val="none"/>
        </w:rPr>
        <w:t>，总面积1903.46km</w:t>
      </w:r>
      <w:r>
        <w:rPr>
          <w:rFonts w:ascii="Times New Roman" w:hAnsi="Times New Roman"/>
          <w:sz w:val="24"/>
          <w:highlight w:val="none"/>
          <w:vertAlign w:val="superscript"/>
        </w:rPr>
        <w:t>2</w:t>
      </w:r>
      <w:r>
        <w:rPr>
          <w:rFonts w:ascii="Times New Roman" w:hAnsi="Times New Roman"/>
          <w:sz w:val="24"/>
          <w:highlight w:val="none"/>
        </w:rPr>
        <w:t>，</w:t>
      </w:r>
      <w:r>
        <w:rPr>
          <w:rFonts w:ascii="Times New Roman" w:hAnsi="Times New Roman"/>
          <w:color w:val="333333"/>
          <w:sz w:val="24"/>
          <w:highlight w:val="none"/>
        </w:rPr>
        <w:t>下辖19个乡镇，294个行政村（居委会），1421个村民组，总人口76万</w:t>
      </w:r>
      <w:r>
        <w:rPr>
          <w:rFonts w:ascii="Times New Roman" w:hAnsi="Times New Roman"/>
          <w:sz w:val="24"/>
          <w:highlight w:val="none"/>
        </w:rPr>
        <w:t>。</w:t>
      </w:r>
      <w:bookmarkEnd w:id="32"/>
      <w:bookmarkEnd w:id="33"/>
      <w:bookmarkEnd w:id="34"/>
      <w:r>
        <w:rPr>
          <w:rFonts w:ascii="Times New Roman" w:hAnsi="Times New Roman"/>
          <w:sz w:val="24"/>
          <w:highlight w:val="none"/>
        </w:rPr>
        <w:t>县境西距京广铁路30余km，北距省会郑州、南距重镇武汉均200多公里。境内公路如织、交通便利。</w:t>
      </w:r>
      <w:bookmarkEnd w:id="29"/>
      <w:bookmarkEnd w:id="30"/>
      <w:bookmarkEnd w:id="31"/>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ascii="Times New Roman" w:hAnsi="Times New Roman"/>
          <w:sz w:val="24"/>
          <w:highlight w:val="none"/>
        </w:rPr>
        <w:t>本项目厂址位于正阳县</w:t>
      </w:r>
      <w:r>
        <w:rPr>
          <w:rFonts w:hint="eastAsia" w:ascii="Times New Roman" w:hAnsi="Times New Roman"/>
          <w:sz w:val="24"/>
          <w:highlight w:val="none"/>
          <w:lang w:eastAsia="zh-CN"/>
        </w:rPr>
        <w:t>铜钟镇</w:t>
      </w:r>
      <w:r>
        <w:rPr>
          <w:rFonts w:hint="eastAsia"/>
          <w:sz w:val="24"/>
          <w:highlight w:val="none"/>
          <w:lang w:eastAsia="zh-CN"/>
        </w:rPr>
        <w:t>崔塘村</w:t>
      </w:r>
      <w:r>
        <w:rPr>
          <w:rFonts w:ascii="Times New Roman" w:hAnsi="Times New Roman"/>
          <w:sz w:val="24"/>
          <w:highlight w:val="none"/>
        </w:rPr>
        <w:t>，</w:t>
      </w:r>
      <w:r>
        <w:rPr>
          <w:rFonts w:cs="Times New Roman"/>
          <w:highlight w:val="none"/>
        </w:rPr>
        <w:t>具体地理位置详见附图</w:t>
      </w:r>
      <w:r>
        <w:rPr>
          <w:rFonts w:hint="eastAsia" w:cs="Times New Roman"/>
          <w:highlight w:val="none"/>
        </w:rPr>
        <w:t>一</w:t>
      </w:r>
      <w:r>
        <w:rPr>
          <w:rFonts w:cs="Times New Roman"/>
          <w:highlight w:val="none"/>
        </w:rPr>
        <w:t>。</w:t>
      </w:r>
    </w:p>
    <w:p>
      <w:pPr>
        <w:pStyle w:val="7"/>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2</w:t>
      </w:r>
      <w:r>
        <w:rPr>
          <w:highlight w:val="none"/>
        </w:rPr>
        <w:t>地形、地貌</w:t>
      </w:r>
      <w:r>
        <w:rPr>
          <w:rFonts w:hint="eastAsia"/>
          <w:highlight w:val="none"/>
        </w:rPr>
        <w:t>、地质</w:t>
      </w:r>
    </w:p>
    <w:p>
      <w:pPr>
        <w:ind w:firstLine="480"/>
        <w:rPr>
          <w:rFonts w:cs="Times New Roman"/>
          <w:highlight w:val="none"/>
        </w:rPr>
      </w:pPr>
      <w:r>
        <w:rPr>
          <w:rFonts w:ascii="Times New Roman" w:hAnsi="Times New Roman"/>
          <w:spacing w:val="8"/>
          <w:sz w:val="24"/>
          <w:szCs w:val="28"/>
          <w:highlight w:val="none"/>
        </w:rPr>
        <w:t>正阳属于河淮地台的坳陷部分，系由淮河北岸支流经多年泛滥和冲积而形成。地势由西北向东南倾斜，宽阔平坦，为一低地平原。局部地下水埋藏甚浅，地表径流排泄不畅，出现积水，造成部分起伏状态。正阳县地表为黄淮冲积平原的一部分，境内既无高山，亦无丘陵。地面标高在65至85m之间，西北部宋店最高为103m，东部岳城乡李洼最低为36.1m。比降1：200至1:1500，河流大都随地势之倾斜方向，自西北流向东南。县内平原1324.5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，占总面积的70％；洼地382.5km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，占总面积的20％；岗地196km</w:t>
      </w:r>
      <w:r>
        <w:rPr>
          <w:rFonts w:ascii="Times New Roman" w:hAnsi="Times New Roman"/>
          <w:spacing w:val="8"/>
          <w:sz w:val="24"/>
          <w:szCs w:val="28"/>
          <w:highlight w:val="none"/>
          <w:vertAlign w:val="superscript"/>
        </w:rPr>
        <w:t>2</w:t>
      </w:r>
      <w:r>
        <w:rPr>
          <w:rFonts w:ascii="Times New Roman" w:hAnsi="Times New Roman"/>
          <w:spacing w:val="8"/>
          <w:sz w:val="24"/>
          <w:szCs w:val="28"/>
          <w:highlight w:val="none"/>
        </w:rPr>
        <w:t>，占总面积的10</w:t>
      </w:r>
      <w:r>
        <w:rPr>
          <w:rFonts w:hint="eastAsia" w:ascii="Times New Roman" w:hAnsi="Times New Roman"/>
          <w:spacing w:val="8"/>
          <w:sz w:val="24"/>
          <w:szCs w:val="28"/>
          <w:highlight w:val="none"/>
          <w:lang w:val="en-US" w:eastAsia="zh-CN"/>
        </w:rPr>
        <w:t>%</w:t>
      </w:r>
      <w:r>
        <w:rPr>
          <w:rFonts w:hint="eastAsia" w:cs="Times New Roman"/>
          <w:highlight w:val="none"/>
        </w:rPr>
        <w:t>。</w:t>
      </w:r>
    </w:p>
    <w:p>
      <w:pPr>
        <w:pStyle w:val="7"/>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3气候</w:t>
      </w:r>
      <w:r>
        <w:rPr>
          <w:highlight w:val="none"/>
        </w:rPr>
        <w:t>气象</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该区域属北亚热带向暖温带的过渡区，属大陆性季风型亚湿润气候，四季分明，夏热冬冷，春秋温和。雨水充沛，阳光充足。据正阳县气象台资料统计，该县气象参数如下：</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年平均气温14.9℃；</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年平均气压1006.9hPa；</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年平均相对湿度73</w:t>
      </w:r>
      <w:r>
        <w:rPr>
          <w:rFonts w:hint="eastAsia" w:ascii="Times New Roman" w:hAnsi="Times New Roman"/>
          <w:spacing w:val="8"/>
          <w:sz w:val="24"/>
          <w:szCs w:val="28"/>
          <w:highlight w:val="none"/>
          <w:lang w:val="en-US" w:eastAsia="zh-CN"/>
        </w:rPr>
        <w:t>%</w:t>
      </w:r>
      <w:r>
        <w:rPr>
          <w:rFonts w:ascii="Times New Roman" w:hAnsi="Times New Roman"/>
          <w:spacing w:val="8"/>
          <w:sz w:val="24"/>
          <w:szCs w:val="28"/>
          <w:highlight w:val="none"/>
        </w:rPr>
        <w:t>；</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年日照时数2186.5小时；</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平均年降水量933.4mm；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平均年蒸发量1572.8mm；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spacing w:val="8"/>
          <w:sz w:val="24"/>
          <w:szCs w:val="28"/>
          <w:highlight w:val="none"/>
        </w:rPr>
      </w:pPr>
      <w:r>
        <w:rPr>
          <w:rFonts w:ascii="Times New Roman" w:hAnsi="Times New Roman"/>
          <w:spacing w:val="8"/>
          <w:sz w:val="24"/>
          <w:szCs w:val="28"/>
          <w:highlight w:val="none"/>
        </w:rPr>
        <w:t>多年平均风速2.5m/s。</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ascii="Times New Roman" w:hAnsi="Times New Roman"/>
          <w:spacing w:val="8"/>
          <w:sz w:val="24"/>
          <w:szCs w:val="28"/>
          <w:highlight w:val="none"/>
        </w:rPr>
        <w:t>正阳县全年以北风为主，西南风次之。夏季盛行西南偏南风，冬季盛行偏北风；一年中春季风速最高，秋季风速较低，全年平均风速2.5m/s；静风频率也较高，全年约12%</w:t>
      </w:r>
      <w:r>
        <w:rPr>
          <w:rFonts w:ascii="Times New Roman" w:hAnsi="Times New Roman"/>
          <w:sz w:val="24"/>
          <w:highlight w:val="none"/>
        </w:rPr>
        <w:t>。正阳县2017年风向频率玫瑰图见图</w:t>
      </w:r>
      <w:r>
        <w:rPr>
          <w:rFonts w:hint="eastAsia" w:ascii="Times New Roman" w:hAnsi="Times New Roman"/>
          <w:sz w:val="24"/>
          <w:highlight w:val="none"/>
          <w:lang w:val="en-US" w:eastAsia="zh-CN"/>
        </w:rPr>
        <w:t>4.1-1</w:t>
      </w:r>
      <w:r>
        <w:rPr>
          <w:rFonts w:cs="Times New Roman"/>
          <w:highlight w:val="none"/>
        </w:rPr>
        <w:t>。</w:t>
      </w:r>
    </w:p>
    <w:p>
      <w:pPr>
        <w:pStyle w:val="10"/>
        <w:rPr>
          <w:rFonts w:ascii="Times New Roman" w:hAnsi="Times New Roman"/>
          <w:szCs w:val="21"/>
          <w:highlight w:val="none"/>
        </w:rPr>
      </w:pPr>
      <w:r>
        <w:rPr>
          <w:rFonts w:ascii="Times New Roman" w:hAnsi="Times New Roman"/>
          <w:szCs w:val="21"/>
          <w:highlight w:val="none"/>
        </w:rPr>
        <w:drawing>
          <wp:inline distT="0" distB="0" distL="114300" distR="114300">
            <wp:extent cx="4318000" cy="5790565"/>
            <wp:effectExtent l="0" t="0" r="6350" b="635"/>
            <wp:docPr id="377" name="图片 5" descr="1584090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5" descr="1584090656(1)"/>
                    <pic:cNvPicPr>
                      <a:picLocks noChangeAspect="1"/>
                    </pic:cNvPicPr>
                  </pic:nvPicPr>
                  <pic:blipFill>
                    <a:blip r:embed="rId31"/>
                    <a:stretch>
                      <a:fillRect/>
                    </a:stretch>
                  </pic:blipFill>
                  <pic:spPr>
                    <a:xfrm>
                      <a:off x="0" y="0"/>
                      <a:ext cx="4318000" cy="5790565"/>
                    </a:xfrm>
                    <a:prstGeom prst="rect">
                      <a:avLst/>
                    </a:prstGeom>
                    <a:noFill/>
                    <a:ln>
                      <a:noFill/>
                    </a:ln>
                  </pic:spPr>
                </pic:pic>
              </a:graphicData>
            </a:graphic>
          </wp:inline>
        </w:drawing>
      </w:r>
    </w:p>
    <w:p>
      <w:pPr>
        <w:pStyle w:val="1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图3.1-1 正阳县多年风向频率玫瑰图</w:t>
      </w:r>
    </w:p>
    <w:p>
      <w:pPr>
        <w:pStyle w:val="7"/>
        <w:spacing w:before="66"/>
        <w:ind w:firstLine="0" w:firstLineChars="0"/>
        <w:rPr>
          <w:highlight w:val="none"/>
        </w:rPr>
      </w:pPr>
      <w:r>
        <w:rPr>
          <w:rFonts w:hint="eastAsia"/>
          <w:highlight w:val="none"/>
          <w:lang w:val="en-US" w:eastAsia="zh-CN"/>
        </w:rPr>
        <w:t>3</w:t>
      </w:r>
      <w:r>
        <w:rPr>
          <w:highlight w:val="none"/>
        </w:rPr>
        <w:t>.1.</w:t>
      </w:r>
      <w:r>
        <w:rPr>
          <w:rFonts w:hint="eastAsia"/>
          <w:highlight w:val="none"/>
        </w:rPr>
        <w:t>4水文</w:t>
      </w:r>
    </w:p>
    <w:p>
      <w:pPr>
        <w:keepNext w:val="0"/>
        <w:keepLines w:val="0"/>
        <w:pageBreakBefore w:val="0"/>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1、地表水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正阳县属淮河流域，境内有淮、汝河两大水系。淮河水系流经正阳县南部和中部的12个乡镇，境内全长54km，流域面积1217km</w:t>
      </w:r>
      <w:r>
        <w:rPr>
          <w:rFonts w:ascii="Times New Roman" w:hAnsi="Times New Roman" w:cs="Times New Roman"/>
          <w:sz w:val="24"/>
          <w:szCs w:val="22"/>
          <w:highlight w:val="none"/>
          <w:vertAlign w:val="superscript"/>
        </w:rPr>
        <w:t>2</w:t>
      </w:r>
      <w:r>
        <w:rPr>
          <w:rFonts w:ascii="Times New Roman" w:hAnsi="Times New Roman" w:cs="Times New Roman"/>
          <w:sz w:val="24"/>
          <w:szCs w:val="22"/>
          <w:highlight w:val="none"/>
        </w:rPr>
        <w:t>。其主要支流有闾河、清水河、田白河、陡沟、祝大堰、三门堰、涂店堰等；汝河水系流经县城东、北的7个乡镇，境内长度75km，流域面积686km</w:t>
      </w:r>
      <w:r>
        <w:rPr>
          <w:rFonts w:ascii="Times New Roman" w:hAnsi="Times New Roman" w:cs="Times New Roman"/>
          <w:sz w:val="24"/>
          <w:szCs w:val="22"/>
          <w:highlight w:val="none"/>
          <w:vertAlign w:val="superscript"/>
        </w:rPr>
        <w:t>2</w:t>
      </w:r>
      <w:r>
        <w:rPr>
          <w:rFonts w:ascii="Times New Roman" w:hAnsi="Times New Roman" w:cs="Times New Roman"/>
          <w:sz w:val="24"/>
          <w:szCs w:val="22"/>
          <w:highlight w:val="none"/>
        </w:rPr>
        <w:t>。其主要支流有慎水河、</w:t>
      </w:r>
      <w:r>
        <w:rPr>
          <w:rFonts w:hint="eastAsia" w:cs="Times New Roman"/>
          <w:sz w:val="24"/>
          <w:szCs w:val="22"/>
          <w:highlight w:val="none"/>
          <w:lang w:eastAsia="zh-CN"/>
        </w:rPr>
        <w:t>清水河</w:t>
      </w:r>
      <w:r>
        <w:rPr>
          <w:rFonts w:ascii="Times New Roman" w:hAnsi="Times New Roman" w:cs="Times New Roman"/>
          <w:sz w:val="24"/>
          <w:szCs w:val="22"/>
          <w:highlight w:val="none"/>
        </w:rPr>
        <w:t>、文殊河、东公正沟、西公正沟、付港等。上述河流中，闾河和清水河为淮河一级支流，慎水河为汝河二级支流，均为季节性河流，主要功能为排涝泄洪。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本项目距离最近的地表水体为</w:t>
      </w:r>
      <w:r>
        <w:rPr>
          <w:rFonts w:ascii="Times New Roman" w:hAnsi="Times New Roman"/>
          <w:color w:val="000000"/>
          <w:sz w:val="24"/>
          <w:szCs w:val="24"/>
          <w:highlight w:val="none"/>
        </w:rPr>
        <w:t>项目</w:t>
      </w:r>
      <w:r>
        <w:rPr>
          <w:rFonts w:hint="eastAsia" w:ascii="Times New Roman" w:hAnsi="Times New Roman"/>
          <w:color w:val="000000"/>
          <w:sz w:val="24"/>
          <w:szCs w:val="24"/>
          <w:highlight w:val="none"/>
          <w:lang w:eastAsia="zh-CN"/>
        </w:rPr>
        <w:t>北</w:t>
      </w:r>
      <w:r>
        <w:rPr>
          <w:rFonts w:ascii="Times New Roman" w:hAnsi="Times New Roman"/>
          <w:color w:val="000000"/>
          <w:sz w:val="24"/>
          <w:szCs w:val="24"/>
          <w:highlight w:val="none"/>
        </w:rPr>
        <w:t>侧</w:t>
      </w:r>
      <w:r>
        <w:rPr>
          <w:rFonts w:hint="eastAsia" w:ascii="Times New Roman" w:hAnsi="Times New Roman"/>
          <w:color w:val="000000"/>
          <w:sz w:val="24"/>
          <w:szCs w:val="24"/>
          <w:highlight w:val="none"/>
          <w:lang w:val="en-US" w:eastAsia="zh-CN"/>
        </w:rPr>
        <w:t>2850</w:t>
      </w:r>
      <w:r>
        <w:rPr>
          <w:rFonts w:ascii="Times New Roman" w:hAnsi="Times New Roman"/>
          <w:color w:val="000000"/>
          <w:sz w:val="24"/>
          <w:szCs w:val="24"/>
          <w:highlight w:val="none"/>
        </w:rPr>
        <w:t>m</w:t>
      </w:r>
      <w:r>
        <w:rPr>
          <w:rFonts w:hint="eastAsia" w:ascii="Times New Roman" w:hAnsi="Times New Roman"/>
          <w:color w:val="000000"/>
          <w:sz w:val="24"/>
          <w:szCs w:val="24"/>
          <w:highlight w:val="none"/>
          <w:lang w:eastAsia="zh-CN"/>
        </w:rPr>
        <w:t>处</w:t>
      </w:r>
      <w:r>
        <w:rPr>
          <w:rFonts w:ascii="Times New Roman" w:hAnsi="Times New Roman"/>
          <w:color w:val="000000"/>
          <w:sz w:val="24"/>
          <w:szCs w:val="24"/>
          <w:highlight w:val="none"/>
        </w:rPr>
        <w:t>的</w:t>
      </w:r>
      <w:r>
        <w:rPr>
          <w:rFonts w:hint="eastAsia" w:ascii="Times New Roman" w:hAnsi="Times New Roman"/>
          <w:color w:val="000000"/>
          <w:sz w:val="24"/>
          <w:szCs w:val="24"/>
          <w:highlight w:val="none"/>
          <w:lang w:eastAsia="zh-CN"/>
        </w:rPr>
        <w:t>清水河</w:t>
      </w:r>
      <w:r>
        <w:rPr>
          <w:rFonts w:ascii="Times New Roman" w:hAnsi="Times New Roman" w:cs="Times New Roman"/>
          <w:sz w:val="24"/>
          <w:szCs w:val="22"/>
          <w:highlight w:val="none"/>
        </w:rPr>
        <w:t>， 项目区域水体分布状况参看附图</w:t>
      </w:r>
      <w:r>
        <w:rPr>
          <w:rFonts w:hint="eastAsia" w:cs="Times New Roman"/>
          <w:sz w:val="24"/>
          <w:szCs w:val="22"/>
          <w:highlight w:val="none"/>
          <w:lang w:eastAsia="zh-CN"/>
        </w:rPr>
        <w:t>五</w:t>
      </w:r>
      <w:r>
        <w:rPr>
          <w:rFonts w:ascii="Times New Roman" w:hAnsi="Times New Roman" w:cs="Times New Roman"/>
          <w:sz w:val="24"/>
          <w:szCs w:val="22"/>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（2）地下水</w:t>
      </w:r>
    </w:p>
    <w:p>
      <w:pPr>
        <w:pStyle w:val="13"/>
        <w:spacing w:line="360" w:lineRule="auto"/>
        <w:ind w:firstLine="480" w:firstLineChars="200"/>
        <w:rPr>
          <w:color w:val="000000"/>
          <w:sz w:val="24"/>
          <w:szCs w:val="22"/>
          <w:highlight w:val="none"/>
        </w:rPr>
      </w:pPr>
      <w:r>
        <w:rPr>
          <w:color w:val="000000"/>
          <w:sz w:val="24"/>
          <w:szCs w:val="22"/>
          <w:highlight w:val="none"/>
        </w:rPr>
        <w:t>正阳县地下水分为三个水文地质分区：富水亚砂土区、贫水亚粘土区、弱富水亚粘土区。根据河南省驻马店地质工程堪察院提供的勘查资料，正阳县城区含水层分为浅层含水层（赋存潜水）和深层含水层（赋存承压水）；浅层含水层单井涌水量小于500m</w:t>
      </w:r>
      <w:r>
        <w:rPr>
          <w:color w:val="000000"/>
          <w:sz w:val="24"/>
          <w:szCs w:val="22"/>
          <w:highlight w:val="none"/>
          <w:vertAlign w:val="superscript"/>
        </w:rPr>
        <w:t>3</w:t>
      </w:r>
      <w:r>
        <w:rPr>
          <w:color w:val="000000"/>
          <w:sz w:val="24"/>
          <w:szCs w:val="22"/>
          <w:highlight w:val="none"/>
        </w:rPr>
        <w:t>/d，属弱富水区；深层含水层厚度50～75m，单井涌水量100～3000m</w:t>
      </w:r>
      <w:r>
        <w:rPr>
          <w:color w:val="000000"/>
          <w:sz w:val="24"/>
          <w:szCs w:val="22"/>
          <w:highlight w:val="none"/>
          <w:vertAlign w:val="superscript"/>
        </w:rPr>
        <w:t>3</w:t>
      </w:r>
      <w:r>
        <w:rPr>
          <w:color w:val="000000"/>
          <w:sz w:val="24"/>
          <w:szCs w:val="22"/>
          <w:highlight w:val="none"/>
        </w:rPr>
        <w:t>/d</w:t>
      </w:r>
      <w:r>
        <w:rPr>
          <w:rFonts w:hint="eastAsia"/>
          <w:color w:val="000000"/>
          <w:sz w:val="24"/>
          <w:szCs w:val="22"/>
          <w:highlight w:val="none"/>
          <w:lang w:eastAsia="zh-CN"/>
        </w:rPr>
        <w:t>，</w:t>
      </w:r>
      <w:r>
        <w:rPr>
          <w:color w:val="000000"/>
          <w:sz w:val="24"/>
          <w:szCs w:val="22"/>
          <w:highlight w:val="none"/>
        </w:rPr>
        <w:t>属富水区。正阳县城区地下水储量丰富，水质良好，县城附近单井出水量在60－80m</w:t>
      </w:r>
      <w:r>
        <w:rPr>
          <w:color w:val="000000"/>
          <w:sz w:val="24"/>
          <w:szCs w:val="22"/>
          <w:highlight w:val="none"/>
          <w:vertAlign w:val="superscript"/>
        </w:rPr>
        <w:t>3</w:t>
      </w:r>
      <w:r>
        <w:rPr>
          <w:color w:val="000000"/>
          <w:sz w:val="24"/>
          <w:szCs w:val="22"/>
          <w:highlight w:val="none"/>
        </w:rPr>
        <w:t>/h，大气降水和河水是本区域地下水的主要来源。区域地下水的流向大致自西向东。</w:t>
      </w:r>
    </w:p>
    <w:p>
      <w:pPr>
        <w:pStyle w:val="7"/>
        <w:spacing w:before="66"/>
        <w:ind w:firstLine="0" w:firstLineChars="0"/>
        <w:rPr>
          <w:highlight w:val="none"/>
        </w:rPr>
      </w:pPr>
      <w:bookmarkStart w:id="35" w:name="_Toc497134111"/>
      <w:r>
        <w:rPr>
          <w:rFonts w:hint="eastAsia"/>
          <w:highlight w:val="none"/>
          <w:lang w:val="en-US" w:eastAsia="zh-CN"/>
        </w:rPr>
        <w:t>3</w:t>
      </w:r>
      <w:r>
        <w:rPr>
          <w:rFonts w:hint="eastAsia"/>
          <w:highlight w:val="none"/>
        </w:rPr>
        <w:t>.1.</w:t>
      </w:r>
      <w:r>
        <w:rPr>
          <w:rFonts w:hint="eastAsia"/>
          <w:highlight w:val="none"/>
          <w:lang w:val="en-US" w:eastAsia="zh-CN"/>
        </w:rPr>
        <w:t>5</w:t>
      </w:r>
      <w:r>
        <w:rPr>
          <w:rFonts w:hint="eastAsia"/>
          <w:highlight w:val="none"/>
        </w:rPr>
        <w:t>土壤</w:t>
      </w:r>
      <w:bookmarkEnd w:id="35"/>
      <w:r>
        <w:rPr>
          <w:rFonts w:hint="eastAsia"/>
          <w:highlight w:val="none"/>
        </w:rPr>
        <w:t>与植被</w:t>
      </w:r>
    </w:p>
    <w:p>
      <w:pPr>
        <w:spacing w:line="500" w:lineRule="exact"/>
        <w:ind w:firstLine="480" w:firstLineChars="200"/>
        <w:rPr>
          <w:rFonts w:ascii="Times New Roman" w:hAnsi="Times New Roman"/>
          <w:color w:val="000000"/>
          <w:sz w:val="24"/>
          <w:highlight w:val="none"/>
        </w:rPr>
      </w:pPr>
      <w:r>
        <w:rPr>
          <w:rFonts w:ascii="Times New Roman" w:hAnsi="Times New Roman"/>
          <w:color w:val="000000"/>
          <w:sz w:val="24"/>
          <w:highlight w:val="none"/>
        </w:rPr>
        <w:t>评价区土壤主要是由黄河历代泛滥沉积形成，全区土壤类型为潮土、风沙土两个土类。其中潮土类面积最大，占全区土壤总面积的98.22%。</w:t>
      </w:r>
    </w:p>
    <w:p>
      <w:pPr>
        <w:ind w:firstLine="480"/>
        <w:rPr>
          <w:rFonts w:hint="eastAsia" w:cs="Times New Roman"/>
          <w:highlight w:val="none"/>
        </w:rPr>
      </w:pPr>
      <w:r>
        <w:rPr>
          <w:rFonts w:ascii="Times New Roman" w:hAnsi="Times New Roman"/>
          <w:color w:val="000000"/>
          <w:sz w:val="24"/>
          <w:highlight w:val="none"/>
        </w:rPr>
        <w:t>评价区内植被主要以人工植被为主，并有落叶阔叶林树种和绿地等。区域内以家养动物为优势种群，生物多样性组成较为简单</w:t>
      </w:r>
      <w:r>
        <w:rPr>
          <w:rFonts w:hint="eastAsia" w:cs="Times New Roman"/>
          <w:highlight w:val="none"/>
        </w:rPr>
        <w:t>。</w:t>
      </w:r>
    </w:p>
    <w:p>
      <w:pPr>
        <w:pStyle w:val="7"/>
        <w:spacing w:before="66"/>
        <w:ind w:firstLine="0" w:firstLineChars="0"/>
        <w:rPr>
          <w:rFonts w:hint="eastAsia"/>
          <w:highlight w:val="none"/>
          <w:lang w:eastAsia="zh-CN"/>
        </w:rPr>
      </w:pPr>
      <w:r>
        <w:rPr>
          <w:rFonts w:hint="eastAsia"/>
          <w:highlight w:val="none"/>
          <w:lang w:val="en-US" w:eastAsia="zh-CN"/>
        </w:rPr>
        <w:t>3</w:t>
      </w:r>
      <w:r>
        <w:rPr>
          <w:rFonts w:hint="eastAsia"/>
          <w:highlight w:val="none"/>
        </w:rPr>
        <w:t>.1.</w:t>
      </w:r>
      <w:r>
        <w:rPr>
          <w:rFonts w:hint="eastAsia"/>
          <w:highlight w:val="none"/>
          <w:lang w:val="en-US" w:eastAsia="zh-CN"/>
        </w:rPr>
        <w:t>6</w:t>
      </w:r>
      <w:r>
        <w:rPr>
          <w:rFonts w:hint="eastAsia"/>
          <w:highlight w:val="none"/>
          <w:lang w:eastAsia="zh-CN"/>
        </w:rPr>
        <w:t>生态环境</w:t>
      </w:r>
    </w:p>
    <w:p>
      <w:pPr>
        <w:spacing w:line="520" w:lineRule="exact"/>
        <w:ind w:right="34" w:firstLine="512" w:firstLineChars="200"/>
        <w:rPr>
          <w:rFonts w:ascii="Times New Roman" w:hAnsi="Times New Roman"/>
          <w:bCs/>
          <w:spacing w:val="8"/>
          <w:sz w:val="24"/>
          <w:szCs w:val="28"/>
          <w:highlight w:val="none"/>
        </w:rPr>
      </w:pPr>
      <w:r>
        <w:rPr>
          <w:rFonts w:ascii="Times New Roman" w:hAnsi="Times New Roman"/>
          <w:bCs/>
          <w:spacing w:val="8"/>
          <w:sz w:val="24"/>
          <w:szCs w:val="28"/>
          <w:highlight w:val="none"/>
        </w:rPr>
        <w:t>项目所在区域为平原农业地区，植被以农作物为主，兼有少量的道路林。野生动物种类主要有麻雀、喜鹊、斑鸠、鹌鹑、黄鼠狼、野兔、稚鸡、鹰、蛇、鼠类、青蛙、刺猬等，生物多样性程度相对较低。产业集聚区尚未开发区区域基本为农田覆盖。项目区域植被以农作物为主，主要种植有小麦、玉米、红薯、芝麻、大豆等作物。</w:t>
      </w:r>
    </w:p>
    <w:p>
      <w:pPr>
        <w:rPr>
          <w:rFonts w:hint="eastAsia" w:eastAsia="宋体"/>
          <w:highlight w:val="none"/>
          <w:lang w:eastAsia="zh-CN"/>
        </w:rPr>
      </w:pPr>
      <w:r>
        <w:rPr>
          <w:rFonts w:ascii="Times New Roman" w:hAnsi="Times New Roman"/>
          <w:bCs/>
          <w:spacing w:val="8"/>
          <w:sz w:val="24"/>
          <w:szCs w:val="28"/>
          <w:highlight w:val="none"/>
        </w:rPr>
        <w:t>区域内没有珍稀、濒危动物物种，动物以家禽、家畜为主；家禽以鸡、鸭、鹅为主，家畜以猪、牛、羊为主</w:t>
      </w:r>
      <w:r>
        <w:rPr>
          <w:rFonts w:hint="eastAsia" w:ascii="Times New Roman" w:hAnsi="Times New Roman"/>
          <w:bCs/>
          <w:spacing w:val="8"/>
          <w:sz w:val="24"/>
          <w:szCs w:val="28"/>
          <w:highlight w:val="none"/>
          <w:lang w:eastAsia="zh-CN"/>
        </w:rPr>
        <w:t>。</w:t>
      </w:r>
    </w:p>
    <w:p>
      <w:pPr>
        <w:pStyle w:val="10"/>
        <w:rPr>
          <w:highlight w:val="none"/>
        </w:rPr>
      </w:pPr>
    </w:p>
    <w:p>
      <w:pPr>
        <w:pStyle w:val="6"/>
        <w:spacing w:before="132"/>
        <w:rPr>
          <w:highlight w:val="none"/>
        </w:rPr>
      </w:pPr>
      <w:bookmarkStart w:id="36" w:name="_Toc12111"/>
      <w:r>
        <w:rPr>
          <w:rFonts w:hint="eastAsia"/>
          <w:highlight w:val="none"/>
          <w:lang w:val="en-US" w:eastAsia="zh-CN"/>
        </w:rPr>
        <w:t>3</w:t>
      </w:r>
      <w:r>
        <w:rPr>
          <w:highlight w:val="none"/>
        </w:rPr>
        <w:t>.2</w:t>
      </w:r>
      <w:r>
        <w:rPr>
          <w:rFonts w:hint="eastAsia"/>
          <w:highlight w:val="none"/>
        </w:rPr>
        <w:t>社会环境概况</w:t>
      </w:r>
      <w:bookmarkEnd w:id="36"/>
    </w:p>
    <w:p>
      <w:pPr>
        <w:pStyle w:val="7"/>
        <w:spacing w:before="66"/>
        <w:ind w:firstLine="0" w:firstLineChars="0"/>
        <w:rPr>
          <w:rFonts w:hint="eastAsia" w:eastAsia="宋体" w:cs="Times New Roman"/>
          <w:highlight w:val="none"/>
          <w:lang w:eastAsia="zh-CN"/>
        </w:rPr>
      </w:pPr>
      <w:r>
        <w:rPr>
          <w:rFonts w:hint="eastAsia" w:cs="Times New Roman"/>
          <w:highlight w:val="none"/>
          <w:lang w:val="en-US" w:eastAsia="zh-CN"/>
        </w:rPr>
        <w:t>3</w:t>
      </w:r>
      <w:r>
        <w:rPr>
          <w:rFonts w:cs="Times New Roman"/>
          <w:highlight w:val="none"/>
        </w:rPr>
        <w:t>.2.1</w:t>
      </w:r>
      <w:r>
        <w:rPr>
          <w:rFonts w:hint="eastAsia" w:cs="Times New Roman"/>
          <w:highlight w:val="none"/>
          <w:lang w:eastAsia="zh-CN"/>
        </w:rPr>
        <w:t>正阳县</w:t>
      </w:r>
    </w:p>
    <w:p>
      <w:pPr>
        <w:ind w:firstLine="480"/>
        <w:rPr>
          <w:rFonts w:hint="eastAsia"/>
          <w:highlight w:val="none"/>
        </w:rPr>
      </w:pPr>
      <w:r>
        <w:rPr>
          <w:rFonts w:hint="eastAsia"/>
          <w:highlight w:val="none"/>
        </w:rPr>
        <w:t>改革开放以来，正阳这块富饶的土地更加充满生机和活力，形成了较好的发展基础和优势：</w:t>
      </w:r>
    </w:p>
    <w:p>
      <w:pPr>
        <w:ind w:firstLine="480"/>
        <w:rPr>
          <w:rFonts w:hint="eastAsia"/>
          <w:highlight w:val="none"/>
        </w:rPr>
      </w:pPr>
      <w:r>
        <w:rPr>
          <w:rFonts w:hint="eastAsia"/>
          <w:highlight w:val="none"/>
        </w:rPr>
        <w:t>健康安全的资源基地优势。围绕加快传统农业、畜牧业向现代农业和畜牧业转型，着力打造优质、绿色、生态、环保、健康、安全的农林畜产品生产基地，形成了在全国农业颇具影响的“三张百强县名片”。180万亩的花生种植和50多万吨的年产量，多年位居全国油料生产百强县之首，是全国油料生产冠军县；每年向社会提供6.5亿斤的商品粮，粮食总产量100多万吨，多年保持全国粮食百强县、全国粮食生产先进县地位；全县万头猪场达36个，生猪年存出栏量400万头，是全国肉类百强县、全国第一生猪调出大县，连续16年成为河南省优良生猪生产第一大县，河南正阳种猪场是全省唯一一家国家级重点种猪场，花生、生猪良种率分别达到90%和98%以上。良好的农业基础，丰富的农产品资源，发展食品工业和农业产业化具有得天独厚的优势和潜力。</w:t>
      </w:r>
    </w:p>
    <w:p>
      <w:pPr>
        <w:ind w:firstLine="480"/>
        <w:rPr>
          <w:rFonts w:hint="eastAsia"/>
          <w:highlight w:val="none"/>
        </w:rPr>
      </w:pPr>
      <w:r>
        <w:rPr>
          <w:rFonts w:hint="eastAsia"/>
          <w:highlight w:val="none"/>
        </w:rPr>
        <w:t>正阳正处于工业化、城镇化的起步阶段，丰富的农产品资源，繁荣的城乡市场，完善的基础设施，全新的大开放格局，为外来客商投资兴业提供了广阔的合作平台与空间。我们以“三城联创”为抓手，高标准开展县城总规、产业集聚区规划和商务中心区规划修编，县城规划面积50平方公里，中心商务区、行政新区高起点建设。以产业集聚区为载体，推动产业向规模化、集聚化发展，实现产业结构的战略性转型和发展质态的战略性提升。产业集聚区框架扩大到16平方公里，路、水、电、气、通讯等基础设施完备。主导产业定位为农副产品加工和机械制造产业，相继引进了台湾巴布豆、澳门创新产业园、温州特色食品产业园、维维粮油、“花花牛乳业”等一批龙头企业。正阳物流业和电子商务蓬勃发展，中国佰德集团投资10亿元的城乡信息产业园、中邮公司总投资3亿元的豫南物流储备中心项目正在建设。经过多年的培育发展，正阳已经到了大开发、大建设、大发展的黄金期，处处蕴含着巨大商机。</w:t>
      </w:r>
    </w:p>
    <w:p>
      <w:pPr>
        <w:ind w:firstLine="480"/>
        <w:rPr>
          <w:rFonts w:hint="eastAsia"/>
          <w:highlight w:val="none"/>
        </w:rPr>
      </w:pPr>
      <w:r>
        <w:rPr>
          <w:rFonts w:hint="eastAsia"/>
          <w:highlight w:val="none"/>
        </w:rPr>
        <w:t>正阳有良好的区位优势。正阳东距大广高速、106国道和京九铁路40公里，西距京港澳高速25公里，距离107国道、京广铁路和京深高铁37公里，南北距沪陕高速、新阳高速均为30公里左右，形成了高速公路环绕四周的格局，县城20分钟可上高速。正阳还是全省干线公路密度最高的县份，四条省道纵横贯穿县境。“十二五”时期规划修建的息县至信阳机场高速公路项目，贯穿正阳34公里，连接大广、京港澳、107国道，届时正阳将成为交通最为便捷的县份之一，5分钟可上高速，20分钟可通达机场。正阳向南两小时车程可达武汉天河机场，向北距全国首个国家战略航空港经济发展先行区—郑州航空港，也仅两小时车程。正阳周边与7个县区接壤，以正阳为中心周边半径150公里以内的市县总人口过半亿，1.5小时经济圈覆盖人口1.3亿，以河南省为中心加上周边省的人口达到6亿。市场消费空间巨大，比较优势非常明显。另外，正阳还是全国小型农田水利建设重点县和全国农田水利建设先进县，全省14个国家级农业综合开发高标准农田建设示范县，河南省“人地增减挂钩”试点县、土地综合整治试点县。</w:t>
      </w:r>
    </w:p>
    <w:p>
      <w:pPr>
        <w:ind w:firstLine="480"/>
        <w:rPr>
          <w:rFonts w:hint="eastAsia"/>
          <w:highlight w:val="none"/>
        </w:rPr>
      </w:pPr>
      <w:r>
        <w:rPr>
          <w:rFonts w:hint="eastAsia"/>
          <w:highlight w:val="none"/>
        </w:rPr>
        <w:t>正阳有优美的生态环境。正阳处于秦岭、淮河这个南北气候的过渡地区，淮河东西贯穿县境45公里，气候温润、雨量充沛，冬季干爽但不干燥，夏季湿润但不潮湿。空气质量优良率常年都在290天以上；境内水质优良，风景宜人，适宜的气候，丰沛的阳光，良好的生态，非常适合人居，适宜休闲度假，放松心灵。近年来，我们大力推进生态立县和可持续发展战略，积极发展循环经济，建设了两个污水处理厂和垃圾处理厂，全县造林面积50多万亩，林网覆盖率达到90%以上，是河南省平原绿化高级达标县、生态示范区和林业生态县。整个县境处处蓝天碧水无污染，人与自然形成了和谐有机的生态链条。同时积极发展标准农业、现代农业和精细农业，打造生态环保型农业品牌，花生、生猪、小麦、水稻等大宗农副产品都有自己的地方标准规范，2003年成为河南省首家农业标准化生产示范县，相继建立了一批无公害农副产品生产基地，一大批农副产品获准使用无公害产品标志许可，并于2008年被确定为国家级标准化生猪养殖示范区，注册农产品商标60多件，“正阳花生”、“正阳三黄鸡”相继列入国家地理标志产品保护。</w:t>
      </w:r>
    </w:p>
    <w:p>
      <w:pPr>
        <w:ind w:firstLine="480"/>
        <w:rPr>
          <w:rFonts w:hint="eastAsia"/>
          <w:highlight w:val="none"/>
        </w:rPr>
      </w:pPr>
      <w:r>
        <w:rPr>
          <w:rFonts w:hint="eastAsia"/>
          <w:highlight w:val="none"/>
        </w:rPr>
        <w:t>正阳有优质的生产要素。正阳水力、电力、土地、劳动力等资源优势明显，职业教育发展比较迅速，拥有外来投资的诸多优越条件。人均3亩耕地在全国少有，每年通过人地挂钩、土地整理、占补平衡等创造建设用地指标1万多亩；全县富余劳动力近20万人，劳动力价格相对低廉；全县电力供应充足，从没出现对企业拉闸限电情况，去年以来又新建了220千伏、110千伏两座变电站；移动通讯实现无缝覆盖，互联网普及千家万户。</w:t>
      </w:r>
    </w:p>
    <w:p>
      <w:pPr>
        <w:ind w:firstLine="480"/>
        <w:rPr>
          <w:highlight w:val="none"/>
        </w:rPr>
      </w:pPr>
      <w:r>
        <w:rPr>
          <w:rFonts w:hint="eastAsia"/>
          <w:highlight w:val="none"/>
        </w:rPr>
        <w:t>县域经济实力不断增强。这些年项目建设和城镇建设的深入推进，大规模的基础设施建设和投入，诸多领域的改革和机制创新，一些瓶颈和遗留问题的逐步解决，正阳后发而起的基础和条件已经具备，优势和潜力正全面发力、集中释放。</w:t>
      </w:r>
    </w:p>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.2.2</w:t>
      </w:r>
      <w:r>
        <w:rPr>
          <w:rFonts w:hint="eastAsia" w:cs="Times New Roman"/>
          <w:highlight w:val="none"/>
        </w:rPr>
        <w:t>铜钟镇概况</w:t>
      </w:r>
    </w:p>
    <w:p>
      <w:pPr>
        <w:ind w:firstLine="480"/>
        <w:rPr>
          <w:rFonts w:hint="eastAsia"/>
          <w:highlight w:val="none"/>
        </w:rPr>
      </w:pPr>
      <w:r>
        <w:rPr>
          <w:rFonts w:hint="eastAsia"/>
          <w:highlight w:val="none"/>
        </w:rPr>
        <w:t>铜钟镇地处正阳县南部，淮河北岸，距正阳县城25公里。省道开（封）龚（家棚）公路由北向南贯穿全境，熊（寨）王（勿桥）路横贯东西。总面积108平方公里，耕地11万亩，总人口3.7万人，辖15个行政村。全镇共有基层党组织27个，党员638人。2014年实现社会生产总值6.08亿元，完成财政一般预算收人505万元，居民人均纯收入8969元，连续7年荣获驻马店市“平安杯”活动先进乡镇。</w:t>
      </w:r>
    </w:p>
    <w:p>
      <w:pPr>
        <w:ind w:firstLine="480"/>
        <w:rPr>
          <w:rFonts w:hint="eastAsia"/>
          <w:highlight w:val="none"/>
        </w:rPr>
      </w:pPr>
      <w:r>
        <w:rPr>
          <w:rFonts w:hint="eastAsia"/>
          <w:highlight w:val="none"/>
        </w:rPr>
        <w:t>铜钟镇历史悠久，人杰地灵。古有汉代建安城遗址和龙山时期的文化遗址—凉马台。今有十里杨柳清水河、大寨沟、大渔湖、情侣堤等著名景点。近年来，招商引资硕果累累。河南宏宇建材有限责任公司、铜钟门窗厂、铜钟万头养猪厂、河南金大地食品有限公司等一批知名企业相继落户铜钟，与正铜面粉加工厂、予制厂、木材加工厂，共同形成了铜钟镇产业链。铜钟镇土壤肥沃，气候温暖。年平均气温为14℃—16℃，年降水800mm—1000mm，无霜期长达240天，非常适宜农作物的生长。优质花生、小麦面积均在8万亩以上，优质水稻推广面积达20000亩，形成了铜钟镇三大支柱产业。养殖业是当地传统产业，生猪年出栏20万头以上。腊肉、豆腐和土鸡等特色农产品享誉县内外。</w:t>
      </w:r>
    </w:p>
    <w:p>
      <w:pPr>
        <w:ind w:firstLine="480"/>
        <w:rPr>
          <w:highlight w:val="none"/>
        </w:rPr>
      </w:pPr>
      <w:r>
        <w:rPr>
          <w:rFonts w:hint="eastAsia"/>
          <w:highlight w:val="none"/>
        </w:rPr>
        <w:t>铜钟镇正处在新农村建设的关键时期，2012年引资6000万元建设“钟鸣社区”，打造“豫南名镇”。已建成住房300套，入住农户200户，集镇住民达到1.2万人。铜钟镇投资环境优越，发展前景广阔，竭诚欢迎各界朋友前来投资，共谋铜钟发展大计。</w:t>
      </w:r>
    </w:p>
    <w:p>
      <w:pPr>
        <w:pStyle w:val="6"/>
        <w:spacing w:before="132"/>
        <w:rPr>
          <w:highlight w:val="none"/>
        </w:rPr>
      </w:pPr>
      <w:bookmarkStart w:id="37" w:name="_Toc9620"/>
      <w:r>
        <w:rPr>
          <w:rFonts w:hint="eastAsia"/>
          <w:highlight w:val="none"/>
          <w:lang w:val="en-US" w:eastAsia="zh-CN"/>
        </w:rPr>
        <w:t>3</w:t>
      </w:r>
      <w:r>
        <w:rPr>
          <w:highlight w:val="none"/>
        </w:rPr>
        <w:t>.</w:t>
      </w:r>
      <w:r>
        <w:rPr>
          <w:rFonts w:hint="eastAsia"/>
          <w:highlight w:val="none"/>
        </w:rPr>
        <w:t>3环境质量现状调查与评价</w:t>
      </w:r>
      <w:bookmarkEnd w:id="37"/>
    </w:p>
    <w:p>
      <w:pPr>
        <w:ind w:firstLine="480"/>
        <w:rPr>
          <w:rFonts w:cs="Times New Roman"/>
          <w:highlight w:val="none"/>
        </w:rPr>
      </w:pPr>
      <w:r>
        <w:rPr>
          <w:rFonts w:cs="Times New Roman"/>
          <w:highlight w:val="none"/>
        </w:rPr>
        <w:t>为了解区域环境质量现状，本次评价于</w:t>
      </w:r>
      <w:r>
        <w:rPr>
          <w:rFonts w:hint="eastAsia" w:cs="Times New Roman"/>
          <w:szCs w:val="21"/>
          <w:highlight w:val="none"/>
        </w:rPr>
        <w:t>20</w:t>
      </w:r>
      <w:r>
        <w:rPr>
          <w:rFonts w:hint="eastAsia" w:cs="Times New Roman"/>
          <w:szCs w:val="21"/>
          <w:highlight w:val="none"/>
          <w:lang w:val="en-US" w:eastAsia="zh-CN"/>
        </w:rPr>
        <w:t>20</w:t>
      </w:r>
      <w:r>
        <w:rPr>
          <w:rFonts w:hint="eastAsia" w:cs="Times New Roman"/>
          <w:szCs w:val="21"/>
          <w:highlight w:val="none"/>
        </w:rPr>
        <w:t>年</w:t>
      </w:r>
      <w:r>
        <w:rPr>
          <w:rFonts w:hint="eastAsia" w:cs="Times New Roman"/>
          <w:szCs w:val="21"/>
          <w:highlight w:val="none"/>
          <w:lang w:val="en-US" w:eastAsia="zh-CN"/>
        </w:rPr>
        <w:t>5</w:t>
      </w:r>
      <w:r>
        <w:rPr>
          <w:rFonts w:hint="eastAsia" w:cs="Times New Roman"/>
          <w:szCs w:val="21"/>
          <w:highlight w:val="none"/>
        </w:rPr>
        <w:t>月</w:t>
      </w:r>
      <w:r>
        <w:rPr>
          <w:rFonts w:hint="eastAsia" w:cs="Times New Roman"/>
          <w:szCs w:val="21"/>
          <w:highlight w:val="none"/>
          <w:lang w:val="en-US" w:eastAsia="zh-CN"/>
        </w:rPr>
        <w:t>2</w:t>
      </w:r>
      <w:r>
        <w:rPr>
          <w:rFonts w:hint="eastAsia" w:cs="Times New Roman"/>
          <w:szCs w:val="21"/>
          <w:highlight w:val="none"/>
        </w:rPr>
        <w:t>日至20</w:t>
      </w:r>
      <w:r>
        <w:rPr>
          <w:rFonts w:hint="eastAsia" w:cs="Times New Roman"/>
          <w:szCs w:val="21"/>
          <w:highlight w:val="none"/>
          <w:lang w:val="en-US" w:eastAsia="zh-CN"/>
        </w:rPr>
        <w:t>20</w:t>
      </w:r>
      <w:r>
        <w:rPr>
          <w:rFonts w:hint="eastAsia" w:cs="Times New Roman"/>
          <w:szCs w:val="21"/>
          <w:highlight w:val="none"/>
        </w:rPr>
        <w:t>年</w:t>
      </w:r>
      <w:r>
        <w:rPr>
          <w:rFonts w:hint="eastAsia" w:cs="Times New Roman"/>
          <w:szCs w:val="21"/>
          <w:highlight w:val="none"/>
          <w:lang w:val="en-US" w:eastAsia="zh-CN"/>
        </w:rPr>
        <w:t>5</w:t>
      </w:r>
      <w:r>
        <w:rPr>
          <w:rFonts w:hint="eastAsia" w:cs="Times New Roman"/>
          <w:szCs w:val="21"/>
          <w:highlight w:val="none"/>
        </w:rPr>
        <w:t>月</w:t>
      </w:r>
      <w:r>
        <w:rPr>
          <w:rFonts w:hint="eastAsia" w:cs="Times New Roman"/>
          <w:szCs w:val="21"/>
          <w:highlight w:val="none"/>
          <w:lang w:val="en-US" w:eastAsia="zh-CN"/>
        </w:rPr>
        <w:t>8</w:t>
      </w:r>
      <w:r>
        <w:rPr>
          <w:rFonts w:hint="eastAsia" w:cs="Times New Roman"/>
          <w:szCs w:val="21"/>
          <w:highlight w:val="none"/>
        </w:rPr>
        <w:t>日</w:t>
      </w:r>
      <w:r>
        <w:rPr>
          <w:rFonts w:cs="Times New Roman"/>
          <w:highlight w:val="none"/>
        </w:rPr>
        <w:t>委托</w:t>
      </w:r>
      <w:r>
        <w:rPr>
          <w:rFonts w:hint="eastAsia" w:cs="Times New Roman"/>
          <w:highlight w:val="none"/>
          <w:lang w:eastAsia="zh-CN"/>
        </w:rPr>
        <w:t>河南政检检测研究院有限公司</w:t>
      </w:r>
      <w:r>
        <w:rPr>
          <w:rFonts w:cs="Times New Roman"/>
          <w:highlight w:val="none"/>
        </w:rPr>
        <w:t>对区域环境质量现状进行了检测，具体检测结果及评价见下文。</w:t>
      </w:r>
    </w:p>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.1</w:t>
      </w:r>
      <w:r>
        <w:rPr>
          <w:rFonts w:hint="eastAsia" w:cs="Times New Roman"/>
          <w:highlight w:val="none"/>
        </w:rPr>
        <w:t>大气</w:t>
      </w:r>
      <w:r>
        <w:rPr>
          <w:rFonts w:cs="Times New Roman"/>
          <w:highlight w:val="none"/>
        </w:rPr>
        <w:t>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（1）2018年河南省生态环境状况公报</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根据《环境影响评价技术导则 大气环境》（HJ2.2-2018），环境空气质量现状调查优先采用国家或地方生态环境主管部门公开发布的评价基准年环境质量公告或环境质量报告中的数据或结论。</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根据《2018年河南省生态环境状况公报》，驻马店市细颗粒物（PM</w:t>
      </w:r>
      <w:r>
        <w:rPr>
          <w:rFonts w:hint="eastAsia"/>
          <w:highlight w:val="none"/>
          <w:vertAlign w:val="subscript"/>
        </w:rPr>
        <w:t>2.5</w:t>
      </w:r>
      <w:r>
        <w:rPr>
          <w:rFonts w:hint="eastAsia"/>
          <w:highlight w:val="none"/>
        </w:rPr>
        <w:t>）浓度年均值超过《环境空气质量标准》（GB3095-2012）二级标准；可吸入颗粒物（PM</w:t>
      </w:r>
      <w:r>
        <w:rPr>
          <w:rFonts w:hint="eastAsia"/>
          <w:highlight w:val="none"/>
          <w:vertAlign w:val="subscript"/>
        </w:rPr>
        <w:t>10</w:t>
      </w:r>
      <w:r>
        <w:rPr>
          <w:rFonts w:hint="eastAsia"/>
          <w:highlight w:val="none"/>
        </w:rPr>
        <w:t>）浓度年均值超过《环境空气质量标准》（GB3095-2012）二级标准；二氧化硫达到《环境空气质量标准》（GB3095-2012）一级标准；二氧化氮达到《环境空气质量标准》（GB3095-2012）二级标准；一氧化碳95百分位数浓度满足《环境空气质量标准》（GB3095-2012）二级标准；臭氧90百分位数浓度超《环境空气质量标准》（GB3095-2012）二级标准。</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项目所在区域环境空气为非达标区，主要超标因子为PM</w:t>
      </w:r>
      <w:r>
        <w:rPr>
          <w:rFonts w:hint="eastAsia"/>
          <w:highlight w:val="none"/>
          <w:vertAlign w:val="subscript"/>
        </w:rPr>
        <w:t>2.5</w:t>
      </w:r>
      <w:r>
        <w:rPr>
          <w:rFonts w:hint="eastAsia"/>
          <w:highlight w:val="none"/>
        </w:rPr>
        <w:t>、PM</w:t>
      </w:r>
      <w:r>
        <w:rPr>
          <w:rFonts w:hint="eastAsia"/>
          <w:highlight w:val="none"/>
          <w:vertAlign w:val="subscript"/>
        </w:rPr>
        <w:t>10</w:t>
      </w:r>
      <w:r>
        <w:rPr>
          <w:rFonts w:hint="eastAsia"/>
          <w:highlight w:val="none"/>
        </w:rPr>
        <w:t>、臭氧。</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（2）正阳县区域环境空气质量调查</w:t>
      </w:r>
    </w:p>
    <w:p>
      <w:pPr>
        <w:pStyle w:val="10"/>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val="en-US" w:eastAsia="zh-CN"/>
        </w:rPr>
      </w:pPr>
      <w:r>
        <w:rPr>
          <w:rFonts w:hint="eastAsia"/>
          <w:highlight w:val="none"/>
          <w:lang w:val="en-US" w:eastAsia="zh-CN"/>
        </w:rPr>
        <w:t>为进一步对项目所在区域大气环境进行了解，本次评价引用《2018年正阳县环境状况公报》中数据，对照《环境空气质量标准》（GB3095-2012）标准中细颗粒物（PM</w:t>
      </w:r>
      <w:r>
        <w:rPr>
          <w:rFonts w:hint="eastAsia"/>
          <w:highlight w:val="none"/>
          <w:vertAlign w:val="subscript"/>
          <w:lang w:val="en-US" w:eastAsia="zh-CN"/>
        </w:rPr>
        <w:t>2.5</w:t>
      </w:r>
      <w:r>
        <w:rPr>
          <w:rFonts w:hint="eastAsia"/>
          <w:highlight w:val="none"/>
          <w:lang w:val="en-US" w:eastAsia="zh-CN"/>
        </w:rPr>
        <w:t>）、可吸入颗粒物（PM</w:t>
      </w:r>
      <w:r>
        <w:rPr>
          <w:rFonts w:hint="eastAsia"/>
          <w:highlight w:val="none"/>
          <w:vertAlign w:val="subscript"/>
          <w:lang w:val="en-US" w:eastAsia="zh-CN"/>
        </w:rPr>
        <w:t>10</w:t>
      </w:r>
      <w:r>
        <w:rPr>
          <w:rFonts w:hint="eastAsia"/>
          <w:highlight w:val="none"/>
          <w:lang w:val="en-US" w:eastAsia="zh-CN"/>
        </w:rPr>
        <w:t>）、二氧化硫、二氧化氮、一氧化碳、臭氧六项因子评价全县城市环境空气质量。二氧化硫、二氧化氮、PM</w:t>
      </w:r>
      <w:r>
        <w:rPr>
          <w:rFonts w:hint="eastAsia"/>
          <w:highlight w:val="none"/>
          <w:vertAlign w:val="subscript"/>
          <w:lang w:val="en-US" w:eastAsia="zh-CN"/>
        </w:rPr>
        <w:t>2.5</w:t>
      </w:r>
      <w:r>
        <w:rPr>
          <w:rFonts w:hint="eastAsia"/>
          <w:highlight w:val="none"/>
          <w:lang w:val="en-US" w:eastAsia="zh-CN"/>
        </w:rPr>
        <w:t>、PM</w:t>
      </w:r>
      <w:r>
        <w:rPr>
          <w:rFonts w:hint="eastAsia"/>
          <w:highlight w:val="none"/>
          <w:vertAlign w:val="subscript"/>
          <w:lang w:val="en-US" w:eastAsia="zh-CN"/>
        </w:rPr>
        <w:t>10</w:t>
      </w:r>
      <w:r>
        <w:rPr>
          <w:rFonts w:hint="eastAsia"/>
          <w:highlight w:val="none"/>
          <w:lang w:val="en-US" w:eastAsia="zh-CN"/>
        </w:rPr>
        <w:t>、一氧化碳、臭氧监测浓度及评价结果见表3.3-1。</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 xml:space="preserve">.3-1 </w:t>
      </w:r>
      <w:r>
        <w:rPr>
          <w:rFonts w:hint="eastAsia" w:cs="Times New Roman"/>
          <w:b/>
          <w:kern w:val="2"/>
          <w:sz w:val="21"/>
          <w:szCs w:val="24"/>
          <w:highlight w:val="none"/>
          <w:lang w:val="en-US" w:eastAsia="zh-CN" w:bidi="ar-SA"/>
        </w:rPr>
        <w:t xml:space="preserve"> </w:t>
      </w:r>
      <w:r>
        <w:rPr>
          <w:rFonts w:hint="eastAsia" w:ascii="Times New Roman" w:hAnsi="Times New Roman" w:eastAsia="宋体" w:cs="Times New Roman"/>
          <w:b/>
          <w:kern w:val="2"/>
          <w:sz w:val="21"/>
          <w:szCs w:val="24"/>
          <w:highlight w:val="none"/>
          <w:lang w:val="en-US" w:eastAsia="zh-CN" w:bidi="ar-SA"/>
        </w:rPr>
        <w:t>2018年正阳县环境空气监测浓度及评价结果</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2"/>
        <w:gridCol w:w="2155"/>
        <w:gridCol w:w="2293"/>
        <w:gridCol w:w="2210"/>
        <w:gridCol w:w="11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污染物</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年评价指标</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现状浓度/（μg/m</w:t>
            </w:r>
            <w:r>
              <w:rPr>
                <w:rFonts w:hint="default" w:ascii="Times New Roman" w:hAnsi="Times New Roman" w:cs="Times New Roman"/>
                <w:color w:val="000000"/>
                <w:kern w:val="0"/>
                <w:sz w:val="21"/>
                <w:szCs w:val="21"/>
                <w:highlight w:val="none"/>
                <w:vertAlign w:val="superscript"/>
              </w:rPr>
              <w:t>3</w:t>
            </w:r>
            <w:r>
              <w:rPr>
                <w:rFonts w:hint="default" w:ascii="Times New Roman" w:hAnsi="Times New Roman" w:cs="Times New Roman"/>
                <w:color w:val="000000"/>
                <w:kern w:val="0"/>
                <w:sz w:val="21"/>
                <w:szCs w:val="21"/>
                <w:highlight w:val="none"/>
              </w:rPr>
              <w:t>）</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标准值/（μg/m</w:t>
            </w:r>
            <w:r>
              <w:rPr>
                <w:rFonts w:hint="default" w:ascii="Times New Roman" w:hAnsi="Times New Roman" w:cs="Times New Roman"/>
                <w:color w:val="000000"/>
                <w:kern w:val="0"/>
                <w:sz w:val="21"/>
                <w:szCs w:val="21"/>
                <w:highlight w:val="none"/>
                <w:vertAlign w:val="superscript"/>
              </w:rPr>
              <w:t>3</w:t>
            </w:r>
            <w:r>
              <w:rPr>
                <w:rFonts w:hint="default" w:ascii="Times New Roman" w:hAnsi="Times New Roman" w:cs="Times New Roman"/>
                <w:color w:val="000000"/>
                <w:kern w:val="0"/>
                <w:sz w:val="21"/>
                <w:szCs w:val="21"/>
                <w:highlight w:val="none"/>
              </w:rPr>
              <w:t>）</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SO</w:t>
            </w:r>
            <w:r>
              <w:rPr>
                <w:rFonts w:hint="default" w:ascii="Times New Roman" w:hAnsi="Times New Roman" w:cs="Times New Roman"/>
                <w:color w:val="000000"/>
                <w:kern w:val="0"/>
                <w:sz w:val="21"/>
                <w:szCs w:val="21"/>
                <w:highlight w:val="none"/>
                <w:vertAlign w:val="subscript"/>
                <w:lang w:val="de-DE"/>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26</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NO</w:t>
            </w:r>
            <w:r>
              <w:rPr>
                <w:rFonts w:hint="default" w:ascii="Times New Roman" w:hAnsi="Times New Roman" w:cs="Times New Roman"/>
                <w:color w:val="000000"/>
                <w:kern w:val="0"/>
                <w:sz w:val="21"/>
                <w:szCs w:val="21"/>
                <w:highlight w:val="none"/>
                <w:vertAlign w:val="subscript"/>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PM</w:t>
            </w:r>
            <w:r>
              <w:rPr>
                <w:rFonts w:hint="default" w:ascii="Times New Roman" w:hAnsi="Times New Roman" w:cs="Times New Roman"/>
                <w:color w:val="000000"/>
                <w:kern w:val="0"/>
                <w:sz w:val="21"/>
                <w:szCs w:val="21"/>
                <w:highlight w:val="none"/>
                <w:vertAlign w:val="subscript"/>
                <w:lang w:val="de-DE"/>
              </w:rPr>
              <w:t>10</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70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de-DE"/>
              </w:rPr>
              <w:t>PM</w:t>
            </w:r>
            <w:r>
              <w:rPr>
                <w:rFonts w:hint="default" w:ascii="Times New Roman" w:hAnsi="Times New Roman" w:cs="Times New Roman"/>
                <w:color w:val="000000"/>
                <w:kern w:val="0"/>
                <w:sz w:val="21"/>
                <w:szCs w:val="21"/>
                <w:highlight w:val="none"/>
                <w:vertAlign w:val="subscript"/>
                <w:lang w:val="de-DE"/>
              </w:rPr>
              <w:t>2.5</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35</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CO</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24小时平均质量浓度第95百分位数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2.7</w:t>
            </w:r>
            <w:r>
              <w:rPr>
                <w:rFonts w:hint="default" w:ascii="Times New Roman" w:hAnsi="Times New Roman" w:cs="Times New Roman"/>
                <w:color w:val="000000"/>
                <w:kern w:val="0"/>
                <w:sz w:val="21"/>
                <w:szCs w:val="21"/>
                <w:highlight w:val="none"/>
                <w:lang w:val="en-US" w:eastAsia="zh-CN"/>
              </w:rPr>
              <w:t>mg/m</w:t>
            </w:r>
            <w:r>
              <w:rPr>
                <w:rFonts w:hint="default" w:ascii="Times New Roman" w:hAnsi="Times New Roman" w:cs="Times New Roman"/>
                <w:color w:val="000000"/>
                <w:kern w:val="0"/>
                <w:sz w:val="21"/>
                <w:szCs w:val="21"/>
                <w:highlight w:val="none"/>
                <w:vertAlign w:val="superscript"/>
                <w:lang w:val="en-US" w:eastAsia="zh-CN"/>
              </w:rPr>
              <w:t>3</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4</w:t>
            </w:r>
            <w:r>
              <w:rPr>
                <w:rFonts w:hint="default" w:ascii="Times New Roman" w:hAnsi="Times New Roman" w:cs="Times New Roman"/>
                <w:color w:val="000000"/>
                <w:kern w:val="0"/>
                <w:sz w:val="21"/>
                <w:szCs w:val="21"/>
                <w:highlight w:val="none"/>
                <w:lang w:val="en-US" w:eastAsia="zh-CN"/>
              </w:rPr>
              <w:t>.</w:t>
            </w:r>
            <w:r>
              <w:rPr>
                <w:rFonts w:hint="default" w:ascii="Times New Roman" w:hAnsi="Times New Roman" w:cs="Times New Roman"/>
                <w:color w:val="000000"/>
                <w:kern w:val="0"/>
                <w:sz w:val="21"/>
                <w:szCs w:val="21"/>
                <w:highlight w:val="none"/>
              </w:rPr>
              <w:t>0</w:t>
            </w:r>
            <w:r>
              <w:rPr>
                <w:rFonts w:hint="default" w:ascii="Times New Roman" w:hAnsi="Times New Roman" w:cs="Times New Roman"/>
                <w:color w:val="000000"/>
                <w:kern w:val="0"/>
                <w:sz w:val="21"/>
                <w:szCs w:val="21"/>
                <w:highlight w:val="none"/>
                <w:lang w:val="en-US" w:eastAsia="zh-CN"/>
              </w:rPr>
              <w:t>mg/m</w:t>
            </w:r>
            <w:r>
              <w:rPr>
                <w:rFonts w:hint="default" w:ascii="Times New Roman" w:hAnsi="Times New Roman" w:cs="Times New Roman"/>
                <w:color w:val="000000"/>
                <w:kern w:val="0"/>
                <w:sz w:val="21"/>
                <w:szCs w:val="21"/>
                <w:highlight w:val="none"/>
                <w:vertAlign w:val="superscript"/>
                <w:lang w:val="en-US" w:eastAsia="zh-CN"/>
              </w:rPr>
              <w:t>3</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O</w:t>
            </w:r>
            <w:r>
              <w:rPr>
                <w:rFonts w:hint="default" w:ascii="Times New Roman" w:hAnsi="Times New Roman" w:cs="Times New Roman"/>
                <w:color w:val="000000"/>
                <w:kern w:val="0"/>
                <w:sz w:val="21"/>
                <w:szCs w:val="21"/>
                <w:highlight w:val="none"/>
                <w:vertAlign w:val="subscript"/>
              </w:rPr>
              <w:t>3</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8小时平均质量浓度第90百分位数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达标</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由上表可知，该地区的SO</w:t>
      </w:r>
      <w:r>
        <w:rPr>
          <w:rFonts w:hint="eastAsia"/>
          <w:highlight w:val="none"/>
          <w:vertAlign w:val="subscript"/>
        </w:rPr>
        <w:t>2</w:t>
      </w:r>
      <w:r>
        <w:rPr>
          <w:rFonts w:hint="eastAsia"/>
          <w:highlight w:val="none"/>
        </w:rPr>
        <w:t>、PM</w:t>
      </w:r>
      <w:r>
        <w:rPr>
          <w:rFonts w:hint="eastAsia"/>
          <w:highlight w:val="none"/>
          <w:vertAlign w:val="subscript"/>
        </w:rPr>
        <w:t>10</w:t>
      </w:r>
      <w:r>
        <w:rPr>
          <w:rFonts w:hint="eastAsia"/>
          <w:highlight w:val="none"/>
        </w:rPr>
        <w:t>、CO、NO</w:t>
      </w:r>
      <w:r>
        <w:rPr>
          <w:rFonts w:hint="eastAsia"/>
          <w:highlight w:val="none"/>
          <w:vertAlign w:val="subscript"/>
        </w:rPr>
        <w:t>2</w:t>
      </w:r>
      <w:r>
        <w:rPr>
          <w:rFonts w:hint="eastAsia"/>
          <w:highlight w:val="none"/>
        </w:rPr>
        <w:t>、PM</w:t>
      </w:r>
      <w:r>
        <w:rPr>
          <w:rFonts w:hint="eastAsia"/>
          <w:highlight w:val="none"/>
          <w:vertAlign w:val="subscript"/>
        </w:rPr>
        <w:t>2.5</w:t>
      </w:r>
      <w:r>
        <w:rPr>
          <w:rFonts w:hint="eastAsia"/>
          <w:highlight w:val="none"/>
        </w:rPr>
        <w:t>、O</w:t>
      </w:r>
      <w:r>
        <w:rPr>
          <w:rFonts w:hint="eastAsia"/>
          <w:highlight w:val="none"/>
          <w:vertAlign w:val="subscript"/>
        </w:rPr>
        <w:t>3</w:t>
      </w:r>
      <w:r>
        <w:rPr>
          <w:rFonts w:hint="eastAsia"/>
          <w:highlight w:val="none"/>
        </w:rPr>
        <w:t>年均浓度全部达标，项目所在区域属于达标区。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为了进一步改善区域环境空气质量，驻马店市发布了2019年大气污染防治攻坚战实施方案，根据该实施方案，为有效治理大气污染，其主要采区措施如下：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1、加强工业企业用煤管理，开展秋冬季燃煤散烧治理专项检查。以秋冬采暖季为重点，开展执法检查，确保重点耗煤企业煤炭质量符合商品煤质量要求。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2、扩大天然气利用规模，加快推进乡镇天然气利用工程建设；大力发展县域低风速平原风电项目，推进垃圾发电建设项目进度。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3、持续打击“散、乱、污”企业，大力淘汰低效过剩产能。推进重点企业清洁生产审核。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4、坚持统筹“油、路、车”协同治理，以柴油车（机）达标排放为主线，建立健全严格的机动车和非道路移动机械全防全控环境监管制度，全链条治理柴油车（机）超标排放，明显降低污染物排放总量，促进区域空气质量明显改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5、开展国省交通干线公路扬尘专项整治，全面做好普通公路清扫保洁工作，重点加强对绕城区国省干线公路的扬尘清扫清洗力度，有效减少绕城、环城国省干线公路的起尘量。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6、强化工地扬尘污染防治，严格落实施工工地“六个百分之百”、开复工验收、“三员”管理、扬尘防治预算管理等制度，开展扬尘污染防治宣教工作，对于施工扬尘，针对全市所有在建工程和拆迁工程开展一线工人的扬尘污染防治技术培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7、持续做好秸秆综合利用和禁烧工作，不断完善秸秆收储体系，进一步推进秸秆肥料化、饲料化、燃料化、基料化和原料化利用，加快推进秸秆综合利用产业化。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8"/>
          <w:highlight w:val="none"/>
        </w:rPr>
      </w:pPr>
      <w:r>
        <w:rPr>
          <w:rFonts w:ascii="Times New Roman" w:hAnsi="Times New Roman"/>
          <w:sz w:val="24"/>
          <w:szCs w:val="28"/>
          <w:highlight w:val="none"/>
        </w:rPr>
        <w:t>8、加强农机作业扬尘治理。加强“三夏”（夏收、夏种、夏管）、“三秋”（秋收、秋耕、秋种）农机作业指导，特别是小麦、花生收获季节，要充分利用无风天气，集中组织机械高效作业，大风天气尽量管控、减少作业，有效抑制农机作业粉尘排放。</w:t>
      </w:r>
    </w:p>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highlight w:val="none"/>
        </w:rPr>
      </w:pPr>
      <w:r>
        <w:rPr>
          <w:rFonts w:ascii="Times New Roman" w:hAnsi="Times New Roman"/>
          <w:sz w:val="24"/>
          <w:szCs w:val="28"/>
          <w:highlight w:val="none"/>
        </w:rPr>
        <w:t>根据《大气污染防治攻坚战实施方案》中的相关要求，在充分采取相关治理措施的情况下，可进一步提高</w:t>
      </w:r>
      <w:r>
        <w:rPr>
          <w:rFonts w:hint="eastAsia" w:ascii="Times New Roman" w:hAnsi="Times New Roman"/>
          <w:sz w:val="24"/>
          <w:szCs w:val="28"/>
          <w:highlight w:val="none"/>
        </w:rPr>
        <w:t>正阳县</w:t>
      </w:r>
      <w:r>
        <w:rPr>
          <w:rFonts w:ascii="Times New Roman" w:hAnsi="Times New Roman"/>
          <w:sz w:val="24"/>
          <w:szCs w:val="28"/>
          <w:highlight w:val="none"/>
        </w:rPr>
        <w:t>全年空气优良天数。确保环境空气量满足《环境空气质量标准》（GB3095－2012）中的二级标准的要求。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eastAsia="宋体"/>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）补充监测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本项目特征因子</w:t>
      </w:r>
      <w:r>
        <w:rPr>
          <w:rFonts w:hint="eastAsia"/>
          <w:highlight w:val="none"/>
          <w:lang w:val="en-US" w:eastAsia="zh-CN"/>
        </w:rPr>
        <w:t>NH</w:t>
      </w:r>
      <w:r>
        <w:rPr>
          <w:rFonts w:hint="eastAsia"/>
          <w:highlight w:val="none"/>
          <w:vertAlign w:val="subscript"/>
          <w:lang w:val="en-US" w:eastAsia="zh-CN"/>
        </w:rPr>
        <w:t>3</w:t>
      </w:r>
      <w:r>
        <w:rPr>
          <w:rFonts w:hint="eastAsia"/>
          <w:highlight w:val="none"/>
        </w:rPr>
        <w:t>、</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w:t>
      </w:r>
      <w:r>
        <w:rPr>
          <w:rFonts w:hint="eastAsia"/>
          <w:highlight w:val="none"/>
        </w:rPr>
        <w:t>委托</w:t>
      </w:r>
      <w:r>
        <w:rPr>
          <w:rFonts w:hint="eastAsia"/>
          <w:highlight w:val="none"/>
          <w:lang w:eastAsia="zh-CN"/>
        </w:rPr>
        <w:t>河南政检检测研究院有限公司</w:t>
      </w:r>
      <w:r>
        <w:rPr>
          <w:rFonts w:hint="eastAsia"/>
          <w:highlight w:val="none"/>
        </w:rPr>
        <w:t>于</w:t>
      </w:r>
      <w:r>
        <w:rPr>
          <w:rFonts w:hint="eastAsia"/>
          <w:highlight w:val="none"/>
          <w:lang w:val="en-US" w:eastAsia="zh-CN"/>
        </w:rPr>
        <w:t>2020</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2</w:t>
      </w:r>
      <w:r>
        <w:rPr>
          <w:rFonts w:hint="eastAsia"/>
          <w:highlight w:val="none"/>
        </w:rPr>
        <w:t>日-20</w:t>
      </w:r>
      <w:r>
        <w:rPr>
          <w:rFonts w:hint="eastAsia"/>
          <w:highlight w:val="none"/>
          <w:lang w:val="en-US" w:eastAsia="zh-CN"/>
        </w:rPr>
        <w:t>20</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8</w:t>
      </w:r>
      <w:r>
        <w:rPr>
          <w:rFonts w:hint="eastAsia"/>
          <w:highlight w:val="none"/>
        </w:rPr>
        <w:t>日对本项目西侧</w:t>
      </w:r>
      <w:r>
        <w:rPr>
          <w:rFonts w:hint="eastAsia"/>
          <w:highlight w:val="none"/>
          <w:lang w:val="en-US" w:eastAsia="zh-CN"/>
        </w:rPr>
        <w:t>230</w:t>
      </w:r>
      <w:r>
        <w:rPr>
          <w:rFonts w:hint="eastAsia"/>
          <w:highlight w:val="none"/>
        </w:rPr>
        <w:t>m的</w:t>
      </w:r>
      <w:r>
        <w:rPr>
          <w:rFonts w:hint="eastAsia"/>
          <w:highlight w:val="none"/>
          <w:lang w:eastAsia="zh-CN"/>
        </w:rPr>
        <w:t>黎刘庄、北</w:t>
      </w:r>
      <w:r>
        <w:rPr>
          <w:rFonts w:hint="eastAsia"/>
          <w:highlight w:val="none"/>
        </w:rPr>
        <w:t>侧</w:t>
      </w:r>
      <w:r>
        <w:rPr>
          <w:rFonts w:hint="eastAsia"/>
          <w:highlight w:val="none"/>
          <w:lang w:val="en-US" w:eastAsia="zh-CN"/>
        </w:rPr>
        <w:t>250</w:t>
      </w:r>
      <w:r>
        <w:rPr>
          <w:rFonts w:hint="eastAsia"/>
          <w:highlight w:val="none"/>
        </w:rPr>
        <w:t>m的</w:t>
      </w:r>
      <w:r>
        <w:rPr>
          <w:rFonts w:hint="eastAsia"/>
          <w:highlight w:val="none"/>
          <w:lang w:eastAsia="zh-CN"/>
        </w:rPr>
        <w:t>崔堂、东南侧</w:t>
      </w:r>
      <w:r>
        <w:rPr>
          <w:rFonts w:hint="eastAsia"/>
          <w:highlight w:val="none"/>
          <w:lang w:val="en-US" w:eastAsia="zh-CN"/>
        </w:rPr>
        <w:t>400m</w:t>
      </w:r>
      <w:r>
        <w:rPr>
          <w:rFonts w:hint="eastAsia"/>
          <w:highlight w:val="none"/>
        </w:rPr>
        <w:t>的</w:t>
      </w:r>
      <w:r>
        <w:rPr>
          <w:rFonts w:hint="eastAsia"/>
          <w:highlight w:val="none"/>
          <w:lang w:eastAsia="zh-CN"/>
        </w:rPr>
        <w:t>刘小庄进行了</w:t>
      </w:r>
      <w:r>
        <w:rPr>
          <w:rFonts w:hint="eastAsia"/>
          <w:highlight w:val="none"/>
        </w:rPr>
        <w:t>监测，监测数据有较好的代表性。</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①</w:t>
      </w:r>
      <w:r>
        <w:rPr>
          <w:rFonts w:hint="eastAsia" w:asciiTheme="minorEastAsia" w:hAnsiTheme="minorEastAsia" w:eastAsiaTheme="minorEastAsia" w:cstheme="minorEastAsia"/>
          <w:highlight w:val="none"/>
          <w:lang w:eastAsia="zh-CN"/>
        </w:rPr>
        <w:t>监测点布设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大气</w:t>
      </w:r>
      <w:r>
        <w:rPr>
          <w:highlight w:val="none"/>
        </w:rPr>
        <w:t>共设</w:t>
      </w:r>
      <w:r>
        <w:rPr>
          <w:rFonts w:hint="eastAsia"/>
          <w:highlight w:val="none"/>
          <w:lang w:val="en-US" w:eastAsia="zh-CN"/>
        </w:rPr>
        <w:t>3</w:t>
      </w:r>
      <w:r>
        <w:rPr>
          <w:highlight w:val="none"/>
        </w:rPr>
        <w:t>个监测</w:t>
      </w:r>
      <w:r>
        <w:rPr>
          <w:rFonts w:hint="eastAsia"/>
          <w:highlight w:val="none"/>
        </w:rPr>
        <w:t>点</w:t>
      </w:r>
      <w:r>
        <w:rPr>
          <w:highlight w:val="none"/>
        </w:rPr>
        <w:t>，</w:t>
      </w:r>
      <w:r>
        <w:rPr>
          <w:rFonts w:hint="eastAsia"/>
          <w:highlight w:val="none"/>
        </w:rPr>
        <w:t>具体布点情况详见表</w:t>
      </w:r>
      <w:r>
        <w:rPr>
          <w:rFonts w:hint="eastAsia"/>
          <w:highlight w:val="none"/>
          <w:lang w:val="en-US" w:eastAsia="zh-CN"/>
        </w:rPr>
        <w:t>3</w:t>
      </w:r>
      <w:r>
        <w:rPr>
          <w:rFonts w:hint="eastAsia"/>
          <w:highlight w:val="none"/>
        </w:rPr>
        <w:t>.3</w:t>
      </w:r>
      <w:r>
        <w:rPr>
          <w:highlight w:val="none"/>
        </w:rPr>
        <w:t>-</w:t>
      </w:r>
      <w:r>
        <w:rPr>
          <w:rFonts w:hint="eastAsia"/>
          <w:highlight w:val="none"/>
        </w:rPr>
        <w:t>2</w:t>
      </w:r>
      <w:r>
        <w:rPr>
          <w:highlight w:val="none"/>
        </w:rPr>
        <w:t>。</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.3-2大气环境质量监测布点情况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3575"/>
        <w:gridCol w:w="1152"/>
        <w:gridCol w:w="2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序号</w:t>
            </w:r>
          </w:p>
        </w:tc>
        <w:tc>
          <w:tcPr>
            <w:tcW w:w="209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监测点或监测断面</w:t>
            </w:r>
          </w:p>
        </w:tc>
        <w:tc>
          <w:tcPr>
            <w:tcW w:w="67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点位数</w:t>
            </w:r>
          </w:p>
        </w:tc>
        <w:tc>
          <w:tcPr>
            <w:tcW w:w="160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1</w:t>
            </w:r>
          </w:p>
        </w:tc>
        <w:tc>
          <w:tcPr>
            <w:tcW w:w="209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黎刘庄</w:t>
            </w:r>
          </w:p>
        </w:tc>
        <w:tc>
          <w:tcPr>
            <w:tcW w:w="67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3</w:t>
            </w:r>
          </w:p>
        </w:tc>
        <w:tc>
          <w:tcPr>
            <w:tcW w:w="160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vertAlign w:val="baseline"/>
                <w:lang w:eastAsia="zh-CN"/>
              </w:rPr>
            </w:pPr>
            <w:r>
              <w:rPr>
                <w:rFonts w:hint="eastAsia" w:ascii="Times New Roman" w:hAnsi="Times New Roman" w:cs="Times New Roman"/>
                <w:color w:val="000000"/>
                <w:kern w:val="0"/>
                <w:sz w:val="21"/>
                <w:szCs w:val="21"/>
                <w:highlight w:val="none"/>
              </w:rPr>
              <w:t>H</w:t>
            </w:r>
            <w:r>
              <w:rPr>
                <w:rFonts w:hint="eastAsia" w:ascii="Times New Roman" w:hAnsi="Times New Roman" w:cs="Times New Roman"/>
                <w:color w:val="000000"/>
                <w:kern w:val="0"/>
                <w:sz w:val="21"/>
                <w:szCs w:val="21"/>
                <w:highlight w:val="none"/>
                <w:vertAlign w:val="subscript"/>
              </w:rPr>
              <w:t>2</w:t>
            </w:r>
            <w:r>
              <w:rPr>
                <w:rFonts w:hint="eastAsia" w:ascii="Times New Roman" w:hAnsi="Times New Roman" w:cs="Times New Roman"/>
                <w:color w:val="000000"/>
                <w:kern w:val="0"/>
                <w:sz w:val="21"/>
                <w:szCs w:val="21"/>
                <w:highlight w:val="none"/>
              </w:rPr>
              <w:t>S、NH</w:t>
            </w:r>
            <w:r>
              <w:rPr>
                <w:rFonts w:hint="eastAsia" w:ascii="Times New Roman" w:hAnsi="Times New Roman" w:cs="Times New Roman"/>
                <w:color w:val="000000"/>
                <w:kern w:val="0"/>
                <w:sz w:val="21"/>
                <w:szCs w:val="21"/>
                <w:highlight w:val="none"/>
                <w:vertAlign w:val="subscript"/>
              </w:rPr>
              <w:t>3</w:t>
            </w:r>
            <w:r>
              <w:rPr>
                <w:rFonts w:hint="eastAsia" w:cs="Times New Roman"/>
                <w:color w:val="000000"/>
                <w:kern w:val="0"/>
                <w:sz w:val="21"/>
                <w:szCs w:val="21"/>
                <w:highlight w:val="none"/>
                <w:vertAlign w:val="baseline"/>
                <w:lang w:eastAsia="zh-CN"/>
              </w:rPr>
              <w:t>，</w:t>
            </w:r>
            <w:r>
              <w:rPr>
                <w:rFonts w:hint="eastAsia" w:ascii="Times New Roman" w:hAnsi="Times New Roman" w:cs="Times New Roman"/>
                <w:color w:val="000000"/>
                <w:kern w:val="0"/>
                <w:sz w:val="21"/>
                <w:szCs w:val="21"/>
                <w:highlight w:val="none"/>
                <w:vertAlign w:val="baseline"/>
              </w:rPr>
              <w:t>连续检测7天，每日检测4次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eastAsia="zh-CN"/>
              </w:rPr>
            </w:pPr>
            <w:r>
              <w:rPr>
                <w:rFonts w:hint="eastAsia" w:cs="Times New Roman"/>
                <w:color w:val="000000"/>
                <w:kern w:val="0"/>
                <w:sz w:val="21"/>
                <w:szCs w:val="21"/>
                <w:highlight w:val="none"/>
                <w:lang w:val="en-US" w:eastAsia="zh-CN"/>
              </w:rPr>
              <w:t>2</w:t>
            </w:r>
          </w:p>
        </w:tc>
        <w:tc>
          <w:tcPr>
            <w:tcW w:w="209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崔堂</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w:t>
            </w:r>
          </w:p>
        </w:tc>
        <w:tc>
          <w:tcPr>
            <w:tcW w:w="209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刘小庄</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rPr>
      </w:pPr>
      <w:r>
        <w:rPr>
          <w:rFonts w:hint="default" w:asciiTheme="minorEastAsia" w:hAnsiTheme="minorEastAsia" w:eastAsiaTheme="minorEastAsia" w:cstheme="minorEastAsia"/>
          <w:highlight w:val="none"/>
        </w:rPr>
        <w:t>②</w:t>
      </w:r>
      <w:r>
        <w:rPr>
          <w:rFonts w:hint="eastAsia" w:asciiTheme="minorEastAsia" w:hAnsiTheme="minorEastAsia" w:eastAsiaTheme="minorEastAsia" w:cstheme="minorEastAsia"/>
          <w:highlight w:val="none"/>
        </w:rPr>
        <w:t>监测因子及监测分析方法</w:t>
      </w:r>
    </w:p>
    <w:p>
      <w:pPr>
        <w:widowControl/>
        <w:snapToGrid w:val="0"/>
        <w:spacing w:line="500" w:lineRule="exact"/>
        <w:ind w:firstLine="480" w:firstLineChars="200"/>
        <w:rPr>
          <w:rFonts w:ascii="Times New Roman" w:hAnsi="Times New Roman" w:cs="Times New Roman"/>
          <w:color w:val="000000"/>
          <w:sz w:val="24"/>
          <w:szCs w:val="28"/>
          <w:highlight w:val="none"/>
        </w:rPr>
      </w:pPr>
      <w:r>
        <w:rPr>
          <w:rFonts w:ascii="Times New Roman" w:hAnsi="Times New Roman" w:cs="Times New Roman"/>
          <w:color w:val="000000"/>
          <w:sz w:val="24"/>
          <w:szCs w:val="28"/>
          <w:highlight w:val="none"/>
        </w:rPr>
        <w:t>根据本项目废气污染物产生情况，确定本次环境空气质量现状监测因子为</w:t>
      </w:r>
      <w:r>
        <w:rPr>
          <w:rFonts w:ascii="Times New Roman" w:hAnsi="Times New Roman" w:cs="Times New Roman"/>
          <w:sz w:val="24"/>
          <w:szCs w:val="22"/>
          <w:highlight w:val="none"/>
        </w:rPr>
        <w:t>H</w:t>
      </w:r>
      <w:r>
        <w:rPr>
          <w:rFonts w:ascii="Times New Roman" w:hAnsi="Times New Roman" w:cs="Times New Roman"/>
          <w:sz w:val="24"/>
          <w:szCs w:val="22"/>
          <w:highlight w:val="none"/>
          <w:vertAlign w:val="subscript"/>
        </w:rPr>
        <w:t>2</w:t>
      </w:r>
      <w:r>
        <w:rPr>
          <w:rFonts w:ascii="Times New Roman" w:hAnsi="Times New Roman" w:cs="Times New Roman"/>
          <w:sz w:val="24"/>
          <w:szCs w:val="22"/>
          <w:highlight w:val="none"/>
        </w:rPr>
        <w:t>S、NH</w:t>
      </w:r>
      <w:r>
        <w:rPr>
          <w:rFonts w:ascii="Times New Roman" w:hAnsi="Times New Roman" w:cs="Times New Roman"/>
          <w:sz w:val="24"/>
          <w:szCs w:val="22"/>
          <w:highlight w:val="none"/>
          <w:vertAlign w:val="subscript"/>
        </w:rPr>
        <w:t>3</w:t>
      </w:r>
      <w:r>
        <w:rPr>
          <w:rFonts w:ascii="Times New Roman" w:hAnsi="Times New Roman" w:cs="Times New Roman"/>
          <w:sz w:val="24"/>
          <w:szCs w:val="22"/>
          <w:highlight w:val="none"/>
        </w:rPr>
        <w:t>同步监测风速、风向、气温、气压、总云、低云及天气状况</w:t>
      </w:r>
      <w:r>
        <w:rPr>
          <w:rFonts w:ascii="Times New Roman" w:hAnsi="Times New Roman" w:cs="Times New Roman"/>
          <w:color w:val="000000"/>
          <w:sz w:val="24"/>
          <w:szCs w:val="28"/>
          <w:highlight w:val="none"/>
        </w:rPr>
        <w:t>。监测方法见表3.3-</w:t>
      </w:r>
      <w:r>
        <w:rPr>
          <w:rFonts w:hint="eastAsia" w:ascii="Times New Roman" w:hAnsi="Times New Roman" w:cs="Times New Roman"/>
          <w:color w:val="000000"/>
          <w:sz w:val="24"/>
          <w:szCs w:val="28"/>
          <w:highlight w:val="none"/>
        </w:rPr>
        <w:t>3</w:t>
      </w:r>
      <w:r>
        <w:rPr>
          <w:rFonts w:ascii="Times New Roman" w:hAnsi="Times New Roman" w:cs="Times New Roman"/>
          <w:color w:val="000000"/>
          <w:sz w:val="24"/>
          <w:szCs w:val="28"/>
          <w:highlight w:val="none"/>
        </w:rPr>
        <w:t>。</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表3.3-3 环境空气检测分析方法及使用仪器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3028"/>
        <w:gridCol w:w="2168"/>
        <w:gridCol w:w="2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02"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检测项目</w:t>
            </w:r>
          </w:p>
        </w:tc>
        <w:tc>
          <w:tcPr>
            <w:tcW w:w="3028"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检测方法</w:t>
            </w:r>
          </w:p>
        </w:tc>
        <w:tc>
          <w:tcPr>
            <w:tcW w:w="2168"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使用仪器</w:t>
            </w:r>
          </w:p>
        </w:tc>
        <w:tc>
          <w:tcPr>
            <w:tcW w:w="2018" w:type="dxa"/>
            <w:tcBorders>
              <w:tl2br w:val="nil"/>
              <w:tr2bl w:val="nil"/>
            </w:tcBorders>
            <w:vAlign w:val="center"/>
          </w:tcPr>
          <w:p>
            <w:pPr>
              <w:widowControl/>
              <w:spacing w:line="240" w:lineRule="auto"/>
              <w:ind w:left="0" w:leftChars="0" w:firstLine="0" w:firstLineChars="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NH</w:t>
            </w:r>
            <w:r>
              <w:rPr>
                <w:rFonts w:hint="eastAsia" w:cs="Times New Roman"/>
                <w:color w:val="000000"/>
                <w:kern w:val="0"/>
                <w:sz w:val="21"/>
                <w:szCs w:val="21"/>
                <w:highlight w:val="none"/>
                <w:vertAlign w:val="subscript"/>
                <w:lang w:val="en-US" w:eastAsia="zh-CN"/>
              </w:rPr>
              <w:t>3</w:t>
            </w:r>
          </w:p>
        </w:tc>
        <w:tc>
          <w:tcPr>
            <w:tcW w:w="3028"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环境空气 硫化氢 亚甲基蓝分光光度法  《空气和废气检测分析方法》(第四版增补版) 国家环境保护总局(2003年)第三篇第一章十一 （二）</w:t>
            </w:r>
          </w:p>
        </w:tc>
        <w:tc>
          <w:tcPr>
            <w:tcW w:w="2168" w:type="dxa"/>
            <w:tcBorders>
              <w:tl2br w:val="nil"/>
              <w:tr2bl w:val="nil"/>
            </w:tcBorders>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综合气体采样器/2050</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eastAsia="zh-CN"/>
              </w:rPr>
            </w:pPr>
            <w:r>
              <w:rPr>
                <w:rFonts w:hint="eastAsia" w:ascii="Times New Roman" w:hAnsi="Times New Roman" w:cs="Times New Roman"/>
                <w:color w:val="000000"/>
                <w:kern w:val="0"/>
                <w:sz w:val="21"/>
                <w:szCs w:val="21"/>
                <w:highlight w:val="none"/>
              </w:rPr>
              <w:t>分光光度计/T6新悦</w:t>
            </w:r>
          </w:p>
        </w:tc>
        <w:tc>
          <w:tcPr>
            <w:tcW w:w="2018" w:type="dxa"/>
            <w:tcBorders>
              <w:tl2br w:val="nil"/>
              <w:tr2bl w:val="nil"/>
            </w:tcBorders>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eastAsia="zh-CN"/>
              </w:rPr>
            </w:pPr>
            <w:r>
              <w:rPr>
                <w:rFonts w:hint="eastAsia" w:ascii="Times New Roman" w:hAnsi="Times New Roman" w:cs="Times New Roman"/>
                <w:color w:val="000000"/>
                <w:kern w:val="0"/>
                <w:sz w:val="21"/>
                <w:szCs w:val="21"/>
                <w:highlight w:val="none"/>
              </w:rPr>
              <w:t>0.001mg/m</w:t>
            </w:r>
            <w:r>
              <w:rPr>
                <w:rFonts w:hint="eastAsia" w:ascii="Times New Roman" w:hAnsi="Times New Roman" w:cs="Times New Roman"/>
                <w:color w:val="000000"/>
                <w:kern w:val="0"/>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H</w:t>
            </w:r>
            <w:r>
              <w:rPr>
                <w:rFonts w:hint="eastAsia" w:cs="Times New Roman"/>
                <w:color w:val="000000"/>
                <w:kern w:val="0"/>
                <w:sz w:val="21"/>
                <w:szCs w:val="21"/>
                <w:highlight w:val="none"/>
                <w:vertAlign w:val="subscript"/>
                <w:lang w:val="en-US" w:eastAsia="zh-CN"/>
              </w:rPr>
              <w:t>2</w:t>
            </w:r>
            <w:r>
              <w:rPr>
                <w:rFonts w:hint="eastAsia" w:cs="Times New Roman"/>
                <w:color w:val="000000"/>
                <w:kern w:val="0"/>
                <w:sz w:val="21"/>
                <w:szCs w:val="21"/>
                <w:highlight w:val="none"/>
                <w:lang w:val="en-US" w:eastAsia="zh-CN"/>
              </w:rPr>
              <w:t>S</w:t>
            </w:r>
          </w:p>
        </w:tc>
        <w:tc>
          <w:tcPr>
            <w:tcW w:w="3028"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环境空气和废气 氨的测定 纳氏试剂分光光度法  HJ 533-2009</w:t>
            </w:r>
          </w:p>
        </w:tc>
        <w:tc>
          <w:tcPr>
            <w:tcW w:w="2168" w:type="dxa"/>
            <w:tcBorders>
              <w:tl2br w:val="nil"/>
              <w:tr2bl w:val="nil"/>
            </w:tcBorders>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综合气体采样器/2050</w:t>
            </w:r>
          </w:p>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分光光度计/T6新悦</w:t>
            </w:r>
          </w:p>
        </w:tc>
        <w:tc>
          <w:tcPr>
            <w:tcW w:w="2018"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0.01 mg/m</w:t>
            </w:r>
            <w:r>
              <w:rPr>
                <w:rFonts w:hint="eastAsia" w:ascii="Times New Roman" w:hAnsi="Times New Roman" w:cs="Times New Roman"/>
                <w:color w:val="000000"/>
                <w:kern w:val="0"/>
                <w:sz w:val="21"/>
                <w:szCs w:val="21"/>
                <w:highlight w:val="none"/>
                <w:vertAlign w:val="superscript"/>
              </w:rPr>
              <w:t>3</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rPr>
      </w:pPr>
      <w:r>
        <w:rPr>
          <w:rFonts w:hint="default" w:asciiTheme="minorEastAsia" w:hAnsiTheme="minorEastAsia" w:eastAsiaTheme="minorEastAsia" w:cstheme="minorEastAsia"/>
          <w:highlight w:val="none"/>
        </w:rPr>
        <w:t>③</w:t>
      </w:r>
      <w:r>
        <w:rPr>
          <w:rFonts w:hint="eastAsia" w:asciiTheme="minorEastAsia" w:hAnsiTheme="minorEastAsia" w:eastAsiaTheme="minorEastAsia" w:cstheme="minorEastAsia"/>
          <w:highlight w:val="none"/>
        </w:rPr>
        <w:t>监测时间</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监测时间为</w:t>
      </w:r>
      <w:r>
        <w:rPr>
          <w:rFonts w:hint="default" w:ascii="Times New Roman" w:hAnsi="Times New Roman" w:cs="Times New Roman" w:eastAsiaTheme="minorEastAsia"/>
          <w:highlight w:val="none"/>
          <w:lang w:val="en-US" w:eastAsia="zh-CN"/>
        </w:rPr>
        <w:t>2020</w:t>
      </w:r>
      <w:r>
        <w:rPr>
          <w:rFonts w:hint="default" w:ascii="Times New Roman" w:hAnsi="Times New Roman" w:cs="Times New Roman" w:eastAsiaTheme="minorEastAsia"/>
          <w:highlight w:val="none"/>
        </w:rPr>
        <w:t>年</w:t>
      </w:r>
      <w:r>
        <w:rPr>
          <w:rFonts w:hint="default" w:ascii="Times New Roman" w:hAnsi="Times New Roman" w:cs="Times New Roman" w:eastAsiaTheme="minorEastAsia"/>
          <w:highlight w:val="none"/>
          <w:lang w:val="en-US" w:eastAsia="zh-CN"/>
        </w:rPr>
        <w:t>5</w:t>
      </w:r>
      <w:r>
        <w:rPr>
          <w:rFonts w:hint="default" w:ascii="Times New Roman" w:hAnsi="Times New Roman" w:cs="Times New Roman" w:eastAsiaTheme="minorEastAsia"/>
          <w:highlight w:val="none"/>
        </w:rPr>
        <w:t>月</w:t>
      </w:r>
      <w:r>
        <w:rPr>
          <w:rFonts w:hint="default" w:ascii="Times New Roman" w:hAnsi="Times New Roman" w:cs="Times New Roman" w:eastAsiaTheme="minorEastAsia"/>
          <w:highlight w:val="none"/>
          <w:lang w:val="en-US" w:eastAsia="zh-CN"/>
        </w:rPr>
        <w:t>2</w:t>
      </w:r>
      <w:r>
        <w:rPr>
          <w:rFonts w:hint="default" w:ascii="Times New Roman" w:hAnsi="Times New Roman" w:cs="Times New Roman" w:eastAsiaTheme="minorEastAsia"/>
          <w:highlight w:val="none"/>
        </w:rPr>
        <w:t>日-20</w:t>
      </w:r>
      <w:r>
        <w:rPr>
          <w:rFonts w:hint="default" w:ascii="Times New Roman" w:hAnsi="Times New Roman" w:cs="Times New Roman" w:eastAsiaTheme="minorEastAsia"/>
          <w:highlight w:val="none"/>
          <w:lang w:val="en-US" w:eastAsia="zh-CN"/>
        </w:rPr>
        <w:t>20</w:t>
      </w:r>
      <w:r>
        <w:rPr>
          <w:rFonts w:hint="default" w:ascii="Times New Roman" w:hAnsi="Times New Roman" w:cs="Times New Roman" w:eastAsiaTheme="minorEastAsia"/>
          <w:highlight w:val="none"/>
        </w:rPr>
        <w:t>年</w:t>
      </w:r>
      <w:r>
        <w:rPr>
          <w:rFonts w:hint="default" w:ascii="Times New Roman" w:hAnsi="Times New Roman" w:cs="Times New Roman" w:eastAsiaTheme="minorEastAsia"/>
          <w:highlight w:val="none"/>
          <w:lang w:val="en-US" w:eastAsia="zh-CN"/>
        </w:rPr>
        <w:t>5</w:t>
      </w:r>
      <w:r>
        <w:rPr>
          <w:rFonts w:hint="default" w:ascii="Times New Roman" w:hAnsi="Times New Roman" w:cs="Times New Roman" w:eastAsiaTheme="minorEastAsia"/>
          <w:highlight w:val="none"/>
        </w:rPr>
        <w:t>月</w:t>
      </w:r>
      <w:r>
        <w:rPr>
          <w:rFonts w:hint="default" w:ascii="Times New Roman" w:hAnsi="Times New Roman" w:cs="Times New Roman" w:eastAsiaTheme="minorEastAsia"/>
          <w:highlight w:val="none"/>
          <w:lang w:val="en-US" w:eastAsia="zh-CN"/>
        </w:rPr>
        <w:t>8</w:t>
      </w:r>
      <w:r>
        <w:rPr>
          <w:rFonts w:hint="default" w:ascii="Times New Roman" w:hAnsi="Times New Roman" w:cs="Times New Roman" w:eastAsiaTheme="minorEastAsia"/>
          <w:highlight w:val="none"/>
        </w:rPr>
        <w:t>日。</w:t>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b/>
          <w:bCs/>
          <w:color w:val="000000"/>
          <w:sz w:val="24"/>
          <w:highlight w:val="none"/>
        </w:rPr>
      </w:pPr>
      <w:r>
        <w:rPr>
          <w:rFonts w:hint="eastAsia" w:ascii="宋体" w:hAnsi="宋体" w:eastAsia="宋体" w:cs="宋体"/>
          <w:highlight w:val="none"/>
        </w:rPr>
        <w:t>④</w:t>
      </w:r>
      <w:r>
        <w:rPr>
          <w:rFonts w:ascii="Times New Roman" w:hAnsi="Times New Roman"/>
          <w:b w:val="0"/>
          <w:bCs w:val="0"/>
          <w:color w:val="000000"/>
          <w:sz w:val="24"/>
          <w:highlight w:val="none"/>
        </w:rPr>
        <w:t>评价因子和评价方法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评价因子采用单因子污染指数法进行评价。具体公式为：</w:t>
      </w:r>
    </w:p>
    <w:p>
      <w:pPr>
        <w:keepNext w:val="0"/>
        <w:keepLines w:val="0"/>
        <w:pageBreakBefore w:val="0"/>
        <w:kinsoku/>
        <w:wordWrap/>
        <w:overflowPunct/>
        <w:topLinePunct w:val="0"/>
        <w:autoSpaceDE/>
        <w:autoSpaceDN/>
        <w:bidi w:val="0"/>
        <w:adjustRightInd/>
        <w:snapToGrid/>
        <w:spacing w:line="360" w:lineRule="auto"/>
        <w:ind w:firstLine="570"/>
        <w:jc w:val="center"/>
        <w:textAlignment w:val="auto"/>
        <w:rPr>
          <w:rFonts w:ascii="Times New Roman" w:hAnsi="Times New Roman"/>
          <w:color w:val="000000"/>
          <w:sz w:val="24"/>
          <w:highlight w:val="none"/>
        </w:rPr>
      </w:pPr>
      <w:r>
        <w:rPr>
          <w:rFonts w:ascii="Times New Roman" w:hAnsi="Times New Roman"/>
          <w:color w:val="000000"/>
          <w:sz w:val="24"/>
          <w:highlight w:val="none"/>
        </w:rPr>
        <w:t>Pi = Ci / Coi</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式中：Pi—i种污染物的污染指数，无量纲；</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 xml:space="preserve">          Ci—i种污染物的实测浓度，mg/m</w:t>
      </w:r>
      <w:r>
        <w:rPr>
          <w:rFonts w:ascii="Times New Roman" w:hAnsi="Times New Roman"/>
          <w:color w:val="000000"/>
          <w:sz w:val="24"/>
          <w:highlight w:val="none"/>
          <w:vertAlign w:val="superscript"/>
        </w:rPr>
        <w:t>3</w:t>
      </w:r>
      <w:r>
        <w:rPr>
          <w:rFonts w:ascii="Times New Roman" w:hAnsi="Times New Roman"/>
          <w:color w:val="000000"/>
          <w:sz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highlight w:val="none"/>
        </w:rPr>
      </w:pPr>
      <w:r>
        <w:rPr>
          <w:rFonts w:ascii="Times New Roman" w:hAnsi="Times New Roman"/>
          <w:color w:val="000000"/>
          <w:sz w:val="24"/>
          <w:highlight w:val="none"/>
        </w:rPr>
        <w:t xml:space="preserve">          Coi—i种污染物的评价标准值，mg/m</w:t>
      </w:r>
      <w:r>
        <w:rPr>
          <w:rFonts w:ascii="Times New Roman" w:hAnsi="Times New Roman"/>
          <w:color w:val="000000"/>
          <w:sz w:val="24"/>
          <w:highlight w:val="none"/>
          <w:vertAlign w:val="superscript"/>
        </w:rPr>
        <w:t>3</w:t>
      </w:r>
      <w:r>
        <w:rPr>
          <w:rFonts w:ascii="Times New Roman" w:hAnsi="Times New Roman"/>
          <w:color w:val="000000"/>
          <w:sz w:val="24"/>
          <w:highlight w:val="none"/>
        </w:rPr>
        <w:t>。</w:t>
      </w:r>
    </w:p>
    <w:p>
      <w:pPr>
        <w:pStyle w:val="2"/>
        <w:keepNext w:val="0"/>
        <w:keepLines w:val="0"/>
        <w:pageBreakBefore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⑤评价标准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sz w:val="24"/>
          <w:szCs w:val="22"/>
          <w:highlight w:val="none"/>
        </w:rPr>
      </w:pPr>
      <w:r>
        <w:rPr>
          <w:rFonts w:ascii="Times New Roman" w:hAnsi="Times New Roman" w:cs="Times New Roman"/>
          <w:color w:val="000000"/>
          <w:sz w:val="24"/>
          <w:szCs w:val="22"/>
          <w:highlight w:val="none"/>
        </w:rPr>
        <w:t>根据</w:t>
      </w:r>
      <w:r>
        <w:rPr>
          <w:rFonts w:ascii="Times New Roman" w:hAnsi="Times New Roman" w:cs="Times New Roman"/>
          <w:sz w:val="24"/>
          <w:szCs w:val="22"/>
          <w:highlight w:val="none"/>
        </w:rPr>
        <w:t>《环境影响评价技术导则 大气环境（HJ2.2-2018）》中附录D</w:t>
      </w:r>
      <w:r>
        <w:rPr>
          <w:rFonts w:ascii="Times New Roman" w:hAnsi="Times New Roman" w:cs="Times New Roman"/>
          <w:color w:val="000000"/>
          <w:sz w:val="24"/>
          <w:szCs w:val="22"/>
          <w:highlight w:val="none"/>
        </w:rPr>
        <w:t>的最高允许浓度限值，评价执行标准具体见表3.3-</w:t>
      </w:r>
      <w:r>
        <w:rPr>
          <w:rFonts w:hint="eastAsia" w:cs="Times New Roman"/>
          <w:color w:val="000000"/>
          <w:sz w:val="24"/>
          <w:szCs w:val="22"/>
          <w:highlight w:val="none"/>
          <w:lang w:val="en-US" w:eastAsia="zh-CN"/>
        </w:rPr>
        <w:t>4</w:t>
      </w:r>
      <w:r>
        <w:rPr>
          <w:rFonts w:ascii="Times New Roman" w:hAnsi="Times New Roman" w:cs="Times New Roman"/>
          <w:color w:val="000000"/>
          <w:sz w:val="24"/>
          <w:szCs w:val="22"/>
          <w:highlight w:val="none"/>
        </w:rPr>
        <w:t>。</w:t>
      </w:r>
    </w:p>
    <w:p>
      <w:pPr>
        <w:adjustRightInd w:val="0"/>
        <w:snapToGrid w:val="0"/>
        <w:spacing w:line="240" w:lineRule="auto"/>
        <w:ind w:firstLine="0" w:firstLineChars="0"/>
        <w:jc w:val="center"/>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表3.3-4 环境空气质量标准</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856"/>
        <w:gridCol w:w="1618"/>
        <w:gridCol w:w="3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污染物名称</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取值时间</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单位</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一次值</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mg/m</w:t>
            </w:r>
            <w:r>
              <w:rPr>
                <w:rFonts w:ascii="Times New Roman" w:hAnsi="Times New Roman" w:cs="Times New Roman"/>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一次值</w:t>
            </w:r>
          </w:p>
        </w:tc>
        <w:tc>
          <w:tcPr>
            <w:tcW w:w="950" w:type="pct"/>
            <w:noWrap/>
            <w:vAlign w:val="center"/>
          </w:tcPr>
          <w:p>
            <w:pPr>
              <w:widowControl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mg/m</w:t>
            </w:r>
            <w:r>
              <w:rPr>
                <w:rFonts w:ascii="Times New Roman" w:hAnsi="Times New Roman" w:cs="Times New Roman"/>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0.20</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heme="minorEastAsia" w:hAnsiTheme="minorEastAsia" w:eastAsiaTheme="minorEastAsia" w:cstheme="minorEastAsia"/>
          <w:highlight w:val="none"/>
        </w:rPr>
      </w:pPr>
      <w:r>
        <w:rPr>
          <w:rFonts w:hint="eastAsia" w:ascii="宋体" w:hAnsi="宋体" w:eastAsia="宋体" w:cs="宋体"/>
          <w:highlight w:val="none"/>
        </w:rPr>
        <w:t>⑥</w:t>
      </w:r>
      <w:r>
        <w:rPr>
          <w:rFonts w:hint="default" w:asciiTheme="minorEastAsia" w:hAnsiTheme="minorEastAsia" w:eastAsiaTheme="minorEastAsia" w:cstheme="minorEastAsia"/>
          <w:highlight w:val="none"/>
        </w:rPr>
        <w:t>监测结果统计与评价</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具体监测结果如下：</w:t>
      </w:r>
    </w:p>
    <w:p>
      <w:pPr>
        <w:adjustRightInd w:val="0"/>
        <w:snapToGrid w:val="0"/>
        <w:spacing w:line="240" w:lineRule="auto"/>
        <w:ind w:firstLine="0" w:firstLineChars="0"/>
        <w:jc w:val="center"/>
        <w:rPr>
          <w:rFonts w:hint="eastAsia" w:ascii="Times New Roman" w:hAnsi="Times New Roman" w:eastAsia="宋体" w:cs="Times New Roman"/>
          <w:b/>
          <w:kern w:val="2"/>
          <w:sz w:val="21"/>
          <w:szCs w:val="24"/>
          <w:highlight w:val="none"/>
          <w:vertAlign w:val="superscript"/>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w:t>
      </w:r>
      <w:r>
        <w:rPr>
          <w:rFonts w:hint="eastAsia" w:cs="Times New Roman"/>
          <w:b/>
          <w:kern w:val="2"/>
          <w:sz w:val="21"/>
          <w:szCs w:val="24"/>
          <w:highlight w:val="none"/>
          <w:lang w:val="en-US" w:eastAsia="zh-CN" w:bidi="ar-SA"/>
        </w:rPr>
        <w:t xml:space="preserve">5 </w:t>
      </w:r>
      <w:r>
        <w:rPr>
          <w:rFonts w:hint="eastAsia" w:ascii="Times New Roman" w:hAnsi="Times New Roman" w:eastAsia="宋体" w:cs="Times New Roman"/>
          <w:b/>
          <w:kern w:val="2"/>
          <w:sz w:val="21"/>
          <w:szCs w:val="24"/>
          <w:highlight w:val="none"/>
          <w:lang w:val="en-US" w:eastAsia="zh-CN" w:bidi="ar-SA"/>
        </w:rPr>
        <w:t xml:space="preserve">环境空气质量现状评价结果  </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696"/>
        <w:gridCol w:w="1238"/>
        <w:gridCol w:w="1177"/>
        <w:gridCol w:w="895"/>
        <w:gridCol w:w="819"/>
        <w:gridCol w:w="1486"/>
        <w:gridCol w:w="1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5" w:type="dxa"/>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监测点位</w:t>
            </w:r>
          </w:p>
        </w:tc>
        <w:tc>
          <w:tcPr>
            <w:tcW w:w="696" w:type="dxa"/>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监测项目</w:t>
            </w:r>
          </w:p>
        </w:tc>
        <w:tc>
          <w:tcPr>
            <w:tcW w:w="1238" w:type="dxa"/>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测值范围（mg/m</w:t>
            </w:r>
            <w:r>
              <w:rPr>
                <w:rFonts w:hint="eastAsia" w:ascii="Times New Roman" w:hAnsi="Times New Roman" w:cs="Times New Roman"/>
                <w:color w:val="000000"/>
                <w:kern w:val="0"/>
                <w:sz w:val="21"/>
                <w:szCs w:val="21"/>
                <w:highlight w:val="none"/>
                <w:vertAlign w:val="superscript"/>
              </w:rPr>
              <w:t>3</w:t>
            </w:r>
            <w:r>
              <w:rPr>
                <w:rFonts w:hint="eastAsia" w:ascii="Times New Roman" w:hAnsi="Times New Roman" w:cs="Times New Roman"/>
                <w:color w:val="000000"/>
                <w:kern w:val="0"/>
                <w:sz w:val="21"/>
                <w:szCs w:val="21"/>
                <w:highlight w:val="none"/>
              </w:rPr>
              <w:t>）</w:t>
            </w:r>
          </w:p>
        </w:tc>
        <w:tc>
          <w:tcPr>
            <w:tcW w:w="1177" w:type="dxa"/>
            <w:noWrap/>
            <w:vAlign w:val="center"/>
          </w:tcPr>
          <w:p>
            <w:pPr>
              <w:widowControl/>
              <w:spacing w:line="240" w:lineRule="auto"/>
              <w:ind w:left="0" w:leftChars="0" w:firstLine="0" w:firstLineChars="0"/>
              <w:jc w:val="center"/>
              <w:rPr>
                <w:rFonts w:ascii="Times New Roman" w:hAnsi="Times New Roman" w:cs="Times New Roman"/>
                <w:b w:val="0"/>
                <w:bCs/>
                <w:sz w:val="21"/>
                <w:szCs w:val="21"/>
                <w:highlight w:val="none"/>
              </w:rPr>
            </w:pPr>
            <w:r>
              <w:rPr>
                <w:rFonts w:hint="eastAsia" w:ascii="Times New Roman" w:hAnsi="Times New Roman" w:cs="Times New Roman"/>
                <w:color w:val="000000"/>
                <w:kern w:val="0"/>
                <w:sz w:val="21"/>
                <w:szCs w:val="21"/>
                <w:highlight w:val="none"/>
              </w:rPr>
              <w:t>评价标准（mg/m</w:t>
            </w:r>
            <w:r>
              <w:rPr>
                <w:rFonts w:hint="eastAsia" w:ascii="Times New Roman" w:hAnsi="Times New Roman" w:cs="Times New Roman"/>
                <w:color w:val="000000"/>
                <w:kern w:val="0"/>
                <w:sz w:val="21"/>
                <w:szCs w:val="21"/>
                <w:highlight w:val="none"/>
                <w:vertAlign w:val="superscript"/>
              </w:rPr>
              <w:t>3</w:t>
            </w:r>
            <w:r>
              <w:rPr>
                <w:rFonts w:hint="eastAsia" w:ascii="Times New Roman" w:hAnsi="Times New Roman" w:cs="Times New Roman"/>
                <w:color w:val="000000"/>
                <w:kern w:val="0"/>
                <w:sz w:val="21"/>
                <w:szCs w:val="21"/>
                <w:highlight w:val="none"/>
              </w:rPr>
              <w:t>）</w:t>
            </w:r>
          </w:p>
        </w:tc>
        <w:tc>
          <w:tcPr>
            <w:tcW w:w="895" w:type="dxa"/>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超标率</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w:t>
            </w:r>
          </w:p>
        </w:tc>
        <w:tc>
          <w:tcPr>
            <w:tcW w:w="819" w:type="dxa"/>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达标</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情况</w:t>
            </w:r>
          </w:p>
        </w:tc>
        <w:tc>
          <w:tcPr>
            <w:tcW w:w="1486" w:type="dxa"/>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标准指数范围</w:t>
            </w:r>
          </w:p>
        </w:tc>
        <w:tc>
          <w:tcPr>
            <w:tcW w:w="1500" w:type="dxa"/>
            <w:noWrap/>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最大质量浓度值占标率（%）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05" w:type="dxa"/>
            <w:vMerge w:val="restart"/>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黎刘庄</w:t>
            </w: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1238"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ascii="Times New Roman" w:hAnsi="Times New Roman"/>
                <w:bCs/>
                <w:sz w:val="21"/>
                <w:szCs w:val="21"/>
                <w:highlight w:val="none"/>
              </w:rPr>
              <w:t>未检出</w:t>
            </w:r>
          </w:p>
        </w:tc>
        <w:tc>
          <w:tcPr>
            <w:tcW w:w="1177" w:type="dxa"/>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0.01</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1500"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1238" w:type="dxa"/>
            <w:noWrap/>
            <w:vAlign w:val="center"/>
          </w:tcPr>
          <w:p>
            <w:pPr>
              <w:widowControl w:val="0"/>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0.023-0.068</w:t>
            </w:r>
          </w:p>
        </w:tc>
        <w:tc>
          <w:tcPr>
            <w:tcW w:w="1177" w:type="dxa"/>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0.20</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0.115-0.34</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restar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崔堂</w:t>
            </w: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1238" w:type="dxa"/>
            <w:noWrap/>
            <w:vAlign w:val="center"/>
          </w:tcPr>
          <w:p>
            <w:pPr>
              <w:widowControl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未检出</w:t>
            </w:r>
          </w:p>
        </w:tc>
        <w:tc>
          <w:tcPr>
            <w:tcW w:w="1177" w:type="dxa"/>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0.01</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1500"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1238" w:type="dxa"/>
            <w:noWrap/>
            <w:vAlign w:val="center"/>
          </w:tcPr>
          <w:p>
            <w:pPr>
              <w:widowControl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0.023-0.077</w:t>
            </w:r>
          </w:p>
        </w:tc>
        <w:tc>
          <w:tcPr>
            <w:tcW w:w="1177" w:type="dxa"/>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0.20</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hint="eastAsia" w:cs="Times New Roman"/>
                <w:sz w:val="21"/>
                <w:szCs w:val="21"/>
                <w:highlight w:val="none"/>
                <w:lang w:val="en-US" w:eastAsia="zh-CN"/>
              </w:rPr>
              <w:t>0.115-0.385</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restart"/>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刘小庄</w:t>
            </w: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H</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S</w:t>
            </w:r>
          </w:p>
        </w:tc>
        <w:tc>
          <w:tcPr>
            <w:tcW w:w="1238" w:type="dxa"/>
            <w:noWrap/>
            <w:vAlign w:val="center"/>
          </w:tcPr>
          <w:p>
            <w:pPr>
              <w:widowControl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未检出</w:t>
            </w:r>
          </w:p>
        </w:tc>
        <w:tc>
          <w:tcPr>
            <w:tcW w:w="1177" w:type="dxa"/>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0.01</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1500"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p>
        </w:tc>
        <w:tc>
          <w:tcPr>
            <w:tcW w:w="1238" w:type="dxa"/>
            <w:noWrap/>
            <w:vAlign w:val="center"/>
          </w:tcPr>
          <w:p>
            <w:pPr>
              <w:widowControl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0.023-0.073</w:t>
            </w:r>
          </w:p>
        </w:tc>
        <w:tc>
          <w:tcPr>
            <w:tcW w:w="1177" w:type="dxa"/>
            <w:noWrap/>
            <w:vAlign w:val="center"/>
          </w:tcPr>
          <w:p>
            <w:pPr>
              <w:widowControl/>
              <w:spacing w:line="240" w:lineRule="auto"/>
              <w:ind w:left="0" w:leftChars="0" w:firstLine="0" w:firstLineChars="0"/>
              <w:jc w:val="center"/>
              <w:rPr>
                <w:rFonts w:ascii="Times New Roman" w:hAnsi="Times New Roman" w:cs="Times New Roman"/>
                <w:sz w:val="21"/>
                <w:szCs w:val="21"/>
                <w:highlight w:val="none"/>
              </w:rPr>
            </w:pPr>
            <w:r>
              <w:rPr>
                <w:rFonts w:hint="eastAsia" w:ascii="Times New Roman" w:hAnsi="Times New Roman" w:cs="Times New Roman"/>
                <w:color w:val="000000"/>
                <w:kern w:val="0"/>
                <w:sz w:val="21"/>
                <w:szCs w:val="21"/>
                <w:highlight w:val="none"/>
              </w:rPr>
              <w:t>0.20</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sz w:val="21"/>
                <w:szCs w:val="21"/>
                <w:highlight w:val="none"/>
              </w:rPr>
            </w:pPr>
            <w:r>
              <w:rPr>
                <w:rFonts w:ascii="Times New Roman" w:hAnsi="Times New Roman"/>
                <w:bCs/>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lang w:val="en-US"/>
              </w:rPr>
            </w:pPr>
            <w:r>
              <w:rPr>
                <w:rFonts w:hint="eastAsia" w:cs="Times New Roman"/>
                <w:sz w:val="21"/>
                <w:szCs w:val="21"/>
                <w:highlight w:val="none"/>
                <w:lang w:val="en-US" w:eastAsia="zh-CN"/>
              </w:rPr>
              <w:t>0.115-0.365</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36.5%</w:t>
            </w:r>
          </w:p>
        </w:tc>
      </w:tr>
    </w:tbl>
    <w:p>
      <w:pPr>
        <w:pStyle w:val="2"/>
        <w:rPr>
          <w:rFonts w:hint="eastAsia" w:asciiTheme="minorEastAsia" w:hAnsiTheme="minorEastAsia" w:eastAsiaTheme="minorEastAsia" w:cstheme="minorEastAsia"/>
          <w:highlight w:val="none"/>
        </w:rPr>
      </w:pPr>
    </w:p>
    <w:p>
      <w:pPr>
        <w:rPr>
          <w:rFonts w:hint="eastAsia" w:asciiTheme="minorEastAsia" w:hAnsiTheme="minorEastAsia" w:eastAsiaTheme="minorEastAsia" w:cstheme="minorEastAsia"/>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highlight w:val="none"/>
        </w:rPr>
      </w:pPr>
      <w:r>
        <w:rPr>
          <w:highlight w:val="none"/>
        </w:rPr>
        <w:t>由表</w:t>
      </w:r>
      <w:r>
        <w:rPr>
          <w:rFonts w:hint="eastAsia"/>
          <w:highlight w:val="none"/>
          <w:lang w:val="en-US" w:eastAsia="zh-CN"/>
        </w:rPr>
        <w:t>3</w:t>
      </w:r>
      <w:r>
        <w:rPr>
          <w:rFonts w:hint="eastAsia"/>
          <w:highlight w:val="none"/>
        </w:rPr>
        <w:t>.3-</w:t>
      </w:r>
      <w:r>
        <w:rPr>
          <w:rFonts w:hint="eastAsia"/>
          <w:highlight w:val="none"/>
          <w:lang w:val="en-US" w:eastAsia="zh-CN"/>
        </w:rPr>
        <w:t>5</w:t>
      </w:r>
      <w:r>
        <w:rPr>
          <w:highlight w:val="none"/>
        </w:rPr>
        <w:t>可</w:t>
      </w:r>
      <w:r>
        <w:rPr>
          <w:rFonts w:hint="eastAsia"/>
          <w:highlight w:val="none"/>
        </w:rPr>
        <w:t>知</w:t>
      </w:r>
      <w:r>
        <w:rPr>
          <w:highlight w:val="none"/>
        </w:rPr>
        <w:t>，区域环境空气质量良好，监测期间</w:t>
      </w:r>
      <w:r>
        <w:rPr>
          <w:rFonts w:hint="eastAsia" w:ascii="Times New Roman" w:hAnsi="Times New Roman"/>
          <w:sz w:val="24"/>
          <w:szCs w:val="28"/>
          <w:highlight w:val="none"/>
        </w:rPr>
        <w:t>项目周围敏感点</w:t>
      </w:r>
      <w:r>
        <w:rPr>
          <w:rFonts w:hint="eastAsia"/>
          <w:highlight w:val="none"/>
          <w:lang w:eastAsia="zh-CN"/>
        </w:rPr>
        <w:t>黎刘庄、崔堂、刘小庄</w:t>
      </w:r>
      <w:r>
        <w:rPr>
          <w:rFonts w:hint="eastAsia" w:ascii="Times New Roman" w:hAnsi="Times New Roman"/>
          <w:sz w:val="24"/>
          <w:szCs w:val="28"/>
          <w:highlight w:val="none"/>
        </w:rPr>
        <w:t>环境空气中</w:t>
      </w:r>
      <w:r>
        <w:rPr>
          <w:rFonts w:ascii="Times New Roman" w:hAnsi="Times New Roman"/>
          <w:sz w:val="24"/>
          <w:szCs w:val="28"/>
          <w:highlight w:val="none"/>
        </w:rPr>
        <w:t>NH</w:t>
      </w:r>
      <w:r>
        <w:rPr>
          <w:rFonts w:ascii="Times New Roman" w:hAnsi="Times New Roman"/>
          <w:sz w:val="24"/>
          <w:szCs w:val="28"/>
          <w:highlight w:val="none"/>
          <w:vertAlign w:val="subscript"/>
        </w:rPr>
        <w:t>3</w:t>
      </w:r>
      <w:r>
        <w:rPr>
          <w:rFonts w:ascii="Times New Roman" w:hAnsi="Times New Roman"/>
          <w:sz w:val="24"/>
          <w:szCs w:val="28"/>
          <w:highlight w:val="none"/>
        </w:rPr>
        <w:t>和H</w:t>
      </w:r>
      <w:r>
        <w:rPr>
          <w:rFonts w:ascii="Times New Roman" w:hAnsi="Times New Roman"/>
          <w:sz w:val="24"/>
          <w:szCs w:val="28"/>
          <w:highlight w:val="none"/>
          <w:vertAlign w:val="subscript"/>
        </w:rPr>
        <w:t>2</w:t>
      </w:r>
      <w:r>
        <w:rPr>
          <w:rFonts w:ascii="Times New Roman" w:hAnsi="Times New Roman"/>
          <w:sz w:val="24"/>
          <w:szCs w:val="28"/>
          <w:highlight w:val="none"/>
        </w:rPr>
        <w:t>S小时平均浓度值均符合《环境影响评价技术导则 大气环境（HJ2.2-2018）》中附录D中有害物质的最高允许浓度</w:t>
      </w:r>
      <w:r>
        <w:rPr>
          <w:rFonts w:hint="eastAsia"/>
          <w:highlight w:val="none"/>
        </w:rPr>
        <w:t>。</w:t>
      </w:r>
    </w:p>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.2地表水环境质量现状监测与评价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highlight w:val="none"/>
        </w:rPr>
        <w:t>为了解项目区域的地表水环境质量现状，</w:t>
      </w:r>
      <w:r>
        <w:rPr>
          <w:rFonts w:hint="eastAsia" w:eastAsia="宋体"/>
          <w:highlight w:val="none"/>
          <w:lang w:eastAsia="zh-CN"/>
        </w:rPr>
        <w:t>河南政检检测研究院有限公司</w:t>
      </w:r>
      <w:r>
        <w:rPr>
          <w:rFonts w:hint="eastAsia"/>
          <w:highlight w:val="none"/>
        </w:rPr>
        <w:t>于</w:t>
      </w:r>
      <w:r>
        <w:rPr>
          <w:rFonts w:hint="eastAsia" w:ascii="Times New Roman" w:eastAsia="宋体"/>
          <w:highlight w:val="none"/>
          <w:lang w:val="en-US" w:eastAsia="zh-CN"/>
        </w:rPr>
        <w:t>2020</w:t>
      </w:r>
      <w:r>
        <w:rPr>
          <w:rFonts w:hint="eastAsia"/>
          <w:highlight w:val="none"/>
        </w:rPr>
        <w:t>年</w:t>
      </w:r>
      <w:r>
        <w:rPr>
          <w:rFonts w:hint="eastAsia" w:ascii="Times New Roman" w:eastAsia="宋体"/>
          <w:highlight w:val="none"/>
          <w:lang w:val="en-US" w:eastAsia="zh-CN"/>
        </w:rPr>
        <w:t>5</w:t>
      </w:r>
      <w:r>
        <w:rPr>
          <w:rFonts w:hint="eastAsia"/>
          <w:highlight w:val="none"/>
        </w:rPr>
        <w:t>月</w:t>
      </w:r>
      <w:r>
        <w:rPr>
          <w:rFonts w:hint="eastAsia" w:ascii="Times New Roman" w:eastAsia="宋体"/>
          <w:highlight w:val="none"/>
          <w:lang w:val="en-US" w:eastAsia="zh-CN"/>
        </w:rPr>
        <w:t>2</w:t>
      </w:r>
      <w:r>
        <w:rPr>
          <w:rFonts w:hint="eastAsia"/>
          <w:highlight w:val="none"/>
        </w:rPr>
        <w:t>日-20</w:t>
      </w:r>
      <w:r>
        <w:rPr>
          <w:rFonts w:hint="eastAsia" w:ascii="Times New Roman" w:eastAsia="宋体"/>
          <w:highlight w:val="none"/>
          <w:lang w:val="en-US" w:eastAsia="zh-CN"/>
        </w:rPr>
        <w:t>20</w:t>
      </w:r>
      <w:r>
        <w:rPr>
          <w:rFonts w:hint="eastAsia"/>
          <w:highlight w:val="none"/>
        </w:rPr>
        <w:t>年</w:t>
      </w:r>
      <w:r>
        <w:rPr>
          <w:rFonts w:hint="eastAsia" w:ascii="Times New Roman" w:eastAsia="宋体"/>
          <w:highlight w:val="none"/>
          <w:lang w:val="en-US" w:eastAsia="zh-CN"/>
        </w:rPr>
        <w:t>5</w:t>
      </w:r>
      <w:r>
        <w:rPr>
          <w:rFonts w:hint="eastAsia"/>
          <w:highlight w:val="none"/>
        </w:rPr>
        <w:t>月</w:t>
      </w:r>
      <w:r>
        <w:rPr>
          <w:rFonts w:hint="eastAsia" w:ascii="Times New Roman" w:eastAsia="宋体"/>
          <w:highlight w:val="none"/>
          <w:lang w:val="en-US" w:eastAsia="zh-CN"/>
        </w:rPr>
        <w:t>8</w:t>
      </w:r>
      <w:r>
        <w:rPr>
          <w:rFonts w:hint="eastAsia"/>
          <w:highlight w:val="none"/>
        </w:rPr>
        <w:t>日对本项目北侧清水河沿项目上游500米</w:t>
      </w:r>
      <w:r>
        <w:rPr>
          <w:rFonts w:hint="eastAsia"/>
          <w:highlight w:val="none"/>
          <w:lang w:eastAsia="zh-CN"/>
        </w:rPr>
        <w:t>、</w:t>
      </w:r>
      <w:r>
        <w:rPr>
          <w:rFonts w:hint="eastAsia"/>
          <w:highlight w:val="none"/>
        </w:rPr>
        <w:t>清水河沿项目下游500米</w:t>
      </w:r>
      <w:r>
        <w:rPr>
          <w:rFonts w:hint="eastAsia" w:eastAsia="宋体"/>
          <w:highlight w:val="none"/>
          <w:lang w:eastAsia="zh-CN"/>
        </w:rPr>
        <w:t>进行了</w:t>
      </w:r>
      <w:r>
        <w:rPr>
          <w:rFonts w:hint="eastAsia"/>
          <w:highlight w:val="none"/>
        </w:rPr>
        <w:t>监测，监测数据有较好的代表性</w:t>
      </w:r>
      <w:r>
        <w:rPr>
          <w:rFonts w:hint="eastAsia" w:cs="Times New Roman"/>
          <w:highlight w:val="none"/>
        </w:rPr>
        <w:t>。</w:t>
      </w:r>
    </w:p>
    <w:p>
      <w:pPr>
        <w:ind w:firstLine="480"/>
        <w:rPr>
          <w:rFonts w:cs="Times New Roman"/>
          <w:highlight w:val="none"/>
        </w:rPr>
      </w:pPr>
      <w:r>
        <w:rPr>
          <w:rFonts w:cs="Times New Roman"/>
          <w:highlight w:val="none"/>
        </w:rPr>
        <w:t>地表水共设</w:t>
      </w:r>
      <w:r>
        <w:rPr>
          <w:rFonts w:hint="eastAsia" w:cs="Times New Roman"/>
          <w:highlight w:val="none"/>
        </w:rPr>
        <w:t>2</w:t>
      </w:r>
      <w:r>
        <w:rPr>
          <w:rFonts w:cs="Times New Roman"/>
          <w:highlight w:val="none"/>
        </w:rPr>
        <w:t>个监测断面，详见表</w:t>
      </w:r>
      <w:r>
        <w:rPr>
          <w:rFonts w:hint="eastAsia"/>
          <w:highlight w:val="none"/>
          <w:lang w:val="en-US" w:eastAsia="zh-CN"/>
        </w:rPr>
        <w:t>3</w:t>
      </w:r>
      <w:r>
        <w:rPr>
          <w:rFonts w:hint="eastAsia"/>
          <w:highlight w:val="none"/>
        </w:rPr>
        <w:t>.3-</w:t>
      </w:r>
      <w:r>
        <w:rPr>
          <w:rFonts w:hint="eastAsia"/>
          <w:highlight w:val="none"/>
          <w:lang w:val="en-US" w:eastAsia="zh-CN"/>
        </w:rPr>
        <w:t>6</w:t>
      </w:r>
      <w:r>
        <w:rPr>
          <w:rFonts w:cs="Times New Roman"/>
          <w:highlight w:val="none"/>
        </w:rPr>
        <w:t>。</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3</w:t>
      </w:r>
      <w:r>
        <w:rPr>
          <w:rFonts w:hint="eastAsia" w:ascii="Times New Roman" w:hAnsi="Times New Roman" w:eastAsia="宋体" w:cs="Times New Roman"/>
          <w:b/>
          <w:kern w:val="2"/>
          <w:sz w:val="21"/>
          <w:szCs w:val="24"/>
          <w:highlight w:val="none"/>
          <w:lang w:val="en-US" w:eastAsia="zh-CN" w:bidi="ar-SA"/>
        </w:rPr>
        <w:t>.3-</w:t>
      </w:r>
      <w:r>
        <w:rPr>
          <w:rFonts w:hint="eastAsia" w:cs="Times New Roman"/>
          <w:b/>
          <w:kern w:val="2"/>
          <w:sz w:val="21"/>
          <w:szCs w:val="24"/>
          <w:highlight w:val="none"/>
          <w:lang w:val="en-US" w:eastAsia="zh-CN" w:bidi="ar-SA"/>
        </w:rPr>
        <w:t xml:space="preserve">6 </w:t>
      </w:r>
      <w:r>
        <w:rPr>
          <w:rFonts w:hint="eastAsia" w:ascii="Times New Roman" w:hAnsi="Times New Roman" w:eastAsia="宋体" w:cs="Times New Roman"/>
          <w:b/>
          <w:kern w:val="2"/>
          <w:sz w:val="21"/>
          <w:szCs w:val="24"/>
          <w:highlight w:val="none"/>
          <w:lang w:val="en-US" w:eastAsia="zh-CN" w:bidi="ar-SA"/>
        </w:rPr>
        <w:t>地表水环境质量监测布点情况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860"/>
        <w:gridCol w:w="1923"/>
        <w:gridCol w:w="1712"/>
        <w:gridCol w:w="1414"/>
        <w:gridCol w:w="2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73" w:hRule="atLeast"/>
        </w:trPr>
        <w:tc>
          <w:tcPr>
            <w:tcW w:w="5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编号</w:t>
            </w:r>
          </w:p>
        </w:tc>
        <w:tc>
          <w:tcPr>
            <w:tcW w:w="11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检测点</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取水位置</w:t>
            </w:r>
          </w:p>
        </w:tc>
        <w:tc>
          <w:tcPr>
            <w:tcW w:w="83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检测频率</w:t>
            </w:r>
          </w:p>
        </w:tc>
        <w:tc>
          <w:tcPr>
            <w:tcW w:w="15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780" w:hRule="atLeast"/>
        </w:trPr>
        <w:tc>
          <w:tcPr>
            <w:tcW w:w="5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1</w:t>
            </w:r>
          </w:p>
        </w:tc>
        <w:tc>
          <w:tcPr>
            <w:tcW w:w="11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北侧清水河沿项目上游500米</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北侧清水河沿项目上游500米</w:t>
            </w:r>
          </w:p>
        </w:tc>
        <w:tc>
          <w:tcPr>
            <w:tcW w:w="830"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检测3天，每天采样1次</w:t>
            </w:r>
          </w:p>
        </w:tc>
        <w:tc>
          <w:tcPr>
            <w:tcW w:w="15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pH、COD、BOD</w:t>
            </w:r>
            <w:r>
              <w:rPr>
                <w:rFonts w:hint="eastAsia" w:ascii="Times New Roman" w:hAnsi="Times New Roman" w:cs="Times New Roman"/>
                <w:color w:val="000000"/>
                <w:kern w:val="0"/>
                <w:sz w:val="21"/>
                <w:szCs w:val="21"/>
                <w:highlight w:val="none"/>
                <w:vertAlign w:val="subscript"/>
              </w:rPr>
              <w:t>5</w:t>
            </w:r>
            <w:r>
              <w:rPr>
                <w:rFonts w:hint="eastAsia" w:ascii="Times New Roman" w:hAnsi="Times New Roman" w:cs="Times New Roman"/>
                <w:color w:val="000000"/>
                <w:kern w:val="0"/>
                <w:sz w:val="21"/>
                <w:szCs w:val="21"/>
                <w:highlight w:val="none"/>
              </w:rPr>
              <w:t>、NH</w:t>
            </w:r>
            <w:r>
              <w:rPr>
                <w:rFonts w:hint="eastAsia" w:ascii="Times New Roman" w:hAnsi="Times New Roman" w:cs="Times New Roman"/>
                <w:color w:val="000000"/>
                <w:kern w:val="0"/>
                <w:sz w:val="21"/>
                <w:szCs w:val="21"/>
                <w:highlight w:val="none"/>
                <w:vertAlign w:val="subscript"/>
              </w:rPr>
              <w:t>3</w:t>
            </w:r>
            <w:r>
              <w:rPr>
                <w:rFonts w:hint="eastAsia" w:ascii="Times New Roman" w:hAnsi="Times New Roman" w:cs="Times New Roman"/>
                <w:color w:val="000000"/>
                <w:kern w:val="0"/>
                <w:sz w:val="21"/>
                <w:szCs w:val="21"/>
                <w:highlight w:val="none"/>
              </w:rPr>
              <w:t>-N、总磷、总氮、粪大肠菌群，同时记录河流流速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5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2</w:t>
            </w:r>
          </w:p>
        </w:tc>
        <w:tc>
          <w:tcPr>
            <w:tcW w:w="11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清水河沿项目下游500米</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南侧清水河沿项目下游500米</w:t>
            </w:r>
          </w:p>
        </w:tc>
        <w:tc>
          <w:tcPr>
            <w:tcW w:w="830" w:type="pct"/>
            <w:vMerge w:val="continue"/>
            <w:tcBorders>
              <w:tl2br w:val="nil"/>
              <w:tr2bl w:val="nil"/>
            </w:tcBorders>
            <w:noWrap w:val="0"/>
            <w:vAlign w:val="top"/>
          </w:tcPr>
          <w:p>
            <w:pPr>
              <w:rPr>
                <w:sz w:val="21"/>
                <w:szCs w:val="21"/>
                <w:highlight w:val="none"/>
              </w:rPr>
            </w:pPr>
          </w:p>
        </w:tc>
        <w:tc>
          <w:tcPr>
            <w:tcW w:w="1529" w:type="pct"/>
            <w:vMerge w:val="continue"/>
            <w:tcBorders>
              <w:tl2br w:val="nil"/>
              <w:tr2bl w:val="nil"/>
            </w:tcBorders>
            <w:noWrap w:val="0"/>
            <w:vAlign w:val="center"/>
          </w:tcPr>
          <w:p>
            <w:pPr>
              <w:rPr>
                <w:sz w:val="21"/>
                <w:szCs w:val="21"/>
                <w:highlight w:val="none"/>
              </w:rPr>
            </w:pP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eastAsia="宋体"/>
          <w:highlight w:val="none"/>
          <w:lang w:eastAsia="zh-CN"/>
        </w:rPr>
      </w:pPr>
      <w:r>
        <w:rPr>
          <w:rFonts w:hint="eastAsia"/>
          <w:highlight w:val="none"/>
        </w:rPr>
        <w:t>（2）</w:t>
      </w:r>
      <w:r>
        <w:rPr>
          <w:highlight w:val="none"/>
        </w:rPr>
        <w:t>监测时间</w:t>
      </w:r>
      <w:r>
        <w:rPr>
          <w:rFonts w:hint="eastAsia"/>
          <w:highlight w:val="none"/>
          <w:lang w:eastAsia="zh-CN"/>
        </w:rPr>
        <w:t>、</w:t>
      </w:r>
      <w:r>
        <w:rPr>
          <w:highlight w:val="none"/>
        </w:rPr>
        <w:t>频次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监测时间为</w:t>
      </w:r>
      <w:r>
        <w:rPr>
          <w:rFonts w:hint="eastAsia" w:ascii="Times New Roman" w:eastAsia="宋体"/>
          <w:highlight w:val="none"/>
          <w:lang w:val="en-US" w:eastAsia="zh-CN"/>
        </w:rPr>
        <w:t>2020</w:t>
      </w:r>
      <w:r>
        <w:rPr>
          <w:rFonts w:hint="eastAsia"/>
          <w:highlight w:val="none"/>
        </w:rPr>
        <w:t>年</w:t>
      </w:r>
      <w:r>
        <w:rPr>
          <w:rFonts w:hint="eastAsia" w:ascii="Times New Roman" w:eastAsia="宋体"/>
          <w:highlight w:val="none"/>
          <w:lang w:val="en-US" w:eastAsia="zh-CN"/>
        </w:rPr>
        <w:t>5</w:t>
      </w:r>
      <w:r>
        <w:rPr>
          <w:rFonts w:hint="eastAsia"/>
          <w:highlight w:val="none"/>
        </w:rPr>
        <w:t>月</w:t>
      </w:r>
      <w:r>
        <w:rPr>
          <w:rFonts w:hint="eastAsia" w:ascii="Times New Roman" w:eastAsia="宋体"/>
          <w:highlight w:val="none"/>
          <w:lang w:val="en-US" w:eastAsia="zh-CN"/>
        </w:rPr>
        <w:t>2</w:t>
      </w:r>
      <w:r>
        <w:rPr>
          <w:rFonts w:hint="eastAsia"/>
          <w:highlight w:val="none"/>
        </w:rPr>
        <w:t>日-20</w:t>
      </w:r>
      <w:r>
        <w:rPr>
          <w:rFonts w:hint="eastAsia" w:ascii="Times New Roman" w:eastAsia="宋体"/>
          <w:highlight w:val="none"/>
          <w:lang w:val="en-US" w:eastAsia="zh-CN"/>
        </w:rPr>
        <w:t>20</w:t>
      </w:r>
      <w:r>
        <w:rPr>
          <w:rFonts w:hint="eastAsia"/>
          <w:highlight w:val="none"/>
        </w:rPr>
        <w:t>年</w:t>
      </w:r>
      <w:r>
        <w:rPr>
          <w:rFonts w:hint="eastAsia" w:ascii="Times New Roman" w:eastAsia="宋体"/>
          <w:highlight w:val="none"/>
          <w:lang w:val="en-US" w:eastAsia="zh-CN"/>
        </w:rPr>
        <w:t>5</w:t>
      </w:r>
      <w:r>
        <w:rPr>
          <w:rFonts w:hint="eastAsia"/>
          <w:highlight w:val="none"/>
        </w:rPr>
        <w:t>月</w:t>
      </w:r>
      <w:r>
        <w:rPr>
          <w:rFonts w:hint="eastAsia" w:ascii="Times New Roman" w:eastAsia="宋体"/>
          <w:highlight w:val="none"/>
          <w:lang w:val="en-US" w:eastAsia="zh-CN"/>
        </w:rPr>
        <w:t>8</w:t>
      </w:r>
      <w:r>
        <w:rPr>
          <w:rFonts w:hint="eastAsia"/>
          <w:highlight w:val="none"/>
        </w:rPr>
        <w:t>日，连续监测3天，每天采样一次。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分析方法</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表3.3-</w:t>
      </w:r>
      <w:r>
        <w:rPr>
          <w:rFonts w:hint="eastAsia" w:cs="Times New Roman"/>
          <w:b/>
          <w:kern w:val="2"/>
          <w:sz w:val="21"/>
          <w:szCs w:val="24"/>
          <w:highlight w:val="none"/>
          <w:lang w:val="en-US" w:eastAsia="zh-CN" w:bidi="ar-SA"/>
        </w:rPr>
        <w:t xml:space="preserve">7 </w:t>
      </w:r>
      <w:r>
        <w:rPr>
          <w:rFonts w:hint="eastAsia" w:ascii="Times New Roman" w:hAnsi="Times New Roman" w:eastAsia="宋体" w:cs="Times New Roman"/>
          <w:b/>
          <w:kern w:val="2"/>
          <w:sz w:val="21"/>
          <w:szCs w:val="24"/>
          <w:highlight w:val="none"/>
          <w:lang w:val="en-US" w:eastAsia="zh-CN" w:bidi="ar-SA"/>
        </w:rPr>
        <w:t>地表水环境质量监测布点情况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1431"/>
        <w:gridCol w:w="2173"/>
        <w:gridCol w:w="1921"/>
        <w:gridCol w:w="2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73" w:hRule="atLeast"/>
        </w:trPr>
        <w:tc>
          <w:tcPr>
            <w:tcW w:w="84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检测项目</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检测方法</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使用仪器</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780" w:hRule="atLeast"/>
        </w:trPr>
        <w:tc>
          <w:tcPr>
            <w:tcW w:w="84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pH</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便携式pH计法《水和废水监测分析方法》(第四版增补版) 国家环境保护总局(2002年)</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多参数水质流动测定仪/HQ30D</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0.1pH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kern w:val="0"/>
                <w:sz w:val="21"/>
                <w:szCs w:val="21"/>
                <w:highlight w:val="none"/>
              </w:rPr>
            </w:pPr>
            <w:r>
              <w:rPr>
                <w:rFonts w:hint="eastAsia" w:cs="Times New Roman"/>
                <w:sz w:val="21"/>
                <w:szCs w:val="21"/>
                <w:highlight w:val="none"/>
              </w:rPr>
              <w:t>氨氮</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氨氮的测定 纳氏试剂分光光度法</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 xml:space="preserve"> HJ535-2009</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分光光度计/T6新悦</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924"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kern w:val="0"/>
                <w:sz w:val="21"/>
                <w:szCs w:val="21"/>
                <w:highlight w:val="none"/>
              </w:rPr>
            </w:pPr>
            <w:r>
              <w:rPr>
                <w:rFonts w:hint="eastAsia" w:cs="Times New Roman"/>
                <w:sz w:val="21"/>
                <w:szCs w:val="21"/>
                <w:highlight w:val="none"/>
              </w:rPr>
              <w:t>耗氧量（COD</w:t>
            </w:r>
            <w:r>
              <w:rPr>
                <w:rFonts w:hint="eastAsia" w:cs="Times New Roman"/>
                <w:sz w:val="21"/>
                <w:szCs w:val="21"/>
                <w:highlight w:val="none"/>
                <w:vertAlign w:val="subscript"/>
              </w:rPr>
              <w:t>Mn</w:t>
            </w:r>
            <w:r>
              <w:rPr>
                <w:rFonts w:hint="eastAsia" w:cs="Times New Roman"/>
                <w:sz w:val="21"/>
                <w:szCs w:val="21"/>
                <w:highlight w:val="none"/>
              </w:rPr>
              <w:t>法）</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高锰酸盐指数的测定</w:t>
            </w:r>
          </w:p>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GB11892-1989</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滴定管</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kern w:val="0"/>
                <w:sz w:val="21"/>
                <w:szCs w:val="21"/>
                <w:highlight w:val="none"/>
              </w:rPr>
            </w:pPr>
            <w:r>
              <w:rPr>
                <w:rFonts w:hint="eastAsia" w:cs="Times New Roman"/>
                <w:sz w:val="21"/>
                <w:szCs w:val="21"/>
                <w:highlight w:val="none"/>
              </w:rPr>
              <w:t>BOD5</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五日生化需氧量（BOD5）的测定 稀释与接种法HJ 505-2009</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生化培养箱</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sz w:val="21"/>
                <w:szCs w:val="21"/>
                <w:highlight w:val="none"/>
              </w:rPr>
            </w:pPr>
            <w:r>
              <w:rPr>
                <w:rFonts w:hint="eastAsia" w:cs="Times New Roman"/>
                <w:sz w:val="21"/>
                <w:szCs w:val="21"/>
                <w:highlight w:val="none"/>
              </w:rPr>
              <w:t>总磷</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总磷的测定  钼酸铵分光光度法 GB T 11893-1989</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分光光度计/T6新悦</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sz w:val="21"/>
                <w:szCs w:val="21"/>
                <w:highlight w:val="none"/>
              </w:rPr>
            </w:pPr>
            <w:r>
              <w:rPr>
                <w:rFonts w:hint="eastAsia" w:cs="Times New Roman"/>
                <w:sz w:val="21"/>
                <w:szCs w:val="21"/>
                <w:highlight w:val="none"/>
              </w:rPr>
              <w:t>粪大肠菌群</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粪大肠菌群的测定 多管发酵和滤膜法（试行）HJ/T347-2007</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生化培养箱</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20个/L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sz w:val="21"/>
                <w:szCs w:val="21"/>
                <w:highlight w:val="none"/>
              </w:rPr>
            </w:pPr>
            <w:r>
              <w:rPr>
                <w:rFonts w:hint="eastAsia" w:cs="Times New Roman"/>
                <w:sz w:val="21"/>
                <w:szCs w:val="21"/>
                <w:highlight w:val="none"/>
              </w:rPr>
              <w:t>流速</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地表水和污水监测技术规范</w:t>
            </w:r>
            <w:r>
              <w:rPr>
                <w:rFonts w:hint="eastAsia" w:ascii="Times New Roman" w:hAnsi="Times New Roman" w:cs="Times New Roman"/>
                <w:color w:val="000000"/>
                <w:kern w:val="0"/>
                <w:sz w:val="21"/>
                <w:szCs w:val="21"/>
                <w:highlight w:val="none"/>
              </w:rPr>
              <w:cr/>
            </w:r>
            <w:r>
              <w:rPr>
                <w:rFonts w:hint="eastAsia" w:ascii="Times New Roman" w:hAnsi="Times New Roman" w:cs="Times New Roman"/>
                <w:color w:val="000000"/>
                <w:kern w:val="0"/>
                <w:sz w:val="21"/>
                <w:szCs w:val="21"/>
                <w:highlight w:val="none"/>
              </w:rPr>
              <w:t>HJ/T 91-2002</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流量计</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0.1m/s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总氮</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水质 总氮的测定 碱性过硫酸钾消解紫外分光光度法 HJ 636-2012</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分光光度计/T6新悦</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COD</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rPr>
              <w:t>重铬酸盐法 HJ 828-2017</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滴定管</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rPr>
              <w:t>4 mg/L</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4</w:t>
      </w:r>
      <w:r>
        <w:rPr>
          <w:rFonts w:hint="eastAsia"/>
          <w:color w:val="000000"/>
          <w:sz w:val="24"/>
          <w:highlight w:val="none"/>
          <w:lang w:eastAsia="zh-CN"/>
        </w:rPr>
        <w:t>）</w:t>
      </w:r>
      <w:r>
        <w:rPr>
          <w:rFonts w:ascii="Times New Roman" w:hAnsi="Times New Roman"/>
          <w:color w:val="000000"/>
          <w:sz w:val="24"/>
          <w:highlight w:val="none"/>
        </w:rPr>
        <w:t>评价方法</w:t>
      </w:r>
    </w:p>
    <w:p>
      <w:pPr>
        <w:spacing w:line="500" w:lineRule="exact"/>
        <w:ind w:firstLine="480" w:firstLineChars="200"/>
        <w:rPr>
          <w:rFonts w:ascii="Times New Roman" w:hAnsi="Times New Roman"/>
          <w:sz w:val="24"/>
          <w:highlight w:val="none"/>
        </w:rPr>
      </w:pPr>
      <w:r>
        <w:rPr>
          <w:rFonts w:ascii="Times New Roman" w:hAnsi="Times New Roman"/>
          <w:sz w:val="24"/>
          <w:highlight w:val="none"/>
        </w:rPr>
        <w:t>采用标准指数法，一般公式如下：</w: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2"/>
          <w:sz w:val="24"/>
          <w:highlight w:val="none"/>
        </w:rPr>
        <w:object>
          <v:shape id="_x0000_i1025" o:spt="75" type="#_x0000_t75" style="height:36.85pt;width:53.15pt;" o:ole="t" filled="f" o:preferrelative="t" stroked="f" coordsize="21600,21600">
            <v:path/>
            <v:fill on="f" focussize="0,0"/>
            <v:stroke on="f"/>
            <v:imagedata r:id="rId33" o:title=""/>
            <o:lock v:ext="edit" aspectratio="t"/>
            <w10:wrap type="none"/>
            <w10:anchorlock/>
          </v:shape>
          <o:OLEObject Type="Embed" ProgID="Equation.3" ShapeID="_x0000_i1025" DrawAspect="Content" ObjectID="_1468075729" r:id="rId32">
            <o:LockedField>false</o:LockedField>
          </o:OLEObject>
        </w:objec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对于pH标准指数采用如下公式计算。</w: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pH标准指数计算公式：</w: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0"/>
          <w:sz w:val="24"/>
          <w:highlight w:val="none"/>
        </w:rPr>
        <w:object>
          <v:shape id="_x0000_i1026" o:spt="75" type="#_x0000_t75" style="height:36pt;width:151.7pt;" o:ole="t" filled="f" o:preferrelative="t" stroked="f" coordsize="21600,21600">
            <v:path/>
            <v:fill on="f" focussize="0,0"/>
            <v:stroke on="f"/>
            <v:imagedata r:id="rId35" o:title=""/>
            <o:lock v:ext="edit" aspectratio="t"/>
            <w10:wrap type="none"/>
            <w10:anchorlock/>
          </v:shape>
          <o:OLEObject Type="Embed" ProgID="Equations" ShapeID="_x0000_i1026" DrawAspect="Content" ObjectID="_1468075730" r:id="rId34">
            <o:LockedField>false</o:LockedField>
          </o:OLEObject>
        </w:object>
      </w:r>
    </w:p>
    <w:p>
      <w:pPr>
        <w:tabs>
          <w:tab w:val="left" w:pos="2716"/>
        </w:tabs>
        <w:spacing w:line="360" w:lineRule="auto"/>
        <w:ind w:firstLine="480"/>
        <w:jc w:val="center"/>
        <w:rPr>
          <w:rFonts w:ascii="Times New Roman" w:hAnsi="Times New Roman"/>
          <w:sz w:val="24"/>
          <w:highlight w:val="none"/>
        </w:rPr>
      </w:pPr>
      <w:r>
        <w:rPr>
          <w:rFonts w:ascii="Times New Roman" w:hAnsi="Times New Roman"/>
          <w:position w:val="-30"/>
          <w:sz w:val="24"/>
          <w:highlight w:val="none"/>
        </w:rPr>
        <w:object>
          <v:shape id="_x0000_i1027" o:spt="75" type="#_x0000_t75" style="height:36pt;width:151.7pt;" o:ole="t" filled="f" o:preferrelative="t" stroked="f" coordsize="21600,21600">
            <v:path/>
            <v:fill on="f" focussize="0,0"/>
            <v:stroke on="f"/>
            <v:imagedata r:id="rId37" o:title=""/>
            <o:lock v:ext="edit" aspectratio="t"/>
            <w10:wrap type="none"/>
            <w10:anchorlock/>
          </v:shape>
          <o:OLEObject Type="Embed" ProgID="Equations" ShapeID="_x0000_i1027" DrawAspect="Content" ObjectID="_1468075731" r:id="rId36">
            <o:LockedField>false</o:LockedField>
          </o:OLEObject>
        </w:object>
      </w:r>
    </w:p>
    <w:p>
      <w:pPr>
        <w:tabs>
          <w:tab w:val="left" w:pos="2716"/>
        </w:tabs>
        <w:spacing w:line="360" w:lineRule="auto"/>
        <w:ind w:firstLine="480"/>
        <w:rPr>
          <w:rFonts w:ascii="Times New Roman" w:hAnsi="Times New Roman"/>
          <w:sz w:val="24"/>
          <w:highlight w:val="none"/>
        </w:rPr>
      </w:pPr>
      <w:r>
        <w:rPr>
          <w:rFonts w:ascii="Times New Roman" w:hAnsi="Times New Roman"/>
          <w:sz w:val="24"/>
          <w:highlight w:val="none"/>
        </w:rPr>
        <w:t>式中：S</w:t>
      </w:r>
      <w:r>
        <w:rPr>
          <w:rFonts w:ascii="Times New Roman" w:hAnsi="Times New Roman"/>
          <w:sz w:val="24"/>
          <w:highlight w:val="none"/>
          <w:vertAlign w:val="subscript"/>
        </w:rPr>
        <w:t>i,j</w:t>
      </w:r>
      <w:r>
        <w:rPr>
          <w:rFonts w:ascii="Times New Roman" w:hAnsi="Times New Roman"/>
          <w:sz w:val="24"/>
          <w:highlight w:val="none"/>
        </w:rPr>
        <w:t>——单项目水质参数i在j点的标准指数；</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C</w:t>
      </w:r>
      <w:r>
        <w:rPr>
          <w:rFonts w:ascii="Times New Roman" w:hAnsi="Times New Roman"/>
          <w:sz w:val="24"/>
          <w:highlight w:val="none"/>
          <w:vertAlign w:val="subscript"/>
        </w:rPr>
        <w:t>i,j</w:t>
      </w:r>
      <w:r>
        <w:rPr>
          <w:rFonts w:ascii="Times New Roman" w:hAnsi="Times New Roman"/>
          <w:sz w:val="24"/>
          <w:highlight w:val="none"/>
        </w:rPr>
        <w:t>——单项目水质参数i在j点的实际浓度；</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C</w:t>
      </w:r>
      <w:r>
        <w:rPr>
          <w:rFonts w:ascii="Times New Roman" w:hAnsi="Times New Roman"/>
          <w:sz w:val="24"/>
          <w:highlight w:val="none"/>
          <w:vertAlign w:val="subscript"/>
        </w:rPr>
        <w:t>si</w:t>
      </w:r>
      <w:r>
        <w:rPr>
          <w:rFonts w:ascii="Times New Roman" w:hAnsi="Times New Roman"/>
          <w:sz w:val="24"/>
          <w:highlight w:val="none"/>
        </w:rPr>
        <w:t>——项目水质参数i在j点的评价标准；</w:t>
      </w:r>
    </w:p>
    <w:p>
      <w:pPr>
        <w:tabs>
          <w:tab w:val="left" w:pos="2716"/>
        </w:tabs>
        <w:spacing w:line="360" w:lineRule="auto"/>
        <w:ind w:firstLine="1200" w:firstLineChars="500"/>
        <w:rPr>
          <w:rFonts w:ascii="Times New Roman" w:hAnsi="Times New Roman"/>
          <w:sz w:val="24"/>
          <w:highlight w:val="none"/>
        </w:rPr>
      </w:pPr>
      <w:r>
        <w:rPr>
          <w:rFonts w:ascii="Times New Roman" w:hAnsi="Times New Roman"/>
          <w:sz w:val="24"/>
          <w:highlight w:val="none"/>
        </w:rPr>
        <w:t>pH</w:t>
      </w:r>
      <w:r>
        <w:rPr>
          <w:rFonts w:ascii="Times New Roman" w:hAnsi="Times New Roman"/>
          <w:sz w:val="24"/>
          <w:highlight w:val="none"/>
          <w:vertAlign w:val="subscript"/>
        </w:rPr>
        <w:t>sd</w:t>
      </w:r>
      <w:r>
        <w:rPr>
          <w:rFonts w:ascii="Times New Roman" w:hAnsi="Times New Roman"/>
          <w:sz w:val="24"/>
          <w:highlight w:val="none"/>
        </w:rPr>
        <w:t>——pH标准规定的下限值；</w:t>
      </w:r>
    </w:p>
    <w:p>
      <w:pPr>
        <w:tabs>
          <w:tab w:val="left" w:pos="2716"/>
        </w:tabs>
        <w:spacing w:line="360" w:lineRule="auto"/>
        <w:ind w:firstLine="1200" w:firstLineChars="500"/>
        <w:rPr>
          <w:rFonts w:hint="eastAsia" w:ascii="Times New Roman" w:hAnsi="Times New Roman" w:eastAsia="宋体"/>
          <w:b/>
          <w:sz w:val="24"/>
          <w:highlight w:val="none"/>
          <w:u w:val="single"/>
          <w:lang w:eastAsia="zh-CN"/>
        </w:rPr>
      </w:pPr>
      <w:r>
        <w:rPr>
          <w:rFonts w:ascii="Times New Roman" w:hAnsi="Times New Roman"/>
          <w:sz w:val="24"/>
          <w:highlight w:val="none"/>
        </w:rPr>
        <w:t>pH</w:t>
      </w:r>
      <w:r>
        <w:rPr>
          <w:rFonts w:ascii="Times New Roman" w:hAnsi="Times New Roman"/>
          <w:sz w:val="24"/>
          <w:highlight w:val="none"/>
          <w:vertAlign w:val="subscript"/>
        </w:rPr>
        <w:t>su</w:t>
      </w:r>
      <w:r>
        <w:rPr>
          <w:rFonts w:ascii="Times New Roman" w:hAnsi="Times New Roman"/>
          <w:sz w:val="24"/>
          <w:highlight w:val="none"/>
        </w:rPr>
        <w:t>——pH标准规定的上限</w:t>
      </w:r>
      <w:r>
        <w:rPr>
          <w:rFonts w:hint="eastAsia" w:ascii="Times New Roman" w:hAnsi="Times New Roman"/>
          <w:sz w:val="24"/>
          <w:highlight w:val="none"/>
          <w:lang w:eastAsia="zh-CN"/>
        </w:rPr>
        <w:t>值。</w:t>
      </w:r>
    </w:p>
    <w:p>
      <w:pPr>
        <w:pStyle w:val="2"/>
        <w:keepNext w:val="0"/>
        <w:keepLines w:val="0"/>
        <w:pageBreakBefore w:val="0"/>
        <w:kinsoku/>
        <w:wordWrap/>
        <w:overflowPunct/>
        <w:topLinePunct w:val="0"/>
        <w:bidi w:val="0"/>
        <w:adjustRightInd/>
        <w:snapToGrid/>
        <w:spacing w:before="0" w:beforeLines="0" w:after="0" w:afterLines="0" w:line="360" w:lineRule="auto"/>
        <w:ind w:firstLine="480" w:firstLineChars="200"/>
        <w:jc w:val="both"/>
        <w:textAlignment w:val="auto"/>
        <w:rPr>
          <w:rFonts w:ascii="Times New Roman" w:hAnsi="Times New Roman"/>
          <w:sz w:val="24"/>
          <w:szCs w:val="24"/>
          <w:highlight w:val="none"/>
        </w:rPr>
      </w:pPr>
      <w:r>
        <w:rPr>
          <w:rFonts w:ascii="Times New Roman" w:hAnsi="Times New Roman"/>
          <w:sz w:val="24"/>
          <w:szCs w:val="24"/>
          <w:highlight w:val="none"/>
        </w:rPr>
        <w:t>水质参数的标准指数＞1，表明该水质超过了规定水质标准，已不能满足使用要求。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highlight w:val="none"/>
        </w:rPr>
        <w:t>监测结果统计与评价</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8</w:t>
      </w:r>
      <w:r>
        <w:rPr>
          <w:highlight w:val="none"/>
        </w:rPr>
        <w:t>地表水监测结果统计</w:t>
      </w:r>
      <w:r>
        <w:rPr>
          <w:rFonts w:hint="eastAsia"/>
          <w:highlight w:val="none"/>
        </w:rPr>
        <w:t xml:space="preserve">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624"/>
        <w:gridCol w:w="1287"/>
        <w:gridCol w:w="1441"/>
        <w:gridCol w:w="1275"/>
        <w:gridCol w:w="1019"/>
        <w:gridCol w:w="1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名称</w:t>
            </w: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监测项目</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w:t>
            </w:r>
            <w:r>
              <w:rPr>
                <w:rFonts w:hint="eastAsia" w:ascii="Times New Roman" w:hAnsi="Times New Roman" w:cs="Times New Roman"/>
                <w:color w:val="000000"/>
                <w:kern w:val="0"/>
                <w:sz w:val="21"/>
                <w:szCs w:val="21"/>
                <w:highlight w:val="none"/>
              </w:rPr>
              <w:t>值范围</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标准指数</w:t>
            </w:r>
            <w:r>
              <w:rPr>
                <w:rFonts w:hint="eastAsia" w:ascii="Times New Roman" w:hAnsi="Times New Roman" w:cs="Times New Roman"/>
                <w:color w:val="000000"/>
                <w:kern w:val="0"/>
                <w:sz w:val="21"/>
                <w:szCs w:val="21"/>
                <w:highlight w:val="none"/>
              </w:rPr>
              <w:t>范围</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超标率（%）</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eastAsia="zh-CN"/>
              </w:rPr>
              <w:t>最大</w:t>
            </w:r>
            <w:r>
              <w:rPr>
                <w:rFonts w:hint="eastAsia" w:cs="Times New Roman"/>
                <w:sz w:val="21"/>
                <w:szCs w:val="21"/>
                <w:highlight w:val="none"/>
              </w:rPr>
              <w:t>超标倍数</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北侧清水河沿项目上游500米</w:t>
            </w: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7.2</w:t>
            </w:r>
            <w:r>
              <w:rPr>
                <w:rFonts w:hint="eastAsia" w:cs="Times New Roman"/>
                <w:sz w:val="21"/>
                <w:szCs w:val="21"/>
                <w:highlight w:val="none"/>
              </w:rPr>
              <w:t>-</w:t>
            </w:r>
            <w:r>
              <w:rPr>
                <w:rFonts w:hint="eastAsia" w:cs="Times New Roman"/>
                <w:sz w:val="21"/>
                <w:szCs w:val="21"/>
                <w:highlight w:val="none"/>
                <w:lang w:val="en-US" w:eastAsia="zh-CN"/>
              </w:rPr>
              <w:t>7.4</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0.1-0.2</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化学需氧量(mg/L）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18</w:t>
            </w:r>
            <w:r>
              <w:rPr>
                <w:rFonts w:hint="eastAsia" w:cs="Times New Roman"/>
                <w:sz w:val="21"/>
                <w:szCs w:val="21"/>
                <w:highlight w:val="none"/>
              </w:rPr>
              <w:t>-</w:t>
            </w:r>
            <w:r>
              <w:rPr>
                <w:rFonts w:hint="eastAsia" w:cs="Times New Roman"/>
                <w:sz w:val="21"/>
                <w:szCs w:val="21"/>
                <w:highlight w:val="none"/>
                <w:lang w:val="en-US" w:eastAsia="zh-CN"/>
              </w:rPr>
              <w:t>23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0.9-1.15</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66.7%</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0.15</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1.02</w:t>
            </w:r>
            <w:r>
              <w:rPr>
                <w:rFonts w:hint="eastAsia" w:cs="Times New Roman"/>
                <w:sz w:val="21"/>
                <w:szCs w:val="21"/>
                <w:highlight w:val="none"/>
              </w:rPr>
              <w:t>-</w:t>
            </w:r>
            <w:r>
              <w:rPr>
                <w:rFonts w:hint="eastAsia" w:cs="Times New Roman"/>
                <w:sz w:val="21"/>
                <w:szCs w:val="21"/>
                <w:highlight w:val="none"/>
                <w:lang w:val="en-US" w:eastAsia="zh-CN"/>
              </w:rPr>
              <w:t>1.11</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1.02-1.11</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0.11</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总磷（mg/L）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0.18</w:t>
            </w:r>
            <w:r>
              <w:rPr>
                <w:rFonts w:hint="eastAsia" w:cs="Times New Roman"/>
                <w:sz w:val="21"/>
                <w:szCs w:val="21"/>
                <w:highlight w:val="none"/>
              </w:rPr>
              <w:t>-</w:t>
            </w:r>
            <w:r>
              <w:rPr>
                <w:rFonts w:hint="eastAsia" w:cs="Times New Roman"/>
                <w:sz w:val="21"/>
                <w:szCs w:val="21"/>
                <w:highlight w:val="none"/>
                <w:lang w:val="en-US" w:eastAsia="zh-CN"/>
              </w:rPr>
              <w:t>0.23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0.9-1.15</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33.3%</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0.15</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w:t>
            </w:r>
            <w:r>
              <w:rPr>
                <w:rFonts w:hint="eastAsia" w:cs="Times New Roman"/>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五日生化需氧量（mg/L）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1.26-1.54</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0.315-0.385</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粪大肠菌群（个/L）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1.5-1.62</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1.5-1.62</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0.62</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default" w:cs="Times New Roman"/>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ascii="Times New Roman" w:hAnsi="Times New Roman" w:cs="Times New Roman"/>
                <w:color w:val="000000"/>
                <w:kern w:val="0"/>
                <w:sz w:val="21"/>
                <w:szCs w:val="21"/>
                <w:highlight w:val="none"/>
              </w:rPr>
              <w:t>清水河沿项目下游500米</w:t>
            </w: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7.3</w:t>
            </w:r>
            <w:r>
              <w:rPr>
                <w:rFonts w:hint="eastAsia" w:cs="Times New Roman"/>
                <w:sz w:val="21"/>
                <w:szCs w:val="21"/>
                <w:highlight w:val="none"/>
              </w:rPr>
              <w:t>-</w:t>
            </w:r>
            <w:r>
              <w:rPr>
                <w:rFonts w:hint="eastAsia" w:cs="Times New Roman"/>
                <w:sz w:val="21"/>
                <w:szCs w:val="21"/>
                <w:highlight w:val="none"/>
                <w:lang w:val="en-US" w:eastAsia="zh-CN"/>
              </w:rPr>
              <w:t>7.5</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0.15-0.25</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化学需氧量(mg/L）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25</w:t>
            </w:r>
            <w:r>
              <w:rPr>
                <w:rFonts w:hint="eastAsia" w:cs="Times New Roman"/>
                <w:sz w:val="21"/>
                <w:szCs w:val="21"/>
                <w:highlight w:val="none"/>
              </w:rPr>
              <w:t>-</w:t>
            </w:r>
            <w:r>
              <w:rPr>
                <w:rFonts w:hint="eastAsia" w:cs="Times New Roman"/>
                <w:sz w:val="21"/>
                <w:szCs w:val="21"/>
                <w:highlight w:val="none"/>
                <w:lang w:val="en-US" w:eastAsia="zh-CN"/>
              </w:rPr>
              <w:t>28</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1.25-1.4</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0.4</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default" w:cs="Times New Roman"/>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1.24</w:t>
            </w:r>
            <w:r>
              <w:rPr>
                <w:rFonts w:hint="eastAsia" w:cs="Times New Roman"/>
                <w:sz w:val="21"/>
                <w:szCs w:val="21"/>
                <w:highlight w:val="none"/>
              </w:rPr>
              <w:t>-</w:t>
            </w:r>
            <w:r>
              <w:rPr>
                <w:rFonts w:hint="eastAsia" w:cs="Times New Roman"/>
                <w:sz w:val="21"/>
                <w:szCs w:val="21"/>
                <w:highlight w:val="none"/>
                <w:lang w:val="en-US" w:eastAsia="zh-CN"/>
              </w:rPr>
              <w:t>1.46</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1.24-1.46</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0.46</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default" w:cs="Times New Roman"/>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总磷（mg/L）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0.21</w:t>
            </w:r>
            <w:r>
              <w:rPr>
                <w:rFonts w:hint="eastAsia" w:cs="Times New Roman"/>
                <w:sz w:val="21"/>
                <w:szCs w:val="21"/>
                <w:highlight w:val="none"/>
              </w:rPr>
              <w:t>-</w:t>
            </w:r>
            <w:r>
              <w:rPr>
                <w:rFonts w:hint="eastAsia" w:cs="Times New Roman"/>
                <w:sz w:val="21"/>
                <w:szCs w:val="21"/>
                <w:highlight w:val="none"/>
                <w:lang w:val="en-US" w:eastAsia="zh-CN"/>
              </w:rPr>
              <w:t>0.27</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1.05-1.35</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0.35</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default" w:cs="Times New Roman"/>
                <w:sz w:val="21"/>
                <w:szCs w:val="21"/>
                <w:highlight w:val="none"/>
                <w:lang w:val="en-US" w:eastAsia="zh-CN"/>
              </w:rPr>
              <w:t>≤</w:t>
            </w:r>
            <w:r>
              <w:rPr>
                <w:rFonts w:hint="eastAsia" w:cs="Times New Roman"/>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五日生化需氧量（mg/L）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1.76-1.93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0.44-0.48</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default" w:cs="Times New Roman"/>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粪大肠菌群（个/L）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1.68-1.76</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1.68-1.76</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0.76</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default" w:cs="Times New Roman"/>
                <w:sz w:val="21"/>
                <w:szCs w:val="21"/>
                <w:highlight w:val="none"/>
                <w:lang w:val="en-US" w:eastAsia="zh-CN"/>
              </w:rPr>
              <w:t>≤1.0</w:t>
            </w:r>
          </w:p>
        </w:tc>
      </w:tr>
    </w:tbl>
    <w:p>
      <w:pPr>
        <w:ind w:left="0" w:leftChars="0" w:firstLine="480" w:firstLineChars="200"/>
        <w:rPr>
          <w:rFonts w:hint="eastAsia"/>
          <w:highlight w:val="none"/>
        </w:rPr>
      </w:pPr>
      <w:r>
        <w:rPr>
          <w:rFonts w:hint="eastAsia"/>
          <w:highlight w:val="none"/>
        </w:rPr>
        <w:t>由表3.3-</w:t>
      </w:r>
      <w:r>
        <w:rPr>
          <w:rFonts w:hint="eastAsia"/>
          <w:highlight w:val="none"/>
          <w:lang w:val="en-US" w:eastAsia="zh-CN"/>
        </w:rPr>
        <w:t>8</w:t>
      </w:r>
      <w:r>
        <w:rPr>
          <w:rFonts w:hint="eastAsia"/>
          <w:highlight w:val="none"/>
        </w:rPr>
        <w:t>统计结果可知，COD、氨氮、总磷、总氮浓度出现超标，其他各监测因子均符合《地表水环境质量标准》（GB3838-2002）Ⅲ类标准要求。</w:t>
      </w:r>
      <w:r>
        <w:rPr>
          <w:rFonts w:hint="eastAsia"/>
          <w:highlight w:val="none"/>
          <w:lang w:eastAsia="zh-CN"/>
        </w:rPr>
        <w:t>由于</w:t>
      </w:r>
      <w:r>
        <w:rPr>
          <w:rFonts w:hint="eastAsia"/>
          <w:highlight w:val="none"/>
        </w:rPr>
        <w:t>本项目无废水排放，因此不会对地表水体产生影响。</w:t>
      </w:r>
    </w:p>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.3地下水环境质量现状监测与评价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（1）监测因子和监测断面</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eastAsia="宋体"/>
          <w:highlight w:val="none"/>
          <w:lang w:eastAsia="zh-CN"/>
        </w:rPr>
        <w:t>河南政检检测研究院有限公司</w:t>
      </w:r>
      <w:r>
        <w:rPr>
          <w:rFonts w:hint="eastAsia"/>
          <w:highlight w:val="none"/>
        </w:rPr>
        <w:t>于</w:t>
      </w:r>
      <w:r>
        <w:rPr>
          <w:rFonts w:hint="eastAsia" w:ascii="Times New Roman" w:eastAsia="宋体"/>
          <w:highlight w:val="none"/>
          <w:lang w:val="en-US" w:eastAsia="zh-CN"/>
        </w:rPr>
        <w:t>2020</w:t>
      </w:r>
      <w:r>
        <w:rPr>
          <w:rFonts w:hint="eastAsia"/>
          <w:highlight w:val="none"/>
        </w:rPr>
        <w:t>年</w:t>
      </w:r>
      <w:r>
        <w:rPr>
          <w:rFonts w:hint="eastAsia" w:ascii="Times New Roman" w:eastAsia="宋体"/>
          <w:highlight w:val="none"/>
          <w:lang w:val="en-US" w:eastAsia="zh-CN"/>
        </w:rPr>
        <w:t>5</w:t>
      </w:r>
      <w:r>
        <w:rPr>
          <w:rFonts w:hint="eastAsia"/>
          <w:highlight w:val="none"/>
        </w:rPr>
        <w:t>月</w:t>
      </w:r>
      <w:r>
        <w:rPr>
          <w:rFonts w:hint="eastAsia"/>
          <w:highlight w:val="none"/>
          <w:lang w:val="en-US" w:eastAsia="zh-CN"/>
        </w:rPr>
        <w:t>3</w:t>
      </w:r>
      <w:r>
        <w:rPr>
          <w:rFonts w:hint="eastAsia"/>
          <w:highlight w:val="none"/>
        </w:rPr>
        <w:t>日-20</w:t>
      </w:r>
      <w:r>
        <w:rPr>
          <w:rFonts w:hint="eastAsia" w:ascii="Times New Roman" w:eastAsia="宋体"/>
          <w:highlight w:val="none"/>
          <w:lang w:val="en-US" w:eastAsia="zh-CN"/>
        </w:rPr>
        <w:t>20</w:t>
      </w:r>
      <w:r>
        <w:rPr>
          <w:rFonts w:hint="eastAsia"/>
          <w:highlight w:val="none"/>
        </w:rPr>
        <w:t>年</w:t>
      </w:r>
      <w:r>
        <w:rPr>
          <w:rFonts w:hint="eastAsia" w:ascii="Times New Roman" w:eastAsia="宋体"/>
          <w:highlight w:val="none"/>
          <w:lang w:val="en-US" w:eastAsia="zh-CN"/>
        </w:rPr>
        <w:t>5</w:t>
      </w:r>
      <w:r>
        <w:rPr>
          <w:rFonts w:hint="eastAsia"/>
          <w:highlight w:val="none"/>
        </w:rPr>
        <w:t>月</w:t>
      </w:r>
      <w:r>
        <w:rPr>
          <w:rFonts w:hint="eastAsia"/>
          <w:highlight w:val="none"/>
          <w:lang w:val="en-US" w:eastAsia="zh-CN"/>
        </w:rPr>
        <w:t>4</w:t>
      </w:r>
      <w:r>
        <w:rPr>
          <w:rFonts w:hint="eastAsia"/>
          <w:highlight w:val="none"/>
        </w:rPr>
        <w:t>日对本项目</w:t>
      </w:r>
      <w:r>
        <w:rPr>
          <w:rFonts w:hint="eastAsia"/>
          <w:highlight w:val="none"/>
          <w:lang w:eastAsia="zh-CN"/>
        </w:rPr>
        <w:t>地下水</w:t>
      </w:r>
      <w:r>
        <w:rPr>
          <w:rFonts w:hint="eastAsia" w:eastAsia="宋体"/>
          <w:highlight w:val="none"/>
          <w:lang w:eastAsia="zh-CN"/>
        </w:rPr>
        <w:t>进行了</w:t>
      </w:r>
      <w:r>
        <w:rPr>
          <w:rFonts w:hint="eastAsia"/>
          <w:highlight w:val="none"/>
        </w:rPr>
        <w:t>监测</w:t>
      </w:r>
      <w:r>
        <w:rPr>
          <w:rFonts w:hint="eastAsia" w:cs="Times New Roman"/>
          <w:highlight w:val="none"/>
        </w:rPr>
        <w:t>，监测数据有较好的代表性。</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地</w:t>
      </w:r>
      <w:r>
        <w:rPr>
          <w:rFonts w:hint="eastAsia" w:cs="Times New Roman"/>
          <w:highlight w:val="none"/>
        </w:rPr>
        <w:t>下</w:t>
      </w:r>
      <w:r>
        <w:rPr>
          <w:rFonts w:cs="Times New Roman"/>
          <w:highlight w:val="none"/>
        </w:rPr>
        <w:t>水共设</w:t>
      </w:r>
      <w:r>
        <w:rPr>
          <w:rFonts w:hint="eastAsia" w:cs="Times New Roman"/>
          <w:highlight w:val="none"/>
        </w:rPr>
        <w:t>3</w:t>
      </w:r>
      <w:r>
        <w:rPr>
          <w:rFonts w:cs="Times New Roman"/>
          <w:highlight w:val="none"/>
        </w:rPr>
        <w:t>个监测</w:t>
      </w:r>
      <w:r>
        <w:rPr>
          <w:rFonts w:hint="eastAsia" w:cs="Times New Roman"/>
          <w:highlight w:val="none"/>
        </w:rPr>
        <w:t>点位</w:t>
      </w:r>
      <w:r>
        <w:rPr>
          <w:rFonts w:cs="Times New Roman"/>
          <w:highlight w:val="none"/>
        </w:rPr>
        <w:t>，详见表</w:t>
      </w:r>
      <w:r>
        <w:rPr>
          <w:rFonts w:hint="eastAsia" w:cs="Times New Roman"/>
          <w:highlight w:val="none"/>
          <w:lang w:val="en-US" w:eastAsia="zh-CN"/>
        </w:rPr>
        <w:t>3</w:t>
      </w:r>
      <w:r>
        <w:rPr>
          <w:rFonts w:hint="eastAsia" w:cs="Times New Roman"/>
          <w:highlight w:val="none"/>
        </w:rPr>
        <w:t>.3</w:t>
      </w:r>
      <w:r>
        <w:rPr>
          <w:rFonts w:cs="Times New Roman"/>
          <w:highlight w:val="none"/>
        </w:rPr>
        <w:t>-</w:t>
      </w:r>
      <w:r>
        <w:rPr>
          <w:rFonts w:hint="eastAsia" w:cs="Times New Roman"/>
          <w:highlight w:val="none"/>
          <w:lang w:val="en-US" w:eastAsia="zh-CN"/>
        </w:rPr>
        <w:t>9</w:t>
      </w:r>
      <w:r>
        <w:rPr>
          <w:rFonts w:cs="Times New Roman"/>
          <w:highlight w:val="none"/>
        </w:rPr>
        <w:t>。</w:t>
      </w:r>
    </w:p>
    <w:p>
      <w:pPr>
        <w:pStyle w:val="40"/>
        <w:rPr>
          <w:rFonts w:cs="Times New Roman"/>
          <w:highlight w:val="none"/>
        </w:rPr>
      </w:pPr>
      <w:r>
        <w:rPr>
          <w:rFonts w:hint="eastAsia" w:cs="Times New Roman"/>
          <w:highlight w:val="none"/>
        </w:rPr>
        <w:t>表</w:t>
      </w:r>
      <w:r>
        <w:rPr>
          <w:rFonts w:hint="eastAsia" w:cs="Times New Roman"/>
          <w:highlight w:val="none"/>
          <w:lang w:val="en-US" w:eastAsia="zh-CN"/>
        </w:rPr>
        <w:t>3</w:t>
      </w:r>
      <w:r>
        <w:rPr>
          <w:rFonts w:hint="eastAsia" w:cs="Times New Roman"/>
          <w:highlight w:val="none"/>
        </w:rPr>
        <w:t>.3-</w:t>
      </w:r>
      <w:r>
        <w:rPr>
          <w:rFonts w:hint="eastAsia" w:cs="Times New Roman"/>
          <w:highlight w:val="none"/>
          <w:lang w:val="en-US" w:eastAsia="zh-CN"/>
        </w:rPr>
        <w:t xml:space="preserve">9 </w:t>
      </w:r>
      <w:r>
        <w:rPr>
          <w:rFonts w:hint="eastAsia" w:cs="Times New Roman"/>
          <w:highlight w:val="none"/>
        </w:rPr>
        <w:t>地下水</w:t>
      </w:r>
      <w:r>
        <w:rPr>
          <w:rFonts w:cs="Times New Roman"/>
          <w:highlight w:val="none"/>
        </w:rPr>
        <w:t>水</w:t>
      </w:r>
      <w:r>
        <w:rPr>
          <w:rFonts w:hint="eastAsia" w:cs="Times New Roman"/>
          <w:highlight w:val="none"/>
          <w:lang w:eastAsia="zh-CN"/>
        </w:rPr>
        <w:t>质</w:t>
      </w:r>
      <w:r>
        <w:rPr>
          <w:rFonts w:cs="Times New Roman"/>
          <w:highlight w:val="none"/>
        </w:rPr>
        <w:t>监测</w:t>
      </w:r>
      <w:r>
        <w:rPr>
          <w:rFonts w:hint="eastAsia" w:cs="Times New Roman"/>
          <w:highlight w:val="none"/>
        </w:rPr>
        <w:t>方案</w:t>
      </w:r>
    </w:p>
    <w:tbl>
      <w:tblPr>
        <w:tblStyle w:val="24"/>
        <w:tblW w:w="82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699"/>
        <w:gridCol w:w="4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cs="Times New Roman"/>
                <w:b/>
                <w:bCs/>
                <w:sz w:val="21"/>
                <w:szCs w:val="21"/>
                <w:highlight w:val="none"/>
              </w:rPr>
            </w:pPr>
            <w:r>
              <w:rPr>
                <w:rFonts w:hint="eastAsia" w:cs="Times New Roman"/>
                <w:b/>
                <w:bCs/>
                <w:sz w:val="21"/>
                <w:szCs w:val="21"/>
                <w:highlight w:val="none"/>
              </w:rPr>
              <w:t>编号</w:t>
            </w:r>
          </w:p>
        </w:tc>
        <w:tc>
          <w:tcPr>
            <w:tcW w:w="2699" w:type="dxa"/>
            <w:tcBorders>
              <w:tl2br w:val="nil"/>
              <w:tr2bl w:val="nil"/>
            </w:tcBorders>
            <w:vAlign w:val="center"/>
          </w:tcPr>
          <w:p>
            <w:pPr>
              <w:spacing w:line="240" w:lineRule="auto"/>
              <w:ind w:firstLine="0" w:firstLineChars="0"/>
              <w:jc w:val="center"/>
              <w:rPr>
                <w:rFonts w:hint="eastAsia" w:cs="Times New Roman"/>
                <w:b/>
                <w:bCs/>
                <w:sz w:val="21"/>
                <w:szCs w:val="21"/>
                <w:highlight w:val="none"/>
                <w:lang w:val="en-US" w:eastAsia="zh-CN"/>
              </w:rPr>
            </w:pPr>
            <w:r>
              <w:rPr>
                <w:rFonts w:hint="eastAsia" w:cs="Times New Roman"/>
                <w:b/>
                <w:bCs/>
                <w:sz w:val="21"/>
                <w:szCs w:val="21"/>
                <w:highlight w:val="none"/>
                <w:lang w:val="en-US" w:eastAsia="zh-CN"/>
              </w:rPr>
              <w:t>点位</w:t>
            </w:r>
          </w:p>
        </w:tc>
        <w:tc>
          <w:tcPr>
            <w:tcW w:w="4739" w:type="dxa"/>
            <w:tcBorders>
              <w:tl2br w:val="nil"/>
              <w:tr2bl w:val="nil"/>
            </w:tcBorders>
            <w:vAlign w:val="center"/>
          </w:tcPr>
          <w:p>
            <w:pPr>
              <w:pStyle w:val="42"/>
              <w:spacing w:line="240" w:lineRule="auto"/>
              <w:ind w:firstLine="0" w:firstLineChars="0"/>
              <w:rPr>
                <w:b/>
                <w:bCs/>
                <w:kern w:val="2"/>
                <w:highlight w:val="none"/>
              </w:rPr>
            </w:pPr>
            <w:r>
              <w:rPr>
                <w:rFonts w:hint="eastAsia"/>
                <w:b/>
                <w:bCs/>
                <w:kern w:val="2"/>
                <w:highlight w:val="none"/>
              </w:rPr>
              <w:t>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1</w:t>
            </w:r>
          </w:p>
        </w:tc>
        <w:tc>
          <w:tcPr>
            <w:tcW w:w="2699" w:type="dxa"/>
            <w:tcBorders>
              <w:tl2br w:val="nil"/>
              <w:tr2bl w:val="nil"/>
            </w:tcBorders>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黎刘庄</w:t>
            </w:r>
          </w:p>
        </w:tc>
        <w:tc>
          <w:tcPr>
            <w:tcW w:w="4739" w:type="dxa"/>
            <w:vMerge w:val="restart"/>
            <w:tcBorders>
              <w:tl2br w:val="nil"/>
              <w:tr2bl w:val="nil"/>
            </w:tcBorders>
            <w:vAlign w:val="center"/>
          </w:tcPr>
          <w:p>
            <w:pPr>
              <w:spacing w:line="300" w:lineRule="exact"/>
              <w:ind w:left="0" w:leftChars="0" w:firstLine="0" w:firstLineChars="0"/>
              <w:jc w:val="both"/>
              <w:rPr>
                <w:rFonts w:hint="eastAsia"/>
                <w:sz w:val="21"/>
                <w:szCs w:val="21"/>
                <w:highlight w:val="none"/>
              </w:rPr>
            </w:pPr>
            <w:r>
              <w:rPr>
                <w:rFonts w:hint="eastAsia"/>
                <w:sz w:val="21"/>
                <w:szCs w:val="21"/>
                <w:highlight w:val="none"/>
              </w:rPr>
              <w:t>K</w:t>
            </w:r>
            <w:r>
              <w:rPr>
                <w:rFonts w:hint="eastAsia"/>
                <w:sz w:val="21"/>
                <w:szCs w:val="21"/>
                <w:highlight w:val="none"/>
                <w:vertAlign w:val="superscript"/>
              </w:rPr>
              <w:t>+</w:t>
            </w:r>
            <w:r>
              <w:rPr>
                <w:rFonts w:hint="eastAsia"/>
                <w:sz w:val="21"/>
                <w:szCs w:val="21"/>
                <w:highlight w:val="none"/>
              </w:rPr>
              <w:t>、Na</w:t>
            </w:r>
            <w:r>
              <w:rPr>
                <w:rFonts w:hint="eastAsia"/>
                <w:sz w:val="21"/>
                <w:szCs w:val="21"/>
                <w:highlight w:val="none"/>
                <w:vertAlign w:val="superscript"/>
              </w:rPr>
              <w:t>+</w:t>
            </w:r>
            <w:r>
              <w:rPr>
                <w:rFonts w:hint="eastAsia"/>
                <w:sz w:val="21"/>
                <w:szCs w:val="21"/>
                <w:highlight w:val="none"/>
              </w:rPr>
              <w:t>、Ca</w:t>
            </w:r>
            <w:r>
              <w:rPr>
                <w:rFonts w:hint="eastAsia"/>
                <w:sz w:val="21"/>
                <w:szCs w:val="21"/>
                <w:highlight w:val="none"/>
                <w:vertAlign w:val="superscript"/>
              </w:rPr>
              <w:t>2+</w:t>
            </w:r>
            <w:r>
              <w:rPr>
                <w:rFonts w:hint="eastAsia"/>
                <w:sz w:val="21"/>
                <w:szCs w:val="21"/>
                <w:highlight w:val="none"/>
              </w:rPr>
              <w:t>、Mg</w:t>
            </w:r>
            <w:r>
              <w:rPr>
                <w:rFonts w:hint="eastAsia"/>
                <w:sz w:val="21"/>
                <w:szCs w:val="21"/>
                <w:highlight w:val="none"/>
                <w:vertAlign w:val="superscript"/>
              </w:rPr>
              <w:t>2+</w:t>
            </w:r>
            <w:r>
              <w:rPr>
                <w:rFonts w:hint="eastAsia"/>
                <w:sz w:val="21"/>
                <w:szCs w:val="21"/>
                <w:highlight w:val="none"/>
              </w:rPr>
              <w:t>、CO</w:t>
            </w:r>
            <w:r>
              <w:rPr>
                <w:rFonts w:hint="eastAsia"/>
                <w:sz w:val="21"/>
                <w:szCs w:val="21"/>
                <w:highlight w:val="none"/>
                <w:vertAlign w:val="subscript"/>
              </w:rPr>
              <w:t>3</w:t>
            </w:r>
            <w:r>
              <w:rPr>
                <w:rFonts w:hint="eastAsia"/>
                <w:sz w:val="21"/>
                <w:szCs w:val="21"/>
                <w:highlight w:val="none"/>
                <w:vertAlign w:val="superscript"/>
              </w:rPr>
              <w:t>2—</w:t>
            </w:r>
            <w:r>
              <w:rPr>
                <w:rFonts w:hint="eastAsia"/>
                <w:sz w:val="21"/>
                <w:szCs w:val="21"/>
                <w:highlight w:val="none"/>
              </w:rPr>
              <w:t>、HCO</w:t>
            </w:r>
            <w:r>
              <w:rPr>
                <w:rFonts w:hint="eastAsia"/>
                <w:sz w:val="21"/>
                <w:szCs w:val="21"/>
                <w:highlight w:val="none"/>
                <w:vertAlign w:val="subscript"/>
              </w:rPr>
              <w:t>3</w:t>
            </w:r>
            <w:r>
              <w:rPr>
                <w:rFonts w:hint="eastAsia"/>
                <w:sz w:val="21"/>
                <w:szCs w:val="21"/>
                <w:highlight w:val="none"/>
                <w:vertAlign w:val="superscript"/>
              </w:rPr>
              <w:t>—</w:t>
            </w:r>
            <w:r>
              <w:rPr>
                <w:rFonts w:hint="eastAsia"/>
                <w:sz w:val="21"/>
                <w:szCs w:val="21"/>
                <w:highlight w:val="none"/>
              </w:rPr>
              <w:t>、Cl</w:t>
            </w:r>
            <w:r>
              <w:rPr>
                <w:rFonts w:hint="eastAsia"/>
                <w:sz w:val="21"/>
                <w:szCs w:val="21"/>
                <w:highlight w:val="none"/>
                <w:vertAlign w:val="superscript"/>
              </w:rPr>
              <w:t>—</w:t>
            </w:r>
            <w:r>
              <w:rPr>
                <w:rFonts w:hint="eastAsia"/>
                <w:sz w:val="21"/>
                <w:szCs w:val="21"/>
                <w:highlight w:val="none"/>
              </w:rPr>
              <w:t>、</w:t>
            </w:r>
          </w:p>
          <w:p>
            <w:pPr>
              <w:spacing w:line="300" w:lineRule="exact"/>
              <w:ind w:left="0" w:leftChars="0" w:firstLine="0" w:firstLineChars="0"/>
              <w:jc w:val="both"/>
              <w:rPr>
                <w:kern w:val="2"/>
                <w:highlight w:val="none"/>
              </w:rPr>
            </w:pPr>
            <w:r>
              <w:rPr>
                <w:rFonts w:hint="eastAsia"/>
                <w:sz w:val="21"/>
                <w:szCs w:val="21"/>
                <w:highlight w:val="none"/>
              </w:rPr>
              <w:t>SO</w:t>
            </w:r>
            <w:r>
              <w:rPr>
                <w:rFonts w:hint="eastAsia"/>
                <w:sz w:val="21"/>
                <w:szCs w:val="21"/>
                <w:highlight w:val="none"/>
                <w:vertAlign w:val="subscript"/>
              </w:rPr>
              <w:t>4</w:t>
            </w:r>
            <w:r>
              <w:rPr>
                <w:rFonts w:hint="eastAsia"/>
                <w:sz w:val="21"/>
                <w:szCs w:val="21"/>
                <w:highlight w:val="none"/>
                <w:vertAlign w:val="superscript"/>
              </w:rPr>
              <w:t>2—</w:t>
            </w:r>
            <w:r>
              <w:rPr>
                <w:rFonts w:hint="eastAsia"/>
                <w:sz w:val="21"/>
                <w:szCs w:val="21"/>
                <w:highlight w:val="none"/>
                <w:vertAlign w:val="baseline"/>
                <w:lang w:eastAsia="zh-CN"/>
              </w:rPr>
              <w:t>、</w:t>
            </w:r>
            <w:r>
              <w:rPr>
                <w:rFonts w:hint="eastAsia"/>
                <w:sz w:val="21"/>
                <w:szCs w:val="21"/>
                <w:highlight w:val="none"/>
              </w:rPr>
              <w:t>pH、氨氮、硝酸盐、亚硝酸盐、挥发性酚类、氰化物、砷、汞、六价铬、总硬度、铅、氟化物、镉、铁、铜、溶解性总固体、耗氧量、总大肠菌群以及菌落总数、水位、井深、水温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2</w:t>
            </w:r>
          </w:p>
        </w:tc>
        <w:tc>
          <w:tcPr>
            <w:tcW w:w="2699" w:type="dxa"/>
            <w:tcBorders>
              <w:tl2br w:val="nil"/>
              <w:tr2bl w:val="nil"/>
            </w:tcBorders>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刘小庄</w:t>
            </w:r>
          </w:p>
        </w:tc>
        <w:tc>
          <w:tcPr>
            <w:tcW w:w="4739" w:type="dxa"/>
            <w:vMerge w:val="continue"/>
            <w:tcBorders>
              <w:tl2br w:val="nil"/>
              <w:tr2bl w:val="nil"/>
            </w:tcBorders>
            <w:vAlign w:val="center"/>
          </w:tcPr>
          <w:p>
            <w:pPr>
              <w:pStyle w:val="42"/>
              <w:spacing w:line="240" w:lineRule="auto"/>
              <w:ind w:firstLine="42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2699" w:type="dxa"/>
            <w:tcBorders>
              <w:tl2br w:val="nil"/>
              <w:tr2bl w:val="nil"/>
            </w:tcBorders>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西刘庄</w:t>
            </w:r>
          </w:p>
        </w:tc>
        <w:tc>
          <w:tcPr>
            <w:tcW w:w="4739" w:type="dxa"/>
            <w:vMerge w:val="continue"/>
            <w:tcBorders>
              <w:tl2br w:val="nil"/>
              <w:tr2bl w:val="nil"/>
            </w:tcBorders>
            <w:vAlign w:val="center"/>
          </w:tcPr>
          <w:p>
            <w:pPr>
              <w:pStyle w:val="42"/>
              <w:spacing w:line="240" w:lineRule="auto"/>
              <w:ind w:firstLine="420"/>
              <w:rPr>
                <w:kern w:val="2"/>
                <w:highlight w:val="none"/>
              </w:rPr>
            </w:pPr>
          </w:p>
        </w:tc>
      </w:tr>
    </w:tbl>
    <w:p>
      <w:pPr>
        <w:ind w:firstLine="480"/>
        <w:rPr>
          <w:highlight w:val="none"/>
        </w:rPr>
      </w:pPr>
      <w:r>
        <w:rPr>
          <w:highlight w:val="none"/>
        </w:rPr>
        <w:t>（</w:t>
      </w:r>
      <w:r>
        <w:rPr>
          <w:rFonts w:hint="eastAsia"/>
          <w:highlight w:val="none"/>
        </w:rPr>
        <w:t>2</w:t>
      </w:r>
      <w:r>
        <w:rPr>
          <w:highlight w:val="none"/>
        </w:rPr>
        <w:t>）监测时间</w:t>
      </w:r>
      <w:r>
        <w:rPr>
          <w:rFonts w:hint="eastAsia"/>
          <w:highlight w:val="none"/>
          <w:lang w:eastAsia="zh-CN"/>
        </w:rPr>
        <w:t>、</w:t>
      </w:r>
      <w:r>
        <w:rPr>
          <w:highlight w:val="none"/>
        </w:rPr>
        <w:t>频次</w:t>
      </w:r>
      <w:r>
        <w:rPr>
          <w:rFonts w:ascii="Times New Roman" w:hAnsi="Times New Roman"/>
          <w:color w:val="000000"/>
          <w:sz w:val="24"/>
          <w:highlight w:val="none"/>
        </w:rPr>
        <w:t>及分析方法</w:t>
      </w:r>
    </w:p>
    <w:p>
      <w:pPr>
        <w:ind w:firstLine="480"/>
        <w:rPr>
          <w:rFonts w:hint="eastAsia"/>
          <w:highlight w:val="none"/>
        </w:rPr>
      </w:pPr>
      <w:r>
        <w:rPr>
          <w:rFonts w:hint="eastAsia"/>
          <w:highlight w:val="none"/>
        </w:rPr>
        <w:t>监测时间为2020年5月3日-2020年5月4日，连续监测</w:t>
      </w:r>
      <w:r>
        <w:rPr>
          <w:rFonts w:hint="eastAsia"/>
          <w:highlight w:val="none"/>
          <w:lang w:val="en-US" w:eastAsia="zh-CN"/>
        </w:rPr>
        <w:t>2</w:t>
      </w:r>
      <w:r>
        <w:rPr>
          <w:rFonts w:hint="eastAsia"/>
          <w:highlight w:val="none"/>
        </w:rPr>
        <w:t>天，每天采样一次。同时记录测点坐标。</w:t>
      </w:r>
    </w:p>
    <w:p>
      <w:pPr>
        <w:pStyle w:val="10"/>
        <w:rPr>
          <w:rFonts w:hint="eastAsia"/>
          <w:highlight w:val="none"/>
        </w:rPr>
      </w:pPr>
      <w:r>
        <w:rPr>
          <w:rFonts w:hint="eastAsia"/>
          <w:highlight w:val="none"/>
        </w:rPr>
        <w:t>分析方法：水样的采集、保存按《生活饮用水标准检验方法水样的采集和保存》（GB/T5750.2-2006）进行，分析方法按照《生活饮用水标准检验方法》（GB/T5750.4、5750.5、5750.7、5750.8－2006）中相关规定的监测方法进行。</w:t>
      </w:r>
    </w:p>
    <w:p>
      <w:pPr>
        <w:pStyle w:val="1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）评价方法</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采用单项标准指数法对各评价因子进行单项水质参数评价，计算方法如下：</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w:t>
      </w:r>
      <w:r>
        <w:rPr>
          <w:rFonts w:ascii="Times New Roman" w:hAnsi="Times New Roman"/>
          <w:color w:val="000000"/>
          <w:sz w:val="24"/>
          <w:highlight w:val="none"/>
          <w:vertAlign w:val="subscript"/>
        </w:rPr>
        <w:t>i</w:t>
      </w:r>
      <w:r>
        <w:rPr>
          <w:rFonts w:ascii="Times New Roman" w:hAnsi="Times New Roman"/>
          <w:color w:val="000000"/>
          <w:sz w:val="24"/>
          <w:highlight w:val="none"/>
        </w:rPr>
        <w:t>=C</w:t>
      </w:r>
      <w:r>
        <w:rPr>
          <w:rFonts w:ascii="Times New Roman" w:hAnsi="Times New Roman"/>
          <w:color w:val="000000"/>
          <w:sz w:val="24"/>
          <w:highlight w:val="none"/>
          <w:vertAlign w:val="subscript"/>
        </w:rPr>
        <w:t>i</w:t>
      </w:r>
      <w:r>
        <w:rPr>
          <w:rFonts w:ascii="Times New Roman" w:hAnsi="Times New Roman"/>
          <w:color w:val="000000"/>
          <w:sz w:val="24"/>
          <w:highlight w:val="none"/>
        </w:rPr>
        <w:t>/C</w:t>
      </w:r>
      <w:r>
        <w:rPr>
          <w:rFonts w:ascii="Times New Roman" w:hAnsi="Times New Roman"/>
          <w:color w:val="000000"/>
          <w:sz w:val="24"/>
          <w:highlight w:val="none"/>
          <w:vertAlign w:val="subscript"/>
        </w:rPr>
        <w:t>si</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式中：P</w:t>
      </w:r>
      <w:r>
        <w:rPr>
          <w:rFonts w:ascii="Times New Roman" w:hAnsi="Times New Roman"/>
          <w:color w:val="000000"/>
          <w:sz w:val="24"/>
          <w:highlight w:val="none"/>
          <w:vertAlign w:val="subscript"/>
        </w:rPr>
        <w:t>i</w:t>
      </w:r>
      <w:r>
        <w:rPr>
          <w:rFonts w:ascii="Times New Roman" w:hAnsi="Times New Roman"/>
          <w:color w:val="000000"/>
          <w:sz w:val="24"/>
          <w:highlight w:val="none"/>
        </w:rPr>
        <w:t>——第i个水质因子的标准指数，无量纲；</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Ci</w:t>
      </w:r>
      <w:r>
        <w:rPr>
          <w:rFonts w:ascii="Times New Roman" w:hAnsi="Times New Roman"/>
          <w:color w:val="000000"/>
          <w:sz w:val="24"/>
          <w:highlight w:val="none"/>
          <w:vertAlign w:val="subscript"/>
        </w:rPr>
        <w:t>j</w:t>
      </w:r>
      <w:r>
        <w:rPr>
          <w:rFonts w:ascii="Times New Roman" w:hAnsi="Times New Roman"/>
          <w:color w:val="000000"/>
          <w:sz w:val="24"/>
          <w:highlight w:val="none"/>
        </w:rPr>
        <w:t>——第i个水质因子的监测浓度（mg/L）；</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C</w:t>
      </w:r>
      <w:r>
        <w:rPr>
          <w:rFonts w:ascii="Times New Roman" w:hAnsi="Times New Roman"/>
          <w:color w:val="000000"/>
          <w:sz w:val="24"/>
          <w:highlight w:val="none"/>
          <w:vertAlign w:val="subscript"/>
        </w:rPr>
        <w:t>si</w:t>
      </w:r>
      <w:r>
        <w:rPr>
          <w:rFonts w:ascii="Times New Roman" w:hAnsi="Times New Roman"/>
          <w:color w:val="000000"/>
          <w:sz w:val="24"/>
          <w:highlight w:val="none"/>
        </w:rPr>
        <w:t>——第i个水质因子的标准限值（mg/L)。</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pH的标准指数为：</w:t>
      </w:r>
    </w:p>
    <w:p>
      <w:pPr>
        <w:spacing w:line="500" w:lineRule="exact"/>
        <w:ind w:firstLine="482"/>
        <w:jc w:val="center"/>
        <w:rPr>
          <w:rFonts w:ascii="Times New Roman" w:hAnsi="Times New Roman"/>
          <w:color w:val="000000"/>
          <w:sz w:val="24"/>
          <w:highlight w:val="none"/>
        </w:rPr>
      </w:pPr>
      <w:r>
        <w:rPr>
          <w:rFonts w:ascii="Times New Roman" w:hAnsi="Times New Roman"/>
          <w:color w:val="000000"/>
          <w:sz w:val="24"/>
          <w:highlight w:val="none"/>
        </w:rPr>
        <w:t>S</w:t>
      </w:r>
      <w:r>
        <w:rPr>
          <w:rFonts w:ascii="Times New Roman" w:hAnsi="Times New Roman"/>
          <w:color w:val="000000"/>
          <w:sz w:val="24"/>
          <w:highlight w:val="none"/>
          <w:vertAlign w:val="subscript"/>
        </w:rPr>
        <w:t>pH,j</w:t>
      </w:r>
      <w:r>
        <w:rPr>
          <w:rFonts w:ascii="Times New Roman" w:hAnsi="Times New Roman"/>
          <w:color w:val="000000"/>
          <w:sz w:val="24"/>
          <w:highlight w:val="none"/>
        </w:rPr>
        <w:t>=(7.0-pH</w:t>
      </w:r>
      <w:r>
        <w:rPr>
          <w:rFonts w:ascii="Times New Roman" w:hAnsi="Times New Roman"/>
          <w:color w:val="000000"/>
          <w:sz w:val="24"/>
          <w:highlight w:val="none"/>
          <w:vertAlign w:val="subscript"/>
        </w:rPr>
        <w:t>j</w:t>
      </w:r>
      <w:r>
        <w:rPr>
          <w:rFonts w:ascii="Times New Roman" w:hAnsi="Times New Roman"/>
          <w:color w:val="000000"/>
          <w:sz w:val="24"/>
          <w:highlight w:val="none"/>
        </w:rPr>
        <w:t>)/(7.0-pH</w:t>
      </w:r>
      <w:r>
        <w:rPr>
          <w:rFonts w:ascii="Times New Roman" w:hAnsi="Times New Roman"/>
          <w:color w:val="000000"/>
          <w:sz w:val="24"/>
          <w:highlight w:val="none"/>
          <w:vertAlign w:val="subscript"/>
        </w:rPr>
        <w:t>sd</w:t>
      </w:r>
      <w:r>
        <w:rPr>
          <w:rFonts w:ascii="Times New Roman" w:hAnsi="Times New Roman"/>
          <w:color w:val="000000"/>
          <w:sz w:val="24"/>
          <w:highlight w:val="none"/>
        </w:rPr>
        <w:t>)     (pH</w:t>
      </w:r>
      <w:r>
        <w:rPr>
          <w:rFonts w:ascii="Times New Roman" w:hAnsi="Times New Roman"/>
          <w:color w:val="000000"/>
          <w:sz w:val="24"/>
          <w:highlight w:val="none"/>
          <w:vertAlign w:val="subscript"/>
        </w:rPr>
        <w:t>i</w:t>
      </w:r>
      <w:r>
        <w:rPr>
          <w:rFonts w:ascii="Times New Roman" w:hAnsi="Times New Roman"/>
          <w:color w:val="000000"/>
          <w:sz w:val="24"/>
          <w:highlight w:val="none"/>
        </w:rPr>
        <w:t>≤7.0时)</w:t>
      </w:r>
    </w:p>
    <w:p>
      <w:pPr>
        <w:spacing w:line="500" w:lineRule="exact"/>
        <w:ind w:firstLine="482"/>
        <w:jc w:val="center"/>
        <w:rPr>
          <w:rFonts w:ascii="Times New Roman" w:hAnsi="Times New Roman"/>
          <w:color w:val="000000"/>
          <w:sz w:val="24"/>
          <w:highlight w:val="none"/>
        </w:rPr>
      </w:pPr>
      <w:r>
        <w:rPr>
          <w:rFonts w:ascii="Times New Roman" w:hAnsi="Times New Roman"/>
          <w:color w:val="000000"/>
          <w:sz w:val="24"/>
          <w:highlight w:val="none"/>
        </w:rPr>
        <w:t>S</w:t>
      </w:r>
      <w:r>
        <w:rPr>
          <w:rFonts w:ascii="Times New Roman" w:hAnsi="Times New Roman"/>
          <w:color w:val="000000"/>
          <w:sz w:val="24"/>
          <w:highlight w:val="none"/>
          <w:vertAlign w:val="subscript"/>
        </w:rPr>
        <w:t>pH,j</w:t>
      </w:r>
      <w:r>
        <w:rPr>
          <w:rFonts w:ascii="Times New Roman" w:hAnsi="Times New Roman"/>
          <w:color w:val="000000"/>
          <w:sz w:val="24"/>
          <w:highlight w:val="none"/>
        </w:rPr>
        <w:t>=(pH</w:t>
      </w:r>
      <w:r>
        <w:rPr>
          <w:rFonts w:ascii="Times New Roman" w:hAnsi="Times New Roman"/>
          <w:color w:val="000000"/>
          <w:sz w:val="24"/>
          <w:highlight w:val="none"/>
          <w:vertAlign w:val="subscript"/>
        </w:rPr>
        <w:t>j</w:t>
      </w:r>
      <w:r>
        <w:rPr>
          <w:rFonts w:ascii="Times New Roman" w:hAnsi="Times New Roman"/>
          <w:color w:val="000000"/>
          <w:sz w:val="24"/>
          <w:highlight w:val="none"/>
        </w:rPr>
        <w:t>-7.0)/(pH</w:t>
      </w:r>
      <w:r>
        <w:rPr>
          <w:rFonts w:ascii="Times New Roman" w:hAnsi="Times New Roman"/>
          <w:color w:val="000000"/>
          <w:sz w:val="24"/>
          <w:highlight w:val="none"/>
          <w:vertAlign w:val="subscript"/>
        </w:rPr>
        <w:t>su</w:t>
      </w:r>
      <w:r>
        <w:rPr>
          <w:rFonts w:ascii="Times New Roman" w:hAnsi="Times New Roman"/>
          <w:color w:val="000000"/>
          <w:sz w:val="24"/>
          <w:highlight w:val="none"/>
        </w:rPr>
        <w:t>-7.0)     (pH</w:t>
      </w:r>
      <w:r>
        <w:rPr>
          <w:rFonts w:ascii="Times New Roman" w:hAnsi="Times New Roman"/>
          <w:color w:val="000000"/>
          <w:sz w:val="24"/>
          <w:highlight w:val="none"/>
          <w:vertAlign w:val="subscript"/>
        </w:rPr>
        <w:t>i</w:t>
      </w:r>
      <w:r>
        <w:rPr>
          <w:rFonts w:ascii="Times New Roman" w:hAnsi="Times New Roman"/>
          <w:color w:val="000000"/>
          <w:sz w:val="24"/>
          <w:highlight w:val="none"/>
        </w:rPr>
        <w:t>＞7.0时)</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式中：S</w:t>
      </w:r>
      <w:r>
        <w:rPr>
          <w:rFonts w:ascii="Times New Roman" w:hAnsi="Times New Roman"/>
          <w:color w:val="000000"/>
          <w:sz w:val="24"/>
          <w:highlight w:val="none"/>
          <w:vertAlign w:val="subscript"/>
        </w:rPr>
        <w:t>pH,j</w:t>
      </w:r>
      <w:r>
        <w:rPr>
          <w:rFonts w:ascii="Times New Roman" w:hAnsi="Times New Roman"/>
          <w:color w:val="000000"/>
          <w:sz w:val="24"/>
          <w:highlight w:val="none"/>
        </w:rPr>
        <w:t>——第j点pH的标准指数；</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w:t>
      </w:r>
      <w:r>
        <w:rPr>
          <w:rFonts w:ascii="Times New Roman" w:hAnsi="Times New Roman"/>
          <w:color w:val="000000"/>
          <w:sz w:val="24"/>
          <w:highlight w:val="none"/>
          <w:vertAlign w:val="subscript"/>
        </w:rPr>
        <w:t>j</w:t>
      </w:r>
      <w:r>
        <w:rPr>
          <w:rFonts w:ascii="Times New Roman" w:hAnsi="Times New Roman"/>
          <w:color w:val="000000"/>
          <w:sz w:val="24"/>
          <w:highlight w:val="none"/>
        </w:rPr>
        <w:t>——第j点的监测值；</w:t>
      </w:r>
    </w:p>
    <w:p>
      <w:pPr>
        <w:spacing w:line="500" w:lineRule="exact"/>
        <w:ind w:firstLine="482"/>
        <w:rPr>
          <w:rFonts w:ascii="Times New Roman" w:hAnsi="Times New Roman"/>
          <w:color w:val="000000"/>
          <w:sz w:val="24"/>
          <w:highlight w:val="none"/>
        </w:rPr>
      </w:pPr>
      <w:r>
        <w:rPr>
          <w:rFonts w:ascii="Times New Roman" w:hAnsi="Times New Roman"/>
          <w:color w:val="000000"/>
          <w:sz w:val="24"/>
          <w:highlight w:val="none"/>
        </w:rPr>
        <w:t xml:space="preserve">      pH</w:t>
      </w:r>
      <w:r>
        <w:rPr>
          <w:rFonts w:ascii="Times New Roman" w:hAnsi="Times New Roman"/>
          <w:color w:val="000000"/>
          <w:sz w:val="24"/>
          <w:highlight w:val="none"/>
          <w:vertAlign w:val="subscript"/>
        </w:rPr>
        <w:t>su</w:t>
      </w:r>
      <w:r>
        <w:rPr>
          <w:rFonts w:ascii="Times New Roman" w:hAnsi="Times New Roman"/>
          <w:color w:val="000000"/>
          <w:sz w:val="24"/>
          <w:highlight w:val="none"/>
        </w:rPr>
        <w:t>、pH</w:t>
      </w:r>
      <w:r>
        <w:rPr>
          <w:rFonts w:ascii="Times New Roman" w:hAnsi="Times New Roman"/>
          <w:color w:val="000000"/>
          <w:sz w:val="24"/>
          <w:highlight w:val="none"/>
          <w:vertAlign w:val="subscript"/>
        </w:rPr>
        <w:t>sd</w:t>
      </w:r>
      <w:r>
        <w:rPr>
          <w:rFonts w:ascii="Times New Roman" w:hAnsi="Times New Roman"/>
          <w:color w:val="000000"/>
          <w:sz w:val="24"/>
          <w:highlight w:val="none"/>
        </w:rPr>
        <w:t>——pH标准限值的上、下限值。</w:t>
      </w:r>
    </w:p>
    <w:p>
      <w:pPr>
        <w:pStyle w:val="10"/>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）评价标准</w:t>
      </w:r>
    </w:p>
    <w:p>
      <w:pPr>
        <w:pStyle w:val="10"/>
        <w:rPr>
          <w:rFonts w:hint="eastAsia"/>
          <w:highlight w:val="none"/>
          <w:lang w:eastAsia="zh-CN"/>
        </w:rPr>
      </w:pPr>
      <w:r>
        <w:rPr>
          <w:rFonts w:hint="eastAsia"/>
          <w:highlight w:val="none"/>
          <w:lang w:eastAsia="zh-CN"/>
        </w:rPr>
        <w:t>地下水水质现状评价执行《地下水质量标准》（GB/T 14848-2017）中的III类标准，根据《环境影响评价技术导则—地下水环境》（HJ 610-2016）要求对地下水因子进行监测。</w:t>
      </w:r>
    </w:p>
    <w:p>
      <w:pPr>
        <w:ind w:firstLine="480"/>
        <w:rPr>
          <w:highlight w:val="none"/>
        </w:rPr>
      </w:pPr>
      <w:r>
        <w:rPr>
          <w:highlight w:val="none"/>
        </w:rPr>
        <w:t>（</w:t>
      </w:r>
      <w:r>
        <w:rPr>
          <w:rFonts w:hint="eastAsia"/>
          <w:highlight w:val="none"/>
          <w:lang w:val="en-US" w:eastAsia="zh-CN"/>
        </w:rPr>
        <w:t>5</w:t>
      </w:r>
      <w:r>
        <w:rPr>
          <w:highlight w:val="none"/>
        </w:rPr>
        <w:t>）监测结果统计与评价</w:t>
      </w:r>
    </w:p>
    <w:p>
      <w:pPr>
        <w:ind w:firstLine="480"/>
        <w:rPr>
          <w:rFonts w:cs="Times New Roman"/>
          <w:kern w:val="0"/>
          <w:highlight w:val="none"/>
        </w:rPr>
      </w:pPr>
      <w:r>
        <w:rPr>
          <w:rFonts w:cs="Times New Roman"/>
          <w:kern w:val="0"/>
          <w:highlight w:val="none"/>
        </w:rPr>
        <w:t>区域地</w:t>
      </w:r>
      <w:r>
        <w:rPr>
          <w:rFonts w:hint="eastAsia" w:cs="Times New Roman"/>
          <w:kern w:val="0"/>
          <w:highlight w:val="none"/>
        </w:rPr>
        <w:t>下</w:t>
      </w:r>
      <w:r>
        <w:rPr>
          <w:rFonts w:cs="Times New Roman"/>
          <w:kern w:val="0"/>
          <w:highlight w:val="none"/>
        </w:rPr>
        <w:t>水</w:t>
      </w:r>
      <w:r>
        <w:rPr>
          <w:rFonts w:hint="eastAsia" w:cs="Times New Roman"/>
          <w:kern w:val="0"/>
          <w:highlight w:val="none"/>
        </w:rPr>
        <w:t>水位</w:t>
      </w:r>
      <w:r>
        <w:rPr>
          <w:rFonts w:cs="Times New Roman"/>
          <w:kern w:val="0"/>
          <w:highlight w:val="none"/>
        </w:rPr>
        <w:t>监测结果统计见表</w:t>
      </w:r>
      <w:r>
        <w:rPr>
          <w:rFonts w:hint="eastAsia" w:cs="Times New Roman"/>
          <w:kern w:val="0"/>
          <w:highlight w:val="none"/>
          <w:lang w:val="en-US" w:eastAsia="zh-CN"/>
        </w:rPr>
        <w:t>3</w:t>
      </w:r>
      <w:r>
        <w:rPr>
          <w:rFonts w:hint="eastAsia" w:cs="Times New Roman"/>
          <w:kern w:val="0"/>
          <w:highlight w:val="none"/>
        </w:rPr>
        <w:t>.3-</w:t>
      </w:r>
      <w:r>
        <w:rPr>
          <w:rFonts w:hint="eastAsia" w:cs="Times New Roman"/>
          <w:kern w:val="0"/>
          <w:highlight w:val="none"/>
          <w:lang w:val="en-US" w:eastAsia="zh-CN"/>
        </w:rPr>
        <w:t>10</w:t>
      </w:r>
      <w:r>
        <w:rPr>
          <w:rFonts w:hint="eastAsia" w:cs="Times New Roman"/>
          <w:kern w:val="0"/>
          <w:highlight w:val="none"/>
        </w:rPr>
        <w:t>。</w:t>
      </w:r>
      <w:r>
        <w:rPr>
          <w:highlight w:val="none"/>
        </w:rPr>
        <w:t>地下水环境质量监测及评价结果见表</w:t>
      </w:r>
      <w:r>
        <w:rPr>
          <w:rFonts w:hint="eastAsia"/>
          <w:highlight w:val="none"/>
          <w:lang w:val="en-US" w:eastAsia="zh-CN"/>
        </w:rPr>
        <w:t>3</w:t>
      </w:r>
      <w:r>
        <w:rPr>
          <w:rFonts w:hint="eastAsia"/>
          <w:highlight w:val="none"/>
        </w:rPr>
        <w:t>.3-</w:t>
      </w:r>
      <w:r>
        <w:rPr>
          <w:rFonts w:hint="eastAsia"/>
          <w:highlight w:val="none"/>
          <w:lang w:val="en-US" w:eastAsia="zh-CN"/>
        </w:rPr>
        <w:t>11</w:t>
      </w:r>
      <w:r>
        <w:rPr>
          <w:highlight w:val="none"/>
        </w:rPr>
        <w:t>。从表中的监测数据可知，</w:t>
      </w:r>
      <w:r>
        <w:rPr>
          <w:rFonts w:hint="eastAsia"/>
          <w:highlight w:val="none"/>
          <w:lang w:eastAsia="zh-CN"/>
        </w:rPr>
        <w:t>各监测点位的</w:t>
      </w:r>
      <w:r>
        <w:rPr>
          <w:rFonts w:hint="eastAsia" w:cs="Times New Roman"/>
          <w:kern w:val="0"/>
          <w:highlight w:val="none"/>
        </w:rPr>
        <w:t>各监测因子均能达到《地下水质量标准》（GB/T14848-2017）Ⅲ类水质要求。</w:t>
      </w:r>
      <w:bookmarkStart w:id="38" w:name="_Toc11082"/>
    </w:p>
    <w:p>
      <w:pPr>
        <w:pStyle w:val="40"/>
        <w:rPr>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10 </w:t>
      </w:r>
      <w:r>
        <w:rPr>
          <w:rFonts w:hint="eastAsia"/>
          <w:highlight w:val="none"/>
        </w:rPr>
        <w:t>水位监测点情况表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采样时间</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采样位置</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水位（米）</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井深（米）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2020.5.3</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崔堂</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9</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任庄</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东侯庄</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2020.5.4</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崔堂</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10</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任庄</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11</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东侯庄</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12</w:t>
            </w:r>
          </w:p>
        </w:tc>
        <w:tc>
          <w:tcPr>
            <w:tcW w:w="125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r>
    </w:tbl>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11 </w:t>
      </w:r>
      <w:r>
        <w:rPr>
          <w:rFonts w:hint="eastAsia"/>
          <w:highlight w:val="none"/>
        </w:rPr>
        <w:t>地下水水质监测统计及评价结果表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624"/>
        <w:gridCol w:w="1287"/>
        <w:gridCol w:w="1441"/>
        <w:gridCol w:w="1275"/>
        <w:gridCol w:w="1019"/>
        <w:gridCol w:w="1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名称</w:t>
            </w: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监测项目</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监测值</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标准指数</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超标率（%）</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eastAsia="zh-CN"/>
              </w:rPr>
              <w:t>最大</w:t>
            </w:r>
            <w:r>
              <w:rPr>
                <w:rFonts w:hint="eastAsia" w:cs="Times New Roman"/>
                <w:sz w:val="21"/>
                <w:szCs w:val="21"/>
                <w:highlight w:val="none"/>
              </w:rPr>
              <w:t>超标倍数</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黎刘庄</w:t>
            </w: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K</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1.35</w:t>
            </w:r>
            <w:r>
              <w:rPr>
                <w:rFonts w:hint="eastAsia" w:cs="Times New Roman"/>
                <w:sz w:val="21"/>
                <w:szCs w:val="21"/>
                <w:highlight w:val="none"/>
              </w:rPr>
              <w:t>-1.</w:t>
            </w:r>
            <w:r>
              <w:rPr>
                <w:rFonts w:hint="eastAsia" w:cs="Times New Roman"/>
                <w:sz w:val="21"/>
                <w:szCs w:val="21"/>
                <w:highlight w:val="none"/>
                <w:lang w:val="en-US" w:eastAsia="zh-CN"/>
              </w:rPr>
              <w:t>38</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Na</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40.8-41.4</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Ca</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4</w:t>
            </w:r>
            <w:r>
              <w:rPr>
                <w:rFonts w:hint="eastAsia" w:cs="Times New Roman"/>
                <w:sz w:val="21"/>
                <w:szCs w:val="21"/>
                <w:highlight w:val="none"/>
                <w:lang w:val="en-US" w:eastAsia="zh-CN"/>
              </w:rPr>
              <w:t>6</w:t>
            </w:r>
            <w:r>
              <w:rPr>
                <w:rFonts w:hint="eastAsia" w:cs="Times New Roman"/>
                <w:sz w:val="21"/>
                <w:szCs w:val="21"/>
                <w:highlight w:val="none"/>
              </w:rPr>
              <w:t>-5</w:t>
            </w:r>
            <w:r>
              <w:rPr>
                <w:rFonts w:hint="eastAsia" w:cs="Times New Roman"/>
                <w:sz w:val="21"/>
                <w:szCs w:val="21"/>
                <w:highlight w:val="none"/>
                <w:lang w:val="en-US" w:eastAsia="zh-CN"/>
              </w:rPr>
              <w:t>4</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Mg</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2</w:t>
            </w:r>
            <w:r>
              <w:rPr>
                <w:rFonts w:hint="eastAsia" w:cs="Times New Roman"/>
                <w:sz w:val="21"/>
                <w:szCs w:val="21"/>
                <w:highlight w:val="none"/>
                <w:lang w:val="en-US" w:eastAsia="zh-CN"/>
              </w:rPr>
              <w:t>1</w:t>
            </w:r>
            <w:r>
              <w:rPr>
                <w:rFonts w:hint="eastAsia" w:cs="Times New Roman"/>
                <w:sz w:val="21"/>
                <w:szCs w:val="21"/>
                <w:highlight w:val="none"/>
              </w:rPr>
              <w:t>-2</w:t>
            </w:r>
            <w:r>
              <w:rPr>
                <w:rFonts w:hint="eastAsia" w:cs="Times New Roman"/>
                <w:sz w:val="21"/>
                <w:szCs w:val="21"/>
                <w:highlight w:val="none"/>
                <w:lang w:val="en-US" w:eastAsia="zh-CN"/>
              </w:rPr>
              <w:t>2</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CO</w:t>
            </w:r>
            <w:r>
              <w:rPr>
                <w:rFonts w:hint="eastAsia" w:cs="Times New Roman"/>
                <w:sz w:val="21"/>
                <w:szCs w:val="21"/>
                <w:highlight w:val="none"/>
                <w:vertAlign w:val="subscript"/>
              </w:rPr>
              <w:t>3</w:t>
            </w:r>
            <w:r>
              <w:rPr>
                <w:rFonts w:hint="eastAsia" w:cs="Times New Roman"/>
                <w:sz w:val="21"/>
                <w:szCs w:val="21"/>
                <w:highlight w:val="none"/>
                <w:vertAlign w:val="superscript"/>
              </w:rPr>
              <w:t>2-</w:t>
            </w:r>
            <w:r>
              <w:rPr>
                <w:rFonts w:hint="eastAsia" w:cs="Times New Roman"/>
                <w:sz w:val="21"/>
                <w:szCs w:val="21"/>
                <w:highlight w:val="none"/>
              </w:rPr>
              <w:t>(mmol/L)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HCO</w:t>
            </w:r>
            <w:r>
              <w:rPr>
                <w:rFonts w:hint="eastAsia" w:cs="Times New Roman"/>
                <w:sz w:val="21"/>
                <w:szCs w:val="21"/>
                <w:highlight w:val="none"/>
                <w:vertAlign w:val="subscript"/>
              </w:rPr>
              <w:t>3</w:t>
            </w:r>
            <w:r>
              <w:rPr>
                <w:rFonts w:hint="eastAsia" w:cs="Times New Roman"/>
                <w:sz w:val="21"/>
                <w:szCs w:val="21"/>
                <w:highlight w:val="none"/>
                <w:vertAlign w:val="superscript"/>
              </w:rPr>
              <w:t>-</w:t>
            </w:r>
            <w:r>
              <w:rPr>
                <w:rFonts w:hint="eastAsia" w:cs="Times New Roman"/>
                <w:sz w:val="21"/>
                <w:szCs w:val="21"/>
                <w:highlight w:val="none"/>
              </w:rPr>
              <w:t>(mmol/L)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5.27</w:t>
            </w:r>
            <w:r>
              <w:rPr>
                <w:rFonts w:hint="eastAsia" w:cs="Times New Roman"/>
                <w:sz w:val="21"/>
                <w:szCs w:val="21"/>
                <w:highlight w:val="none"/>
              </w:rPr>
              <w:t>-</w:t>
            </w:r>
            <w:r>
              <w:rPr>
                <w:rFonts w:hint="eastAsia" w:cs="Times New Roman"/>
                <w:sz w:val="21"/>
                <w:szCs w:val="21"/>
                <w:highlight w:val="none"/>
                <w:lang w:val="en-US" w:eastAsia="zh-CN"/>
              </w:rPr>
              <w:t>5.3</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21</w:t>
            </w:r>
            <w:r>
              <w:rPr>
                <w:rFonts w:hint="eastAsia" w:cs="Times New Roman"/>
                <w:sz w:val="21"/>
                <w:szCs w:val="21"/>
                <w:highlight w:val="none"/>
              </w:rPr>
              <w:t>-</w:t>
            </w:r>
            <w:r>
              <w:rPr>
                <w:rFonts w:hint="eastAsia" w:cs="Times New Roman"/>
                <w:sz w:val="21"/>
                <w:szCs w:val="21"/>
                <w:highlight w:val="none"/>
                <w:lang w:val="en-US" w:eastAsia="zh-CN"/>
              </w:rPr>
              <w:t>24</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SO</w:t>
            </w:r>
            <w:r>
              <w:rPr>
                <w:rFonts w:hint="eastAsia" w:cs="Times New Roman"/>
                <w:sz w:val="21"/>
                <w:szCs w:val="21"/>
                <w:highlight w:val="none"/>
                <w:vertAlign w:val="subscript"/>
              </w:rPr>
              <w:t>4</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8.42</w:t>
            </w:r>
            <w:r>
              <w:rPr>
                <w:rFonts w:hint="eastAsia" w:cs="Times New Roman"/>
                <w:sz w:val="21"/>
                <w:szCs w:val="21"/>
                <w:highlight w:val="none"/>
              </w:rPr>
              <w:t>-</w:t>
            </w:r>
            <w:r>
              <w:rPr>
                <w:rFonts w:hint="eastAsia" w:cs="Times New Roman"/>
                <w:sz w:val="21"/>
                <w:szCs w:val="21"/>
                <w:highlight w:val="none"/>
                <w:lang w:val="en-US" w:eastAsia="zh-CN"/>
              </w:rPr>
              <w:t>8</w:t>
            </w:r>
            <w:r>
              <w:rPr>
                <w:rFonts w:hint="eastAsia" w:cs="Times New Roman"/>
                <w:sz w:val="21"/>
                <w:szCs w:val="21"/>
                <w:highlight w:val="none"/>
              </w:rPr>
              <w:t>.</w:t>
            </w:r>
            <w:r>
              <w:rPr>
                <w:rFonts w:hint="eastAsia" w:cs="Times New Roman"/>
                <w:sz w:val="21"/>
                <w:szCs w:val="21"/>
                <w:highlight w:val="none"/>
                <w:lang w:val="en-US" w:eastAsia="zh-CN"/>
              </w:rPr>
              <w:t>4</w:t>
            </w:r>
            <w:r>
              <w:rPr>
                <w:rFonts w:hint="eastAsia" w:cs="Times New Roman"/>
                <w:sz w:val="21"/>
                <w:szCs w:val="21"/>
                <w:highlight w:val="none"/>
              </w:rPr>
              <w:t>5</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氟化物（mg/L）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0.63</w:t>
            </w:r>
            <w:r>
              <w:rPr>
                <w:rFonts w:hint="eastAsia" w:cs="Times New Roman"/>
                <w:sz w:val="21"/>
                <w:szCs w:val="21"/>
                <w:highlight w:val="none"/>
              </w:rPr>
              <w:t>-</w:t>
            </w:r>
            <w:r>
              <w:rPr>
                <w:rFonts w:hint="eastAsia" w:cs="Times New Roman"/>
                <w:sz w:val="21"/>
                <w:szCs w:val="21"/>
                <w:highlight w:val="none"/>
                <w:lang w:val="en-US" w:eastAsia="zh-CN"/>
              </w:rPr>
              <w:t>0.64</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0.63-0.64</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挥发性酚类（mg/L）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硝酸盐（mg/L）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26</w:t>
            </w:r>
            <w:r>
              <w:rPr>
                <w:rFonts w:hint="eastAsia" w:cs="Times New Roman"/>
                <w:sz w:val="21"/>
                <w:szCs w:val="21"/>
                <w:highlight w:val="none"/>
              </w:rPr>
              <w:t>-1.</w:t>
            </w:r>
            <w:r>
              <w:rPr>
                <w:rFonts w:hint="eastAsia" w:cs="Times New Roman"/>
                <w:sz w:val="21"/>
                <w:szCs w:val="21"/>
                <w:highlight w:val="none"/>
                <w:lang w:val="en-US" w:eastAsia="zh-CN"/>
              </w:rPr>
              <w:t>28</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0.06</w:t>
            </w:r>
            <w:r>
              <w:rPr>
                <w:rFonts w:hint="eastAsia" w:cs="Times New Roman"/>
                <w:sz w:val="21"/>
                <w:szCs w:val="21"/>
                <w:highlight w:val="none"/>
                <w:lang w:val="en-US" w:eastAsia="zh-CN"/>
              </w:rPr>
              <w:t>3</w:t>
            </w:r>
            <w:r>
              <w:rPr>
                <w:rFonts w:hint="eastAsia" w:cs="Times New Roman"/>
                <w:sz w:val="21"/>
                <w:szCs w:val="21"/>
                <w:highlight w:val="none"/>
              </w:rPr>
              <w:t>-0.0</w:t>
            </w:r>
            <w:r>
              <w:rPr>
                <w:rFonts w:hint="eastAsia" w:cs="Times New Roman"/>
                <w:sz w:val="21"/>
                <w:szCs w:val="21"/>
                <w:highlight w:val="none"/>
                <w:lang w:val="en-US" w:eastAsia="zh-CN"/>
              </w:rPr>
              <w:t>64</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亚硝酸盐（mg/L）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镉（mg/L）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铁(mg/L）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总硬度（mg/L）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323</w:t>
            </w:r>
            <w:r>
              <w:rPr>
                <w:rFonts w:hint="eastAsia" w:cs="Times New Roman"/>
                <w:sz w:val="21"/>
                <w:szCs w:val="21"/>
                <w:highlight w:val="none"/>
              </w:rPr>
              <w:t>-</w:t>
            </w:r>
            <w:r>
              <w:rPr>
                <w:rFonts w:hint="eastAsia" w:cs="Times New Roman"/>
                <w:sz w:val="21"/>
                <w:szCs w:val="21"/>
                <w:highlight w:val="none"/>
                <w:lang w:val="en-US" w:eastAsia="zh-CN"/>
              </w:rPr>
              <w:t>329</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72</w:t>
            </w:r>
            <w:r>
              <w:rPr>
                <w:rFonts w:hint="eastAsia" w:cs="Times New Roman"/>
                <w:sz w:val="21"/>
                <w:szCs w:val="21"/>
                <w:highlight w:val="none"/>
              </w:rPr>
              <w:t>-0.</w:t>
            </w:r>
            <w:r>
              <w:rPr>
                <w:rFonts w:hint="eastAsia" w:cs="Times New Roman"/>
                <w:sz w:val="21"/>
                <w:szCs w:val="21"/>
                <w:highlight w:val="none"/>
                <w:lang w:val="en-US" w:eastAsia="zh-CN"/>
              </w:rPr>
              <w:t>73</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耗氧量（mg/L）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0.5-0.7</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0.17-0.23</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溶解性总固体（mg/L）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444</w:t>
            </w:r>
            <w:r>
              <w:rPr>
                <w:rFonts w:hint="eastAsia" w:cs="Times New Roman"/>
                <w:sz w:val="21"/>
                <w:szCs w:val="21"/>
                <w:highlight w:val="none"/>
              </w:rPr>
              <w:t>-</w:t>
            </w:r>
            <w:r>
              <w:rPr>
                <w:rFonts w:hint="eastAsia" w:cs="Times New Roman"/>
                <w:sz w:val="21"/>
                <w:szCs w:val="21"/>
                <w:highlight w:val="none"/>
                <w:lang w:val="en-US" w:eastAsia="zh-CN"/>
              </w:rPr>
              <w:t>448</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444</w:t>
            </w:r>
            <w:r>
              <w:rPr>
                <w:rFonts w:hint="eastAsia" w:cs="Times New Roman"/>
                <w:sz w:val="21"/>
                <w:szCs w:val="21"/>
                <w:highlight w:val="none"/>
              </w:rPr>
              <w:t>-0.</w:t>
            </w:r>
            <w:r>
              <w:rPr>
                <w:rFonts w:hint="eastAsia" w:cs="Times New Roman"/>
                <w:sz w:val="21"/>
                <w:szCs w:val="21"/>
                <w:highlight w:val="none"/>
                <w:lang w:val="en-US" w:eastAsia="zh-CN"/>
              </w:rPr>
              <w:t>448</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铅（mg/L）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铜（mg/L）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0.011-0.013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0.0</w:t>
            </w:r>
            <w:r>
              <w:rPr>
                <w:rFonts w:hint="eastAsia" w:cs="Times New Roman"/>
                <w:sz w:val="21"/>
                <w:szCs w:val="21"/>
                <w:highlight w:val="none"/>
                <w:lang w:val="en-US" w:eastAsia="zh-CN"/>
              </w:rPr>
              <w:t>11-0.013</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菌落总数（个/L）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305</w:t>
            </w:r>
            <w:r>
              <w:rPr>
                <w:rFonts w:hint="eastAsia" w:cs="Times New Roman"/>
                <w:sz w:val="21"/>
                <w:szCs w:val="21"/>
                <w:highlight w:val="none"/>
              </w:rPr>
              <w:t>-0.</w:t>
            </w:r>
            <w:r>
              <w:rPr>
                <w:rFonts w:hint="eastAsia" w:cs="Times New Roman"/>
                <w:sz w:val="21"/>
                <w:szCs w:val="21"/>
                <w:highlight w:val="none"/>
                <w:lang w:val="en-US" w:eastAsia="zh-CN"/>
              </w:rPr>
              <w:t>313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0.61-0.626</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六价铬（mg/L）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7.</w:t>
            </w:r>
            <w:r>
              <w:rPr>
                <w:rFonts w:hint="eastAsia" w:cs="Times New Roman"/>
                <w:sz w:val="21"/>
                <w:szCs w:val="21"/>
                <w:highlight w:val="none"/>
                <w:lang w:val="en-US" w:eastAsia="zh-CN"/>
              </w:rPr>
              <w:t>1</w:t>
            </w:r>
            <w:r>
              <w:rPr>
                <w:rFonts w:hint="eastAsia" w:cs="Times New Roman"/>
                <w:sz w:val="21"/>
                <w:szCs w:val="21"/>
                <w:highlight w:val="none"/>
              </w:rPr>
              <w:t>-7.</w:t>
            </w:r>
            <w:r>
              <w:rPr>
                <w:rFonts w:hint="eastAsia" w:cs="Times New Roman"/>
                <w:sz w:val="21"/>
                <w:szCs w:val="21"/>
                <w:highlight w:val="none"/>
                <w:lang w:val="en-US" w:eastAsia="zh-CN"/>
              </w:rPr>
              <w:t>2</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0.067-0.133</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氰化物（mg/L）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总大肠菌群（个/L）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砷（mg/L）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汞（mg/L）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水位（米）</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11</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井深（米）</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55</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刘小庄</w:t>
            </w: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K</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1.</w:t>
            </w:r>
            <w:r>
              <w:rPr>
                <w:rFonts w:hint="eastAsia" w:cs="Times New Roman"/>
                <w:sz w:val="21"/>
                <w:szCs w:val="21"/>
                <w:highlight w:val="none"/>
                <w:lang w:val="en-US" w:eastAsia="zh-CN"/>
              </w:rPr>
              <w:t>32</w:t>
            </w:r>
            <w:r>
              <w:rPr>
                <w:rFonts w:hint="eastAsia" w:cs="Times New Roman"/>
                <w:sz w:val="21"/>
                <w:szCs w:val="21"/>
                <w:highlight w:val="none"/>
              </w:rPr>
              <w:t>-1.3</w:t>
            </w:r>
            <w:r>
              <w:rPr>
                <w:rFonts w:hint="eastAsia" w:cs="Times New Roman"/>
                <w:sz w:val="21"/>
                <w:szCs w:val="21"/>
                <w:highlight w:val="none"/>
                <w:lang w:val="en-US" w:eastAsia="zh-CN"/>
              </w:rPr>
              <w:t>6</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Na</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42.3</w:t>
            </w:r>
            <w:r>
              <w:rPr>
                <w:rFonts w:hint="eastAsia" w:cs="Times New Roman"/>
                <w:sz w:val="21"/>
                <w:szCs w:val="21"/>
                <w:highlight w:val="none"/>
              </w:rPr>
              <w:t>-</w:t>
            </w:r>
            <w:r>
              <w:rPr>
                <w:rFonts w:hint="eastAsia" w:cs="Times New Roman"/>
                <w:sz w:val="21"/>
                <w:szCs w:val="21"/>
                <w:highlight w:val="none"/>
                <w:lang w:val="en-US" w:eastAsia="zh-CN"/>
              </w:rPr>
              <w:t>42.6</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Ca</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4</w:t>
            </w:r>
            <w:r>
              <w:rPr>
                <w:rFonts w:hint="eastAsia" w:cs="Times New Roman"/>
                <w:sz w:val="21"/>
                <w:szCs w:val="21"/>
                <w:highlight w:val="none"/>
                <w:lang w:val="en-US" w:eastAsia="zh-CN"/>
              </w:rPr>
              <w:t>8</w:t>
            </w:r>
            <w:r>
              <w:rPr>
                <w:rFonts w:hint="eastAsia" w:cs="Times New Roman"/>
                <w:sz w:val="21"/>
                <w:szCs w:val="21"/>
                <w:highlight w:val="none"/>
              </w:rPr>
              <w:t>-</w:t>
            </w:r>
            <w:r>
              <w:rPr>
                <w:rFonts w:hint="eastAsia" w:cs="Times New Roman"/>
                <w:sz w:val="21"/>
                <w:szCs w:val="21"/>
                <w:highlight w:val="none"/>
                <w:lang w:val="en-US" w:eastAsia="zh-CN"/>
              </w:rPr>
              <w:t>50</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Mg</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2</w:t>
            </w:r>
            <w:r>
              <w:rPr>
                <w:rFonts w:hint="eastAsia" w:cs="Times New Roman"/>
                <w:sz w:val="21"/>
                <w:szCs w:val="21"/>
                <w:highlight w:val="none"/>
                <w:lang w:val="en-US" w:eastAsia="zh-CN"/>
              </w:rPr>
              <w:t>5</w:t>
            </w:r>
            <w:r>
              <w:rPr>
                <w:rFonts w:hint="eastAsia" w:cs="Times New Roman"/>
                <w:sz w:val="21"/>
                <w:szCs w:val="21"/>
                <w:highlight w:val="none"/>
              </w:rPr>
              <w:t>-2</w:t>
            </w:r>
            <w:r>
              <w:rPr>
                <w:rFonts w:hint="eastAsia" w:cs="Times New Roman"/>
                <w:sz w:val="21"/>
                <w:szCs w:val="21"/>
                <w:highlight w:val="none"/>
                <w:lang w:val="en-US" w:eastAsia="zh-CN"/>
              </w:rPr>
              <w:t>8</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CO</w:t>
            </w:r>
            <w:r>
              <w:rPr>
                <w:rFonts w:hint="eastAsia" w:cs="Times New Roman"/>
                <w:sz w:val="21"/>
                <w:szCs w:val="21"/>
                <w:highlight w:val="none"/>
                <w:vertAlign w:val="subscript"/>
              </w:rPr>
              <w:t>3</w:t>
            </w:r>
            <w:r>
              <w:rPr>
                <w:rFonts w:hint="eastAsia" w:cs="Times New Roman"/>
                <w:sz w:val="21"/>
                <w:szCs w:val="21"/>
                <w:highlight w:val="none"/>
                <w:vertAlign w:val="superscript"/>
              </w:rPr>
              <w:t>2-</w:t>
            </w:r>
            <w:r>
              <w:rPr>
                <w:rFonts w:hint="eastAsia" w:cs="Times New Roman"/>
                <w:sz w:val="21"/>
                <w:szCs w:val="21"/>
                <w:highlight w:val="none"/>
              </w:rPr>
              <w:t>(mmol/L)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HCO</w:t>
            </w:r>
            <w:r>
              <w:rPr>
                <w:rFonts w:hint="eastAsia" w:cs="Times New Roman"/>
                <w:sz w:val="21"/>
                <w:szCs w:val="21"/>
                <w:highlight w:val="none"/>
                <w:vertAlign w:val="subscript"/>
              </w:rPr>
              <w:t>3</w:t>
            </w:r>
            <w:r>
              <w:rPr>
                <w:rFonts w:hint="eastAsia" w:cs="Times New Roman"/>
                <w:sz w:val="21"/>
                <w:szCs w:val="21"/>
                <w:highlight w:val="none"/>
                <w:vertAlign w:val="superscript"/>
              </w:rPr>
              <w:t>-</w:t>
            </w:r>
            <w:r>
              <w:rPr>
                <w:rFonts w:hint="eastAsia" w:cs="Times New Roman"/>
                <w:sz w:val="21"/>
                <w:szCs w:val="21"/>
                <w:highlight w:val="none"/>
              </w:rPr>
              <w:t>(mmol/L)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w:t>
            </w:r>
            <w:r>
              <w:rPr>
                <w:rFonts w:hint="eastAsia" w:cs="Times New Roman"/>
                <w:sz w:val="21"/>
                <w:szCs w:val="21"/>
                <w:highlight w:val="none"/>
              </w:rPr>
              <w:t>.33-</w:t>
            </w:r>
            <w:r>
              <w:rPr>
                <w:rFonts w:hint="eastAsia" w:cs="Times New Roman"/>
                <w:sz w:val="21"/>
                <w:szCs w:val="21"/>
                <w:highlight w:val="none"/>
                <w:lang w:val="en-US" w:eastAsia="zh-CN"/>
              </w:rPr>
              <w:t>5.34</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21-24</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SO</w:t>
            </w:r>
            <w:r>
              <w:rPr>
                <w:rFonts w:hint="eastAsia" w:cs="Times New Roman"/>
                <w:sz w:val="21"/>
                <w:szCs w:val="21"/>
                <w:highlight w:val="none"/>
                <w:vertAlign w:val="subscript"/>
              </w:rPr>
              <w:t>4</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8.45</w:t>
            </w:r>
            <w:r>
              <w:rPr>
                <w:rFonts w:hint="eastAsia" w:cs="Times New Roman"/>
                <w:sz w:val="21"/>
                <w:szCs w:val="21"/>
                <w:highlight w:val="none"/>
              </w:rPr>
              <w:t>-</w:t>
            </w:r>
            <w:r>
              <w:rPr>
                <w:rFonts w:hint="eastAsia" w:cs="Times New Roman"/>
                <w:sz w:val="21"/>
                <w:szCs w:val="21"/>
                <w:highlight w:val="none"/>
                <w:lang w:val="en-US" w:eastAsia="zh-CN"/>
              </w:rPr>
              <w:t>8.52</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氟化物（mg/L）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0.57</w:t>
            </w:r>
            <w:r>
              <w:rPr>
                <w:rFonts w:hint="eastAsia" w:cs="Times New Roman"/>
                <w:sz w:val="21"/>
                <w:szCs w:val="21"/>
                <w:highlight w:val="none"/>
              </w:rPr>
              <w:t>-</w:t>
            </w:r>
            <w:r>
              <w:rPr>
                <w:rFonts w:hint="eastAsia" w:cs="Times New Roman"/>
                <w:sz w:val="21"/>
                <w:szCs w:val="21"/>
                <w:highlight w:val="none"/>
                <w:lang w:val="en-US" w:eastAsia="zh-CN"/>
              </w:rPr>
              <w:t>0.61</w:t>
            </w:r>
          </w:p>
        </w:tc>
        <w:tc>
          <w:tcPr>
            <w:tcW w:w="1441"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rPr>
            </w:pPr>
            <w:r>
              <w:rPr>
                <w:rFonts w:hint="eastAsia" w:cs="Times New Roman"/>
                <w:sz w:val="21"/>
                <w:szCs w:val="21"/>
                <w:highlight w:val="none"/>
                <w:lang w:val="en-US" w:eastAsia="zh-CN"/>
              </w:rPr>
              <w:t>0.57</w:t>
            </w:r>
            <w:r>
              <w:rPr>
                <w:rFonts w:hint="eastAsia" w:cs="Times New Roman"/>
                <w:sz w:val="21"/>
                <w:szCs w:val="21"/>
                <w:highlight w:val="none"/>
              </w:rPr>
              <w:t>-</w:t>
            </w:r>
            <w:r>
              <w:rPr>
                <w:rFonts w:hint="eastAsia" w:cs="Times New Roman"/>
                <w:sz w:val="21"/>
                <w:szCs w:val="21"/>
                <w:highlight w:val="none"/>
                <w:lang w:val="en-US" w:eastAsia="zh-CN"/>
              </w:rPr>
              <w:t>0.61</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挥发性酚类（mg/L）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硝酸盐（mg/L）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1.3</w:t>
            </w:r>
            <w:r>
              <w:rPr>
                <w:rFonts w:hint="eastAsia" w:cs="Times New Roman"/>
                <w:sz w:val="21"/>
                <w:szCs w:val="21"/>
                <w:highlight w:val="none"/>
                <w:lang w:val="en-US" w:eastAsia="zh-CN"/>
              </w:rPr>
              <w:t>1</w:t>
            </w:r>
            <w:r>
              <w:rPr>
                <w:rFonts w:hint="eastAsia" w:cs="Times New Roman"/>
                <w:sz w:val="21"/>
                <w:szCs w:val="21"/>
                <w:highlight w:val="none"/>
              </w:rPr>
              <w:t>-1.3</w:t>
            </w:r>
            <w:r>
              <w:rPr>
                <w:rFonts w:hint="eastAsia" w:cs="Times New Roman"/>
                <w:sz w:val="21"/>
                <w:szCs w:val="21"/>
                <w:highlight w:val="none"/>
                <w:lang w:val="en-US" w:eastAsia="zh-CN"/>
              </w:rPr>
              <w:t>3</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0.06</w:t>
            </w:r>
            <w:r>
              <w:rPr>
                <w:rFonts w:hint="eastAsia" w:cs="Times New Roman"/>
                <w:sz w:val="21"/>
                <w:szCs w:val="21"/>
                <w:highlight w:val="none"/>
                <w:lang w:val="en-US" w:eastAsia="zh-CN"/>
              </w:rPr>
              <w:t>5</w:t>
            </w:r>
            <w:r>
              <w:rPr>
                <w:rFonts w:hint="eastAsia" w:cs="Times New Roman"/>
                <w:sz w:val="21"/>
                <w:szCs w:val="21"/>
                <w:highlight w:val="none"/>
              </w:rPr>
              <w:t>5-0.06</w:t>
            </w:r>
            <w:r>
              <w:rPr>
                <w:rFonts w:hint="eastAsia" w:cs="Times New Roman"/>
                <w:sz w:val="21"/>
                <w:szCs w:val="21"/>
                <w:highlight w:val="none"/>
                <w:lang w:val="en-US" w:eastAsia="zh-CN"/>
              </w:rPr>
              <w:t>6</w:t>
            </w:r>
            <w:r>
              <w:rPr>
                <w:rFonts w:hint="eastAsia" w:cs="Times New Roman"/>
                <w:sz w:val="21"/>
                <w:szCs w:val="21"/>
                <w:highlight w:val="none"/>
              </w:rPr>
              <w:t>5</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亚硝酸盐（mg/L）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镉（mg/L）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铁(mg/L）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总硬度（mg/L）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325</w:t>
            </w:r>
            <w:r>
              <w:rPr>
                <w:rFonts w:hint="eastAsia" w:cs="Times New Roman"/>
                <w:sz w:val="21"/>
                <w:szCs w:val="21"/>
                <w:highlight w:val="none"/>
              </w:rPr>
              <w:t>-</w:t>
            </w:r>
            <w:r>
              <w:rPr>
                <w:rFonts w:hint="eastAsia" w:cs="Times New Roman"/>
                <w:sz w:val="21"/>
                <w:szCs w:val="21"/>
                <w:highlight w:val="none"/>
                <w:lang w:val="en-US" w:eastAsia="zh-CN"/>
              </w:rPr>
              <w:t>32</w:t>
            </w:r>
            <w:r>
              <w:rPr>
                <w:rFonts w:hint="eastAsia" w:cs="Times New Roman"/>
                <w:sz w:val="21"/>
                <w:szCs w:val="21"/>
                <w:highlight w:val="none"/>
              </w:rPr>
              <w:t>6</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722</w:t>
            </w:r>
            <w:r>
              <w:rPr>
                <w:rFonts w:hint="eastAsia" w:cs="Times New Roman"/>
                <w:sz w:val="21"/>
                <w:szCs w:val="21"/>
                <w:highlight w:val="none"/>
              </w:rPr>
              <w:t>-0.</w:t>
            </w:r>
            <w:r>
              <w:rPr>
                <w:rFonts w:hint="eastAsia" w:cs="Times New Roman"/>
                <w:sz w:val="21"/>
                <w:szCs w:val="21"/>
                <w:highlight w:val="none"/>
                <w:lang w:val="en-US" w:eastAsia="zh-CN"/>
              </w:rPr>
              <w:t>724</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耗氧量（mg/L）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0.9-1.1</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0.3-0.37</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溶解性总固体（mg/L）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429</w:t>
            </w:r>
            <w:r>
              <w:rPr>
                <w:rFonts w:hint="eastAsia" w:cs="Times New Roman"/>
                <w:sz w:val="21"/>
                <w:szCs w:val="21"/>
                <w:highlight w:val="none"/>
              </w:rPr>
              <w:t>-</w:t>
            </w:r>
            <w:r>
              <w:rPr>
                <w:rFonts w:hint="eastAsia" w:cs="Times New Roman"/>
                <w:sz w:val="21"/>
                <w:szCs w:val="21"/>
                <w:highlight w:val="none"/>
                <w:lang w:val="en-US" w:eastAsia="zh-CN"/>
              </w:rPr>
              <w:t>436</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429</w:t>
            </w:r>
            <w:r>
              <w:rPr>
                <w:rFonts w:hint="eastAsia" w:cs="Times New Roman"/>
                <w:sz w:val="21"/>
                <w:szCs w:val="21"/>
                <w:highlight w:val="none"/>
              </w:rPr>
              <w:t>-0.</w:t>
            </w:r>
            <w:r>
              <w:rPr>
                <w:rFonts w:hint="eastAsia" w:cs="Times New Roman"/>
                <w:sz w:val="21"/>
                <w:szCs w:val="21"/>
                <w:highlight w:val="none"/>
                <w:lang w:val="en-US" w:eastAsia="zh-CN"/>
              </w:rPr>
              <w:t>436</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铅（mg/L）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铜（mg/L）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0.01</w:t>
            </w:r>
            <w:r>
              <w:rPr>
                <w:rFonts w:hint="eastAsia" w:cs="Times New Roman"/>
                <w:sz w:val="21"/>
                <w:szCs w:val="21"/>
                <w:highlight w:val="none"/>
                <w:lang w:val="en-US" w:eastAsia="zh-CN"/>
              </w:rPr>
              <w:t>2</w:t>
            </w:r>
            <w:r>
              <w:rPr>
                <w:rFonts w:hint="eastAsia" w:cs="Times New Roman"/>
                <w:sz w:val="21"/>
                <w:szCs w:val="21"/>
                <w:highlight w:val="none"/>
              </w:rPr>
              <w:t>-0.01</w:t>
            </w:r>
            <w:r>
              <w:rPr>
                <w:rFonts w:hint="eastAsia" w:cs="Times New Roman"/>
                <w:sz w:val="21"/>
                <w:szCs w:val="21"/>
                <w:highlight w:val="none"/>
                <w:lang w:val="en-US" w:eastAsia="zh-CN"/>
              </w:rPr>
              <w:t>5</w:t>
            </w:r>
          </w:p>
        </w:tc>
        <w:tc>
          <w:tcPr>
            <w:tcW w:w="1441"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0.01</w:t>
            </w:r>
            <w:r>
              <w:rPr>
                <w:rFonts w:hint="eastAsia" w:cs="Times New Roman"/>
                <w:sz w:val="21"/>
                <w:szCs w:val="21"/>
                <w:highlight w:val="none"/>
                <w:lang w:val="en-US" w:eastAsia="zh-CN"/>
              </w:rPr>
              <w:t>2</w:t>
            </w:r>
            <w:r>
              <w:rPr>
                <w:rFonts w:hint="eastAsia" w:cs="Times New Roman"/>
                <w:sz w:val="21"/>
                <w:szCs w:val="21"/>
                <w:highlight w:val="none"/>
              </w:rPr>
              <w:t>-0.01</w:t>
            </w:r>
            <w:r>
              <w:rPr>
                <w:rFonts w:hint="eastAsia" w:cs="Times New Roman"/>
                <w:sz w:val="21"/>
                <w:szCs w:val="21"/>
                <w:highlight w:val="none"/>
                <w:lang w:val="en-US" w:eastAsia="zh-CN"/>
              </w:rPr>
              <w:t>5</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菌落总数（个/L）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0.2</w:t>
            </w:r>
            <w:r>
              <w:rPr>
                <w:rFonts w:hint="eastAsia" w:cs="Times New Roman"/>
                <w:sz w:val="21"/>
                <w:szCs w:val="21"/>
                <w:highlight w:val="none"/>
                <w:lang w:val="en-US" w:eastAsia="zh-CN"/>
              </w:rPr>
              <w:t>8</w:t>
            </w:r>
            <w:r>
              <w:rPr>
                <w:rFonts w:hint="eastAsia" w:cs="Times New Roman"/>
                <w:sz w:val="21"/>
                <w:szCs w:val="21"/>
                <w:highlight w:val="none"/>
              </w:rPr>
              <w:t>5-0.2</w:t>
            </w:r>
            <w:r>
              <w:rPr>
                <w:rFonts w:hint="eastAsia" w:cs="Times New Roman"/>
                <w:sz w:val="21"/>
                <w:szCs w:val="21"/>
                <w:highlight w:val="none"/>
                <w:lang w:val="en-US" w:eastAsia="zh-CN"/>
              </w:rPr>
              <w:t>95</w:t>
            </w:r>
          </w:p>
        </w:tc>
        <w:tc>
          <w:tcPr>
            <w:tcW w:w="1441"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0.5</w:t>
            </w:r>
            <w:r>
              <w:rPr>
                <w:rFonts w:hint="eastAsia" w:cs="Times New Roman"/>
                <w:sz w:val="21"/>
                <w:szCs w:val="21"/>
                <w:highlight w:val="none"/>
                <w:lang w:val="en-US" w:eastAsia="zh-CN"/>
              </w:rPr>
              <w:t>7</w:t>
            </w:r>
            <w:r>
              <w:rPr>
                <w:rFonts w:hint="eastAsia" w:cs="Times New Roman"/>
                <w:sz w:val="21"/>
                <w:szCs w:val="21"/>
                <w:highlight w:val="none"/>
              </w:rPr>
              <w:t>-0.5</w:t>
            </w:r>
            <w:r>
              <w:rPr>
                <w:rFonts w:hint="eastAsia" w:cs="Times New Roman"/>
                <w:sz w:val="21"/>
                <w:szCs w:val="21"/>
                <w:highlight w:val="none"/>
                <w:lang w:val="en-US" w:eastAsia="zh-CN"/>
              </w:rPr>
              <w:t>9</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六价铬（mg/L）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7.1-7.</w:t>
            </w:r>
            <w:r>
              <w:rPr>
                <w:rFonts w:hint="eastAsia" w:cs="Times New Roman"/>
                <w:sz w:val="21"/>
                <w:szCs w:val="21"/>
                <w:highlight w:val="none"/>
                <w:lang w:val="en-US" w:eastAsia="zh-CN"/>
              </w:rPr>
              <w:t>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0.067-0.2</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氰化物（mg/L）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总大肠菌群（个/L）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砷（mg/L）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汞（mg/L）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水位（米）</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11</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井深（米）</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63</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西刘庄</w:t>
            </w: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K</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1.</w:t>
            </w:r>
            <w:r>
              <w:rPr>
                <w:rFonts w:hint="eastAsia" w:cs="Times New Roman"/>
                <w:sz w:val="21"/>
                <w:szCs w:val="21"/>
                <w:highlight w:val="none"/>
                <w:lang w:val="en-US" w:eastAsia="zh-CN"/>
              </w:rPr>
              <w:t>3</w:t>
            </w:r>
            <w:r>
              <w:rPr>
                <w:rFonts w:hint="eastAsia" w:cs="Times New Roman"/>
                <w:sz w:val="21"/>
                <w:szCs w:val="21"/>
                <w:highlight w:val="none"/>
              </w:rPr>
              <w:t>-1.3</w:t>
            </w:r>
            <w:r>
              <w:rPr>
                <w:rFonts w:hint="eastAsia" w:cs="Times New Roman"/>
                <w:sz w:val="21"/>
                <w:szCs w:val="21"/>
                <w:highlight w:val="none"/>
                <w:lang w:val="en-US" w:eastAsia="zh-CN"/>
              </w:rPr>
              <w:t>4</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Na</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43.8</w:t>
            </w:r>
            <w:r>
              <w:rPr>
                <w:rFonts w:hint="eastAsia" w:cs="Times New Roman"/>
                <w:sz w:val="21"/>
                <w:szCs w:val="21"/>
                <w:highlight w:val="none"/>
              </w:rPr>
              <w:t>-</w:t>
            </w:r>
            <w:r>
              <w:rPr>
                <w:rFonts w:hint="eastAsia" w:cs="Times New Roman"/>
                <w:sz w:val="21"/>
                <w:szCs w:val="21"/>
                <w:highlight w:val="none"/>
                <w:lang w:val="en-US" w:eastAsia="zh-CN"/>
              </w:rPr>
              <w:t>44.1</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Ca</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4</w:t>
            </w:r>
            <w:r>
              <w:rPr>
                <w:rFonts w:hint="eastAsia" w:cs="Times New Roman"/>
                <w:sz w:val="21"/>
                <w:szCs w:val="21"/>
                <w:highlight w:val="none"/>
                <w:lang w:val="en-US" w:eastAsia="zh-CN"/>
              </w:rPr>
              <w:t>8</w:t>
            </w:r>
            <w:r>
              <w:rPr>
                <w:rFonts w:hint="eastAsia" w:cs="Times New Roman"/>
                <w:sz w:val="21"/>
                <w:szCs w:val="21"/>
                <w:highlight w:val="none"/>
              </w:rPr>
              <w:t>-4</w:t>
            </w:r>
            <w:r>
              <w:rPr>
                <w:rFonts w:hint="eastAsia" w:cs="Times New Roman"/>
                <w:sz w:val="21"/>
                <w:szCs w:val="21"/>
                <w:highlight w:val="none"/>
                <w:lang w:val="en-US" w:eastAsia="zh-CN"/>
              </w:rPr>
              <w:t>9</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Mg</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17</w:t>
            </w:r>
            <w:r>
              <w:rPr>
                <w:rFonts w:hint="eastAsia" w:cs="Times New Roman"/>
                <w:sz w:val="21"/>
                <w:szCs w:val="21"/>
                <w:highlight w:val="none"/>
              </w:rPr>
              <w:t>-</w:t>
            </w:r>
            <w:r>
              <w:rPr>
                <w:rFonts w:hint="eastAsia" w:cs="Times New Roman"/>
                <w:sz w:val="21"/>
                <w:szCs w:val="21"/>
                <w:highlight w:val="none"/>
                <w:lang w:val="en-US" w:eastAsia="zh-CN"/>
              </w:rPr>
              <w:t>19</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CO</w:t>
            </w:r>
            <w:r>
              <w:rPr>
                <w:rFonts w:hint="eastAsia" w:cs="Times New Roman"/>
                <w:sz w:val="21"/>
                <w:szCs w:val="21"/>
                <w:highlight w:val="none"/>
                <w:vertAlign w:val="subscript"/>
              </w:rPr>
              <w:t>3</w:t>
            </w:r>
            <w:r>
              <w:rPr>
                <w:rFonts w:hint="eastAsia" w:cs="Times New Roman"/>
                <w:sz w:val="21"/>
                <w:szCs w:val="21"/>
                <w:highlight w:val="none"/>
                <w:vertAlign w:val="superscript"/>
              </w:rPr>
              <w:t>2-</w:t>
            </w:r>
            <w:r>
              <w:rPr>
                <w:rFonts w:hint="eastAsia" w:cs="Times New Roman"/>
                <w:sz w:val="21"/>
                <w:szCs w:val="21"/>
                <w:highlight w:val="none"/>
              </w:rPr>
              <w:t>(mmol/L)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HCO</w:t>
            </w:r>
            <w:r>
              <w:rPr>
                <w:rFonts w:hint="eastAsia" w:cs="Times New Roman"/>
                <w:sz w:val="21"/>
                <w:szCs w:val="21"/>
                <w:highlight w:val="none"/>
                <w:vertAlign w:val="subscript"/>
              </w:rPr>
              <w:t>3</w:t>
            </w:r>
            <w:r>
              <w:rPr>
                <w:rFonts w:hint="eastAsia" w:cs="Times New Roman"/>
                <w:sz w:val="21"/>
                <w:szCs w:val="21"/>
                <w:highlight w:val="none"/>
                <w:vertAlign w:val="superscript"/>
              </w:rPr>
              <w:t>-</w:t>
            </w:r>
            <w:r>
              <w:rPr>
                <w:rFonts w:hint="eastAsia" w:cs="Times New Roman"/>
                <w:sz w:val="21"/>
                <w:szCs w:val="21"/>
                <w:highlight w:val="none"/>
              </w:rPr>
              <w:t>(mmol/L)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5.27</w:t>
            </w:r>
            <w:r>
              <w:rPr>
                <w:rFonts w:hint="eastAsia" w:cs="Times New Roman"/>
                <w:sz w:val="21"/>
                <w:szCs w:val="21"/>
                <w:highlight w:val="none"/>
              </w:rPr>
              <w:t>-</w:t>
            </w:r>
            <w:r>
              <w:rPr>
                <w:rFonts w:hint="eastAsia" w:cs="Times New Roman"/>
                <w:sz w:val="21"/>
                <w:szCs w:val="21"/>
                <w:highlight w:val="none"/>
                <w:lang w:val="en-US" w:eastAsia="zh-CN"/>
              </w:rPr>
              <w:t>5.32</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vertAlign w:val="baseline"/>
                <w:lang w:val="en-US" w:eastAsia="zh-CN"/>
              </w:rPr>
              <w:t>Cl</w:t>
            </w:r>
            <w:r>
              <w:rPr>
                <w:rFonts w:hint="eastAsia" w:cs="Times New Roman"/>
                <w:sz w:val="21"/>
                <w:szCs w:val="21"/>
                <w:highlight w:val="none"/>
                <w:vertAlign w:val="superscript"/>
              </w:rPr>
              <w:t>-</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17-20</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SO</w:t>
            </w:r>
            <w:r>
              <w:rPr>
                <w:rFonts w:hint="eastAsia" w:cs="Times New Roman"/>
                <w:sz w:val="21"/>
                <w:szCs w:val="21"/>
                <w:highlight w:val="none"/>
                <w:vertAlign w:val="subscript"/>
              </w:rPr>
              <w:t>4</w:t>
            </w:r>
            <w:r>
              <w:rPr>
                <w:rFonts w:hint="eastAsia" w:cs="Times New Roman"/>
                <w:sz w:val="21"/>
                <w:szCs w:val="21"/>
                <w:highlight w:val="none"/>
                <w:vertAlign w:val="superscript"/>
              </w:rPr>
              <w:t>2-</w:t>
            </w:r>
            <w:r>
              <w:rPr>
                <w:rFonts w:hint="eastAsia" w:cs="Times New Roman"/>
                <w:sz w:val="21"/>
                <w:szCs w:val="21"/>
                <w:highlight w:val="none"/>
              </w:rPr>
              <w:t>（mg/L）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8.35-8.51</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氟化物（mg/L）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0.59</w:t>
            </w:r>
            <w:r>
              <w:rPr>
                <w:rFonts w:hint="eastAsia" w:cs="Times New Roman"/>
                <w:sz w:val="21"/>
                <w:szCs w:val="21"/>
                <w:highlight w:val="none"/>
              </w:rPr>
              <w:t>-</w:t>
            </w:r>
            <w:r>
              <w:rPr>
                <w:rFonts w:hint="eastAsia" w:cs="Times New Roman"/>
                <w:sz w:val="21"/>
                <w:szCs w:val="21"/>
                <w:highlight w:val="none"/>
                <w:lang w:val="en-US" w:eastAsia="zh-CN"/>
              </w:rPr>
              <w:t>0.68</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0.59-0.68</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挥发性酚类（mg/L）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硝酸盐（mg/L）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1.</w:t>
            </w:r>
            <w:r>
              <w:rPr>
                <w:rFonts w:hint="eastAsia" w:cs="Times New Roman"/>
                <w:sz w:val="21"/>
                <w:szCs w:val="21"/>
                <w:highlight w:val="none"/>
                <w:lang w:val="en-US" w:eastAsia="zh-CN"/>
              </w:rPr>
              <w:t>19</w:t>
            </w:r>
            <w:r>
              <w:rPr>
                <w:rFonts w:hint="eastAsia" w:cs="Times New Roman"/>
                <w:sz w:val="21"/>
                <w:szCs w:val="21"/>
                <w:highlight w:val="none"/>
              </w:rPr>
              <w:t>-1.</w:t>
            </w:r>
            <w:r>
              <w:rPr>
                <w:rFonts w:hint="eastAsia" w:cs="Times New Roman"/>
                <w:sz w:val="21"/>
                <w:szCs w:val="21"/>
                <w:highlight w:val="none"/>
                <w:lang w:val="en-US" w:eastAsia="zh-CN"/>
              </w:rPr>
              <w:t>24</w:t>
            </w:r>
          </w:p>
        </w:tc>
        <w:tc>
          <w:tcPr>
            <w:tcW w:w="1441"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0.0</w:t>
            </w:r>
            <w:r>
              <w:rPr>
                <w:rFonts w:hint="eastAsia" w:cs="Times New Roman"/>
                <w:sz w:val="21"/>
                <w:szCs w:val="21"/>
                <w:highlight w:val="none"/>
                <w:lang w:val="en-US" w:eastAsia="zh-CN"/>
              </w:rPr>
              <w:t>595</w:t>
            </w:r>
            <w:r>
              <w:rPr>
                <w:rFonts w:hint="eastAsia" w:cs="Times New Roman"/>
                <w:sz w:val="21"/>
                <w:szCs w:val="21"/>
                <w:highlight w:val="none"/>
              </w:rPr>
              <w:t>-0.06</w:t>
            </w:r>
            <w:r>
              <w:rPr>
                <w:rFonts w:hint="eastAsia" w:cs="Times New Roman"/>
                <w:sz w:val="21"/>
                <w:szCs w:val="21"/>
                <w:highlight w:val="none"/>
                <w:lang w:val="en-US" w:eastAsia="zh-CN"/>
              </w:rPr>
              <w:t>2</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亚硝酸盐（mg/L）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镉（mg/L）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铁(mg/L）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总硬度（mg/L）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330</w:t>
            </w:r>
            <w:r>
              <w:rPr>
                <w:rFonts w:hint="eastAsia" w:cs="Times New Roman"/>
                <w:sz w:val="21"/>
                <w:szCs w:val="21"/>
                <w:highlight w:val="none"/>
              </w:rPr>
              <w:t>-</w:t>
            </w:r>
            <w:r>
              <w:rPr>
                <w:rFonts w:hint="eastAsia" w:cs="Times New Roman"/>
                <w:sz w:val="21"/>
                <w:szCs w:val="21"/>
                <w:highlight w:val="none"/>
                <w:lang w:val="en-US" w:eastAsia="zh-CN"/>
              </w:rPr>
              <w:t>331</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73</w:t>
            </w:r>
            <w:r>
              <w:rPr>
                <w:rFonts w:hint="eastAsia" w:cs="Times New Roman"/>
                <w:sz w:val="21"/>
                <w:szCs w:val="21"/>
                <w:highlight w:val="none"/>
              </w:rPr>
              <w:t>-0.</w:t>
            </w:r>
            <w:r>
              <w:rPr>
                <w:rFonts w:hint="eastAsia" w:cs="Times New Roman"/>
                <w:sz w:val="21"/>
                <w:szCs w:val="21"/>
                <w:highlight w:val="none"/>
                <w:lang w:val="en-US" w:eastAsia="zh-CN"/>
              </w:rPr>
              <w:t>74</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耗氧量（mg/L）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w:t>
            </w:r>
            <w:r>
              <w:rPr>
                <w:rFonts w:hint="eastAsia" w:cs="Times New Roman"/>
                <w:sz w:val="21"/>
                <w:szCs w:val="21"/>
                <w:highlight w:val="none"/>
                <w:lang w:val="en-US" w:eastAsia="zh-CN"/>
              </w:rPr>
              <w:t>8</w:t>
            </w:r>
            <w:r>
              <w:rPr>
                <w:rFonts w:hint="eastAsia" w:cs="Times New Roman"/>
                <w:sz w:val="21"/>
                <w:szCs w:val="21"/>
                <w:highlight w:val="none"/>
              </w:rPr>
              <w:t>-1</w:t>
            </w:r>
          </w:p>
        </w:tc>
        <w:tc>
          <w:tcPr>
            <w:tcW w:w="1441"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w:t>
            </w:r>
            <w:r>
              <w:rPr>
                <w:rFonts w:hint="eastAsia" w:cs="Times New Roman"/>
                <w:sz w:val="21"/>
                <w:szCs w:val="21"/>
                <w:highlight w:val="none"/>
                <w:lang w:val="en-US" w:eastAsia="zh-CN"/>
              </w:rPr>
              <w:t>27</w:t>
            </w:r>
            <w:r>
              <w:rPr>
                <w:rFonts w:hint="eastAsia" w:cs="Times New Roman"/>
                <w:sz w:val="21"/>
                <w:szCs w:val="21"/>
                <w:highlight w:val="none"/>
              </w:rPr>
              <w:t>-0.3</w:t>
            </w:r>
            <w:r>
              <w:rPr>
                <w:rFonts w:hint="eastAsia" w:cs="Times New Roman"/>
                <w:sz w:val="21"/>
                <w:szCs w:val="21"/>
                <w:highlight w:val="none"/>
                <w:lang w:val="en-US" w:eastAsia="zh-CN"/>
              </w:rPr>
              <w:t>3</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溶解性总固体（mg/L）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442</w:t>
            </w:r>
            <w:r>
              <w:rPr>
                <w:rFonts w:hint="eastAsia" w:cs="Times New Roman"/>
                <w:sz w:val="21"/>
                <w:szCs w:val="21"/>
                <w:highlight w:val="none"/>
              </w:rPr>
              <w:t>-</w:t>
            </w:r>
            <w:r>
              <w:rPr>
                <w:rFonts w:hint="eastAsia" w:cs="Times New Roman"/>
                <w:sz w:val="21"/>
                <w:szCs w:val="21"/>
                <w:highlight w:val="none"/>
                <w:lang w:val="en-US" w:eastAsia="zh-CN"/>
              </w:rPr>
              <w:t>450</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442</w:t>
            </w:r>
            <w:r>
              <w:rPr>
                <w:rFonts w:hint="eastAsia" w:cs="Times New Roman"/>
                <w:sz w:val="21"/>
                <w:szCs w:val="21"/>
                <w:highlight w:val="none"/>
              </w:rPr>
              <w:t>-0.</w:t>
            </w:r>
            <w:r>
              <w:rPr>
                <w:rFonts w:hint="eastAsia" w:cs="Times New Roman"/>
                <w:sz w:val="21"/>
                <w:szCs w:val="21"/>
                <w:highlight w:val="none"/>
                <w:lang w:val="en-US" w:eastAsia="zh-CN"/>
              </w:rPr>
              <w:t>450</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铅（mg/L）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铜（mg/L）</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0.01</w:t>
            </w:r>
            <w:r>
              <w:rPr>
                <w:rFonts w:hint="eastAsia" w:cs="Times New Roman"/>
                <w:sz w:val="21"/>
                <w:szCs w:val="21"/>
                <w:highlight w:val="none"/>
                <w:lang w:val="en-US" w:eastAsia="zh-CN"/>
              </w:rPr>
              <w:t>4</w:t>
            </w:r>
            <w:r>
              <w:rPr>
                <w:rFonts w:hint="eastAsia" w:cs="Times New Roman"/>
                <w:sz w:val="21"/>
                <w:szCs w:val="21"/>
                <w:highlight w:val="none"/>
              </w:rPr>
              <w:t>-0.01</w:t>
            </w:r>
            <w:r>
              <w:rPr>
                <w:rFonts w:hint="eastAsia" w:cs="Times New Roman"/>
                <w:sz w:val="21"/>
                <w:szCs w:val="21"/>
                <w:highlight w:val="none"/>
                <w:lang w:val="en-US" w:eastAsia="zh-CN"/>
              </w:rPr>
              <w:t>6</w:t>
            </w:r>
          </w:p>
        </w:tc>
        <w:tc>
          <w:tcPr>
            <w:tcW w:w="1441"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0.01</w:t>
            </w:r>
            <w:r>
              <w:rPr>
                <w:rFonts w:hint="eastAsia" w:cs="Times New Roman"/>
                <w:sz w:val="21"/>
                <w:szCs w:val="21"/>
                <w:highlight w:val="none"/>
                <w:lang w:val="en-US" w:eastAsia="zh-CN"/>
              </w:rPr>
              <w:t>4</w:t>
            </w:r>
            <w:r>
              <w:rPr>
                <w:rFonts w:hint="eastAsia" w:cs="Times New Roman"/>
                <w:sz w:val="21"/>
                <w:szCs w:val="21"/>
                <w:highlight w:val="none"/>
              </w:rPr>
              <w:t>-0.01</w:t>
            </w:r>
            <w:r>
              <w:rPr>
                <w:rFonts w:hint="eastAsia" w:cs="Times New Roman"/>
                <w:sz w:val="21"/>
                <w:szCs w:val="21"/>
                <w:highlight w:val="none"/>
                <w:lang w:val="en-US" w:eastAsia="zh-CN"/>
              </w:rPr>
              <w:t>6</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菌落总数（个/L）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308</w:t>
            </w:r>
            <w:r>
              <w:rPr>
                <w:rFonts w:hint="eastAsia" w:cs="Times New Roman"/>
                <w:sz w:val="21"/>
                <w:szCs w:val="21"/>
                <w:highlight w:val="none"/>
              </w:rPr>
              <w:t>-0.</w:t>
            </w:r>
            <w:r>
              <w:rPr>
                <w:rFonts w:hint="eastAsia" w:cs="Times New Roman"/>
                <w:sz w:val="21"/>
                <w:szCs w:val="21"/>
                <w:highlight w:val="none"/>
                <w:lang w:val="en-US" w:eastAsia="zh-CN"/>
              </w:rPr>
              <w:t>312</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616</w:t>
            </w:r>
            <w:r>
              <w:rPr>
                <w:rFonts w:hint="eastAsia" w:cs="Times New Roman"/>
                <w:sz w:val="21"/>
                <w:szCs w:val="21"/>
                <w:highlight w:val="none"/>
              </w:rPr>
              <w:t>-0.</w:t>
            </w:r>
            <w:r>
              <w:rPr>
                <w:rFonts w:hint="eastAsia" w:cs="Times New Roman"/>
                <w:sz w:val="21"/>
                <w:szCs w:val="21"/>
                <w:highlight w:val="none"/>
                <w:lang w:val="en-US" w:eastAsia="zh-CN"/>
              </w:rPr>
              <w:t>624</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六价铬（mg/L）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7.</w:t>
            </w:r>
            <w:r>
              <w:rPr>
                <w:rFonts w:hint="eastAsia" w:cs="Times New Roman"/>
                <w:sz w:val="21"/>
                <w:szCs w:val="21"/>
                <w:highlight w:val="none"/>
                <w:lang w:val="en-US" w:eastAsia="zh-CN"/>
              </w:rPr>
              <w:t>2</w:t>
            </w:r>
            <w:r>
              <w:rPr>
                <w:rFonts w:hint="eastAsia" w:cs="Times New Roman"/>
                <w:sz w:val="21"/>
                <w:szCs w:val="21"/>
                <w:highlight w:val="none"/>
              </w:rPr>
              <w:t>-7.</w:t>
            </w:r>
            <w:r>
              <w:rPr>
                <w:rFonts w:hint="eastAsia" w:cs="Times New Roman"/>
                <w:sz w:val="21"/>
                <w:szCs w:val="21"/>
                <w:highlight w:val="none"/>
                <w:lang w:val="en-US" w:eastAsia="zh-CN"/>
              </w:rPr>
              <w:t>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0.13-0.2</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氰化物（mg/L）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总大肠菌群（个/L）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砷（mg/L）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汞（mg/L）</w:t>
            </w:r>
          </w:p>
        </w:tc>
        <w:tc>
          <w:tcPr>
            <w:tcW w:w="128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水位（米）</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10</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井深（米）</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1441"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275"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019"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r>
    </w:tbl>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rPr>
        <w:t>4声</w:t>
      </w:r>
      <w:r>
        <w:rPr>
          <w:rFonts w:cs="Times New Roman"/>
          <w:highlight w:val="none"/>
        </w:rPr>
        <w:t>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kern w:val="0"/>
          <w:highlight w:val="none"/>
        </w:rPr>
        <w:t>根据项目的性质及周边环境特征，声环境现状调查设</w:t>
      </w:r>
      <w:r>
        <w:rPr>
          <w:rFonts w:hint="eastAsia" w:cs="Times New Roman"/>
          <w:kern w:val="0"/>
          <w:highlight w:val="none"/>
          <w:lang w:val="en-US" w:eastAsia="zh-CN"/>
        </w:rPr>
        <w:t>4</w:t>
      </w:r>
      <w:r>
        <w:rPr>
          <w:rFonts w:hint="eastAsia" w:cs="Times New Roman"/>
          <w:kern w:val="0"/>
          <w:highlight w:val="none"/>
        </w:rPr>
        <w:t>个监测点位，</w:t>
      </w:r>
      <w:r>
        <w:rPr>
          <w:rFonts w:hint="eastAsia" w:cs="Times New Roman"/>
          <w:kern w:val="0"/>
          <w:highlight w:val="none"/>
          <w:lang w:eastAsia="zh-CN"/>
        </w:rPr>
        <w:t>河南政检检测研究院有限公司</w:t>
      </w:r>
      <w:r>
        <w:rPr>
          <w:rFonts w:hint="eastAsia" w:cs="Times New Roman"/>
          <w:kern w:val="0"/>
          <w:highlight w:val="none"/>
        </w:rPr>
        <w:t>于20</w:t>
      </w:r>
      <w:r>
        <w:rPr>
          <w:rFonts w:hint="eastAsia" w:cs="Times New Roman"/>
          <w:kern w:val="0"/>
          <w:highlight w:val="none"/>
          <w:lang w:val="en-US" w:eastAsia="zh-CN"/>
        </w:rPr>
        <w:t>20</w:t>
      </w:r>
      <w:r>
        <w:rPr>
          <w:rFonts w:hint="eastAsia" w:cs="Times New Roman"/>
          <w:kern w:val="0"/>
          <w:highlight w:val="none"/>
        </w:rPr>
        <w:t>年</w:t>
      </w:r>
      <w:r>
        <w:rPr>
          <w:rFonts w:hint="eastAsia" w:cs="Times New Roman"/>
          <w:kern w:val="0"/>
          <w:highlight w:val="none"/>
          <w:lang w:val="en-US" w:eastAsia="zh-CN"/>
        </w:rPr>
        <w:t>5</w:t>
      </w:r>
      <w:r>
        <w:rPr>
          <w:rFonts w:hint="eastAsia" w:cs="Times New Roman"/>
          <w:kern w:val="0"/>
          <w:highlight w:val="none"/>
        </w:rPr>
        <w:t>月</w:t>
      </w:r>
      <w:r>
        <w:rPr>
          <w:rFonts w:hint="eastAsia" w:cs="Times New Roman"/>
          <w:kern w:val="0"/>
          <w:highlight w:val="none"/>
          <w:lang w:val="en-US" w:eastAsia="zh-CN"/>
        </w:rPr>
        <w:t>4</w:t>
      </w:r>
      <w:r>
        <w:rPr>
          <w:rFonts w:hint="eastAsia" w:cs="Times New Roman"/>
          <w:kern w:val="0"/>
          <w:highlight w:val="none"/>
        </w:rPr>
        <w:t>-5日对本项目所在地的声环境质量进行了现状布点监测，具体布点如下表</w:t>
      </w:r>
      <w:r>
        <w:rPr>
          <w:rFonts w:hint="eastAsia" w:cs="Times New Roman"/>
          <w:kern w:val="0"/>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lang w:val="en-US" w:eastAsia="zh-CN"/>
        </w:rPr>
        <w:t>12</w:t>
      </w:r>
      <w:r>
        <w:rPr>
          <w:rFonts w:cs="Times New Roman"/>
          <w:highlight w:val="none"/>
        </w:rPr>
        <w:t>。</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w:t>
      </w:r>
      <w:r>
        <w:rPr>
          <w:rFonts w:hint="eastAsia"/>
          <w:highlight w:val="none"/>
          <w:lang w:val="en-US" w:eastAsia="zh-CN"/>
        </w:rPr>
        <w:t xml:space="preserve">12 </w:t>
      </w:r>
      <w:r>
        <w:rPr>
          <w:rFonts w:hint="eastAsia"/>
          <w:highlight w:val="none"/>
        </w:rPr>
        <w:t>声环境监测布点表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2601"/>
        <w:gridCol w:w="1303"/>
        <w:gridCol w:w="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编号</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检测点名称</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功能</w:t>
            </w:r>
          </w:p>
        </w:tc>
        <w:tc>
          <w:tcPr>
            <w:tcW w:w="2184" w:type="pct"/>
            <w:tcBorders>
              <w:tl2br w:val="nil"/>
              <w:tr2bl w:val="nil"/>
            </w:tcBorders>
            <w:noWrap w:val="0"/>
            <w:vAlign w:val="top"/>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项目区东厂界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连续等效A声级LAeq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项目区南厂界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10"/>
              <w:jc w:val="center"/>
              <w:rPr>
                <w:rFonts w:hint="eastAsia" w:ascii="宋体" w:hAnsi="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项目区西厂界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10"/>
              <w:jc w:val="center"/>
              <w:rPr>
                <w:rFonts w:hint="eastAsia" w:ascii="宋体" w:hAnsi="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527"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项目区北厂界</w:t>
            </w:r>
          </w:p>
        </w:tc>
        <w:tc>
          <w:tcPr>
            <w:tcW w:w="76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w:t>
            </w:r>
          </w:p>
        </w:tc>
        <w:tc>
          <w:tcPr>
            <w:tcW w:w="2184" w:type="pct"/>
            <w:vMerge w:val="continue"/>
            <w:tcBorders>
              <w:tl2br w:val="nil"/>
              <w:tr2bl w:val="nil"/>
            </w:tcBorders>
            <w:noWrap w:val="0"/>
            <w:vAlign w:val="top"/>
          </w:tcPr>
          <w:p>
            <w:pPr>
              <w:pStyle w:val="10"/>
              <w:jc w:val="center"/>
              <w:rPr>
                <w:rFonts w:hint="eastAsia" w:ascii="宋体" w:hAnsi="宋体" w:cs="宋体"/>
                <w:sz w:val="21"/>
                <w:szCs w:val="21"/>
                <w:highlight w:val="none"/>
              </w:rPr>
            </w:pPr>
          </w:p>
        </w:tc>
      </w:tr>
    </w:tbl>
    <w:p>
      <w:pPr>
        <w:spacing w:line="360" w:lineRule="auto"/>
        <w:ind w:firstLine="480"/>
        <w:rPr>
          <w:highlight w:val="none"/>
        </w:rPr>
      </w:pPr>
      <w:r>
        <w:rPr>
          <w:highlight w:val="none"/>
        </w:rPr>
        <w:t>（</w:t>
      </w:r>
      <w:r>
        <w:rPr>
          <w:rFonts w:hint="eastAsia"/>
          <w:highlight w:val="none"/>
        </w:rPr>
        <w:t>2</w:t>
      </w:r>
      <w:r>
        <w:rPr>
          <w:highlight w:val="none"/>
        </w:rPr>
        <w:t>）监测时间和频次</w:t>
      </w:r>
    </w:p>
    <w:p>
      <w:pPr>
        <w:spacing w:line="360" w:lineRule="auto"/>
        <w:ind w:firstLine="480"/>
        <w:rPr>
          <w:rFonts w:hint="eastAsia"/>
          <w:highlight w:val="none"/>
        </w:rPr>
      </w:pPr>
      <w:r>
        <w:rPr>
          <w:rFonts w:hint="eastAsia"/>
          <w:highlight w:val="none"/>
          <w:lang w:val="en-US" w:eastAsia="zh-CN"/>
        </w:rPr>
        <w:t>2020</w:t>
      </w:r>
      <w:r>
        <w:rPr>
          <w:rFonts w:hint="eastAsia"/>
          <w:highlight w:val="none"/>
        </w:rPr>
        <w:t>年</w:t>
      </w:r>
      <w:r>
        <w:rPr>
          <w:rFonts w:hint="eastAsia"/>
          <w:highlight w:val="none"/>
          <w:lang w:val="en-US" w:eastAsia="zh-CN"/>
        </w:rPr>
        <w:t>5</w:t>
      </w:r>
      <w:r>
        <w:rPr>
          <w:rFonts w:hint="eastAsia"/>
          <w:highlight w:val="none"/>
        </w:rPr>
        <w:t>月4日~5日，监测2天，分昼间、夜间两个时段，各测一次。</w:t>
      </w:r>
    </w:p>
    <w:p>
      <w:pPr>
        <w:spacing w:line="360" w:lineRule="auto"/>
        <w:ind w:firstLine="48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）评价标准</w:t>
      </w:r>
    </w:p>
    <w:p>
      <w:pPr>
        <w:adjustRightInd w:val="0"/>
        <w:snapToGrid w:val="0"/>
        <w:spacing w:line="360" w:lineRule="auto"/>
        <w:ind w:firstLine="480" w:firstLineChars="200"/>
        <w:rPr>
          <w:rFonts w:ascii="Times New Roman" w:hAnsi="Times New Roman"/>
          <w:b/>
          <w:bCs/>
          <w:color w:val="000000"/>
          <w:kern w:val="0"/>
          <w:szCs w:val="21"/>
          <w:highlight w:val="none"/>
        </w:rPr>
      </w:pPr>
      <w:r>
        <w:rPr>
          <w:rFonts w:ascii="Times New Roman" w:hAnsi="Times New Roman"/>
          <w:bCs/>
          <w:color w:val="000000"/>
          <w:sz w:val="24"/>
          <w:highlight w:val="none"/>
        </w:rPr>
        <w:t>本次声环境质量现状评价执行《声环境质量标准》（GB3096-2008）中2类标准，具体见表3.3-1</w:t>
      </w:r>
      <w:r>
        <w:rPr>
          <w:rFonts w:hint="eastAsia"/>
          <w:bCs/>
          <w:color w:val="000000"/>
          <w:sz w:val="24"/>
          <w:highlight w:val="none"/>
          <w:lang w:val="en-US" w:eastAsia="zh-CN"/>
        </w:rPr>
        <w:t>3</w:t>
      </w:r>
      <w:r>
        <w:rPr>
          <w:rFonts w:ascii="Times New Roman" w:hAnsi="Times New Roman"/>
          <w:bCs/>
          <w:color w:val="000000"/>
          <w:sz w:val="24"/>
          <w:highlight w:val="none"/>
        </w:rPr>
        <w:t>。</w:t>
      </w:r>
    </w:p>
    <w:p>
      <w:pPr>
        <w:pStyle w:val="40"/>
        <w:rPr>
          <w:rFonts w:hint="eastAsia"/>
          <w:highlight w:val="none"/>
        </w:rPr>
      </w:pPr>
      <w:r>
        <w:rPr>
          <w:rFonts w:hint="eastAsia"/>
          <w:highlight w:val="none"/>
        </w:rPr>
        <w:t>表3.3-1</w:t>
      </w:r>
      <w:r>
        <w:rPr>
          <w:rFonts w:hint="eastAsia"/>
          <w:highlight w:val="none"/>
          <w:lang w:val="en-US" w:eastAsia="zh-CN"/>
        </w:rPr>
        <w:t>3</w:t>
      </w:r>
      <w:r>
        <w:rPr>
          <w:rFonts w:hint="eastAsia"/>
          <w:highlight w:val="none"/>
        </w:rPr>
        <w:t xml:space="preserve">  声环境质量现状评价标准单位：dB(A)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66" w:type="pct"/>
            <w:tcBorders>
              <w:top w:val="single" w:color="auto" w:sz="12"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w:t>
            </w:r>
          </w:p>
        </w:tc>
        <w:tc>
          <w:tcPr>
            <w:tcW w:w="1666" w:type="pct"/>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666" w:type="pct"/>
            <w:tcBorders>
              <w:top w:val="single" w:color="auto" w:sz="12"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66" w:type="pct"/>
            <w:tcBorders>
              <w:top w:val="single" w:color="auto" w:sz="4" w:space="0"/>
              <w:left w:val="single" w:color="auto" w:sz="12"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2类标准限值</w:t>
            </w:r>
          </w:p>
        </w:tc>
        <w:tc>
          <w:tcPr>
            <w:tcW w:w="1666" w:type="pct"/>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60</w:t>
            </w:r>
          </w:p>
        </w:tc>
        <w:tc>
          <w:tcPr>
            <w:tcW w:w="1666" w:type="pct"/>
            <w:tcBorders>
              <w:top w:val="single" w:color="auto" w:sz="4" w:space="0"/>
              <w:left w:val="single" w:color="auto" w:sz="4" w:space="0"/>
              <w:bottom w:val="single" w:color="auto" w:sz="12" w:space="0"/>
              <w:right w:val="single" w:color="auto" w:sz="12" w:space="0"/>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w:t>
            </w:r>
          </w:p>
        </w:tc>
      </w:tr>
    </w:tbl>
    <w:p>
      <w:pPr>
        <w:ind w:firstLine="480"/>
        <w:rPr>
          <w:highlight w:val="none"/>
        </w:rPr>
      </w:pPr>
      <w:r>
        <w:rPr>
          <w:rFonts w:hint="eastAsia"/>
          <w:highlight w:val="none"/>
        </w:rPr>
        <w:t>（</w:t>
      </w:r>
      <w:r>
        <w:rPr>
          <w:rFonts w:hint="eastAsia"/>
          <w:highlight w:val="none"/>
          <w:lang w:val="en-US" w:eastAsia="zh-CN"/>
        </w:rPr>
        <w:t>4</w:t>
      </w:r>
      <w:r>
        <w:rPr>
          <w:rFonts w:hint="eastAsia"/>
          <w:highlight w:val="none"/>
        </w:rPr>
        <w:t>）</w:t>
      </w:r>
      <w:r>
        <w:rPr>
          <w:highlight w:val="none"/>
        </w:rPr>
        <w:t>监测结果统计与评价</w:t>
      </w:r>
    </w:p>
    <w:p>
      <w:pPr>
        <w:ind w:firstLine="480"/>
        <w:rPr>
          <w:highlight w:val="none"/>
        </w:rPr>
      </w:pPr>
      <w:r>
        <w:rPr>
          <w:rFonts w:hint="eastAsia"/>
          <w:highlight w:val="none"/>
        </w:rPr>
        <w:t>监测结果见</w:t>
      </w:r>
      <w:r>
        <w:rPr>
          <w:highlight w:val="none"/>
        </w:rPr>
        <w:t>表</w:t>
      </w:r>
      <w:r>
        <w:rPr>
          <w:rFonts w:hint="eastAsia"/>
          <w:highlight w:val="none"/>
          <w:lang w:val="en-US" w:eastAsia="zh-CN"/>
        </w:rPr>
        <w:t>3</w:t>
      </w:r>
      <w:r>
        <w:rPr>
          <w:rFonts w:hint="eastAsia"/>
          <w:highlight w:val="none"/>
        </w:rPr>
        <w:t>.2-1</w:t>
      </w:r>
      <w:r>
        <w:rPr>
          <w:rFonts w:hint="eastAsia"/>
          <w:highlight w:val="none"/>
          <w:lang w:val="en-US" w:eastAsia="zh-CN"/>
        </w:rPr>
        <w:t>4</w:t>
      </w:r>
      <w:r>
        <w:rPr>
          <w:highlight w:val="none"/>
        </w:rPr>
        <w:t>，评价区域噪声监测结果昼间、夜间均符合《声环境质量标准》</w:t>
      </w:r>
      <w:r>
        <w:rPr>
          <w:rFonts w:hint="eastAsia"/>
          <w:highlight w:val="none"/>
        </w:rPr>
        <w:t>（</w:t>
      </w:r>
      <w:r>
        <w:rPr>
          <w:highlight w:val="none"/>
        </w:rPr>
        <w:t>GB3096-2008</w:t>
      </w:r>
      <w:r>
        <w:rPr>
          <w:rFonts w:hint="eastAsia"/>
          <w:highlight w:val="none"/>
        </w:rPr>
        <w:t>）</w:t>
      </w:r>
      <w:r>
        <w:rPr>
          <w:highlight w:val="none"/>
        </w:rPr>
        <w:t>中</w:t>
      </w:r>
      <w:r>
        <w:rPr>
          <w:rFonts w:hint="eastAsia"/>
          <w:highlight w:val="none"/>
          <w:lang w:val="en-US" w:eastAsia="zh-CN"/>
        </w:rPr>
        <w:t>2</w:t>
      </w:r>
      <w:r>
        <w:rPr>
          <w:highlight w:val="none"/>
        </w:rPr>
        <w:t>类标准要求。</w:t>
      </w:r>
    </w:p>
    <w:p>
      <w:pPr>
        <w:pStyle w:val="40"/>
        <w:rPr>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 xml:space="preserve">4 </w:t>
      </w:r>
      <w:r>
        <w:rPr>
          <w:rFonts w:hint="eastAsia" w:cs="Times New Roman"/>
          <w:szCs w:val="21"/>
          <w:highlight w:val="none"/>
        </w:rPr>
        <w:t>声环境监测结果</w:t>
      </w:r>
    </w:p>
    <w:tbl>
      <w:tblPr>
        <w:tblStyle w:val="25"/>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219"/>
        <w:gridCol w:w="1275"/>
        <w:gridCol w:w="1813"/>
        <w:gridCol w:w="1371"/>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检测点位</w:t>
            </w:r>
          </w:p>
        </w:tc>
        <w:tc>
          <w:tcPr>
            <w:tcW w:w="12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检测日期</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检测时段</w:t>
            </w:r>
          </w:p>
        </w:tc>
        <w:tc>
          <w:tcPr>
            <w:tcW w:w="1813"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检测结果（LAeq）</w:t>
            </w:r>
          </w:p>
        </w:tc>
        <w:tc>
          <w:tcPr>
            <w:tcW w:w="1371"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标准值</w:t>
            </w:r>
          </w:p>
        </w:tc>
        <w:tc>
          <w:tcPr>
            <w:tcW w:w="1419"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项目区东厂界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2020.5.4</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50.1</w:t>
            </w:r>
          </w:p>
        </w:tc>
        <w:tc>
          <w:tcPr>
            <w:tcW w:w="1371"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昼间：60</w:t>
            </w:r>
          </w:p>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夜间：50</w:t>
            </w: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38.1</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2020.5.5</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51.6</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38.8</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2020.5.4</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53.0</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41.0</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2020.5.5</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53.9</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41.5</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项目区西厂界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2020.5.4</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54.2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42.6</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2020.5.5</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54.4</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40.0</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项目区北厂界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2020.5.4</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51.3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kern w:val="2"/>
                <w:highlight w:val="none"/>
              </w:rPr>
            </w:pPr>
          </w:p>
        </w:tc>
        <w:tc>
          <w:tcPr>
            <w:tcW w:w="1219" w:type="dxa"/>
            <w:vMerge w:val="continue"/>
            <w:tcBorders>
              <w:tl2br w:val="nil"/>
              <w:tr2bl w:val="nil"/>
            </w:tcBorders>
            <w:vAlign w:val="center"/>
          </w:tcPr>
          <w:p>
            <w:pPr>
              <w:pStyle w:val="42"/>
              <w:widowControl w:val="0"/>
              <w:ind w:firstLine="420"/>
              <w:rPr>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43.0</w:t>
            </w:r>
          </w:p>
        </w:tc>
        <w:tc>
          <w:tcPr>
            <w:tcW w:w="1371" w:type="dxa"/>
            <w:vMerge w:val="continue"/>
            <w:tcBorders>
              <w:tl2br w:val="nil"/>
              <w:tr2bl w:val="nil"/>
            </w:tcBorders>
            <w:vAlign w:val="center"/>
          </w:tcPr>
          <w:p>
            <w:pPr>
              <w:pStyle w:val="42"/>
              <w:widowControl w:val="0"/>
              <w:ind w:firstLine="0" w:firstLineChars="0"/>
              <w:rPr>
                <w:kern w:val="2"/>
                <w:highlight w:val="none"/>
              </w:rPr>
            </w:pPr>
          </w:p>
        </w:tc>
        <w:tc>
          <w:tcPr>
            <w:tcW w:w="1419" w:type="dxa"/>
            <w:vMerge w:val="continue"/>
            <w:tcBorders>
              <w:tl2br w:val="nil"/>
              <w:tr2bl w:val="nil"/>
            </w:tcBorders>
            <w:vAlign w:val="center"/>
          </w:tcPr>
          <w:p>
            <w:pPr>
              <w:pStyle w:val="42"/>
              <w:widowControl w:val="0"/>
              <w:ind w:firstLine="0" w:firstLineChars="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kern w:val="2"/>
                <w:highlight w:val="none"/>
              </w:rPr>
            </w:pPr>
          </w:p>
        </w:tc>
        <w:tc>
          <w:tcPr>
            <w:tcW w:w="1219" w:type="dxa"/>
            <w:vMerge w:val="restart"/>
            <w:tcBorders>
              <w:tl2br w:val="nil"/>
              <w:tr2bl w:val="nil"/>
            </w:tcBorders>
            <w:vAlign w:val="center"/>
          </w:tcPr>
          <w:p>
            <w:pPr>
              <w:widowControl w:val="0"/>
              <w:spacing w:line="240" w:lineRule="auto"/>
              <w:ind w:firstLine="0" w:firstLineChars="0"/>
              <w:jc w:val="center"/>
              <w:rPr>
                <w:kern w:val="2"/>
                <w:highlight w:val="none"/>
              </w:rPr>
            </w:pPr>
            <w:r>
              <w:rPr>
                <w:rFonts w:hint="eastAsia" w:cs="Times New Roman"/>
                <w:sz w:val="21"/>
                <w:szCs w:val="21"/>
                <w:highlight w:val="none"/>
                <w:lang w:val="en-US" w:eastAsia="zh-CN"/>
              </w:rPr>
              <w:t>2020.5.5</w:t>
            </w: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51.2</w:t>
            </w:r>
          </w:p>
        </w:tc>
        <w:tc>
          <w:tcPr>
            <w:tcW w:w="1371" w:type="dxa"/>
            <w:vMerge w:val="continue"/>
            <w:tcBorders>
              <w:tl2br w:val="nil"/>
              <w:tr2bl w:val="nil"/>
            </w:tcBorders>
            <w:vAlign w:val="center"/>
          </w:tcPr>
          <w:p>
            <w:pPr>
              <w:pStyle w:val="42"/>
              <w:widowControl w:val="0"/>
              <w:ind w:firstLine="0" w:firstLineChars="0"/>
              <w:rPr>
                <w:kern w:val="2"/>
                <w:highlight w:val="none"/>
              </w:rPr>
            </w:pPr>
          </w:p>
        </w:tc>
        <w:tc>
          <w:tcPr>
            <w:tcW w:w="1419" w:type="dxa"/>
            <w:vMerge w:val="continue"/>
            <w:tcBorders>
              <w:tl2br w:val="nil"/>
              <w:tr2bl w:val="nil"/>
            </w:tcBorders>
            <w:vAlign w:val="center"/>
          </w:tcPr>
          <w:p>
            <w:pPr>
              <w:pStyle w:val="42"/>
              <w:widowControl w:val="0"/>
              <w:ind w:firstLine="0" w:firstLineChars="0"/>
              <w:rPr>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kern w:val="2"/>
                <w:highlight w:val="none"/>
              </w:rPr>
            </w:pPr>
          </w:p>
        </w:tc>
        <w:tc>
          <w:tcPr>
            <w:tcW w:w="1219" w:type="dxa"/>
            <w:vMerge w:val="continue"/>
            <w:tcBorders>
              <w:tl2br w:val="nil"/>
              <w:tr2bl w:val="nil"/>
            </w:tcBorders>
            <w:vAlign w:val="center"/>
          </w:tcPr>
          <w:p>
            <w:pPr>
              <w:pStyle w:val="42"/>
              <w:widowControl w:val="0"/>
              <w:ind w:firstLine="420"/>
              <w:rPr>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42.1</w:t>
            </w:r>
          </w:p>
        </w:tc>
        <w:tc>
          <w:tcPr>
            <w:tcW w:w="1371" w:type="dxa"/>
            <w:vMerge w:val="continue"/>
            <w:tcBorders>
              <w:tl2br w:val="nil"/>
              <w:tr2bl w:val="nil"/>
            </w:tcBorders>
            <w:vAlign w:val="center"/>
          </w:tcPr>
          <w:p>
            <w:pPr>
              <w:pStyle w:val="42"/>
              <w:widowControl w:val="0"/>
              <w:ind w:firstLine="0" w:firstLineChars="0"/>
              <w:rPr>
                <w:kern w:val="2"/>
                <w:highlight w:val="none"/>
              </w:rPr>
            </w:pPr>
          </w:p>
        </w:tc>
        <w:tc>
          <w:tcPr>
            <w:tcW w:w="1419" w:type="dxa"/>
            <w:vMerge w:val="continue"/>
            <w:tcBorders>
              <w:tl2br w:val="nil"/>
              <w:tr2bl w:val="nil"/>
            </w:tcBorders>
            <w:vAlign w:val="center"/>
          </w:tcPr>
          <w:p>
            <w:pPr>
              <w:pStyle w:val="42"/>
              <w:widowControl w:val="0"/>
              <w:ind w:firstLine="0" w:firstLineChars="0"/>
              <w:rPr>
                <w:kern w:val="2"/>
                <w:highlight w:val="none"/>
              </w:rPr>
            </w:pPr>
          </w:p>
        </w:tc>
      </w:tr>
    </w:tbl>
    <w:p>
      <w:pPr>
        <w:pStyle w:val="7"/>
        <w:spacing w:before="66"/>
        <w:ind w:firstLine="0" w:firstLineChars="0"/>
        <w:rPr>
          <w:rFonts w:cs="Times New Roman"/>
          <w:highlight w:val="none"/>
        </w:rPr>
      </w:pPr>
      <w:r>
        <w:rPr>
          <w:rFonts w:hint="eastAsia" w:cs="Times New Roman"/>
          <w:highlight w:val="none"/>
          <w:lang w:val="en-US" w:eastAsia="zh-CN"/>
        </w:rPr>
        <w:t>3</w:t>
      </w:r>
      <w:r>
        <w:rPr>
          <w:rFonts w:cs="Times New Roman"/>
          <w:highlight w:val="none"/>
        </w:rPr>
        <w:t>.</w:t>
      </w:r>
      <w:r>
        <w:rPr>
          <w:rFonts w:hint="eastAsia" w:cs="Times New Roman"/>
          <w:highlight w:val="none"/>
        </w:rPr>
        <w:t>3</w:t>
      </w:r>
      <w:r>
        <w:rPr>
          <w:rFonts w:cs="Times New Roman"/>
          <w:highlight w:val="none"/>
        </w:rPr>
        <w:t>.</w:t>
      </w:r>
      <w:r>
        <w:rPr>
          <w:rFonts w:hint="eastAsia" w:cs="Times New Roman"/>
          <w:highlight w:val="none"/>
        </w:rPr>
        <w:t>5土壤环境质量现状监测与评价</w:t>
      </w:r>
    </w:p>
    <w:p>
      <w:pPr>
        <w:ind w:firstLine="480"/>
        <w:rPr>
          <w:rFonts w:cs="Times New Roman"/>
          <w:highlight w:val="none"/>
        </w:rPr>
      </w:pPr>
      <w:r>
        <w:rPr>
          <w:rFonts w:cs="Times New Roman"/>
          <w:highlight w:val="none"/>
        </w:rPr>
        <w:t>（1）监测因子和监测断面</w:t>
      </w:r>
    </w:p>
    <w:p>
      <w:pPr>
        <w:ind w:firstLine="480"/>
        <w:rPr>
          <w:rFonts w:cs="Times New Roman"/>
          <w:highlight w:val="none"/>
        </w:rPr>
      </w:pPr>
      <w:r>
        <w:rPr>
          <w:rFonts w:hint="eastAsia" w:cs="Times New Roman"/>
          <w:highlight w:val="none"/>
        </w:rPr>
        <w:t>本次评价</w:t>
      </w:r>
      <w:r>
        <w:rPr>
          <w:rFonts w:hint="eastAsia" w:cs="Times New Roman"/>
          <w:highlight w:val="none"/>
          <w:lang w:eastAsia="zh-CN"/>
        </w:rPr>
        <w:t>委托河南政检检测研究院有限公司</w:t>
      </w:r>
      <w:r>
        <w:rPr>
          <w:rFonts w:hint="eastAsia" w:cs="Times New Roman"/>
          <w:highlight w:val="none"/>
        </w:rPr>
        <w:t>于20</w:t>
      </w:r>
      <w:r>
        <w:rPr>
          <w:rFonts w:hint="eastAsia" w:cs="Times New Roman"/>
          <w:highlight w:val="none"/>
          <w:lang w:val="en-US" w:eastAsia="zh-CN"/>
        </w:rPr>
        <w:t>20</w:t>
      </w:r>
      <w:r>
        <w:rPr>
          <w:rFonts w:hint="eastAsia" w:cs="Times New Roman"/>
          <w:highlight w:val="none"/>
        </w:rPr>
        <w:t>年</w:t>
      </w:r>
      <w:r>
        <w:rPr>
          <w:rFonts w:hint="eastAsia" w:cs="Times New Roman"/>
          <w:highlight w:val="none"/>
          <w:lang w:val="en-US" w:eastAsia="zh-CN"/>
        </w:rPr>
        <w:t>5</w:t>
      </w:r>
      <w:r>
        <w:rPr>
          <w:rFonts w:hint="eastAsia" w:cs="Times New Roman"/>
          <w:highlight w:val="none"/>
        </w:rPr>
        <w:t>月</w:t>
      </w:r>
      <w:r>
        <w:rPr>
          <w:rFonts w:hint="eastAsia" w:cs="Times New Roman"/>
          <w:highlight w:val="none"/>
          <w:lang w:val="en-US" w:eastAsia="zh-CN"/>
        </w:rPr>
        <w:t>2</w:t>
      </w:r>
      <w:r>
        <w:rPr>
          <w:rFonts w:hint="eastAsia" w:cs="Times New Roman"/>
          <w:highlight w:val="none"/>
        </w:rPr>
        <w:t>日对</w:t>
      </w:r>
      <w:r>
        <w:rPr>
          <w:rFonts w:hint="eastAsia" w:cs="Times New Roman"/>
          <w:highlight w:val="none"/>
          <w:lang w:eastAsia="zh-CN"/>
        </w:rPr>
        <w:t>项目厂址、沼液消纳地进行了</w:t>
      </w:r>
      <w:r>
        <w:rPr>
          <w:rFonts w:hint="eastAsia" w:cs="Times New Roman"/>
          <w:highlight w:val="none"/>
        </w:rPr>
        <w:t xml:space="preserve">监测，监测数据有较好的代表性。 </w:t>
      </w:r>
    </w:p>
    <w:p>
      <w:pPr>
        <w:ind w:firstLine="480"/>
        <w:rPr>
          <w:rFonts w:cs="Times New Roman"/>
          <w:highlight w:val="none"/>
        </w:rPr>
      </w:pPr>
      <w:r>
        <w:rPr>
          <w:rFonts w:hint="eastAsia" w:cs="Times New Roman"/>
          <w:highlight w:val="none"/>
        </w:rPr>
        <w:t>土壤环境质量现状监测设</w:t>
      </w:r>
      <w:r>
        <w:rPr>
          <w:rFonts w:hint="eastAsia" w:cs="Times New Roman"/>
          <w:highlight w:val="none"/>
          <w:lang w:val="en-US" w:eastAsia="zh-CN"/>
        </w:rPr>
        <w:t>3</w:t>
      </w:r>
      <w:r>
        <w:rPr>
          <w:rFonts w:hint="eastAsia" w:cs="Times New Roman"/>
          <w:highlight w:val="none"/>
        </w:rPr>
        <w:t>个监测点，</w:t>
      </w:r>
      <w:r>
        <w:rPr>
          <w:rFonts w:cs="Times New Roman"/>
          <w:highlight w:val="none"/>
        </w:rPr>
        <w:t>详见表</w:t>
      </w:r>
      <w:r>
        <w:rPr>
          <w:rFonts w:hint="eastAsia"/>
          <w:highlight w:val="none"/>
          <w:lang w:val="en-US" w:eastAsia="zh-CN"/>
        </w:rPr>
        <w:t>3</w:t>
      </w:r>
      <w:r>
        <w:rPr>
          <w:rFonts w:hint="eastAsia"/>
          <w:highlight w:val="none"/>
        </w:rPr>
        <w:t>.3-1</w:t>
      </w:r>
      <w:r>
        <w:rPr>
          <w:rFonts w:hint="eastAsia"/>
          <w:highlight w:val="none"/>
          <w:lang w:val="en-US" w:eastAsia="zh-CN"/>
        </w:rPr>
        <w:t>5</w:t>
      </w:r>
      <w:r>
        <w:rPr>
          <w:rFonts w:cs="Times New Roman"/>
          <w:highlight w:val="none"/>
        </w:rPr>
        <w:t>。</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5</w:t>
      </w:r>
      <w:r>
        <w:rPr>
          <w:rFonts w:hint="eastAsia"/>
          <w:highlight w:val="none"/>
        </w:rPr>
        <w:t>土壤监测布点表</w:t>
      </w:r>
    </w:p>
    <w:tbl>
      <w:tblPr>
        <w:tblStyle w:val="24"/>
        <w:tblW w:w="501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717"/>
        <w:gridCol w:w="1936"/>
        <w:gridCol w:w="2154"/>
        <w:gridCol w:w="1255"/>
        <w:gridCol w:w="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458"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序号</w:t>
            </w:r>
          </w:p>
        </w:tc>
        <w:tc>
          <w:tcPr>
            <w:tcW w:w="100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监测点位</w:t>
            </w:r>
          </w:p>
        </w:tc>
        <w:tc>
          <w:tcPr>
            <w:tcW w:w="113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布点类型及数量</w:t>
            </w:r>
          </w:p>
        </w:tc>
        <w:tc>
          <w:tcPr>
            <w:tcW w:w="1262"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监测因子</w:t>
            </w:r>
          </w:p>
        </w:tc>
        <w:tc>
          <w:tcPr>
            <w:tcW w:w="73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监测单位</w:t>
            </w:r>
          </w:p>
        </w:tc>
        <w:tc>
          <w:tcPr>
            <w:tcW w:w="40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58"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006"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场区内</w:t>
            </w:r>
          </w:p>
        </w:tc>
        <w:tc>
          <w:tcPr>
            <w:tcW w:w="113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 个柱状样点</w:t>
            </w:r>
          </w:p>
        </w:tc>
        <w:tc>
          <w:tcPr>
            <w:tcW w:w="1262"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pH、砷、镉、铬、铜、铅、汞、锌、镍</w:t>
            </w:r>
          </w:p>
        </w:tc>
        <w:tc>
          <w:tcPr>
            <w:tcW w:w="735"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401"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458"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6"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13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 个表层样点</w:t>
            </w:r>
          </w:p>
        </w:tc>
        <w:tc>
          <w:tcPr>
            <w:tcW w:w="1262"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73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0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58"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场区外</w:t>
            </w:r>
            <w:r>
              <w:rPr>
                <w:rFonts w:hint="eastAsia" w:cs="Times New Roman"/>
                <w:sz w:val="21"/>
                <w:szCs w:val="21"/>
                <w:highlight w:val="none"/>
                <w:lang w:val="en-US" w:eastAsia="zh-CN"/>
              </w:rPr>
              <w:br w:type="textWrapping"/>
            </w:r>
            <w:r>
              <w:rPr>
                <w:rFonts w:hint="eastAsia" w:cs="Times New Roman"/>
                <w:sz w:val="21"/>
                <w:szCs w:val="21"/>
                <w:highlight w:val="none"/>
                <w:lang w:val="en-US" w:eastAsia="zh-CN"/>
              </w:rPr>
              <w:t>（东侧消纳地）</w:t>
            </w:r>
          </w:p>
        </w:tc>
        <w:tc>
          <w:tcPr>
            <w:tcW w:w="113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 个表层样点</w:t>
            </w:r>
          </w:p>
        </w:tc>
        <w:tc>
          <w:tcPr>
            <w:tcW w:w="1262" w:type="pct"/>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pH、砷、镉、铬、铜、铅、汞、锌、镍</w:t>
            </w:r>
          </w:p>
        </w:tc>
        <w:tc>
          <w:tcPr>
            <w:tcW w:w="73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0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58"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100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 xml:space="preserve">场区外 </w:t>
            </w:r>
            <w:r>
              <w:rPr>
                <w:rFonts w:hint="eastAsia" w:cs="Times New Roman"/>
                <w:sz w:val="21"/>
                <w:szCs w:val="21"/>
                <w:highlight w:val="none"/>
                <w:lang w:val="en-US" w:eastAsia="zh-CN"/>
              </w:rPr>
              <w:br w:type="textWrapping"/>
            </w:r>
            <w:r>
              <w:rPr>
                <w:rFonts w:hint="eastAsia" w:cs="Times New Roman"/>
                <w:sz w:val="21"/>
                <w:szCs w:val="21"/>
                <w:highlight w:val="none"/>
                <w:lang w:val="en-US" w:eastAsia="zh-CN"/>
              </w:rPr>
              <w:t>（西侧消纳地）</w:t>
            </w:r>
          </w:p>
        </w:tc>
        <w:tc>
          <w:tcPr>
            <w:tcW w:w="113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 个表层样点</w:t>
            </w:r>
          </w:p>
        </w:tc>
        <w:tc>
          <w:tcPr>
            <w:tcW w:w="1262"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735"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401" w:type="pct"/>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00" w:type="pct"/>
            <w:gridSpan w:val="6"/>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备注：表层样应在 0~0.2m 取样；柱状样通常在 0~0.5m、 0.5~1.5m、 1.5~3m 分别取样，可根据基础埋深、土体构型适当调整</w:t>
            </w:r>
          </w:p>
        </w:tc>
      </w:tr>
    </w:tbl>
    <w:p>
      <w:pPr>
        <w:ind w:left="480" w:leftChars="200" w:firstLine="0" w:firstLineChars="0"/>
        <w:rPr>
          <w:rFonts w:cs="Times New Roman"/>
          <w:highlight w:val="none"/>
        </w:rPr>
      </w:pPr>
      <w:r>
        <w:rPr>
          <w:rFonts w:cs="Times New Roman"/>
          <w:highlight w:val="none"/>
        </w:rPr>
        <w:t>（</w:t>
      </w:r>
      <w:r>
        <w:rPr>
          <w:rFonts w:hint="eastAsia" w:cs="Times New Roman"/>
          <w:highlight w:val="none"/>
        </w:rPr>
        <w:t>2</w:t>
      </w:r>
      <w:r>
        <w:rPr>
          <w:rFonts w:cs="Times New Roman"/>
          <w:highlight w:val="none"/>
        </w:rPr>
        <w:t>）监测时间和频次</w:t>
      </w:r>
    </w:p>
    <w:p>
      <w:pPr>
        <w:ind w:left="480" w:leftChars="200" w:firstLine="0" w:firstLineChars="0"/>
        <w:rPr>
          <w:rFonts w:hint="eastAsia" w:cs="Times New Roman"/>
          <w:highlight w:val="none"/>
        </w:rPr>
      </w:pPr>
      <w:r>
        <w:rPr>
          <w:rFonts w:hint="eastAsia" w:cs="Times New Roman"/>
          <w:highlight w:val="none"/>
        </w:rPr>
        <w:t>20</w:t>
      </w:r>
      <w:r>
        <w:rPr>
          <w:rFonts w:hint="eastAsia" w:cs="Times New Roman"/>
          <w:highlight w:val="none"/>
          <w:lang w:val="en-US" w:eastAsia="zh-CN"/>
        </w:rPr>
        <w:t>20</w:t>
      </w:r>
      <w:r>
        <w:rPr>
          <w:rFonts w:hint="eastAsia" w:cs="Times New Roman"/>
          <w:highlight w:val="none"/>
        </w:rPr>
        <w:t>年</w:t>
      </w:r>
      <w:r>
        <w:rPr>
          <w:rFonts w:hint="eastAsia" w:cs="Times New Roman"/>
          <w:highlight w:val="none"/>
          <w:lang w:val="en-US" w:eastAsia="zh-CN"/>
        </w:rPr>
        <w:t>5</w:t>
      </w:r>
      <w:r>
        <w:rPr>
          <w:rFonts w:hint="eastAsia" w:cs="Times New Roman"/>
          <w:highlight w:val="none"/>
        </w:rPr>
        <w:t>月</w:t>
      </w:r>
      <w:r>
        <w:rPr>
          <w:rFonts w:hint="eastAsia" w:cs="Times New Roman"/>
          <w:highlight w:val="none"/>
          <w:lang w:val="en-US" w:eastAsia="zh-CN"/>
        </w:rPr>
        <w:t>2</w:t>
      </w:r>
      <w:r>
        <w:rPr>
          <w:rFonts w:hint="eastAsia" w:cs="Times New Roman"/>
          <w:highlight w:val="none"/>
        </w:rPr>
        <w:t>日，采样一次。</w:t>
      </w:r>
    </w:p>
    <w:p>
      <w:pPr>
        <w:ind w:left="480" w:leftChars="200" w:firstLine="0" w:firstLineChars="0"/>
        <w:rPr>
          <w:rFonts w:hint="eastAsia" w:cs="Times New Roman"/>
          <w:highlight w:val="none"/>
          <w:lang w:val="en-US" w:eastAsia="zh-CN"/>
        </w:rPr>
      </w:pPr>
      <w:r>
        <w:rPr>
          <w:rFonts w:hint="eastAsia" w:cs="Times New Roman"/>
          <w:highlight w:val="none"/>
          <w:lang w:val="en-US" w:eastAsia="zh-CN"/>
        </w:rPr>
        <w:t>（3）评价标准及方法</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cs="Times New Roman"/>
          <w:highlight w:val="none"/>
          <w:lang w:val="en-US" w:eastAsia="zh-CN"/>
        </w:rPr>
      </w:pPr>
      <w:r>
        <w:rPr>
          <w:rFonts w:hint="eastAsia" w:cs="Times New Roman"/>
          <w:highlight w:val="none"/>
          <w:lang w:val="en-US" w:eastAsia="zh-CN"/>
        </w:rPr>
        <w:t>土壤现状中各监测因子执行《土壤环境质量农用地土壤污染风险管控标准》（GB15618-2018）标准，见表3.3-16。</w:t>
      </w:r>
    </w:p>
    <w:p>
      <w:pPr>
        <w:pStyle w:val="40"/>
        <w:rPr>
          <w:rFonts w:hint="eastAsia"/>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6</w:t>
      </w:r>
      <w:r>
        <w:rPr>
          <w:rFonts w:hint="eastAsia"/>
          <w:highlight w:val="none"/>
        </w:rPr>
        <w:t>土壤评价标准（单位：mg/kg）</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108" w:type="dxa"/>
          <w:bottom w:w="28" w:type="dxa"/>
          <w:right w:w="108" w:type="dxa"/>
        </w:tblCellMar>
      </w:tblPr>
      <w:tblGrid>
        <w:gridCol w:w="794"/>
        <w:gridCol w:w="863"/>
        <w:gridCol w:w="809"/>
        <w:gridCol w:w="1236"/>
        <w:gridCol w:w="1548"/>
        <w:gridCol w:w="1771"/>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序号</w:t>
            </w:r>
          </w:p>
        </w:tc>
        <w:tc>
          <w:tcPr>
            <w:tcW w:w="982" w:type="pct"/>
            <w:gridSpan w:val="2"/>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污染物项目</w:t>
            </w:r>
          </w:p>
        </w:tc>
        <w:tc>
          <w:tcPr>
            <w:tcW w:w="3551" w:type="pct"/>
            <w:gridSpan w:val="4"/>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p>
        </w:tc>
        <w:tc>
          <w:tcPr>
            <w:tcW w:w="982" w:type="pct"/>
            <w:gridSpan w:val="2"/>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PH≤5.5</w:t>
            </w:r>
          </w:p>
        </w:tc>
        <w:tc>
          <w:tcPr>
            <w:tcW w:w="9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5.5＜PH≤6.5</w:t>
            </w:r>
          </w:p>
        </w:tc>
        <w:tc>
          <w:tcPr>
            <w:tcW w:w="1040"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6.5＜PH≤7.5</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w:t>
            </w:r>
          </w:p>
        </w:tc>
        <w:tc>
          <w:tcPr>
            <w:tcW w:w="50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镉</w:t>
            </w:r>
          </w:p>
        </w:tc>
        <w:tc>
          <w:tcPr>
            <w:tcW w:w="474"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0.3</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w:t>
            </w:r>
          </w:p>
        </w:tc>
        <w:tc>
          <w:tcPr>
            <w:tcW w:w="50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汞</w:t>
            </w:r>
          </w:p>
        </w:tc>
        <w:tc>
          <w:tcPr>
            <w:tcW w:w="474"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1.3</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1.8</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2.4</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w:t>
            </w:r>
          </w:p>
        </w:tc>
        <w:tc>
          <w:tcPr>
            <w:tcW w:w="50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砷</w:t>
            </w:r>
          </w:p>
        </w:tc>
        <w:tc>
          <w:tcPr>
            <w:tcW w:w="474"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40</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40</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30</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4</w:t>
            </w:r>
          </w:p>
        </w:tc>
        <w:tc>
          <w:tcPr>
            <w:tcW w:w="50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铅</w:t>
            </w:r>
          </w:p>
        </w:tc>
        <w:tc>
          <w:tcPr>
            <w:tcW w:w="474"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70</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90</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120</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w:t>
            </w:r>
          </w:p>
        </w:tc>
        <w:tc>
          <w:tcPr>
            <w:tcW w:w="50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铬</w:t>
            </w:r>
          </w:p>
        </w:tc>
        <w:tc>
          <w:tcPr>
            <w:tcW w:w="474"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150</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150</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w:t>
            </w:r>
          </w:p>
        </w:tc>
        <w:tc>
          <w:tcPr>
            <w:tcW w:w="50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铜</w:t>
            </w:r>
          </w:p>
        </w:tc>
        <w:tc>
          <w:tcPr>
            <w:tcW w:w="474"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其他</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50</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50</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w:t>
            </w:r>
          </w:p>
        </w:tc>
        <w:tc>
          <w:tcPr>
            <w:tcW w:w="982"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镍</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60</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70</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100</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8</w:t>
            </w:r>
          </w:p>
        </w:tc>
        <w:tc>
          <w:tcPr>
            <w:tcW w:w="982"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锌</w:t>
            </w:r>
          </w:p>
        </w:tc>
        <w:tc>
          <w:tcPr>
            <w:tcW w:w="72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90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200</w:t>
            </w:r>
          </w:p>
        </w:tc>
        <w:tc>
          <w:tcPr>
            <w:tcW w:w="1040"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250</w:t>
            </w:r>
          </w:p>
        </w:tc>
        <w:tc>
          <w:tcPr>
            <w:tcW w:w="875"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300</w:t>
            </w:r>
          </w:p>
        </w:tc>
      </w:tr>
    </w:tbl>
    <w:p>
      <w:pPr>
        <w:ind w:firstLine="480"/>
        <w:rPr>
          <w:highlight w:val="none"/>
        </w:rPr>
      </w:pPr>
      <w:r>
        <w:rPr>
          <w:rFonts w:hint="eastAsia"/>
          <w:highlight w:val="none"/>
        </w:rPr>
        <w:t>（</w:t>
      </w:r>
      <w:r>
        <w:rPr>
          <w:rFonts w:hint="eastAsia"/>
          <w:highlight w:val="none"/>
          <w:lang w:val="en-US" w:eastAsia="zh-CN"/>
        </w:rPr>
        <w:t>4</w:t>
      </w:r>
      <w:r>
        <w:rPr>
          <w:rFonts w:hint="eastAsia"/>
          <w:highlight w:val="none"/>
        </w:rPr>
        <w:t>）</w:t>
      </w:r>
      <w:r>
        <w:rPr>
          <w:highlight w:val="none"/>
        </w:rPr>
        <w:t>监测结果统计与评价</w:t>
      </w:r>
    </w:p>
    <w:p>
      <w:pPr>
        <w:ind w:firstLine="480"/>
        <w:rPr>
          <w:highlight w:val="none"/>
        </w:rPr>
      </w:pPr>
      <w:r>
        <w:rPr>
          <w:highlight w:val="none"/>
        </w:rPr>
        <w:t>监测结果见表</w:t>
      </w:r>
      <w:r>
        <w:rPr>
          <w:rFonts w:hint="eastAsia"/>
          <w:highlight w:val="none"/>
          <w:lang w:val="en-US" w:eastAsia="zh-CN"/>
        </w:rPr>
        <w:t>3</w:t>
      </w:r>
      <w:r>
        <w:rPr>
          <w:rFonts w:hint="eastAsia"/>
          <w:highlight w:val="none"/>
        </w:rPr>
        <w:t>.3-1</w:t>
      </w:r>
      <w:r>
        <w:rPr>
          <w:rFonts w:hint="eastAsia"/>
          <w:highlight w:val="none"/>
          <w:lang w:val="en-US" w:eastAsia="zh-CN"/>
        </w:rPr>
        <w:t>7</w:t>
      </w:r>
      <w:r>
        <w:rPr>
          <w:highlight w:val="none"/>
        </w:rPr>
        <w:t>，各土壤监测点所有监测因子均能达到</w:t>
      </w:r>
      <w:r>
        <w:rPr>
          <w:rFonts w:hint="eastAsia"/>
          <w:highlight w:val="none"/>
        </w:rPr>
        <w:t>《土壤环境质量农用地土壤污染风险管控标准》（GB15618-2018）二级标准</w:t>
      </w:r>
      <w:r>
        <w:rPr>
          <w:highlight w:val="none"/>
        </w:rPr>
        <w:t>要求</w:t>
      </w:r>
      <w:r>
        <w:rPr>
          <w:rFonts w:hint="eastAsia"/>
          <w:highlight w:val="none"/>
        </w:rPr>
        <w:t>。</w:t>
      </w:r>
    </w:p>
    <w:p>
      <w:pPr>
        <w:pStyle w:val="40"/>
        <w:rPr>
          <w:highlight w:val="none"/>
        </w:rPr>
      </w:pPr>
      <w:r>
        <w:rPr>
          <w:rFonts w:hint="eastAsia"/>
          <w:highlight w:val="none"/>
        </w:rPr>
        <w:t>表</w:t>
      </w:r>
      <w:r>
        <w:rPr>
          <w:rFonts w:hint="eastAsia"/>
          <w:highlight w:val="none"/>
          <w:lang w:val="en-US" w:eastAsia="zh-CN"/>
        </w:rPr>
        <w:t>3</w:t>
      </w:r>
      <w:r>
        <w:rPr>
          <w:rFonts w:hint="eastAsia"/>
          <w:highlight w:val="none"/>
        </w:rPr>
        <w:t>.3-1</w:t>
      </w:r>
      <w:r>
        <w:rPr>
          <w:rFonts w:hint="eastAsia"/>
          <w:highlight w:val="none"/>
          <w:lang w:val="en-US" w:eastAsia="zh-CN"/>
        </w:rPr>
        <w:t>7</w:t>
      </w:r>
      <w:r>
        <w:rPr>
          <w:rFonts w:hint="eastAsia"/>
          <w:highlight w:val="none"/>
        </w:rPr>
        <w:t>土壤环境质量现状监测结果   单位：mg/kg</w:t>
      </w:r>
    </w:p>
    <w:tbl>
      <w:tblPr>
        <w:tblStyle w:val="24"/>
        <w:tblW w:w="83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5"/>
        <w:gridCol w:w="880"/>
        <w:gridCol w:w="830"/>
        <w:gridCol w:w="936"/>
        <w:gridCol w:w="777"/>
        <w:gridCol w:w="543"/>
        <w:gridCol w:w="432"/>
        <w:gridCol w:w="913"/>
        <w:gridCol w:w="830"/>
        <w:gridCol w:w="830"/>
        <w:gridCol w:w="1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1185" w:type="dxa"/>
            <w:gridSpan w:val="2"/>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r>
              <w:rPr>
                <w:rFonts w:hint="eastAsia" w:cs="Times New Roman"/>
                <w:sz w:val="21"/>
                <w:szCs w:val="21"/>
                <w:highlight w:val="none"/>
                <w:lang w:val="zh-CN"/>
              </w:rPr>
              <w:t>采样位置</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pH</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铅</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锌</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砷</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汞</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铬</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铜</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镍</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1185" w:type="dxa"/>
            <w:gridSpan w:val="2"/>
            <w:vMerge w:val="restar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标准</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6.5~7.5</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120</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250</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30</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2.4</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200</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185" w:type="dxa"/>
            <w:gridSpan w:val="2"/>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zh-CN"/>
              </w:rPr>
            </w:pP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＞7.5</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170</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300</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3.4</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250</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100</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190</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305"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场址</w:t>
            </w: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7.66</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15.5</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30.4</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32</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29</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24</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0.5-1.5m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7.31</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16.2</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31.9</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29</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25</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1.5-3.0m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7.28</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16.8</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33.0</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27</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21</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7.56</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15.3</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29.5</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33</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26</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0.5-1.5m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7.42</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16.1</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30.6</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31</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24</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1.5-3.0m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7.34</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17.0</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31.2</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21</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0-0.5m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7.50</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15.0</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30.4</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32</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25</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26</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0.5-1.5m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7.39</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16.4</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31.4</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29</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25</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3#柱状样</w:t>
            </w:r>
          </w:p>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1.5-3.0m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7.30</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17.3</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32.2</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28</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21</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4#土壤层为0—20cm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7.54</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14.2</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30.5</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29</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27</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24</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监测范围</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7.28-7.66</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14.2-17.3</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29.5-33</w:t>
            </w:r>
          </w:p>
        </w:tc>
        <w:tc>
          <w:tcPr>
            <w:tcW w:w="543"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27-33</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21-29</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21-26</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0.011-0.02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标准指数</w:t>
            </w:r>
          </w:p>
        </w:tc>
        <w:tc>
          <w:tcPr>
            <w:tcW w:w="830"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0.56-1.32</w:t>
            </w:r>
          </w:p>
        </w:tc>
        <w:tc>
          <w:tcPr>
            <w:tcW w:w="936"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0.08-0.144</w:t>
            </w:r>
          </w:p>
        </w:tc>
        <w:tc>
          <w:tcPr>
            <w:tcW w:w="77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0.098-0.132</w:t>
            </w:r>
          </w:p>
        </w:tc>
        <w:tc>
          <w:tcPr>
            <w:tcW w:w="543"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0.128-0.155</w:t>
            </w:r>
          </w:p>
        </w:tc>
        <w:tc>
          <w:tcPr>
            <w:tcW w:w="830"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0.21-0.29</w:t>
            </w:r>
          </w:p>
        </w:tc>
        <w:tc>
          <w:tcPr>
            <w:tcW w:w="830"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0.12-0.25</w:t>
            </w:r>
          </w:p>
        </w:tc>
        <w:tc>
          <w:tcPr>
            <w:tcW w:w="1054"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0.025-0.063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超标倍数</w:t>
            </w:r>
          </w:p>
        </w:tc>
        <w:tc>
          <w:tcPr>
            <w:tcW w:w="830" w:type="dxa"/>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w:t>
            </w:r>
          </w:p>
        </w:tc>
        <w:tc>
          <w:tcPr>
            <w:tcW w:w="936" w:type="dxa"/>
            <w:tcBorders>
              <w:tl2br w:val="nil"/>
              <w:tr2bl w:val="nil"/>
            </w:tcBorders>
            <w:noWrap w:val="0"/>
            <w:vAlign w:val="center"/>
          </w:tcPr>
          <w:p>
            <w:pPr>
              <w:spacing w:line="240" w:lineRule="auto"/>
              <w:ind w:firstLine="420" w:firstLineChars="200"/>
              <w:jc w:val="center"/>
              <w:rPr>
                <w:rFonts w:hint="eastAsia" w:cs="Times New Roman"/>
                <w:sz w:val="21"/>
                <w:szCs w:val="21"/>
                <w:highlight w:val="none"/>
              </w:rPr>
            </w:pPr>
            <w:r>
              <w:rPr>
                <w:rFonts w:hint="eastAsia" w:cs="Times New Roman"/>
                <w:sz w:val="21"/>
                <w:szCs w:val="21"/>
                <w:highlight w:val="none"/>
                <w:lang w:val="en-US" w:eastAsia="zh-CN"/>
              </w:rPr>
              <w:t>/</w:t>
            </w:r>
          </w:p>
        </w:tc>
        <w:tc>
          <w:tcPr>
            <w:tcW w:w="777" w:type="dxa"/>
            <w:tcBorders>
              <w:tl2br w:val="nil"/>
              <w:tr2bl w:val="nil"/>
            </w:tcBorders>
            <w:noWrap w:val="0"/>
            <w:vAlign w:val="center"/>
          </w:tcPr>
          <w:p>
            <w:pPr>
              <w:spacing w:line="240" w:lineRule="auto"/>
              <w:ind w:firstLine="420" w:firstLineChars="200"/>
              <w:jc w:val="center"/>
              <w:rPr>
                <w:rFonts w:hint="eastAsia" w:cs="Times New Roman"/>
                <w:sz w:val="21"/>
                <w:szCs w:val="21"/>
                <w:highlight w:val="none"/>
              </w:rPr>
            </w:pPr>
            <w:r>
              <w:rPr>
                <w:rFonts w:hint="eastAsia" w:cs="Times New Roman"/>
                <w:sz w:val="21"/>
                <w:szCs w:val="21"/>
                <w:highlight w:val="none"/>
                <w:lang w:val="en-US" w:eastAsia="zh-CN"/>
              </w:rPr>
              <w:t>/</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305"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沼液消纳地东</w:t>
            </w: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土壤层为0—20cm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7.49</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14.7</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30.2</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25</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25</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标准指数</w:t>
            </w:r>
          </w:p>
        </w:tc>
        <w:tc>
          <w:tcPr>
            <w:tcW w:w="830"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0.98</w:t>
            </w:r>
          </w:p>
        </w:tc>
        <w:tc>
          <w:tcPr>
            <w:tcW w:w="936"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0.123</w:t>
            </w:r>
          </w:p>
        </w:tc>
        <w:tc>
          <w:tcPr>
            <w:tcW w:w="777"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0.121</w:t>
            </w:r>
          </w:p>
        </w:tc>
        <w:tc>
          <w:tcPr>
            <w:tcW w:w="543"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0.15</w:t>
            </w:r>
          </w:p>
        </w:tc>
        <w:tc>
          <w:tcPr>
            <w:tcW w:w="830"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0.25</w:t>
            </w:r>
          </w:p>
        </w:tc>
        <w:tc>
          <w:tcPr>
            <w:tcW w:w="830"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0.25</w:t>
            </w:r>
          </w:p>
        </w:tc>
        <w:tc>
          <w:tcPr>
            <w:tcW w:w="1054" w:type="dxa"/>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0.047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超标倍数</w:t>
            </w:r>
          </w:p>
        </w:tc>
        <w:tc>
          <w:tcPr>
            <w:tcW w:w="830"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305" w:type="dxa"/>
            <w:vMerge w:val="restar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沼液消纳地西</w:t>
            </w: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土壤层为0—20cm</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7.46</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14.8</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30.5</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未检出</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29</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24</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27</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0.017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标准指数</w:t>
            </w:r>
          </w:p>
        </w:tc>
        <w:tc>
          <w:tcPr>
            <w:tcW w:w="830"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0.92</w:t>
            </w:r>
          </w:p>
        </w:tc>
        <w:tc>
          <w:tcPr>
            <w:tcW w:w="936"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0.123</w:t>
            </w:r>
          </w:p>
        </w:tc>
        <w:tc>
          <w:tcPr>
            <w:tcW w:w="777"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0.122</w:t>
            </w:r>
          </w:p>
        </w:tc>
        <w:tc>
          <w:tcPr>
            <w:tcW w:w="543"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0.145</w:t>
            </w:r>
          </w:p>
        </w:tc>
        <w:tc>
          <w:tcPr>
            <w:tcW w:w="830"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0.24</w:t>
            </w:r>
          </w:p>
        </w:tc>
        <w:tc>
          <w:tcPr>
            <w:tcW w:w="830"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0.27</w:t>
            </w:r>
          </w:p>
        </w:tc>
        <w:tc>
          <w:tcPr>
            <w:tcW w:w="1054" w:type="dxa"/>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305" w:type="dxa"/>
            <w:vMerge w:val="continue"/>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p>
        </w:tc>
        <w:tc>
          <w:tcPr>
            <w:tcW w:w="88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超标倍数</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936"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777"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54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432"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913"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830"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c>
          <w:tcPr>
            <w:tcW w:w="1054" w:type="dxa"/>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w:t>
            </w:r>
          </w:p>
        </w:tc>
      </w:tr>
      <w:bookmarkEnd w:id="38"/>
    </w:tbl>
    <w:p>
      <w:pPr>
        <w:pStyle w:val="6"/>
        <w:spacing w:before="132"/>
        <w:rPr>
          <w:highlight w:val="none"/>
        </w:rPr>
      </w:pPr>
      <w:bookmarkStart w:id="39" w:name="_Toc29077"/>
      <w:r>
        <w:rPr>
          <w:rFonts w:hint="eastAsia"/>
          <w:highlight w:val="none"/>
          <w:lang w:val="en-US" w:eastAsia="zh-CN"/>
        </w:rPr>
        <w:t>3</w:t>
      </w:r>
      <w:r>
        <w:rPr>
          <w:highlight w:val="none"/>
        </w:rPr>
        <w:t>.</w:t>
      </w:r>
      <w:r>
        <w:rPr>
          <w:rFonts w:hint="eastAsia"/>
          <w:highlight w:val="none"/>
        </w:rPr>
        <w:t>4区域污染源调查</w:t>
      </w:r>
      <w:bookmarkEnd w:id="39"/>
    </w:p>
    <w:p>
      <w:pPr>
        <w:ind w:firstLine="480"/>
        <w:rPr>
          <w:highlight w:val="none"/>
        </w:rPr>
        <w:sectPr>
          <w:footerReference r:id="rId11"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ascii="Times New Roman" w:hAnsi="Times New Roman"/>
          <w:color w:val="000000"/>
          <w:sz w:val="24"/>
          <w:highlight w:val="none"/>
        </w:rPr>
        <w:t>经调查，项目区周围无工业、养殖污染源存在</w:t>
      </w:r>
      <w:r>
        <w:rPr>
          <w:rFonts w:hint="eastAsia"/>
          <w:highlight w:val="none"/>
        </w:rPr>
        <w:t>。</w:t>
      </w:r>
    </w:p>
    <w:p>
      <w:pPr>
        <w:pStyle w:val="5"/>
        <w:spacing w:before="166" w:after="166"/>
        <w:rPr>
          <w:highlight w:val="none"/>
        </w:rPr>
      </w:pPr>
      <w:bookmarkStart w:id="40" w:name="_Toc13331"/>
      <w:r>
        <w:rPr>
          <w:rFonts w:hint="eastAsia"/>
          <w:highlight w:val="none"/>
          <w:lang w:val="en-US" w:eastAsia="zh-CN"/>
        </w:rPr>
        <w:t>4</w:t>
      </w:r>
      <w:r>
        <w:rPr>
          <w:highlight w:val="none"/>
        </w:rPr>
        <w:t>环境影响预测</w:t>
      </w:r>
      <w:r>
        <w:rPr>
          <w:rFonts w:hint="eastAsia"/>
          <w:highlight w:val="none"/>
        </w:rPr>
        <w:t>分析</w:t>
      </w:r>
      <w:r>
        <w:rPr>
          <w:highlight w:val="none"/>
        </w:rPr>
        <w:t>与评价</w:t>
      </w:r>
      <w:bookmarkEnd w:id="40"/>
    </w:p>
    <w:p>
      <w:pPr>
        <w:pStyle w:val="6"/>
        <w:spacing w:before="132"/>
        <w:rPr>
          <w:highlight w:val="none"/>
        </w:rPr>
      </w:pPr>
      <w:bookmarkStart w:id="41" w:name="_Toc8265"/>
      <w:r>
        <w:rPr>
          <w:rFonts w:hint="eastAsia"/>
          <w:highlight w:val="none"/>
          <w:lang w:val="en-US" w:eastAsia="zh-CN"/>
        </w:rPr>
        <w:t>4</w:t>
      </w:r>
      <w:r>
        <w:rPr>
          <w:rFonts w:hint="eastAsia"/>
          <w:highlight w:val="none"/>
        </w:rPr>
        <w:t>.1施工期环境影响分析</w:t>
      </w:r>
      <w:bookmarkEnd w:id="41"/>
    </w:p>
    <w:p>
      <w:pPr>
        <w:keepNext w:val="0"/>
        <w:keepLines w:val="0"/>
        <w:pageBreakBefore w:val="0"/>
        <w:widowControl/>
        <w:kinsoku/>
        <w:wordWrap/>
        <w:overflowPunct/>
        <w:topLinePunct w:val="0"/>
        <w:autoSpaceDE/>
        <w:autoSpaceDN/>
        <w:bidi w:val="0"/>
        <w:adjustRightInd/>
        <w:snapToGrid/>
        <w:ind w:firstLine="482"/>
        <w:contextualSpacing/>
        <w:rPr>
          <w:rFonts w:cs="Times New Roman"/>
          <w:b/>
          <w:highlight w:val="none"/>
        </w:rPr>
      </w:pPr>
      <w:r>
        <w:rPr>
          <w:rFonts w:cs="Times New Roman"/>
          <w:b/>
          <w:highlight w:val="none"/>
        </w:rPr>
        <w:t>1、水环境</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rStyle w:val="110"/>
          <w:color w:val="auto"/>
          <w:highlight w:val="none"/>
          <w:lang w:val="en-US"/>
        </w:rPr>
      </w:pPr>
      <w:r>
        <w:rPr>
          <w:rStyle w:val="110"/>
          <w:rFonts w:hint="eastAsia"/>
          <w:color w:val="auto"/>
          <w:highlight w:val="none"/>
          <w:lang w:val="en-US"/>
        </w:rPr>
        <w:t>项目施工过程中废水主要为施工作业废水和施工人员生活污水。</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Style w:val="110"/>
          <w:rFonts w:hint="eastAsia"/>
          <w:color w:val="auto"/>
          <w:highlight w:val="none"/>
          <w:lang w:val="en-US"/>
        </w:rPr>
        <w:t>施工场地内施工人员生活污水水质简单，经处理后回用于施工或洒水抑尘。施工废水主要来自进出施工场地的运输车辆、施工机械和工具冲洗水、混凝土养护排水、桩基施工产生的泥浆废水，以及雨水冲刷施工场地内裸露表土产生的含泥沙废水。施工废水主要污染因子为COD、SS和石油类。项目施工场地设置进出车辆冲洗平台，并在平台周边设置截流沟，将冲洗废水导入沉淀池或沉砂井，施工废水经简易沉淀处理后，回用于施工或洒水降尘。另外，项目应尽量避免雨季进行施工，并在施工场地内开挖临时导流排水沟，在雨水排水口处设置沉淀池，对场地内的雨水径流进行简易沉淀处理，并在排水口设置细格栅，拦截大的块状物；及时进行裸露地表的绿化和硬化。禁止施工期废水直接排入水体。采取以上污染防治措施后，施工废水对环境影响不大</w:t>
      </w:r>
      <w:r>
        <w:rPr>
          <w:rFonts w:hint="eastAsia" w:hAnsi="宋体"/>
          <w:color w:val="auto"/>
          <w:highlight w:val="none"/>
          <w:lang w:val="en-US"/>
        </w:rPr>
        <w:t>。</w:t>
      </w:r>
    </w:p>
    <w:p>
      <w:pPr>
        <w:keepNext w:val="0"/>
        <w:keepLines w:val="0"/>
        <w:pageBreakBefore w:val="0"/>
        <w:widowControl/>
        <w:wordWrap/>
        <w:topLinePunct w:val="0"/>
        <w:autoSpaceDE/>
        <w:autoSpaceDN/>
        <w:bidi w:val="0"/>
        <w:adjustRightInd/>
        <w:snapToGrid/>
        <w:ind w:firstLine="482"/>
        <w:contextualSpacing/>
        <w:rPr>
          <w:rFonts w:cs="Times New Roman"/>
          <w:b/>
          <w:highlight w:val="none"/>
        </w:rPr>
      </w:pPr>
      <w:r>
        <w:rPr>
          <w:rFonts w:cs="Times New Roman"/>
          <w:b/>
          <w:highlight w:val="none"/>
        </w:rPr>
        <w:t>2、大气污染</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color w:val="auto"/>
          <w:highlight w:val="none"/>
          <w:lang w:val="en-US"/>
        </w:rPr>
      </w:pPr>
      <w:r>
        <w:rPr>
          <w:rStyle w:val="110"/>
          <w:rFonts w:hint="eastAsia"/>
          <w:color w:val="auto"/>
          <w:highlight w:val="none"/>
          <w:lang w:val="en-US"/>
        </w:rPr>
        <w:t>项目施工过程中的气型污染源主要有施工扬尘、施工车辆机械排放的尾气</w:t>
      </w:r>
      <w:r>
        <w:rPr>
          <w:rStyle w:val="110"/>
          <w:color w:val="auto"/>
          <w:highlight w:val="none"/>
          <w:lang w:val="en-US"/>
        </w:rPr>
        <w:t>。</w:t>
      </w:r>
    </w:p>
    <w:p>
      <w:pPr>
        <w:pStyle w:val="13"/>
        <w:keepNext w:val="0"/>
        <w:keepLines w:val="0"/>
        <w:pageBreakBefore w:val="0"/>
        <w:widowControl/>
        <w:kinsoku w:val="0"/>
        <w:wordWrap/>
        <w:overflowPunct w:val="0"/>
        <w:topLinePunct w:val="0"/>
        <w:autoSpaceDE/>
        <w:autoSpaceDN/>
        <w:bidi w:val="0"/>
        <w:adjustRightInd/>
        <w:snapToGrid/>
        <w:spacing w:after="0"/>
        <w:ind w:firstLine="478"/>
        <w:contextualSpacing/>
        <w:rPr>
          <w:b/>
          <w:highlight w:val="none"/>
        </w:rPr>
      </w:pPr>
      <w:r>
        <w:rPr>
          <w:rFonts w:hint="eastAsia"/>
          <w:b/>
          <w:spacing w:val="-1"/>
          <w:highlight w:val="none"/>
        </w:rPr>
        <w:t>（1）</w:t>
      </w:r>
      <w:r>
        <w:rPr>
          <w:b/>
          <w:position w:val="1"/>
          <w:highlight w:val="none"/>
        </w:rPr>
        <w:t>扬</w:t>
      </w:r>
      <w:r>
        <w:rPr>
          <w:b/>
          <w:spacing w:val="2"/>
          <w:position w:val="1"/>
          <w:highlight w:val="none"/>
        </w:rPr>
        <w:t>尘</w:t>
      </w:r>
      <w:r>
        <w:rPr>
          <w:b/>
          <w:position w:val="1"/>
          <w:highlight w:val="none"/>
        </w:rPr>
        <w:t>影响</w:t>
      </w:r>
    </w:p>
    <w:p>
      <w:pPr>
        <w:pStyle w:val="108"/>
        <w:keepNext w:val="0"/>
        <w:keepLines w:val="0"/>
        <w:pageBreakBefore w:val="0"/>
        <w:widowControl/>
        <w:wordWrap/>
        <w:topLinePunct w:val="0"/>
        <w:autoSpaceDE/>
        <w:autoSpaceDN/>
        <w:bidi w:val="0"/>
        <w:adjustRightInd/>
        <w:snapToGrid/>
        <w:spacing w:line="360" w:lineRule="auto"/>
        <w:ind w:firstLine="480"/>
        <w:contextualSpacing/>
        <w:rPr>
          <w:color w:val="auto"/>
          <w:highlight w:val="none"/>
          <w:lang w:val="en-US"/>
        </w:rPr>
      </w:pPr>
      <w:r>
        <w:rPr>
          <w:rFonts w:hint="eastAsia"/>
          <w:color w:val="auto"/>
          <w:highlight w:val="none"/>
          <w:lang w:val="en-US"/>
        </w:rPr>
        <w:t>在气候干燥又有风的情况下，风力作用会产生扬尘。这类扬尘的主要特点是与风速等气象条件有关，也与尘粒本身的沉降速度有关，主要影响范围在扬尘点下风向近距离范围内。</w:t>
      </w:r>
    </w:p>
    <w:p>
      <w:pPr>
        <w:pStyle w:val="108"/>
        <w:keepNext w:val="0"/>
        <w:keepLines w:val="0"/>
        <w:pageBreakBefore w:val="0"/>
        <w:widowControl/>
        <w:wordWrap/>
        <w:topLinePunct w:val="0"/>
        <w:autoSpaceDE/>
        <w:autoSpaceDN/>
        <w:bidi w:val="0"/>
        <w:adjustRightInd/>
        <w:snapToGrid/>
        <w:spacing w:line="360" w:lineRule="auto"/>
        <w:ind w:firstLine="480"/>
        <w:contextualSpacing/>
        <w:rPr>
          <w:rFonts w:hint="eastAsia"/>
          <w:color w:val="auto"/>
          <w:highlight w:val="none"/>
          <w:lang w:val="en-US"/>
        </w:rPr>
      </w:pPr>
      <w:r>
        <w:rPr>
          <w:color w:val="auto"/>
          <w:highlight w:val="none"/>
          <w:lang w:val="en-US"/>
        </w:rPr>
        <w:t>建筑工地扬尘对大气的影响范围主要在工地围栏外100m以内。由于距离的不同，其污染影响程度亦不同。在扬尘点下风向0~50m为重污染带，50~100m为较重污染带，100~200m为轻污染带，200m以外对大气影响甚微。在一般气象条件，施工扬尘的影响范围为其下风向150m内，被影响的地区TSP浓度平均值为0.49mg/m</w:t>
      </w:r>
      <w:r>
        <w:rPr>
          <w:color w:val="auto"/>
          <w:highlight w:val="none"/>
          <w:vertAlign w:val="superscript"/>
          <w:lang w:val="en-US"/>
        </w:rPr>
        <w:t>3</w:t>
      </w:r>
      <w:r>
        <w:rPr>
          <w:color w:val="auto"/>
          <w:highlight w:val="none"/>
          <w:lang w:val="en-US"/>
        </w:rPr>
        <w:t>左右</w:t>
      </w:r>
      <w:r>
        <w:rPr>
          <w:rFonts w:hint="eastAsia"/>
          <w:color w:val="auto"/>
          <w:highlight w:val="none"/>
          <w:lang w:val="en-US"/>
        </w:rPr>
        <w:t xml:space="preserve">。  </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hint="eastAsia"/>
          <w:color w:val="auto"/>
          <w:highlight w:val="none"/>
          <w:lang w:val="en-US"/>
        </w:rPr>
        <w:t xml:space="preserve">扬尘对附近的大气环境和居民带来不利的影响，因此必须采取合理可行的控制措施，尽量减轻污染程度，缩小影响范围。其主要对策有：   </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（1）对施工现场进行科学管理，砂石料应统一堆放，水泥应设专门库房堆放，减少搬运环节，搬运时轻举轻放，防止包装袋破裂。</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hint="eastAsia" w:ascii="Times New Roman" w:hAnsi="Times New Roman" w:eastAsia="宋体"/>
          <w:bCs/>
          <w:sz w:val="24"/>
          <w:highlight w:val="none"/>
          <w:lang w:eastAsia="zh-CN"/>
        </w:rPr>
      </w:pPr>
      <w:r>
        <w:rPr>
          <w:rFonts w:ascii="Times New Roman" w:hAnsi="Times New Roman"/>
          <w:bCs/>
          <w:sz w:val="24"/>
          <w:highlight w:val="none"/>
        </w:rPr>
        <w:t>（2）开挖时，对作业面适当喷水，使其保持一定的湿度，以减少扬尘量。而且建筑材料和建筑垃圾应及时运走。施工期间做到文明施工，在天气干燥、有风等易产生扬尘的情况下，应对沙石临时堆存处采取清扫、洒水措施，有关试验表明，如果只洒水，可使扬尘量减少70～80%，如果清扫后洒水，抑尘效率能达90%以上；在施工场地每天洒水抑尘作业4～5次，可使扬尘量减少70%左右，扬尘造成的TSP污染距离可缩小到100m范围</w:t>
      </w:r>
      <w:r>
        <w:rPr>
          <w:rFonts w:hint="eastAsia" w:ascii="Times New Roman" w:hAnsi="Times New Roman"/>
          <w:bCs/>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（3）谨防运输车辆装载过满，并采取遮盖、密闭措施，减少沿途抛洒，并及时清扫散落在路面的泥土和灰尘，冲洗轮胎，定时洒水压尘，减少运输过程中的扬尘。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（4）施工现场要围栏或部分围栏，减少施工扬尘扩散范围。</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sz w:val="24"/>
          <w:highlight w:val="none"/>
        </w:rPr>
      </w:pPr>
      <w:r>
        <w:rPr>
          <w:rFonts w:ascii="Times New Roman" w:hAnsi="Times New Roman"/>
          <w:bCs/>
          <w:sz w:val="24"/>
          <w:highlight w:val="none"/>
        </w:rPr>
        <w:t>（5）风速过大时停止施工，对堆放的砂石等建筑材料进行遮盖处理。</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ascii="Times New Roman" w:hAnsi="Times New Roman"/>
          <w:bCs/>
          <w:sz w:val="24"/>
          <w:highlight w:val="none"/>
        </w:rPr>
        <w:t>通过采取以上防治措施，施工弃土及时回填，砂料、石灰、水泥等堆放时应采用篷布遮盖，运输道路采取洒水等措施后，厂界周围环境空气质量可以满足二级标准要求。</w:t>
      </w:r>
    </w:p>
    <w:p>
      <w:pPr>
        <w:pStyle w:val="13"/>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ascii="宋体" w:hAnsi="宋体" w:cs="Times New Roman"/>
          <w:b/>
          <w:spacing w:val="-1"/>
          <w:highlight w:val="none"/>
        </w:rPr>
      </w:pPr>
      <w:r>
        <w:rPr>
          <w:rFonts w:ascii="宋体" w:hAnsi="宋体" w:cs="Times New Roman"/>
          <w:b/>
          <w:spacing w:val="-1"/>
          <w:highlight w:val="none"/>
        </w:rPr>
        <w:t>（</w:t>
      </w:r>
      <w:r>
        <w:rPr>
          <w:rFonts w:hint="default" w:ascii="Times New Roman" w:hAnsi="Times New Roman" w:cs="Times New Roman"/>
          <w:b/>
          <w:spacing w:val="-1"/>
          <w:highlight w:val="none"/>
        </w:rPr>
        <w:t>2</w:t>
      </w:r>
      <w:r>
        <w:rPr>
          <w:rFonts w:ascii="宋体" w:hAnsi="宋体" w:cs="Times New Roman"/>
          <w:b/>
          <w:spacing w:val="-1"/>
          <w:highlight w:val="none"/>
        </w:rPr>
        <w:t>）机械废气</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施工车辆、打桩机、挖土机等因燃油产生的二氧化硫、氮氧化物、一氧化碳、烃类等污染物会对大气环境造成不良影响。但这种污染源较分散且为流动性，污染物排放量不大，表现为间歇性特征，因此影响是短期和局部的，该项污染源将随着本项目的建成而不再存在。</w:t>
      </w:r>
    </w:p>
    <w:p>
      <w:pPr>
        <w:pStyle w:val="108"/>
        <w:keepNext w:val="0"/>
        <w:keepLines w:val="0"/>
        <w:pageBreakBefore w:val="0"/>
        <w:widowControl/>
        <w:wordWrap/>
        <w:topLinePunct w:val="0"/>
        <w:autoSpaceDE/>
        <w:autoSpaceDN/>
        <w:bidi w:val="0"/>
        <w:adjustRightInd/>
        <w:snapToGrid/>
        <w:spacing w:line="360" w:lineRule="auto"/>
        <w:ind w:firstLine="480"/>
        <w:contextualSpacing/>
        <w:rPr>
          <w:rFonts w:hAnsi="宋体"/>
          <w:color w:val="auto"/>
          <w:highlight w:val="none"/>
          <w:lang w:val="en-US"/>
        </w:rPr>
      </w:pPr>
      <w:r>
        <w:rPr>
          <w:rFonts w:hint="eastAsia" w:hAnsi="宋体"/>
          <w:color w:val="auto"/>
          <w:highlight w:val="none"/>
          <w:lang w:val="en-US"/>
        </w:rPr>
        <w:t>项目区域地势平坦开阔、空气流通性较好，有利于污染物质的扩散，本工程施工机械排放的废气总体上对周边大气环境影响较小。</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建议施工单位采用尾气排放符合国家规定标准的车辆和施工机械，确保其在运行时尾气达标排放，减少对环境空气的污染。禁止尾气排放不达标的车辆和施工机械运行作业。运输车辆和施工机械发生故障和损坏，必须及时维修或更新，防止设备带病运行，加大废气对环境空气的污染。</w:t>
      </w:r>
    </w:p>
    <w:p>
      <w:pPr>
        <w:pStyle w:val="13"/>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hAnsi="宋体" w:cs="Times New Roman"/>
          <w:b/>
          <w:spacing w:val="-1"/>
          <w:highlight w:val="none"/>
        </w:rPr>
      </w:pPr>
      <w:r>
        <w:rPr>
          <w:rFonts w:hint="eastAsia" w:hAnsi="宋体" w:cs="Times New Roman"/>
          <w:b/>
          <w:spacing w:val="-1"/>
          <w:highlight w:val="none"/>
        </w:rPr>
        <w:t>（3）装修废气</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室内装修过程时产生的大气污染主要有：挥发性有机化合物（TVOC）、甲醛、氨气、粉尘、氡及其衰变子体等，各类建材产生的大气污染物见表</w:t>
      </w:r>
      <w:r>
        <w:rPr>
          <w:rFonts w:hint="eastAsia" w:hAnsi="宋体"/>
          <w:color w:val="auto"/>
          <w:highlight w:val="none"/>
          <w:lang w:val="en-US" w:eastAsia="zh-CN"/>
        </w:rPr>
        <w:t>4</w:t>
      </w:r>
      <w:r>
        <w:rPr>
          <w:rFonts w:hint="eastAsia" w:hAnsi="宋体"/>
          <w:color w:val="auto"/>
          <w:highlight w:val="none"/>
          <w:lang w:val="en-US"/>
        </w:rPr>
        <w:t>.1-1。</w:t>
      </w:r>
    </w:p>
    <w:p>
      <w:pPr>
        <w:pStyle w:val="40"/>
        <w:rPr>
          <w:rFonts w:hint="eastAsia" w:cs="Times New Roman"/>
          <w:highlight w:val="none"/>
          <w:lang w:val="en-US" w:eastAsia="zh-CN"/>
        </w:rPr>
      </w:pPr>
      <w:r>
        <w:rPr>
          <w:rFonts w:hint="eastAsia" w:cs="Times New Roman"/>
          <w:highlight w:val="none"/>
          <w:lang w:val="en-US" w:eastAsia="zh-CN"/>
        </w:rPr>
        <w:t>表4.1-1 室内污染物来源表</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267"/>
        <w:gridCol w:w="519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b w:val="0"/>
                <w:bCs/>
                <w:sz w:val="21"/>
                <w:szCs w:val="21"/>
                <w:highlight w:val="none"/>
              </w:rPr>
            </w:pPr>
            <w:r>
              <w:rPr>
                <w:rFonts w:hAnsi="宋体"/>
                <w:b w:val="0"/>
                <w:bCs/>
                <w:sz w:val="21"/>
                <w:szCs w:val="21"/>
                <w:highlight w:val="none"/>
              </w:rPr>
              <w:t>室内污染物</w:t>
            </w:r>
          </w:p>
        </w:tc>
        <w:tc>
          <w:tcPr>
            <w:tcW w:w="0" w:type="auto"/>
            <w:vAlign w:val="center"/>
          </w:tcPr>
          <w:p>
            <w:pPr>
              <w:spacing w:line="240" w:lineRule="auto"/>
              <w:ind w:firstLine="422"/>
              <w:jc w:val="center"/>
              <w:rPr>
                <w:b w:val="0"/>
                <w:bCs/>
                <w:sz w:val="21"/>
                <w:szCs w:val="21"/>
                <w:highlight w:val="none"/>
              </w:rPr>
            </w:pPr>
            <w:r>
              <w:rPr>
                <w:rFonts w:hAnsi="宋体"/>
                <w:b w:val="0"/>
                <w:bCs/>
                <w:sz w:val="21"/>
                <w:szCs w:val="21"/>
                <w:highlight w:val="none"/>
              </w:rPr>
              <w:t>建材名称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甲醛</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涂料、复合木材、壁纸、壁布、人造地毯、家具、泡沫塑料、胶粘剂等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int="eastAsia"/>
                <w:sz w:val="21"/>
                <w:szCs w:val="21"/>
                <w:highlight w:val="none"/>
              </w:rPr>
              <w:t>T</w:t>
            </w:r>
            <w:r>
              <w:rPr>
                <w:sz w:val="21"/>
                <w:szCs w:val="21"/>
                <w:highlight w:val="none"/>
              </w:rPr>
              <w:t>VOC</w:t>
            </w:r>
            <w:r>
              <w:rPr>
                <w:rFonts w:hAnsi="宋体"/>
                <w:sz w:val="21"/>
                <w:szCs w:val="21"/>
                <w:highlight w:val="none"/>
              </w:rPr>
              <w:t>（沸点</w:t>
            </w:r>
            <w:r>
              <w:rPr>
                <w:sz w:val="21"/>
                <w:szCs w:val="21"/>
                <w:highlight w:val="none"/>
              </w:rPr>
              <w:t>50</w:t>
            </w:r>
            <w:r>
              <w:rPr>
                <w:rFonts w:hAnsi="宋体"/>
                <w:sz w:val="21"/>
                <w:szCs w:val="21"/>
                <w:highlight w:val="none"/>
              </w:rPr>
              <w:t>～</w:t>
            </w:r>
            <w:r>
              <w:rPr>
                <w:sz w:val="21"/>
                <w:szCs w:val="21"/>
                <w:highlight w:val="none"/>
              </w:rPr>
              <w:t>250</w:t>
            </w:r>
            <w:r>
              <w:rPr>
                <w:rFonts w:ascii="宋体" w:hAnsi="宋体"/>
                <w:sz w:val="21"/>
                <w:szCs w:val="21"/>
                <w:highlight w:val="none"/>
              </w:rPr>
              <w:t>℃</w:t>
            </w:r>
            <w:r>
              <w:rPr>
                <w:rFonts w:hAnsi="宋体"/>
                <w:sz w:val="21"/>
                <w:szCs w:val="21"/>
                <w:highlight w:val="none"/>
              </w:rPr>
              <w:t>）化合物（使用中缓慢释放）</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涂料中的溶剂、稀释剂、胶粘剂、防水材料、壁纸和其它装饰品</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氨</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高碱混凝土膨胀剂－水泥加快强度剂（含尿素混凝土防冻剂）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氡</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土壤岩石中铀、镭衰变产物，花岗岩、砖石、水泥、</w:t>
            </w:r>
            <w:r>
              <w:rPr>
                <w:sz w:val="21"/>
                <w:szCs w:val="21"/>
                <w:highlight w:val="none"/>
              </w:rPr>
              <w:t xml:space="preserve"> </w:t>
            </w:r>
            <w:r>
              <w:rPr>
                <w:rFonts w:hAnsi="宋体"/>
                <w:sz w:val="21"/>
                <w:szCs w:val="21"/>
                <w:highlight w:val="none"/>
              </w:rPr>
              <w:t>建筑陶瓷、卫生洁具</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2" w:firstLineChars="1"/>
              <w:jc w:val="center"/>
              <w:rPr>
                <w:sz w:val="21"/>
                <w:szCs w:val="21"/>
                <w:highlight w:val="none"/>
              </w:rPr>
            </w:pPr>
            <w:r>
              <w:rPr>
                <w:rFonts w:hAnsi="宋体"/>
                <w:sz w:val="21"/>
                <w:szCs w:val="21"/>
                <w:highlight w:val="none"/>
              </w:rPr>
              <w:t>石棉</w:t>
            </w:r>
          </w:p>
        </w:tc>
        <w:tc>
          <w:tcPr>
            <w:tcW w:w="0" w:type="auto"/>
            <w:vAlign w:val="center"/>
          </w:tcPr>
          <w:p>
            <w:pPr>
              <w:spacing w:line="240" w:lineRule="auto"/>
              <w:ind w:firstLine="420"/>
              <w:jc w:val="center"/>
              <w:rPr>
                <w:sz w:val="21"/>
                <w:szCs w:val="21"/>
                <w:highlight w:val="none"/>
              </w:rPr>
            </w:pPr>
            <w:r>
              <w:rPr>
                <w:rFonts w:hAnsi="宋体"/>
                <w:sz w:val="21"/>
                <w:szCs w:val="21"/>
                <w:highlight w:val="none"/>
              </w:rPr>
              <w:t>天花板、地面及内、外墙壁采用的含有石棉的防火、隔音、绝热及装璜材料，石棉水泥</w:t>
            </w:r>
          </w:p>
        </w:tc>
      </w:tr>
    </w:tbl>
    <w:p>
      <w:pPr>
        <w:pStyle w:val="108"/>
        <w:spacing w:before="0" w:line="360" w:lineRule="auto"/>
        <w:ind w:firstLine="480"/>
        <w:contextualSpacing/>
        <w:rPr>
          <w:color w:val="auto"/>
          <w:highlight w:val="none"/>
          <w:lang w:val="en-US"/>
        </w:rPr>
      </w:pPr>
      <w:r>
        <w:rPr>
          <w:rFonts w:hint="eastAsia" w:hAnsi="宋体"/>
          <w:color w:val="auto"/>
          <w:highlight w:val="none"/>
          <w:lang w:val="en-US"/>
        </w:rPr>
        <w:t>如不采取必要的室内空气污染物控制措施，使其达到室内空气环境的相关标准，必将对人体健康造成极大的危害。长期生活在这样的室内环境中，会因污染物的不断累积而诱发各种疾病，危害人体健康。因此，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r>
        <w:rPr>
          <w:rFonts w:hint="eastAsia" w:hAnsi="宋体"/>
          <w:b/>
          <w:color w:val="auto"/>
          <w:spacing w:val="-1"/>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contextualSpacing/>
        <w:textAlignment w:val="auto"/>
        <w:rPr>
          <w:rFonts w:cs="Times New Roman"/>
          <w:b/>
          <w:highlight w:val="none"/>
        </w:rPr>
      </w:pPr>
      <w:r>
        <w:rPr>
          <w:rFonts w:cs="Times New Roman"/>
          <w:b/>
          <w:highlight w:val="none"/>
        </w:rPr>
        <w:t>3</w:t>
      </w:r>
      <w:r>
        <w:rPr>
          <w:rFonts w:hAnsi="宋体" w:cs="Times New Roman"/>
          <w:b/>
          <w:highlight w:val="none"/>
        </w:rPr>
        <w:t>、噪声</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施工期的噪声主要为机械设备噪声和施工车辆噪声。机械设备噪声主要由施工机械造成，如挖土机械、打桩机、装载机等，多为点声源。</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由于施工期噪声源数量多，且具有移动性和源强的不稳定性，其对周围环境的影响会发生不断的变化。本评价主要通过计算施工期噪声的衰减范围和程度，并结合噪声标准限值和周围敏感点分布情况来说明项目施工期噪声对周围环境的影响。</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施工机械噪声的衰减情况采用以下公式进行模拟计算，公式如下：</w:t>
      </w:r>
    </w:p>
    <w:p>
      <w:pPr>
        <w:adjustRightInd w:val="0"/>
        <w:spacing w:line="520" w:lineRule="exact"/>
        <w:ind w:firstLine="1680" w:firstLineChars="700"/>
        <w:rPr>
          <w:rFonts w:cs="Times New Roman"/>
          <w:highlight w:val="none"/>
        </w:rPr>
      </w:pPr>
      <w:r>
        <w:rPr>
          <w:rFonts w:cs="Times New Roman"/>
          <w:highlight w:val="none"/>
        </w:rPr>
        <w:t>L</w:t>
      </w:r>
      <w:r>
        <w:rPr>
          <w:rFonts w:cs="Times New Roman"/>
          <w:highlight w:val="none"/>
          <w:vertAlign w:val="subscript"/>
        </w:rPr>
        <w:t>r2</w:t>
      </w:r>
      <w:r>
        <w:rPr>
          <w:rFonts w:cs="Times New Roman"/>
          <w:highlight w:val="none"/>
        </w:rPr>
        <w:t>=L</w:t>
      </w:r>
      <w:r>
        <w:rPr>
          <w:rFonts w:cs="Times New Roman"/>
          <w:highlight w:val="none"/>
          <w:vertAlign w:val="subscript"/>
        </w:rPr>
        <w:t>r1</w:t>
      </w:r>
      <w:r>
        <w:rPr>
          <w:rFonts w:hAnsi="宋体" w:cs="Times New Roman"/>
          <w:highlight w:val="none"/>
        </w:rPr>
        <w:t>－</w:t>
      </w:r>
      <w:r>
        <w:rPr>
          <w:rFonts w:cs="Times New Roman"/>
          <w:highlight w:val="none"/>
        </w:rPr>
        <w:t>20Lg</w:t>
      </w:r>
      <w:r>
        <w:rPr>
          <w:rFonts w:hAnsi="宋体" w:cs="Times New Roman"/>
          <w:highlight w:val="none"/>
        </w:rPr>
        <w:t>（</w:t>
      </w:r>
      <w:r>
        <w:rPr>
          <w:rFonts w:cs="Times New Roman"/>
          <w:highlight w:val="none"/>
        </w:rPr>
        <w:t>r</w:t>
      </w:r>
      <w:r>
        <w:rPr>
          <w:rFonts w:cs="Times New Roman"/>
          <w:highlight w:val="none"/>
          <w:vertAlign w:val="subscript"/>
        </w:rPr>
        <w:t>2</w:t>
      </w:r>
      <w:r>
        <w:rPr>
          <w:rFonts w:cs="Times New Roman"/>
          <w:highlight w:val="none"/>
        </w:rPr>
        <w:t>/r</w:t>
      </w:r>
      <w:r>
        <w:rPr>
          <w:rFonts w:cs="Times New Roman"/>
          <w:highlight w:val="none"/>
          <w:vertAlign w:val="subscript"/>
        </w:rPr>
        <w:t>1</w:t>
      </w:r>
      <w:r>
        <w:rPr>
          <w:rFonts w:hAnsi="宋体" w:cs="Times New Roman"/>
          <w:highlight w:val="none"/>
        </w:rPr>
        <w:t>）</w:t>
      </w:r>
      <w:r>
        <w:rPr>
          <w:rFonts w:cs="Times New Roman"/>
          <w:highlight w:val="none"/>
        </w:rPr>
        <w:t xml:space="preserve"> </w:t>
      </w:r>
    </w:p>
    <w:p>
      <w:pPr>
        <w:adjustRightInd w:val="0"/>
        <w:spacing w:line="520" w:lineRule="exact"/>
        <w:ind w:firstLine="480"/>
        <w:rPr>
          <w:rFonts w:cs="Times New Roman"/>
          <w:highlight w:val="none"/>
        </w:rPr>
      </w:pPr>
      <w:r>
        <w:rPr>
          <w:rFonts w:hAnsi="宋体" w:cs="Times New Roman"/>
          <w:highlight w:val="none"/>
          <w:lang w:val="zh-CN"/>
        </w:rPr>
        <w:t>式中</w:t>
      </w:r>
      <w:r>
        <w:rPr>
          <w:rFonts w:hAnsi="宋体" w:cs="Times New Roman"/>
          <w:highlight w:val="none"/>
        </w:rPr>
        <w:t>：</w:t>
      </w:r>
      <w:r>
        <w:rPr>
          <w:rFonts w:cs="Times New Roman"/>
          <w:highlight w:val="none"/>
        </w:rPr>
        <w:t>L</w:t>
      </w:r>
      <w:r>
        <w:rPr>
          <w:rFonts w:cs="Times New Roman"/>
          <w:highlight w:val="none"/>
          <w:vertAlign w:val="subscript"/>
        </w:rPr>
        <w:t>r2</w:t>
      </w:r>
      <w:r>
        <w:rPr>
          <w:rFonts w:cs="Times New Roman"/>
          <w:highlight w:val="none"/>
        </w:rPr>
        <w:t>——</w:t>
      </w:r>
      <w:r>
        <w:rPr>
          <w:rFonts w:hAnsi="宋体" w:cs="Times New Roman"/>
          <w:highlight w:val="none"/>
          <w:lang w:val="zh-CN"/>
        </w:rPr>
        <w:t>距离声源</w:t>
      </w:r>
      <w:r>
        <w:rPr>
          <w:rFonts w:cs="Times New Roman"/>
          <w:highlight w:val="none"/>
        </w:rPr>
        <w:t>r</w:t>
      </w:r>
      <w:r>
        <w:rPr>
          <w:rFonts w:cs="Times New Roman"/>
          <w:highlight w:val="none"/>
          <w:vertAlign w:val="subscript"/>
        </w:rPr>
        <w:t>2</w:t>
      </w:r>
      <w:r>
        <w:rPr>
          <w:rFonts w:hAnsi="宋体" w:cs="Times New Roman"/>
          <w:highlight w:val="none"/>
          <w:lang w:val="zh-CN"/>
        </w:rPr>
        <w:t>米处的施工噪声预测值</w:t>
      </w:r>
      <w:r>
        <w:rPr>
          <w:rFonts w:hAnsi="宋体" w:cs="Times New Roman"/>
          <w:highlight w:val="none"/>
        </w:rPr>
        <w:t>，</w:t>
      </w:r>
      <w:r>
        <w:rPr>
          <w:rFonts w:cs="Times New Roman"/>
          <w:highlight w:val="none"/>
        </w:rPr>
        <w:t>dB(A)</w:t>
      </w:r>
      <w:r>
        <w:rPr>
          <w:rFonts w:hAnsi="宋体" w:cs="Times New Roman"/>
          <w:highlight w:val="none"/>
        </w:rPr>
        <w:t>；</w:t>
      </w:r>
    </w:p>
    <w:p>
      <w:pPr>
        <w:adjustRightInd w:val="0"/>
        <w:spacing w:line="520" w:lineRule="exact"/>
        <w:ind w:firstLine="480"/>
        <w:rPr>
          <w:rFonts w:cs="Times New Roman"/>
          <w:highlight w:val="none"/>
        </w:rPr>
      </w:pPr>
      <w:r>
        <w:rPr>
          <w:rFonts w:cs="Times New Roman"/>
          <w:highlight w:val="none"/>
        </w:rPr>
        <w:t xml:space="preserve">      L</w:t>
      </w:r>
      <w:r>
        <w:rPr>
          <w:rFonts w:cs="Times New Roman"/>
          <w:highlight w:val="none"/>
          <w:vertAlign w:val="subscript"/>
        </w:rPr>
        <w:t>r1</w:t>
      </w:r>
      <w:r>
        <w:rPr>
          <w:rFonts w:cs="Times New Roman"/>
          <w:highlight w:val="none"/>
        </w:rPr>
        <w:t>——</w:t>
      </w:r>
      <w:r>
        <w:rPr>
          <w:rFonts w:hAnsi="宋体" w:cs="Times New Roman"/>
          <w:highlight w:val="none"/>
          <w:lang w:val="zh-CN"/>
        </w:rPr>
        <w:t>距离声源参考距离</w:t>
      </w:r>
      <w:r>
        <w:rPr>
          <w:rFonts w:cs="Times New Roman"/>
          <w:highlight w:val="none"/>
        </w:rPr>
        <w:t>r</w:t>
      </w:r>
      <w:r>
        <w:rPr>
          <w:rFonts w:cs="Times New Roman"/>
          <w:highlight w:val="none"/>
          <w:vertAlign w:val="subscript"/>
        </w:rPr>
        <w:t>1</w:t>
      </w:r>
      <w:r>
        <w:rPr>
          <w:rFonts w:hAnsi="宋体" w:cs="Times New Roman"/>
          <w:highlight w:val="none"/>
          <w:lang w:val="zh-CN"/>
        </w:rPr>
        <w:t>米处的参考声级</w:t>
      </w:r>
      <w:r>
        <w:rPr>
          <w:rFonts w:hAnsi="宋体" w:cs="Times New Roman"/>
          <w:highlight w:val="none"/>
        </w:rPr>
        <w:t>，</w:t>
      </w:r>
      <w:r>
        <w:rPr>
          <w:rFonts w:cs="Times New Roman"/>
          <w:highlight w:val="none"/>
        </w:rPr>
        <w:t>dB(A)</w:t>
      </w:r>
      <w:r>
        <w:rPr>
          <w:rFonts w:hAnsi="宋体" w:cs="Times New Roman"/>
          <w:highlight w:val="none"/>
        </w:rPr>
        <w:t>；</w:t>
      </w:r>
    </w:p>
    <w:p>
      <w:pPr>
        <w:adjustRightInd w:val="0"/>
        <w:spacing w:line="520" w:lineRule="exact"/>
        <w:ind w:firstLine="480"/>
        <w:rPr>
          <w:rFonts w:cs="Times New Roman"/>
          <w:highlight w:val="none"/>
          <w:lang w:val="zh-CN"/>
        </w:rPr>
      </w:pPr>
      <w:r>
        <w:rPr>
          <w:rFonts w:cs="Times New Roman"/>
          <w:highlight w:val="none"/>
        </w:rPr>
        <w:t xml:space="preserve">      </w:t>
      </w:r>
      <w:r>
        <w:rPr>
          <w:rFonts w:cs="Times New Roman"/>
          <w:highlight w:val="none"/>
          <w:lang w:val="zh-CN"/>
        </w:rPr>
        <w:t>r</w:t>
      </w:r>
      <w:r>
        <w:rPr>
          <w:rFonts w:cs="Times New Roman"/>
          <w:highlight w:val="none"/>
          <w:vertAlign w:val="subscript"/>
          <w:lang w:val="zh-CN"/>
        </w:rPr>
        <w:t>1</w:t>
      </w:r>
      <w:r>
        <w:rPr>
          <w:rFonts w:cs="Times New Roman"/>
          <w:highlight w:val="none"/>
          <w:lang w:val="zh-CN"/>
        </w:rPr>
        <w:t>——</w:t>
      </w:r>
      <w:r>
        <w:rPr>
          <w:rFonts w:hAnsi="宋体" w:cs="Times New Roman"/>
          <w:highlight w:val="none"/>
          <w:lang w:val="zh-CN"/>
        </w:rPr>
        <w:t>测定源强时的距离，</w:t>
      </w:r>
      <w:r>
        <w:rPr>
          <w:rFonts w:cs="Times New Roman"/>
          <w:highlight w:val="none"/>
          <w:lang w:val="zh-CN"/>
        </w:rPr>
        <w:t>m</w:t>
      </w:r>
      <w:r>
        <w:rPr>
          <w:rFonts w:hAnsi="宋体" w:cs="Times New Roman"/>
          <w:highlight w:val="none"/>
          <w:lang w:val="zh-CN"/>
        </w:rPr>
        <w:t>；</w:t>
      </w:r>
    </w:p>
    <w:p>
      <w:pPr>
        <w:adjustRightInd w:val="0"/>
        <w:spacing w:line="520" w:lineRule="exact"/>
        <w:ind w:firstLine="480"/>
        <w:rPr>
          <w:rFonts w:cs="Times New Roman"/>
          <w:highlight w:val="none"/>
          <w:lang w:val="zh-CN"/>
        </w:rPr>
      </w:pPr>
      <w:r>
        <w:rPr>
          <w:rFonts w:cs="Times New Roman"/>
          <w:highlight w:val="none"/>
          <w:lang w:val="zh-CN"/>
        </w:rPr>
        <w:t xml:space="preserve">      r</w:t>
      </w:r>
      <w:r>
        <w:rPr>
          <w:rFonts w:cs="Times New Roman"/>
          <w:highlight w:val="none"/>
          <w:vertAlign w:val="subscript"/>
          <w:lang w:val="zh-CN"/>
        </w:rPr>
        <w:t>2</w:t>
      </w:r>
      <w:r>
        <w:rPr>
          <w:rFonts w:cs="Times New Roman"/>
          <w:highlight w:val="none"/>
          <w:lang w:val="zh-CN"/>
        </w:rPr>
        <w:t>——</w:t>
      </w:r>
      <w:r>
        <w:rPr>
          <w:rFonts w:hAnsi="宋体" w:cs="Times New Roman"/>
          <w:highlight w:val="none"/>
          <w:lang w:val="zh-CN"/>
        </w:rPr>
        <w:t>源强至预测点的距离，</w:t>
      </w:r>
      <w:r>
        <w:rPr>
          <w:rFonts w:cs="Times New Roman"/>
          <w:highlight w:val="none"/>
          <w:lang w:val="zh-CN"/>
        </w:rPr>
        <w:t>m</w:t>
      </w:r>
      <w:r>
        <w:rPr>
          <w:rFonts w:hAnsi="宋体" w:cs="Times New Roman"/>
          <w:highlight w:val="none"/>
          <w:lang w:val="zh-CN"/>
        </w:rPr>
        <w:t>；</w:t>
      </w:r>
    </w:p>
    <w:p>
      <w:pPr>
        <w:adjustRightInd w:val="0"/>
        <w:spacing w:line="520" w:lineRule="exact"/>
        <w:ind w:firstLine="480"/>
        <w:rPr>
          <w:rFonts w:cs="Times New Roman"/>
          <w:highlight w:val="none"/>
          <w:lang w:val="zh-CN"/>
        </w:rPr>
      </w:pPr>
      <w:r>
        <w:rPr>
          <w:rFonts w:cs="Times New Roman"/>
          <w:highlight w:val="none"/>
          <w:lang w:val="zh-CN"/>
        </w:rPr>
        <w:t xml:space="preserve">      </w:t>
      </w:r>
      <w:r>
        <w:rPr>
          <w:rFonts w:hAnsi="宋体" w:cs="Times New Roman"/>
          <w:highlight w:val="none"/>
          <w:lang w:val="zh-CN"/>
        </w:rPr>
        <w:t>多个声压级的平均值用下式计算：</w:t>
      </w:r>
    </w:p>
    <w:p>
      <w:pPr>
        <w:spacing w:line="520" w:lineRule="exact"/>
        <w:ind w:firstLine="1200" w:firstLineChars="500"/>
        <w:rPr>
          <w:rFonts w:cs="Times New Roman"/>
          <w:highlight w:val="none"/>
        </w:rPr>
      </w:pPr>
      <w:r>
        <w:rPr>
          <w:rFonts w:cs="Times New Roman"/>
          <w:highlight w:val="none"/>
        </w:rPr>
        <w:t>L</w:t>
      </w:r>
      <w:r>
        <w:rPr>
          <w:rFonts w:cs="Times New Roman"/>
          <w:highlight w:val="none"/>
          <w:vertAlign w:val="subscript"/>
        </w:rPr>
        <w:t>p</w:t>
      </w:r>
      <w:r>
        <w:rPr>
          <w:rFonts w:cs="Times New Roman"/>
          <w:highlight w:val="none"/>
        </w:rPr>
        <w:t>=10Lg</w:t>
      </w:r>
      <w:r>
        <w:rPr>
          <w:rFonts w:hAnsi="宋体" w:cs="Times New Roman"/>
          <w:highlight w:val="none"/>
        </w:rPr>
        <w:t>（</w:t>
      </w:r>
      <w:r>
        <w:rPr>
          <w:rFonts w:cs="Times New Roman"/>
          <w:highlight w:val="none"/>
        </w:rPr>
        <w:t>10</w:t>
      </w:r>
      <w:r>
        <w:rPr>
          <w:rFonts w:cs="Times New Roman"/>
          <w:highlight w:val="none"/>
          <w:vertAlign w:val="superscript"/>
        </w:rPr>
        <w:t>0.1Lp1</w:t>
      </w:r>
      <w:r>
        <w:rPr>
          <w:rFonts w:cs="Times New Roman"/>
          <w:highlight w:val="none"/>
        </w:rPr>
        <w:t>+10</w:t>
      </w:r>
      <w:r>
        <w:rPr>
          <w:rFonts w:cs="Times New Roman"/>
          <w:highlight w:val="none"/>
          <w:vertAlign w:val="superscript"/>
        </w:rPr>
        <w:t>0.1Lp2</w:t>
      </w:r>
      <w:r>
        <w:rPr>
          <w:rFonts w:cs="Times New Roman"/>
          <w:highlight w:val="none"/>
        </w:rPr>
        <w:t>+……+10</w:t>
      </w:r>
      <w:r>
        <w:rPr>
          <w:rFonts w:cs="Times New Roman"/>
          <w:highlight w:val="none"/>
          <w:vertAlign w:val="superscript"/>
        </w:rPr>
        <w:t>0.1LpN</w:t>
      </w:r>
      <w:r>
        <w:rPr>
          <w:rFonts w:hAnsi="宋体" w:cs="Times New Roman"/>
          <w:highlight w:val="none"/>
        </w:rPr>
        <w:t>）－</w:t>
      </w:r>
      <w:r>
        <w:rPr>
          <w:rFonts w:cs="Times New Roman"/>
          <w:highlight w:val="none"/>
        </w:rPr>
        <w:t xml:space="preserve">10LgN  </w:t>
      </w:r>
    </w:p>
    <w:p>
      <w:pPr>
        <w:adjustRightInd w:val="0"/>
        <w:spacing w:line="520" w:lineRule="exact"/>
        <w:ind w:firstLine="472"/>
        <w:rPr>
          <w:rFonts w:cs="Times New Roman"/>
          <w:highlight w:val="none"/>
          <w:lang w:val="zh-CN"/>
        </w:rPr>
      </w:pPr>
      <w:r>
        <w:rPr>
          <w:rFonts w:hAnsi="宋体" w:cs="Times New Roman"/>
          <w:spacing w:val="-2"/>
          <w:highlight w:val="none"/>
        </w:rPr>
        <w:t>根据以上噪声预测模式</w:t>
      </w:r>
      <w:r>
        <w:rPr>
          <w:rFonts w:hAnsi="宋体" w:cs="Times New Roman"/>
          <w:highlight w:val="none"/>
          <w:lang w:val="zh-CN"/>
        </w:rPr>
        <w:t>，各主要施工机械噪声随距离衰减情况见表</w:t>
      </w:r>
      <w:r>
        <w:rPr>
          <w:rFonts w:hint="eastAsia" w:hAnsi="宋体" w:cs="Times New Roman"/>
          <w:highlight w:val="none"/>
          <w:lang w:val="en-US" w:eastAsia="zh-CN"/>
        </w:rPr>
        <w:t>4</w:t>
      </w:r>
      <w:r>
        <w:rPr>
          <w:rFonts w:hint="eastAsia" w:hAnsi="宋体" w:cs="Times New Roman"/>
          <w:highlight w:val="none"/>
          <w:lang w:val="zh-CN"/>
        </w:rPr>
        <w:t>.1-2</w:t>
      </w:r>
      <w:r>
        <w:rPr>
          <w:rFonts w:hAnsi="宋体" w:cs="Times New Roman"/>
          <w:highlight w:val="none"/>
          <w:lang w:val="zh-CN"/>
        </w:rPr>
        <w:t>。</w:t>
      </w:r>
    </w:p>
    <w:p>
      <w:pPr>
        <w:pStyle w:val="40"/>
        <w:rPr>
          <w:rFonts w:hint="eastAsia" w:cs="Times New Roman"/>
          <w:highlight w:val="none"/>
          <w:lang w:val="en-US" w:eastAsia="zh-CN"/>
        </w:rPr>
      </w:pPr>
      <w:r>
        <w:rPr>
          <w:rFonts w:hint="eastAsia" w:cs="Times New Roman"/>
          <w:highlight w:val="none"/>
          <w:lang w:val="en-US" w:eastAsia="zh-CN"/>
        </w:rPr>
        <w:t>表4.1-2 主要施工机械噪声随距离衰减情况</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890"/>
        <w:gridCol w:w="983"/>
        <w:gridCol w:w="819"/>
        <w:gridCol w:w="944"/>
        <w:gridCol w:w="794"/>
        <w:gridCol w:w="936"/>
        <w:gridCol w:w="807"/>
        <w:gridCol w:w="81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Merge w:val="restart"/>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声源</w:t>
            </w:r>
          </w:p>
        </w:tc>
        <w:tc>
          <w:tcPr>
            <w:tcW w:w="526" w:type="pct"/>
            <w:vMerge w:val="restart"/>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声级</w:t>
            </w:r>
          </w:p>
        </w:tc>
        <w:tc>
          <w:tcPr>
            <w:tcW w:w="3601" w:type="pct"/>
            <w:gridSpan w:val="7"/>
            <w:shd w:val="clear" w:color="auto" w:fill="FFFFFF"/>
            <w:vAlign w:val="center"/>
          </w:tcPr>
          <w:p>
            <w:pPr>
              <w:spacing w:line="240" w:lineRule="auto"/>
              <w:ind w:firstLine="0" w:firstLineChars="0"/>
              <w:jc w:val="center"/>
              <w:rPr>
                <w:rFonts w:cs="Times New Roman"/>
                <w:b w:val="0"/>
                <w:bCs w:val="0"/>
                <w:sz w:val="21"/>
                <w:szCs w:val="21"/>
                <w:highlight w:val="none"/>
              </w:rPr>
            </w:pPr>
            <w:r>
              <w:rPr>
                <w:rFonts w:hAnsi="宋体" w:cs="Times New Roman"/>
                <w:b w:val="0"/>
                <w:bCs w:val="0"/>
                <w:sz w:val="21"/>
                <w:szCs w:val="21"/>
                <w:highlight w:val="none"/>
              </w:rPr>
              <w:t>距离</w:t>
            </w:r>
            <w:r>
              <w:rPr>
                <w:rFonts w:cs="Times New Roman"/>
                <w:b w:val="0"/>
                <w:bCs w:val="0"/>
                <w:sz w:val="21"/>
                <w:szCs w:val="21"/>
                <w:highlight w:val="none"/>
              </w:rPr>
              <w:t>(m)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Merge w:val="continue"/>
            <w:shd w:val="clear" w:color="auto" w:fill="FFFFFF"/>
            <w:vAlign w:val="center"/>
          </w:tcPr>
          <w:p>
            <w:pPr>
              <w:spacing w:line="240" w:lineRule="auto"/>
              <w:ind w:firstLine="0" w:firstLineChars="0"/>
              <w:jc w:val="center"/>
              <w:rPr>
                <w:rFonts w:cs="Times New Roman"/>
                <w:b w:val="0"/>
                <w:bCs w:val="0"/>
                <w:sz w:val="21"/>
                <w:szCs w:val="21"/>
                <w:highlight w:val="none"/>
              </w:rPr>
            </w:pPr>
          </w:p>
        </w:tc>
        <w:tc>
          <w:tcPr>
            <w:tcW w:w="526" w:type="pct"/>
            <w:vMerge w:val="continue"/>
            <w:shd w:val="clear" w:color="auto" w:fill="FFFFFF"/>
            <w:vAlign w:val="center"/>
          </w:tcPr>
          <w:p>
            <w:pPr>
              <w:spacing w:line="240" w:lineRule="auto"/>
              <w:ind w:firstLine="0" w:firstLineChars="0"/>
              <w:jc w:val="center"/>
              <w:rPr>
                <w:rFonts w:cs="Times New Roman"/>
                <w:b w:val="0"/>
                <w:bCs w:val="0"/>
                <w:sz w:val="21"/>
                <w:szCs w:val="21"/>
                <w:highlight w:val="none"/>
              </w:rPr>
            </w:pPr>
          </w:p>
        </w:tc>
        <w:tc>
          <w:tcPr>
            <w:tcW w:w="581"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10</w:t>
            </w:r>
          </w:p>
        </w:tc>
        <w:tc>
          <w:tcPr>
            <w:tcW w:w="484"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20</w:t>
            </w:r>
          </w:p>
        </w:tc>
        <w:tc>
          <w:tcPr>
            <w:tcW w:w="558"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30</w:t>
            </w:r>
          </w:p>
        </w:tc>
        <w:tc>
          <w:tcPr>
            <w:tcW w:w="469"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50</w:t>
            </w:r>
          </w:p>
        </w:tc>
        <w:tc>
          <w:tcPr>
            <w:tcW w:w="553"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100</w:t>
            </w:r>
          </w:p>
        </w:tc>
        <w:tc>
          <w:tcPr>
            <w:tcW w:w="476"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150</w:t>
            </w:r>
          </w:p>
        </w:tc>
        <w:tc>
          <w:tcPr>
            <w:tcW w:w="476" w:type="pct"/>
            <w:shd w:val="clear" w:color="auto" w:fill="FFFFFF"/>
            <w:vAlign w:val="center"/>
          </w:tcPr>
          <w:p>
            <w:pPr>
              <w:spacing w:line="240" w:lineRule="auto"/>
              <w:ind w:firstLine="0" w:firstLineChars="0"/>
              <w:jc w:val="center"/>
              <w:rPr>
                <w:rFonts w:cs="Times New Roman"/>
                <w:b w:val="0"/>
                <w:bCs w:val="0"/>
                <w:sz w:val="21"/>
                <w:szCs w:val="21"/>
                <w:highlight w:val="none"/>
              </w:rPr>
            </w:pPr>
            <w:r>
              <w:rPr>
                <w:rFonts w:cs="Times New Roman"/>
                <w:b w:val="0"/>
                <w:bCs w:val="0"/>
                <w:sz w:val="21"/>
                <w:szCs w:val="21"/>
                <w:highlight w:val="none"/>
              </w:rPr>
              <w:t>200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推土机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86</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66</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56.5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装载机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挖掘机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72</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翻斗机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压路机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钻孔机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78</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打夯机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89</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83</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打桩机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94</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88</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空压机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95</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89</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83</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振捣机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电焊机</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混凝土输送</w:t>
            </w:r>
            <w:r>
              <w:rPr>
                <w:rFonts w:hint="eastAsia" w:hAnsi="宋体" w:cs="Times New Roman"/>
                <w:sz w:val="21"/>
                <w:szCs w:val="21"/>
                <w:highlight w:val="none"/>
              </w:rPr>
              <w:t>泵</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79</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73</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69.4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59</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871" w:type="pct"/>
            <w:vAlign w:val="center"/>
          </w:tcPr>
          <w:p>
            <w:pPr>
              <w:spacing w:line="240" w:lineRule="auto"/>
              <w:ind w:firstLine="0" w:firstLineChars="0"/>
              <w:jc w:val="center"/>
              <w:rPr>
                <w:rFonts w:cs="Times New Roman"/>
                <w:sz w:val="21"/>
                <w:szCs w:val="21"/>
                <w:highlight w:val="none"/>
              </w:rPr>
            </w:pPr>
            <w:r>
              <w:rPr>
                <w:rFonts w:hAnsi="宋体" w:cs="Times New Roman"/>
                <w:sz w:val="21"/>
                <w:szCs w:val="21"/>
                <w:highlight w:val="none"/>
              </w:rPr>
              <w:t>卡车</w:t>
            </w:r>
          </w:p>
        </w:tc>
        <w:tc>
          <w:tcPr>
            <w:tcW w:w="52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58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74</w:t>
            </w:r>
          </w:p>
        </w:tc>
        <w:tc>
          <w:tcPr>
            <w:tcW w:w="4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68</w:t>
            </w:r>
          </w:p>
        </w:tc>
        <w:tc>
          <w:tcPr>
            <w:tcW w:w="55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64.4</w:t>
            </w:r>
          </w:p>
        </w:tc>
        <w:tc>
          <w:tcPr>
            <w:tcW w:w="469"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55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54</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50.5</w:t>
            </w:r>
          </w:p>
        </w:tc>
        <w:tc>
          <w:tcPr>
            <w:tcW w:w="47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48</w:t>
            </w:r>
          </w:p>
        </w:tc>
      </w:tr>
    </w:tbl>
    <w:p>
      <w:pPr>
        <w:tabs>
          <w:tab w:val="right" w:pos="11340"/>
        </w:tabs>
        <w:ind w:firstLine="480"/>
        <w:rPr>
          <w:rFonts w:cs="Times New Roman"/>
          <w:kern w:val="0"/>
          <w:highlight w:val="none"/>
        </w:rPr>
      </w:pPr>
      <w:r>
        <w:rPr>
          <w:rFonts w:hAnsi="宋体" w:cs="Times New Roman"/>
          <w:kern w:val="0"/>
          <w:highlight w:val="none"/>
        </w:rPr>
        <w:t>从表</w:t>
      </w:r>
      <w:r>
        <w:rPr>
          <w:rFonts w:hint="eastAsia" w:cs="Times New Roman"/>
          <w:kern w:val="0"/>
          <w:highlight w:val="none"/>
          <w:lang w:val="en-US" w:eastAsia="zh-CN"/>
        </w:rPr>
        <w:t>4</w:t>
      </w:r>
      <w:r>
        <w:rPr>
          <w:rFonts w:hint="eastAsia" w:cs="Times New Roman"/>
          <w:kern w:val="0"/>
          <w:highlight w:val="none"/>
        </w:rPr>
        <w:t>.1-2</w:t>
      </w:r>
      <w:r>
        <w:rPr>
          <w:rFonts w:hAnsi="宋体" w:cs="Times New Roman"/>
          <w:kern w:val="0"/>
          <w:highlight w:val="none"/>
        </w:rPr>
        <w:t>可以看出，当大部分施工机械的施工点距离场界大于</w:t>
      </w:r>
      <w:r>
        <w:rPr>
          <w:rFonts w:cs="Times New Roman"/>
          <w:kern w:val="0"/>
          <w:highlight w:val="none"/>
        </w:rPr>
        <w:t>100m</w:t>
      </w:r>
      <w:r>
        <w:rPr>
          <w:rFonts w:hAnsi="宋体" w:cs="Times New Roman"/>
          <w:kern w:val="0"/>
          <w:highlight w:val="none"/>
        </w:rPr>
        <w:t>时，场界噪声值可以达到《建筑施工场界环境噪声排放标准》（</w:t>
      </w:r>
      <w:r>
        <w:rPr>
          <w:rFonts w:cs="Times New Roman"/>
          <w:kern w:val="0"/>
          <w:highlight w:val="none"/>
        </w:rPr>
        <w:t>GB12523-2011</w:t>
      </w:r>
      <w:r>
        <w:rPr>
          <w:rFonts w:hAnsi="宋体" w:cs="Times New Roman"/>
          <w:kern w:val="0"/>
          <w:highlight w:val="none"/>
        </w:rPr>
        <w:t>）昼间标准，但在实际施工中，在距离场界</w:t>
      </w:r>
      <w:r>
        <w:rPr>
          <w:rFonts w:cs="Times New Roman"/>
          <w:kern w:val="0"/>
          <w:highlight w:val="none"/>
        </w:rPr>
        <w:t>100m</w:t>
      </w:r>
      <w:r>
        <w:rPr>
          <w:rFonts w:hAnsi="宋体" w:cs="Times New Roman"/>
          <w:kern w:val="0"/>
          <w:highlight w:val="none"/>
        </w:rPr>
        <w:t>范围内施工仍是不可避免的，此时施工场界噪声将超过《建筑施工场界环境噪声排放标准》（</w:t>
      </w:r>
      <w:r>
        <w:rPr>
          <w:rFonts w:cs="Times New Roman"/>
          <w:kern w:val="0"/>
          <w:highlight w:val="none"/>
        </w:rPr>
        <w:t>GB12523-2011</w:t>
      </w:r>
      <w:r>
        <w:rPr>
          <w:rFonts w:hAnsi="宋体" w:cs="Times New Roman"/>
          <w:kern w:val="0"/>
          <w:highlight w:val="none"/>
        </w:rPr>
        <w:t>）昼间标准；若夜间施工，施工点周围</w:t>
      </w:r>
      <w:r>
        <w:rPr>
          <w:rFonts w:cs="Times New Roman"/>
          <w:kern w:val="0"/>
          <w:highlight w:val="none"/>
        </w:rPr>
        <w:t>200</w:t>
      </w:r>
      <w:r>
        <w:rPr>
          <w:rFonts w:hAnsi="宋体" w:cs="Times New Roman"/>
          <w:kern w:val="0"/>
          <w:highlight w:val="none"/>
        </w:rPr>
        <w:t>米的范围内噪声仍达不到《建筑施工场界环境噪声排放标准》（</w:t>
      </w:r>
      <w:r>
        <w:rPr>
          <w:rFonts w:cs="Times New Roman"/>
          <w:kern w:val="0"/>
          <w:highlight w:val="none"/>
        </w:rPr>
        <w:t>GB12523-2011</w:t>
      </w:r>
      <w:r>
        <w:rPr>
          <w:rFonts w:hAnsi="宋体" w:cs="Times New Roman"/>
          <w:kern w:val="0"/>
          <w:highlight w:val="none"/>
        </w:rPr>
        <w:t>）标准。</w:t>
      </w:r>
    </w:p>
    <w:p>
      <w:pPr>
        <w:tabs>
          <w:tab w:val="right" w:pos="11340"/>
        </w:tabs>
        <w:ind w:firstLine="480"/>
        <w:rPr>
          <w:rFonts w:cs="Times New Roman"/>
          <w:kern w:val="0"/>
          <w:highlight w:val="none"/>
        </w:rPr>
      </w:pPr>
      <w:r>
        <w:rPr>
          <w:rFonts w:hAnsi="宋体" w:cs="Times New Roman"/>
          <w:kern w:val="0"/>
          <w:highlight w:val="none"/>
        </w:rPr>
        <w:t>根据周围环境调查，</w:t>
      </w:r>
      <w:r>
        <w:rPr>
          <w:rFonts w:hint="eastAsia" w:hAnsi="宋体" w:cs="Times New Roman"/>
          <w:kern w:val="0"/>
          <w:highlight w:val="none"/>
        </w:rPr>
        <w:t>东</w:t>
      </w:r>
      <w:r>
        <w:rPr>
          <w:rFonts w:hAnsi="宋体" w:cs="Times New Roman"/>
          <w:kern w:val="0"/>
          <w:highlight w:val="none"/>
        </w:rPr>
        <w:t>南面</w:t>
      </w:r>
      <w:r>
        <w:rPr>
          <w:rFonts w:hint="eastAsia" w:hAnsi="宋体" w:cs="Times New Roman"/>
          <w:kern w:val="0"/>
          <w:highlight w:val="none"/>
        </w:rPr>
        <w:t>86m居民点</w:t>
      </w:r>
      <w:r>
        <w:rPr>
          <w:rFonts w:hAnsi="宋体" w:cs="Times New Roman"/>
          <w:kern w:val="0"/>
          <w:highlight w:val="none"/>
        </w:rPr>
        <w:t>距离项目较近，在考虑最不利情况，即高噪声设备在场界边施工时，若不采取相关措施，仅考虑距离衰减，打桩机在场界施工时，上述敏感点噪声值预测值为</w:t>
      </w:r>
      <w:r>
        <w:rPr>
          <w:rFonts w:cs="Times New Roman"/>
          <w:kern w:val="0"/>
          <w:highlight w:val="none"/>
        </w:rPr>
        <w:t>74-80</w:t>
      </w:r>
      <w:r>
        <w:rPr>
          <w:rFonts w:hAnsi="宋体" w:cs="Times New Roman"/>
          <w:kern w:val="0"/>
          <w:highlight w:val="none"/>
        </w:rPr>
        <w:t>分贝之间，昼间超标可达</w:t>
      </w:r>
      <w:r>
        <w:rPr>
          <w:rFonts w:cs="Times New Roman"/>
          <w:kern w:val="0"/>
          <w:highlight w:val="none"/>
        </w:rPr>
        <w:t>14-20</w:t>
      </w:r>
      <w:r>
        <w:rPr>
          <w:rFonts w:hAnsi="宋体" w:cs="Times New Roman"/>
          <w:kern w:val="0"/>
          <w:highlight w:val="none"/>
        </w:rPr>
        <w:t>分贝，夜间超标可达</w:t>
      </w:r>
      <w:r>
        <w:rPr>
          <w:rFonts w:cs="Times New Roman"/>
          <w:kern w:val="0"/>
          <w:highlight w:val="none"/>
        </w:rPr>
        <w:t>24-30</w:t>
      </w:r>
      <w:r>
        <w:rPr>
          <w:rFonts w:hAnsi="宋体" w:cs="Times New Roman"/>
          <w:kern w:val="0"/>
          <w:highlight w:val="none"/>
        </w:rPr>
        <w:t>分贝，施工噪声对项目南面居民影响较大。</w:t>
      </w:r>
    </w:p>
    <w:p>
      <w:pPr>
        <w:pStyle w:val="108"/>
        <w:spacing w:before="0" w:line="360" w:lineRule="auto"/>
        <w:ind w:firstLine="480"/>
        <w:contextualSpacing/>
        <w:rPr>
          <w:rStyle w:val="110"/>
          <w:color w:val="auto"/>
          <w:highlight w:val="none"/>
          <w:lang w:val="en-US"/>
        </w:rPr>
      </w:pPr>
      <w:r>
        <w:rPr>
          <w:rFonts w:hAnsi="宋体"/>
          <w:color w:val="auto"/>
          <w:highlight w:val="none"/>
          <w:lang w:val="en-US"/>
        </w:rPr>
        <w:t>因此，项目施工期应加强管理，合理安排施工时间，在项目与敏感点之间设置临时隔声屏障；尽量将高噪声设备远离敏感点布置。</w:t>
      </w:r>
      <w:r>
        <w:rPr>
          <w:rStyle w:val="110"/>
          <w:rFonts w:hAnsi="宋体"/>
          <w:color w:val="auto"/>
          <w:highlight w:val="none"/>
          <w:lang w:val="en-US"/>
        </w:rPr>
        <w:t>主要采取以下措施。</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kern w:val="0"/>
          <w:highlight w:val="none"/>
        </w:rPr>
      </w:pPr>
      <w:r>
        <w:rPr>
          <w:rFonts w:hAnsi="宋体" w:cs="Times New Roman"/>
          <w:kern w:val="0"/>
          <w:highlight w:val="none"/>
        </w:rPr>
        <w:t>施工噪声具有阶段性、临时性和不固定性，随着施工阶段的不同，施工噪声影响也不同。施工结束时，施工噪声也自行消失。</w:t>
      </w:r>
    </w:p>
    <w:p>
      <w:pPr>
        <w:adjustRightInd w:val="0"/>
        <w:ind w:firstLine="482"/>
        <w:contextualSpacing/>
        <w:rPr>
          <w:rFonts w:cs="Times New Roman"/>
          <w:b/>
          <w:highlight w:val="none"/>
        </w:rPr>
      </w:pPr>
      <w:r>
        <w:rPr>
          <w:rFonts w:cs="Times New Roman"/>
          <w:b/>
          <w:highlight w:val="none"/>
        </w:rPr>
        <w:t>4</w:t>
      </w:r>
      <w:r>
        <w:rPr>
          <w:rFonts w:hAnsi="宋体" w:cs="Times New Roman"/>
          <w:b/>
          <w:highlight w:val="none"/>
        </w:rPr>
        <w:t>、固体废物</w:t>
      </w:r>
    </w:p>
    <w:p>
      <w:pPr>
        <w:pStyle w:val="108"/>
        <w:spacing w:before="0" w:line="360" w:lineRule="auto"/>
        <w:ind w:firstLine="480"/>
        <w:contextualSpacing/>
        <w:rPr>
          <w:rStyle w:val="110"/>
          <w:color w:val="auto"/>
          <w:spacing w:val="4"/>
          <w:highlight w:val="none"/>
          <w:lang w:val="en-US"/>
        </w:rPr>
      </w:pPr>
      <w:r>
        <w:rPr>
          <w:rFonts w:hAnsi="宋体"/>
          <w:color w:val="auto"/>
          <w:highlight w:val="none"/>
          <w:lang w:val="en-US"/>
        </w:rPr>
        <w:t>本项目施工期的固体废物主要为多余渣土、施工建筑垃圾及生活垃圾等。</w:t>
      </w:r>
    </w:p>
    <w:p>
      <w:pPr>
        <w:pStyle w:val="108"/>
        <w:spacing w:before="0" w:line="360" w:lineRule="auto"/>
        <w:ind w:firstLine="496"/>
        <w:contextualSpacing/>
        <w:rPr>
          <w:color w:val="auto"/>
          <w:highlight w:val="none"/>
          <w:lang w:val="en-US"/>
        </w:rPr>
      </w:pPr>
      <w:r>
        <w:rPr>
          <w:rFonts w:hAnsi="宋体"/>
          <w:color w:val="auto"/>
          <w:spacing w:val="4"/>
          <w:highlight w:val="none"/>
          <w:lang w:val="en-US"/>
        </w:rPr>
        <w:t>本项目</w:t>
      </w:r>
      <w:r>
        <w:rPr>
          <w:rFonts w:hAnsi="宋体"/>
          <w:color w:val="auto"/>
          <w:highlight w:val="none"/>
          <w:lang w:val="en-US"/>
        </w:rPr>
        <w:t>施工期渣土可在厂内回填。</w:t>
      </w:r>
    </w:p>
    <w:p>
      <w:pPr>
        <w:pStyle w:val="108"/>
        <w:spacing w:before="0" w:line="360" w:lineRule="auto"/>
        <w:ind w:firstLine="480"/>
        <w:contextualSpacing/>
        <w:rPr>
          <w:color w:val="auto"/>
          <w:highlight w:val="none"/>
          <w:lang w:val="en-US"/>
        </w:rPr>
      </w:pPr>
      <w:r>
        <w:rPr>
          <w:rFonts w:hAnsi="宋体"/>
          <w:color w:val="auto"/>
          <w:highlight w:val="none"/>
          <w:lang w:val="en-US"/>
        </w:rPr>
        <w:t>建筑垃圾主要有建材损耗产生的垃圾，包括砂土、石块、水泥、碎木料、锯木屑、废金属、钢筋、铁丝等杂物。建设单位拟对建筑垃圾进行分类，能回收利用外卖给废品回收部门的回收利用，如钢筋、铁丝等，不能回收利用的收集后严格执行《城市建筑垃圾管理规定》，按照相关管理部门要求，及时清运至建筑垃圾消纳场所，对周边环境影响较小。</w:t>
      </w:r>
    </w:p>
    <w:p>
      <w:pPr>
        <w:pStyle w:val="108"/>
        <w:spacing w:before="0" w:line="360" w:lineRule="auto"/>
        <w:ind w:firstLine="480"/>
        <w:contextualSpacing/>
        <w:rPr>
          <w:color w:val="auto"/>
          <w:highlight w:val="none"/>
          <w:lang w:val="en-US"/>
        </w:rPr>
      </w:pPr>
      <w:r>
        <w:rPr>
          <w:rFonts w:hAnsi="宋体"/>
          <w:color w:val="auto"/>
          <w:highlight w:val="none"/>
          <w:lang w:val="en-US"/>
        </w:rPr>
        <w:t>施工过程中应对生活垃圾定点收集，交由环卫部门统一清运处理。</w:t>
      </w:r>
    </w:p>
    <w:p>
      <w:pPr>
        <w:pStyle w:val="108"/>
        <w:spacing w:before="0" w:line="360" w:lineRule="auto"/>
        <w:ind w:firstLine="480"/>
        <w:contextualSpacing/>
        <w:rPr>
          <w:color w:val="auto"/>
          <w:highlight w:val="none"/>
          <w:lang w:val="en-US"/>
        </w:rPr>
      </w:pPr>
      <w:r>
        <w:rPr>
          <w:rFonts w:hAnsi="宋体"/>
          <w:color w:val="auto"/>
          <w:highlight w:val="none"/>
          <w:lang w:val="en-US"/>
        </w:rPr>
        <w:t>采取以上措施后，评价认为施工期固废可得到妥善处置，对周围环境影响较小。</w:t>
      </w:r>
    </w:p>
    <w:p>
      <w:pPr>
        <w:ind w:firstLine="482"/>
        <w:rPr>
          <w:rFonts w:cs="Times New Roman"/>
          <w:b/>
          <w:highlight w:val="none"/>
        </w:rPr>
      </w:pPr>
      <w:r>
        <w:rPr>
          <w:rFonts w:cs="Times New Roman"/>
          <w:b/>
          <w:highlight w:val="none"/>
        </w:rPr>
        <w:t>5</w:t>
      </w:r>
      <w:r>
        <w:rPr>
          <w:rFonts w:hAnsi="宋体" w:cs="Times New Roman"/>
          <w:b/>
          <w:highlight w:val="none"/>
        </w:rPr>
        <w:t>、水土流失</w:t>
      </w:r>
    </w:p>
    <w:p>
      <w:pPr>
        <w:pStyle w:val="108"/>
        <w:spacing w:before="0" w:line="360" w:lineRule="auto"/>
        <w:ind w:firstLine="480"/>
        <w:rPr>
          <w:color w:val="auto"/>
          <w:highlight w:val="none"/>
          <w:lang w:val="en-US"/>
        </w:rPr>
      </w:pPr>
      <w:r>
        <w:rPr>
          <w:rFonts w:hAnsi="宋体"/>
          <w:color w:val="auto"/>
          <w:highlight w:val="none"/>
          <w:lang w:val="en-US"/>
        </w:rPr>
        <w:t>为减少施工过程中的水土流失，项目在施工过程中要做好防范措施。</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）合理安排施工时间，大面积破土的土建施工尽量避开雨季。</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）项目应尽量减少开挖面积以及减少施工面的裸露时间，对新产生的裸露地表的松土及时压实，施工单位应根据施工进程及时进行绿化。</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）在施工场地内开挖临时雨水排水沟，在施工区地势较低的地方修建沉淀池，并在排水口设置滤布，拦截大的块状物以及泥沙后，雨季产生的地表径流经沉淀后方可排放，沉淀池应定期清理。</w:t>
      </w:r>
    </w:p>
    <w:p>
      <w:pPr>
        <w:pStyle w:val="108"/>
        <w:spacing w:before="0" w:line="360" w:lineRule="auto"/>
        <w:ind w:firstLine="480"/>
        <w:rPr>
          <w:rFonts w:hAnsi="宋体"/>
          <w:color w:val="auto"/>
          <w:highlight w:val="none"/>
          <w:lang w:val="en-US"/>
        </w:rPr>
      </w:pPr>
      <w:r>
        <w:rPr>
          <w:rFonts w:hAnsi="宋体"/>
          <w:color w:val="auto"/>
          <w:highlight w:val="none"/>
        </w:rPr>
        <w:t>施工期产生的污染物，对项目周围附近区域环境的影响是不可避免的。但只要加强管理，合理施工，认真落实各项防治措施，同时与周围居民协调好关系，并注意听取周围单位的合理意见，就能尽量避免扰民事件的发生。施工期结束</w:t>
      </w:r>
      <w:r>
        <w:rPr>
          <w:rFonts w:hAnsi="宋体"/>
          <w:color w:val="auto"/>
          <w:highlight w:val="none"/>
          <w:lang w:val="en-US"/>
        </w:rPr>
        <w:t>后，相应的污染即随之消失，不会对周围环境产生长期不良影响。</w:t>
      </w:r>
    </w:p>
    <w:p>
      <w:pPr>
        <w:pStyle w:val="108"/>
        <w:spacing w:before="0" w:line="360" w:lineRule="auto"/>
        <w:ind w:firstLine="480"/>
        <w:rPr>
          <w:rFonts w:hAnsi="宋体"/>
          <w:color w:val="auto"/>
          <w:highlight w:val="none"/>
          <w:lang w:val="en-US"/>
        </w:rPr>
      </w:pPr>
      <w:r>
        <w:rPr>
          <w:rFonts w:hAnsi="宋体"/>
          <w:color w:val="auto"/>
          <w:highlight w:val="none"/>
          <w:lang w:val="en-US"/>
        </w:rPr>
        <w:t>环评建议在设备运进安装过程采取轻拿轻放，避免碰撞产生异常噪声；合理安排作业时间，避免在夜间及附近居民休息期间作业；同时，应将设备外包装固废及时收集处理废品外卖。采取上述措施后，本项目建设期噪声可达标排放，固废可得到妥善处理，对周边环境的影响较小。</w:t>
      </w:r>
    </w:p>
    <w:p>
      <w:pPr>
        <w:pStyle w:val="108"/>
        <w:spacing w:before="0" w:line="360" w:lineRule="auto"/>
        <w:ind w:firstLine="480"/>
        <w:rPr>
          <w:rFonts w:hAnsi="宋体"/>
          <w:color w:val="auto"/>
          <w:highlight w:val="none"/>
          <w:lang w:val="en-US"/>
        </w:rPr>
      </w:pPr>
      <w:r>
        <w:rPr>
          <w:rFonts w:hint="eastAsia" w:hAnsi="宋体"/>
          <w:color w:val="auto"/>
          <w:highlight w:val="none"/>
          <w:lang w:val="en-US"/>
        </w:rPr>
        <w:t>综上，本项目施工期环境影响不大。</w:t>
      </w:r>
    </w:p>
    <w:p>
      <w:pPr>
        <w:pStyle w:val="6"/>
        <w:spacing w:before="132"/>
        <w:rPr>
          <w:highlight w:val="none"/>
        </w:rPr>
      </w:pPr>
      <w:bookmarkStart w:id="42" w:name="_Toc2824"/>
      <w:r>
        <w:rPr>
          <w:rFonts w:hint="eastAsia"/>
          <w:highlight w:val="none"/>
          <w:lang w:val="en-US" w:eastAsia="zh-CN"/>
        </w:rPr>
        <w:t>4</w:t>
      </w:r>
      <w:r>
        <w:rPr>
          <w:rFonts w:hint="eastAsia"/>
          <w:highlight w:val="none"/>
        </w:rPr>
        <w:t>.2运营期环境影响预测与评价</w:t>
      </w:r>
      <w:bookmarkEnd w:id="42"/>
    </w:p>
    <w:p>
      <w:pPr>
        <w:pStyle w:val="7"/>
        <w:spacing w:before="66"/>
        <w:ind w:firstLine="482"/>
        <w:rPr>
          <w:highlight w:val="none"/>
        </w:rPr>
      </w:pPr>
      <w:r>
        <w:rPr>
          <w:rFonts w:hint="eastAsia"/>
          <w:highlight w:val="none"/>
          <w:lang w:val="en-US" w:eastAsia="zh-CN"/>
        </w:rPr>
        <w:t>4</w:t>
      </w:r>
      <w:r>
        <w:rPr>
          <w:highlight w:val="none"/>
        </w:rPr>
        <w:t>.</w:t>
      </w:r>
      <w:r>
        <w:rPr>
          <w:rFonts w:hint="eastAsia"/>
          <w:highlight w:val="none"/>
        </w:rPr>
        <w:t>2.1大气环境影响预测</w:t>
      </w:r>
    </w:p>
    <w:p>
      <w:pPr>
        <w:pStyle w:val="8"/>
        <w:ind w:firstLine="482"/>
        <w:rPr>
          <w:highlight w:val="none"/>
        </w:rPr>
      </w:pPr>
      <w:r>
        <w:rPr>
          <w:rFonts w:hint="eastAsia"/>
          <w:highlight w:val="none"/>
          <w:lang w:val="en-US" w:eastAsia="zh-CN"/>
        </w:rPr>
        <w:t>4</w:t>
      </w:r>
      <w:r>
        <w:rPr>
          <w:rFonts w:hint="eastAsia"/>
          <w:highlight w:val="none"/>
        </w:rPr>
        <w:t>.2.1.1气象特征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评价采用正阳县气象站气象观测资料。</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正阳县气候属于大陆性暖温带季风型的亚湿润气候，四季分明，气候温和。据正阳县气象台多年气象资料统计，城区年平均气温14.8℃，年平均气压1006.9hPa，年平均相对湿度72</w:t>
      </w:r>
      <w:r>
        <w:rPr>
          <w:rFonts w:hint="eastAsia" w:ascii="Times New Roman" w:hAnsi="Times New Roman"/>
          <w:color w:val="000000"/>
          <w:sz w:val="24"/>
          <w:highlight w:val="none"/>
          <w:lang w:val="en-US" w:eastAsia="zh-CN"/>
        </w:rPr>
        <w:t>%</w:t>
      </w:r>
      <w:r>
        <w:rPr>
          <w:rFonts w:ascii="Times New Roman" w:hAnsi="Times New Roman"/>
          <w:color w:val="000000"/>
          <w:sz w:val="24"/>
          <w:highlight w:val="none"/>
        </w:rPr>
        <w:t>，年日照时数2089小时，平均年降水量870.7mm，多年平均风速3.4m/s。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1）地面风向、</w:t>
      </w:r>
      <w:r>
        <w:rPr>
          <w:rFonts w:ascii="Times New Roman" w:hAnsi="Times New Roman"/>
          <w:spacing w:val="2"/>
          <w:sz w:val="24"/>
          <w:highlight w:val="none"/>
        </w:rPr>
        <w:t>风速</w:t>
      </w:r>
      <w:r>
        <w:rPr>
          <w:rFonts w:ascii="Times New Roman" w:hAnsi="Times New Roman"/>
          <w:color w:val="000000"/>
          <w:sz w:val="24"/>
          <w:highlight w:val="none"/>
        </w:rPr>
        <w:t>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A、地面风向频率分布</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正阳县春、夏、秋、冬四季及全年风频率统计值见表</w:t>
      </w:r>
      <w:r>
        <w:rPr>
          <w:rFonts w:hint="eastAsia"/>
          <w:color w:val="000000"/>
          <w:sz w:val="24"/>
          <w:highlight w:val="none"/>
          <w:lang w:val="en-US" w:eastAsia="zh-CN"/>
        </w:rPr>
        <w:t>4.2</w:t>
      </w:r>
      <w:r>
        <w:rPr>
          <w:rFonts w:ascii="Times New Roman" w:hAnsi="Times New Roman"/>
          <w:color w:val="000000"/>
          <w:sz w:val="24"/>
          <w:highlight w:val="none"/>
        </w:rPr>
        <w:t>-</w:t>
      </w:r>
      <w:r>
        <w:rPr>
          <w:rFonts w:hint="eastAsia"/>
          <w:color w:val="000000"/>
          <w:sz w:val="24"/>
          <w:highlight w:val="none"/>
          <w:lang w:val="en-US" w:eastAsia="zh-CN"/>
        </w:rPr>
        <w:t>1</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统计结果表明，评价区域全年最多风向为N(北)，频率为8.36%；次多风向为NNE(东北偏北)，频率为7.80%；依次较多的还有NNW(西北偏北7.11%)、NE(东北6.90%)、WNW(西北偏西6.39%)、NW(西北6.00%)、SSW(东南偏南5.94%)等。</w:t>
      </w:r>
    </w:p>
    <w:p>
      <w:pPr>
        <w:pStyle w:val="40"/>
        <w:rPr>
          <w:rFonts w:hint="eastAsia" w:ascii="Times New Roman" w:hAnsi="Times New Roman" w:eastAsia="宋体" w:cs="Times New Roman"/>
          <w:b/>
          <w:kern w:val="2"/>
          <w:sz w:val="21"/>
          <w:szCs w:val="24"/>
          <w:highlight w:val="none"/>
          <w:lang w:val="en-US" w:eastAsia="zh-CN" w:bidi="ar-SA"/>
        </w:rPr>
      </w:pPr>
      <w:r>
        <w:rPr>
          <w:rFonts w:hint="eastAsia" w:ascii="Times New Roman" w:hAnsi="Times New Roman" w:eastAsia="宋体" w:cs="Times New Roman"/>
          <w:b/>
          <w:kern w:val="2"/>
          <w:sz w:val="21"/>
          <w:szCs w:val="24"/>
          <w:highlight w:val="none"/>
          <w:lang w:val="en-US" w:eastAsia="zh-CN" w:bidi="ar-SA"/>
        </w:rPr>
        <w:t>表</w:t>
      </w:r>
      <w:r>
        <w:rPr>
          <w:rFonts w:hint="eastAsia" w:cs="Times New Roman"/>
          <w:b/>
          <w:kern w:val="2"/>
          <w:sz w:val="21"/>
          <w:szCs w:val="24"/>
          <w:highlight w:val="none"/>
          <w:lang w:val="en-US" w:eastAsia="zh-CN" w:bidi="ar-SA"/>
        </w:rPr>
        <w:t>4</w:t>
      </w:r>
      <w:r>
        <w:rPr>
          <w:rFonts w:hint="eastAsia" w:ascii="Times New Roman" w:hAnsi="Times New Roman" w:eastAsia="宋体" w:cs="Times New Roman"/>
          <w:b/>
          <w:kern w:val="2"/>
          <w:sz w:val="21"/>
          <w:szCs w:val="24"/>
          <w:highlight w:val="none"/>
          <w:lang w:val="en-US" w:eastAsia="zh-CN" w:bidi="ar-SA"/>
        </w:rPr>
        <w:t>.2-1 全年及四季风向频率（%）分布</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45"/>
        <w:gridCol w:w="506"/>
        <w:gridCol w:w="481"/>
        <w:gridCol w:w="506"/>
        <w:gridCol w:w="467"/>
        <w:gridCol w:w="442"/>
        <w:gridCol w:w="446"/>
        <w:gridCol w:w="442"/>
        <w:gridCol w:w="442"/>
        <w:gridCol w:w="442"/>
        <w:gridCol w:w="501"/>
        <w:gridCol w:w="442"/>
        <w:gridCol w:w="531"/>
        <w:gridCol w:w="442"/>
        <w:gridCol w:w="553"/>
        <w:gridCol w:w="442"/>
        <w:gridCol w:w="524"/>
        <w:gridCol w:w="5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20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风向</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w:t>
            </w:r>
          </w:p>
        </w:tc>
        <w:tc>
          <w:tcPr>
            <w:tcW w:w="2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NNE</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NE</w:t>
            </w:r>
          </w:p>
        </w:tc>
        <w:tc>
          <w:tcPr>
            <w:tcW w:w="27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ENE</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E</w:t>
            </w:r>
          </w:p>
        </w:tc>
        <w:tc>
          <w:tcPr>
            <w:tcW w:w="26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ESE</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SE</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SSE</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w:t>
            </w:r>
          </w:p>
        </w:tc>
        <w:tc>
          <w:tcPr>
            <w:tcW w:w="29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SSW</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SW</w:t>
            </w:r>
          </w:p>
        </w:tc>
        <w:tc>
          <w:tcPr>
            <w:tcW w:w="31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WSW</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w:t>
            </w:r>
          </w:p>
        </w:tc>
        <w:tc>
          <w:tcPr>
            <w:tcW w:w="32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WNW</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NW</w:t>
            </w:r>
          </w:p>
        </w:tc>
        <w:tc>
          <w:tcPr>
            <w:tcW w:w="3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NNW</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静风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20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春季</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4.09</w:t>
            </w:r>
          </w:p>
        </w:tc>
        <w:tc>
          <w:tcPr>
            <w:tcW w:w="2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6.26</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4.35</w:t>
            </w:r>
          </w:p>
        </w:tc>
        <w:tc>
          <w:tcPr>
            <w:tcW w:w="27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3.53</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5.96</w:t>
            </w:r>
          </w:p>
        </w:tc>
        <w:tc>
          <w:tcPr>
            <w:tcW w:w="26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3.00</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4.32</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4.34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6.54</w:t>
            </w:r>
          </w:p>
        </w:tc>
        <w:tc>
          <w:tcPr>
            <w:tcW w:w="29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5.74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3.54</w:t>
            </w:r>
          </w:p>
        </w:tc>
        <w:tc>
          <w:tcPr>
            <w:tcW w:w="31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3.82</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7.37</w:t>
            </w:r>
          </w:p>
        </w:tc>
        <w:tc>
          <w:tcPr>
            <w:tcW w:w="32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4.88</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5.18</w:t>
            </w:r>
          </w:p>
        </w:tc>
        <w:tc>
          <w:tcPr>
            <w:tcW w:w="3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4.87</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20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夏季</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6.52</w:t>
            </w:r>
          </w:p>
        </w:tc>
        <w:tc>
          <w:tcPr>
            <w:tcW w:w="2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6.74</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6.46</w:t>
            </w:r>
          </w:p>
        </w:tc>
        <w:tc>
          <w:tcPr>
            <w:tcW w:w="27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4.87</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4.04</w:t>
            </w:r>
          </w:p>
        </w:tc>
        <w:tc>
          <w:tcPr>
            <w:tcW w:w="26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4.88</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5.18</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5.45</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7.66</w:t>
            </w:r>
          </w:p>
        </w:tc>
        <w:tc>
          <w:tcPr>
            <w:tcW w:w="29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11.74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8.14</w:t>
            </w:r>
          </w:p>
        </w:tc>
        <w:tc>
          <w:tcPr>
            <w:tcW w:w="31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1.93</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2.74</w:t>
            </w:r>
          </w:p>
        </w:tc>
        <w:tc>
          <w:tcPr>
            <w:tcW w:w="32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4.59</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4.89</w:t>
            </w:r>
          </w:p>
        </w:tc>
        <w:tc>
          <w:tcPr>
            <w:tcW w:w="3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7.04</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20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秋季</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8.77</w:t>
            </w:r>
          </w:p>
        </w:tc>
        <w:tc>
          <w:tcPr>
            <w:tcW w:w="2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8.53</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12.09</w:t>
            </w:r>
          </w:p>
        </w:tc>
        <w:tc>
          <w:tcPr>
            <w:tcW w:w="27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3.58</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6.08</w:t>
            </w:r>
          </w:p>
        </w:tc>
        <w:tc>
          <w:tcPr>
            <w:tcW w:w="26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3.30</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3.85</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4.11</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4.67</w:t>
            </w:r>
          </w:p>
        </w:tc>
        <w:tc>
          <w:tcPr>
            <w:tcW w:w="29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3.27</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0.55</w:t>
            </w:r>
          </w:p>
        </w:tc>
        <w:tc>
          <w:tcPr>
            <w:tcW w:w="31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2.20</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4.11</w:t>
            </w:r>
          </w:p>
        </w:tc>
        <w:tc>
          <w:tcPr>
            <w:tcW w:w="32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9.92</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6.87</w:t>
            </w:r>
          </w:p>
        </w:tc>
        <w:tc>
          <w:tcPr>
            <w:tcW w:w="3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7.96</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20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冬季</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14.07</w:t>
            </w:r>
          </w:p>
        </w:tc>
        <w:tc>
          <w:tcPr>
            <w:tcW w:w="2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9.70</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4.68</w:t>
            </w:r>
          </w:p>
        </w:tc>
        <w:tc>
          <w:tcPr>
            <w:tcW w:w="27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5.34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3.91</w:t>
            </w:r>
          </w:p>
        </w:tc>
        <w:tc>
          <w:tcPr>
            <w:tcW w:w="26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4.86</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3.67</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3.37</w:t>
            </w:r>
          </w:p>
        </w:tc>
        <w:tc>
          <w:tcPr>
            <w:tcW w:w="29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3.02</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1.64</w:t>
            </w:r>
          </w:p>
        </w:tc>
        <w:tc>
          <w:tcPr>
            <w:tcW w:w="31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0.54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4.93</w:t>
            </w:r>
          </w:p>
        </w:tc>
        <w:tc>
          <w:tcPr>
            <w:tcW w:w="32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6.18</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7.01</w:t>
            </w:r>
          </w:p>
        </w:tc>
        <w:tc>
          <w:tcPr>
            <w:tcW w:w="3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8.56</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20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全年</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8.36</w:t>
            </w:r>
          </w:p>
        </w:tc>
        <w:tc>
          <w:tcPr>
            <w:tcW w:w="2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7.80</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6.90</w:t>
            </w:r>
          </w:p>
        </w:tc>
        <w:tc>
          <w:tcPr>
            <w:tcW w:w="27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4.33</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5.00</w:t>
            </w:r>
          </w:p>
        </w:tc>
        <w:tc>
          <w:tcPr>
            <w:tcW w:w="26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3.28</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4.55</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4.39</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5.56</w:t>
            </w:r>
          </w:p>
        </w:tc>
        <w:tc>
          <w:tcPr>
            <w:tcW w:w="29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5.94</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3.48</w:t>
            </w:r>
          </w:p>
        </w:tc>
        <w:tc>
          <w:tcPr>
            <w:tcW w:w="313"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2.12</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4.78</w:t>
            </w:r>
          </w:p>
        </w:tc>
        <w:tc>
          <w:tcPr>
            <w:tcW w:w="326"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6.39</w:t>
            </w:r>
          </w:p>
        </w:tc>
        <w:tc>
          <w:tcPr>
            <w:tcW w:w="261"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6.00</w:t>
            </w:r>
          </w:p>
        </w:tc>
        <w:tc>
          <w:tcPr>
            <w:tcW w:w="30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7.11</w:t>
            </w:r>
          </w:p>
        </w:tc>
        <w:tc>
          <w:tcPr>
            <w:tcW w:w="299"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14.01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highlight w:val="none"/>
        </w:rPr>
        <w:t>从上表可以看出：</w:t>
      </w:r>
      <w:r>
        <w:rPr>
          <w:rFonts w:ascii="Times New Roman" w:hAnsi="Times New Roman"/>
          <w:color w:val="000000"/>
          <w:sz w:val="24"/>
          <w:highlight w:val="none"/>
        </w:rPr>
        <w:t>全年风向频率较高的风向区域为WNW－N－NE扇形区域，风频之和为42.56%，SE－SSW扇形方位风频之和20.44%。因此不难看出区域全年最多的是偏北风，次多的是东北偏北风。全年静风频率为14.01</w:t>
      </w:r>
      <w:r>
        <w:rPr>
          <w:rFonts w:hint="eastAsia" w:ascii="Times New Roman" w:hAnsi="Times New Roman"/>
          <w:color w:val="000000"/>
          <w:sz w:val="24"/>
          <w:highlight w:val="none"/>
          <w:lang w:val="en-US" w:eastAsia="zh-CN"/>
        </w:rPr>
        <w:t>%</w:t>
      </w:r>
      <w:r>
        <w:rPr>
          <w:rFonts w:ascii="Times New Roman" w:hAnsi="Times New Roman"/>
          <w:color w:val="000000"/>
          <w:sz w:val="24"/>
          <w:highlight w:val="none"/>
        </w:rPr>
        <w:t>。</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b w:val="0"/>
          <w:kern w:val="2"/>
          <w:sz w:val="24"/>
          <w:szCs w:val="24"/>
          <w:highlight w:val="none"/>
          <w:lang w:val="en-US" w:eastAsia="zh-CN" w:bidi="ar-SA"/>
        </w:rPr>
      </w:pPr>
      <w:r>
        <w:rPr>
          <w:rFonts w:hint="eastAsia" w:cstheme="minorBidi"/>
          <w:b w:val="0"/>
          <w:kern w:val="2"/>
          <w:sz w:val="24"/>
          <w:szCs w:val="24"/>
          <w:highlight w:val="none"/>
          <w:lang w:val="en-US" w:eastAsia="zh-CN" w:bidi="ar-SA"/>
        </w:rPr>
        <w:t>B、地面风速</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依据正阳县地面风速资料统计结果可知，该地区全年平均风速为1.9m/s（项目所在区域多年平均风速为3.4m/s）。各月及全年平均风速统计值见表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2</w:t>
      </w:r>
      <w:r>
        <w:rPr>
          <w:rFonts w:hint="eastAsia" w:ascii="Times New Roman" w:hAnsi="Times New Roman" w:eastAsia="宋体" w:cstheme="minorBidi"/>
          <w:b w:val="0"/>
          <w:kern w:val="2"/>
          <w:sz w:val="24"/>
          <w:szCs w:val="24"/>
          <w:highlight w:val="none"/>
          <w:lang w:val="en-US" w:eastAsia="zh-CN" w:bidi="ar-SA"/>
        </w:rPr>
        <w:t>，各季平均风速见表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3</w:t>
      </w:r>
      <w:r>
        <w:rPr>
          <w:rFonts w:hint="eastAsia" w:ascii="Times New Roman" w:hAnsi="Times New Roman" w:eastAsia="宋体" w:cstheme="minorBidi"/>
          <w:b w:val="0"/>
          <w:kern w:val="2"/>
          <w:sz w:val="24"/>
          <w:szCs w:val="24"/>
          <w:highlight w:val="none"/>
          <w:lang w:val="en-US" w:eastAsia="zh-CN" w:bidi="ar-SA"/>
        </w:rPr>
        <w:t>，各风向平均风速见表</w:t>
      </w:r>
      <w:r>
        <w:rPr>
          <w:rFonts w:hint="eastAsia" w:cstheme="minorBidi"/>
          <w:b w:val="0"/>
          <w:kern w:val="2"/>
          <w:sz w:val="24"/>
          <w:szCs w:val="24"/>
          <w:highlight w:val="none"/>
          <w:lang w:val="en-US" w:eastAsia="zh-CN" w:bidi="ar-SA"/>
        </w:rPr>
        <w:t>4.2</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4</w:t>
      </w:r>
      <w:r>
        <w:rPr>
          <w:rFonts w:hint="eastAsia" w:ascii="Times New Roman" w:hAnsi="Times New Roman" w:eastAsia="宋体" w:cstheme="minorBidi"/>
          <w:b w:val="0"/>
          <w:kern w:val="2"/>
          <w:sz w:val="24"/>
          <w:szCs w:val="24"/>
          <w:highlight w:val="none"/>
          <w:lang w:val="en-US" w:eastAsia="zh-CN" w:bidi="ar-SA"/>
        </w:rPr>
        <w:t>。</w:t>
      </w:r>
    </w:p>
    <w:p>
      <w:pPr>
        <w:pStyle w:val="40"/>
        <w:rPr>
          <w:rFonts w:hint="eastAsia"/>
          <w:highlight w:val="none"/>
          <w:lang w:val="en-US" w:eastAsia="zh-CN"/>
        </w:rPr>
      </w:pPr>
      <w:r>
        <w:rPr>
          <w:rFonts w:hint="eastAsia"/>
          <w:highlight w:val="none"/>
          <w:lang w:val="en-US" w:eastAsia="zh-CN"/>
        </w:rPr>
        <w:t>表4.2-2 各月及全年平均风速（m/s）  单位：m/s</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643"/>
        <w:gridCol w:w="484"/>
        <w:gridCol w:w="484"/>
        <w:gridCol w:w="484"/>
        <w:gridCol w:w="484"/>
        <w:gridCol w:w="579"/>
        <w:gridCol w:w="483"/>
        <w:gridCol w:w="484"/>
        <w:gridCol w:w="484"/>
        <w:gridCol w:w="645"/>
        <w:gridCol w:w="629"/>
        <w:gridCol w:w="644"/>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1" w:type="pct"/>
            <w:tcBorders>
              <w:top w:val="single" w:color="auto" w:sz="12" w:space="0"/>
              <w:left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月份</w:t>
            </w:r>
          </w:p>
        </w:tc>
        <w:tc>
          <w:tcPr>
            <w:tcW w:w="380"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w:t>
            </w:r>
          </w:p>
        </w:tc>
        <w:tc>
          <w:tcPr>
            <w:tcW w:w="286"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2</w:t>
            </w:r>
          </w:p>
        </w:tc>
        <w:tc>
          <w:tcPr>
            <w:tcW w:w="286"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3</w:t>
            </w:r>
          </w:p>
        </w:tc>
        <w:tc>
          <w:tcPr>
            <w:tcW w:w="286"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4</w:t>
            </w:r>
          </w:p>
        </w:tc>
        <w:tc>
          <w:tcPr>
            <w:tcW w:w="286"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5</w:t>
            </w:r>
          </w:p>
        </w:tc>
        <w:tc>
          <w:tcPr>
            <w:tcW w:w="342"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6</w:t>
            </w:r>
          </w:p>
        </w:tc>
        <w:tc>
          <w:tcPr>
            <w:tcW w:w="285"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7</w:t>
            </w:r>
          </w:p>
        </w:tc>
        <w:tc>
          <w:tcPr>
            <w:tcW w:w="286"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8</w:t>
            </w:r>
          </w:p>
        </w:tc>
        <w:tc>
          <w:tcPr>
            <w:tcW w:w="286"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9</w:t>
            </w:r>
          </w:p>
        </w:tc>
        <w:tc>
          <w:tcPr>
            <w:tcW w:w="381"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10</w:t>
            </w:r>
          </w:p>
        </w:tc>
        <w:tc>
          <w:tcPr>
            <w:tcW w:w="371"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11</w:t>
            </w:r>
          </w:p>
        </w:tc>
        <w:tc>
          <w:tcPr>
            <w:tcW w:w="380" w:type="pct"/>
            <w:tcBorders>
              <w:top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12</w:t>
            </w:r>
          </w:p>
        </w:tc>
        <w:tc>
          <w:tcPr>
            <w:tcW w:w="570" w:type="pct"/>
            <w:tcBorders>
              <w:top w:val="single" w:color="auto" w:sz="12" w:space="0"/>
              <w:right w:val="single" w:color="auto" w:sz="12" w:space="0"/>
            </w:tcBorders>
            <w:vAlign w:val="center"/>
          </w:tcPr>
          <w:p>
            <w:pPr>
              <w:spacing w:line="240" w:lineRule="auto"/>
              <w:ind w:firstLine="0" w:firstLineChars="0"/>
              <w:jc w:val="center"/>
              <w:rPr>
                <w:rFonts w:cs="Times New Roman"/>
                <w:b w:val="0"/>
                <w:bCs/>
                <w:sz w:val="21"/>
                <w:szCs w:val="21"/>
                <w:highlight w:val="none"/>
              </w:rPr>
            </w:pPr>
            <w:r>
              <w:rPr>
                <w:rFonts w:hint="eastAsia" w:cs="Times New Roman"/>
                <w:b w:val="0"/>
                <w:bCs/>
                <w:sz w:val="21"/>
                <w:szCs w:val="21"/>
                <w:highlight w:val="none"/>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tcBorders>
              <w:left w:val="single" w:color="auto" w:sz="12" w:space="0"/>
              <w:bottom w:val="single" w:color="auto" w:sz="12" w:space="0"/>
            </w:tcBorders>
            <w:vAlign w:val="center"/>
          </w:tcPr>
          <w:p>
            <w:pPr>
              <w:spacing w:line="240" w:lineRule="auto"/>
              <w:ind w:firstLine="0" w:firstLineChars="0"/>
              <w:jc w:val="center"/>
              <w:rPr>
                <w:rFonts w:cs="Times New Roman"/>
                <w:b/>
                <w:sz w:val="21"/>
                <w:szCs w:val="21"/>
                <w:highlight w:val="none"/>
              </w:rPr>
            </w:pPr>
            <w:r>
              <w:rPr>
                <w:rFonts w:hint="eastAsia" w:cs="Times New Roman"/>
                <w:b w:val="0"/>
                <w:bCs/>
                <w:sz w:val="21"/>
                <w:szCs w:val="21"/>
                <w:highlight w:val="none"/>
              </w:rPr>
              <w:t>风速</w:t>
            </w:r>
          </w:p>
        </w:tc>
        <w:tc>
          <w:tcPr>
            <w:tcW w:w="380"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0.9</w:t>
            </w:r>
          </w:p>
        </w:tc>
        <w:tc>
          <w:tcPr>
            <w:tcW w:w="286"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c>
          <w:tcPr>
            <w:tcW w:w="286"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1.6</w:t>
            </w:r>
          </w:p>
        </w:tc>
        <w:tc>
          <w:tcPr>
            <w:tcW w:w="286"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286"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w:t>
            </w:r>
          </w:p>
        </w:tc>
        <w:tc>
          <w:tcPr>
            <w:tcW w:w="342"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2.4</w:t>
            </w:r>
          </w:p>
        </w:tc>
        <w:tc>
          <w:tcPr>
            <w:tcW w:w="285"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2.0</w:t>
            </w:r>
          </w:p>
        </w:tc>
        <w:tc>
          <w:tcPr>
            <w:tcW w:w="286"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2.2</w:t>
            </w:r>
          </w:p>
        </w:tc>
        <w:tc>
          <w:tcPr>
            <w:tcW w:w="286"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1.7</w:t>
            </w:r>
          </w:p>
        </w:tc>
        <w:tc>
          <w:tcPr>
            <w:tcW w:w="381"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c>
          <w:tcPr>
            <w:tcW w:w="371"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1.8</w:t>
            </w:r>
          </w:p>
        </w:tc>
        <w:tc>
          <w:tcPr>
            <w:tcW w:w="380" w:type="pct"/>
            <w:tcBorders>
              <w:bottom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2.3</w:t>
            </w:r>
          </w:p>
        </w:tc>
        <w:tc>
          <w:tcPr>
            <w:tcW w:w="570" w:type="pct"/>
            <w:tcBorders>
              <w:bottom w:val="single" w:color="auto" w:sz="12" w:space="0"/>
              <w:right w:val="single" w:color="auto" w:sz="12" w:space="0"/>
            </w:tcBorders>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1.9</w:t>
            </w:r>
          </w:p>
        </w:tc>
      </w:tr>
    </w:tbl>
    <w:p>
      <w:pPr>
        <w:ind w:firstLine="480"/>
        <w:rPr>
          <w:highlight w:val="none"/>
        </w:rPr>
      </w:pPr>
      <w:r>
        <w:rPr>
          <w:rFonts w:hint="eastAsia"/>
          <w:highlight w:val="none"/>
        </w:rPr>
        <w:t>从表上可见评价区域7月平均风速较大，为2.7m/s，年平均风速为2.4m/s。</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.2-3 各季平均风速(m/s)</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873"/>
        <w:gridCol w:w="1875"/>
        <w:gridCol w:w="187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6" w:type="pct"/>
            <w:tcBorders>
              <w:top w:val="single" w:color="auto" w:sz="12" w:space="0"/>
              <w:lef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时间</w:t>
            </w:r>
          </w:p>
        </w:tc>
        <w:tc>
          <w:tcPr>
            <w:tcW w:w="1107"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春季</w:t>
            </w:r>
          </w:p>
        </w:tc>
        <w:tc>
          <w:tcPr>
            <w:tcW w:w="1108"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夏季</w:t>
            </w:r>
          </w:p>
        </w:tc>
        <w:tc>
          <w:tcPr>
            <w:tcW w:w="1108" w:type="pct"/>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秋季</w:t>
            </w:r>
          </w:p>
        </w:tc>
        <w:tc>
          <w:tcPr>
            <w:tcW w:w="1009" w:type="pct"/>
            <w:tcBorders>
              <w:top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6" w:type="pct"/>
            <w:tcBorders>
              <w:left w:val="single" w:color="auto" w:sz="12" w:space="0"/>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平均风速</w:t>
            </w:r>
          </w:p>
        </w:tc>
        <w:tc>
          <w:tcPr>
            <w:tcW w:w="1107"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1.8</w:t>
            </w:r>
          </w:p>
        </w:tc>
        <w:tc>
          <w:tcPr>
            <w:tcW w:w="1108"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2.2</w:t>
            </w:r>
          </w:p>
        </w:tc>
        <w:tc>
          <w:tcPr>
            <w:tcW w:w="1108" w:type="pct"/>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1.8</w:t>
            </w:r>
          </w:p>
        </w:tc>
        <w:tc>
          <w:tcPr>
            <w:tcW w:w="1009" w:type="pct"/>
            <w:tcBorders>
              <w:bottom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1.7</w:t>
            </w:r>
          </w:p>
        </w:tc>
      </w:tr>
    </w:tbl>
    <w:p>
      <w:pPr>
        <w:pStyle w:val="40"/>
        <w:rPr>
          <w:rFonts w:hint="eastAsia"/>
          <w:highlight w:val="none"/>
        </w:rPr>
      </w:pPr>
      <w:r>
        <w:rPr>
          <w:rFonts w:hint="eastAsia"/>
          <w:highlight w:val="none"/>
        </w:rPr>
        <w:t>表</w:t>
      </w:r>
      <w:r>
        <w:rPr>
          <w:rFonts w:hint="eastAsia"/>
          <w:highlight w:val="none"/>
          <w:lang w:val="en-US" w:eastAsia="zh-CN"/>
        </w:rPr>
        <w:t>4.2-4</w:t>
      </w:r>
      <w:r>
        <w:rPr>
          <w:rFonts w:hint="eastAsia"/>
          <w:highlight w:val="none"/>
        </w:rPr>
        <w:t xml:space="preserve">  各风向平均风速(m/s)</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418"/>
        <w:gridCol w:w="558"/>
        <w:gridCol w:w="441"/>
        <w:gridCol w:w="461"/>
        <w:gridCol w:w="505"/>
        <w:gridCol w:w="522"/>
        <w:gridCol w:w="418"/>
        <w:gridCol w:w="504"/>
        <w:gridCol w:w="418"/>
        <w:gridCol w:w="558"/>
        <w:gridCol w:w="468"/>
        <w:gridCol w:w="629"/>
        <w:gridCol w:w="418"/>
        <w:gridCol w:w="656"/>
        <w:gridCol w:w="495"/>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78" w:type="dxa"/>
            <w:tcBorders>
              <w:top w:val="single" w:color="auto" w:sz="12" w:space="0"/>
              <w:lef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风向</w:t>
            </w:r>
          </w:p>
        </w:tc>
        <w:tc>
          <w:tcPr>
            <w:tcW w:w="41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w:t>
            </w:r>
          </w:p>
        </w:tc>
        <w:tc>
          <w:tcPr>
            <w:tcW w:w="55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NNE</w:t>
            </w:r>
          </w:p>
        </w:tc>
        <w:tc>
          <w:tcPr>
            <w:tcW w:w="441"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NE</w:t>
            </w:r>
          </w:p>
        </w:tc>
        <w:tc>
          <w:tcPr>
            <w:tcW w:w="461"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ENE</w:t>
            </w:r>
          </w:p>
        </w:tc>
        <w:tc>
          <w:tcPr>
            <w:tcW w:w="50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w:t>
            </w:r>
          </w:p>
        </w:tc>
        <w:tc>
          <w:tcPr>
            <w:tcW w:w="522"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ESE</w:t>
            </w:r>
          </w:p>
        </w:tc>
        <w:tc>
          <w:tcPr>
            <w:tcW w:w="41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SE</w:t>
            </w:r>
          </w:p>
        </w:tc>
        <w:tc>
          <w:tcPr>
            <w:tcW w:w="504"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SSE</w:t>
            </w:r>
          </w:p>
        </w:tc>
        <w:tc>
          <w:tcPr>
            <w:tcW w:w="41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w:t>
            </w:r>
          </w:p>
        </w:tc>
        <w:tc>
          <w:tcPr>
            <w:tcW w:w="55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SSW</w:t>
            </w:r>
          </w:p>
        </w:tc>
        <w:tc>
          <w:tcPr>
            <w:tcW w:w="46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SW</w:t>
            </w:r>
          </w:p>
        </w:tc>
        <w:tc>
          <w:tcPr>
            <w:tcW w:w="629"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WSW</w:t>
            </w:r>
          </w:p>
        </w:tc>
        <w:tc>
          <w:tcPr>
            <w:tcW w:w="418"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w:t>
            </w:r>
          </w:p>
        </w:tc>
        <w:tc>
          <w:tcPr>
            <w:tcW w:w="656"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WNW</w:t>
            </w:r>
          </w:p>
        </w:tc>
        <w:tc>
          <w:tcPr>
            <w:tcW w:w="495" w:type="dxa"/>
            <w:tcBorders>
              <w:top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NW</w:t>
            </w:r>
          </w:p>
        </w:tc>
        <w:tc>
          <w:tcPr>
            <w:tcW w:w="613" w:type="dxa"/>
            <w:tcBorders>
              <w:top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NNW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78" w:type="dxa"/>
            <w:tcBorders>
              <w:left w:val="single" w:color="auto" w:sz="12" w:space="0"/>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风速</w:t>
            </w:r>
          </w:p>
        </w:tc>
        <w:tc>
          <w:tcPr>
            <w:tcW w:w="41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5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1.9</w:t>
            </w:r>
          </w:p>
        </w:tc>
        <w:tc>
          <w:tcPr>
            <w:tcW w:w="441"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2.1</w:t>
            </w:r>
          </w:p>
        </w:tc>
        <w:tc>
          <w:tcPr>
            <w:tcW w:w="461"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2.2</w:t>
            </w:r>
          </w:p>
        </w:tc>
        <w:tc>
          <w:tcPr>
            <w:tcW w:w="50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2.1</w:t>
            </w:r>
          </w:p>
        </w:tc>
        <w:tc>
          <w:tcPr>
            <w:tcW w:w="522"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2.5</w:t>
            </w:r>
          </w:p>
        </w:tc>
        <w:tc>
          <w:tcPr>
            <w:tcW w:w="41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504"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2.8</w:t>
            </w:r>
          </w:p>
        </w:tc>
        <w:tc>
          <w:tcPr>
            <w:tcW w:w="41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3.1</w:t>
            </w:r>
          </w:p>
        </w:tc>
        <w:tc>
          <w:tcPr>
            <w:tcW w:w="55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46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2.8</w:t>
            </w:r>
          </w:p>
        </w:tc>
        <w:tc>
          <w:tcPr>
            <w:tcW w:w="629"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2.7</w:t>
            </w:r>
          </w:p>
        </w:tc>
        <w:tc>
          <w:tcPr>
            <w:tcW w:w="418"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c>
          <w:tcPr>
            <w:tcW w:w="656"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2.0</w:t>
            </w:r>
          </w:p>
        </w:tc>
        <w:tc>
          <w:tcPr>
            <w:tcW w:w="495" w:type="dxa"/>
            <w:tcBorders>
              <w:bottom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c>
          <w:tcPr>
            <w:tcW w:w="613" w:type="dxa"/>
            <w:tcBorders>
              <w:bottom w:val="single" w:color="auto" w:sz="12" w:space="0"/>
              <w:right w:val="single" w:color="auto" w:sz="12" w:space="0"/>
            </w:tcBorders>
            <w:noWrap w:val="0"/>
            <w:vAlign w:val="center"/>
          </w:tcPr>
          <w:p>
            <w:pPr>
              <w:spacing w:line="240" w:lineRule="auto"/>
              <w:ind w:firstLine="0" w:firstLineChars="0"/>
              <w:jc w:val="center"/>
              <w:rPr>
                <w:rFonts w:hint="eastAsia" w:cs="Times New Roman"/>
                <w:b w:val="0"/>
                <w:bCs/>
                <w:sz w:val="21"/>
                <w:szCs w:val="21"/>
                <w:highlight w:val="none"/>
              </w:rPr>
            </w:pPr>
            <w:r>
              <w:rPr>
                <w:rFonts w:hint="eastAsia" w:cs="Times New Roman"/>
                <w:b w:val="0"/>
                <w:bCs/>
                <w:sz w:val="21"/>
                <w:szCs w:val="21"/>
                <w:highlight w:val="none"/>
              </w:rPr>
              <w:t>2.4</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lang w:eastAsia="zh-CN"/>
        </w:rPr>
      </w:pPr>
      <w:r>
        <w:rPr>
          <w:rFonts w:hint="eastAsia"/>
          <w:highlight w:val="none"/>
        </w:rPr>
        <w:t>从上表可以看出</w:t>
      </w:r>
      <w:r>
        <w:rPr>
          <w:rFonts w:hint="eastAsia"/>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a</w:t>
      </w:r>
      <w:r>
        <w:rPr>
          <w:rFonts w:hint="eastAsia" w:ascii="Times New Roman" w:hAnsi="Times New Roman"/>
          <w:color w:val="000000"/>
          <w:sz w:val="24"/>
          <w:highlight w:val="none"/>
          <w:lang w:eastAsia="zh-CN"/>
        </w:rPr>
        <w:t>：</w:t>
      </w:r>
      <w:r>
        <w:rPr>
          <w:rFonts w:ascii="Times New Roman" w:hAnsi="Times New Roman"/>
          <w:color w:val="000000"/>
          <w:sz w:val="24"/>
          <w:highlight w:val="none"/>
        </w:rPr>
        <w:t>全年平均风速1.</w:t>
      </w:r>
      <w:r>
        <w:rPr>
          <w:rFonts w:ascii="Times New Roman" w:hAnsi="Times New Roman"/>
          <w:spacing w:val="2"/>
          <w:sz w:val="24"/>
          <w:highlight w:val="none"/>
        </w:rPr>
        <w:t>9m</w:t>
      </w:r>
      <w:r>
        <w:rPr>
          <w:rFonts w:ascii="Times New Roman" w:hAnsi="Times New Roman"/>
          <w:color w:val="00000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b</w:t>
      </w:r>
      <w:r>
        <w:rPr>
          <w:rFonts w:hint="eastAsia" w:ascii="Times New Roman" w:hAnsi="Times New Roman"/>
          <w:color w:val="000000"/>
          <w:sz w:val="24"/>
          <w:highlight w:val="none"/>
          <w:lang w:eastAsia="zh-CN"/>
        </w:rPr>
        <w:t>：</w:t>
      </w:r>
      <w:r>
        <w:rPr>
          <w:rFonts w:ascii="Times New Roman" w:hAnsi="Times New Roman"/>
          <w:color w:val="000000"/>
          <w:sz w:val="24"/>
          <w:highlight w:val="none"/>
        </w:rPr>
        <w:t xml:space="preserve"> 全年中以6月份的平均风速最大</w:t>
      </w:r>
      <w:r>
        <w:rPr>
          <w:rFonts w:hint="eastAsia" w:ascii="Times New Roman" w:hAnsi="Times New Roman"/>
          <w:color w:val="000000"/>
          <w:sz w:val="24"/>
          <w:highlight w:val="none"/>
          <w:lang w:eastAsia="zh-CN"/>
        </w:rPr>
        <w:t>，</w:t>
      </w:r>
      <w:r>
        <w:rPr>
          <w:rFonts w:ascii="Times New Roman" w:hAnsi="Times New Roman"/>
          <w:color w:val="000000"/>
          <w:sz w:val="24"/>
          <w:highlight w:val="none"/>
        </w:rPr>
        <w:t>为2.4m/s，其次是12月份，为2.3m/s。风速最小的月份是1月份，为0.9m/s。以季节比较，一年四季中以夏季风速最高，平均风速为2.2m/s，其次是春、秋季，均为1.8m/s，冬季是全年中风速最小的季节，为1.7m/s。</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ascii="Times New Roman" w:hAnsi="Times New Roman"/>
          <w:color w:val="000000"/>
          <w:sz w:val="24"/>
          <w:highlight w:val="none"/>
          <w:lang w:val="en-US" w:eastAsia="zh-CN"/>
        </w:rPr>
        <w:t>c</w:t>
      </w:r>
      <w:r>
        <w:rPr>
          <w:rFonts w:hint="eastAsia" w:ascii="Times New Roman" w:hAnsi="Times New Roman"/>
          <w:color w:val="000000"/>
          <w:sz w:val="24"/>
          <w:highlight w:val="none"/>
          <w:lang w:eastAsia="zh-CN"/>
        </w:rPr>
        <w:t>：</w:t>
      </w:r>
      <w:r>
        <w:rPr>
          <w:rFonts w:ascii="Times New Roman" w:hAnsi="Times New Roman"/>
          <w:color w:val="000000"/>
          <w:sz w:val="24"/>
          <w:highlight w:val="none"/>
        </w:rPr>
        <w:t>各风向中，次多</w:t>
      </w:r>
      <w:r>
        <w:rPr>
          <w:rFonts w:ascii="Times New Roman" w:hAnsi="Times New Roman"/>
          <w:spacing w:val="2"/>
          <w:sz w:val="24"/>
          <w:highlight w:val="none"/>
        </w:rPr>
        <w:t>平均风速</w:t>
      </w:r>
      <w:r>
        <w:rPr>
          <w:rFonts w:ascii="Times New Roman" w:hAnsi="Times New Roman"/>
          <w:color w:val="000000"/>
          <w:sz w:val="24"/>
          <w:highlight w:val="none"/>
        </w:rPr>
        <w:t>较大，为3.1m/s，对减轻下风方的污染有利。</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hint="eastAsia"/>
          <w:highlight w:val="none"/>
          <w:lang w:val="en-US" w:eastAsia="zh-CN"/>
        </w:rPr>
        <w:t>2）</w:t>
      </w:r>
      <w:r>
        <w:rPr>
          <w:rFonts w:ascii="Times New Roman" w:hAnsi="Times New Roman"/>
          <w:color w:val="000000"/>
          <w:sz w:val="24"/>
          <w:highlight w:val="none"/>
        </w:rPr>
        <w:t>气温、气压、</w:t>
      </w:r>
      <w:r>
        <w:rPr>
          <w:rFonts w:ascii="Times New Roman" w:hAnsi="Times New Roman"/>
          <w:spacing w:val="2"/>
          <w:sz w:val="24"/>
          <w:highlight w:val="none"/>
        </w:rPr>
        <w:t>相对湿度</w:t>
      </w:r>
      <w:r>
        <w:rPr>
          <w:rFonts w:ascii="Times New Roman" w:hAnsi="Times New Roman"/>
          <w:color w:val="000000"/>
          <w:sz w:val="24"/>
          <w:highlight w:val="none"/>
        </w:rPr>
        <w:t>、降水量、蒸发量</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据驻马店市和正阳县多年气象资料统计，得到的主要气象要素值见表</w:t>
      </w:r>
      <w:r>
        <w:rPr>
          <w:rFonts w:hint="eastAsia"/>
          <w:color w:val="000000"/>
          <w:sz w:val="24"/>
          <w:highlight w:val="none"/>
          <w:lang w:val="en-US" w:eastAsia="zh-CN"/>
        </w:rPr>
        <w:t>4</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r>
        <w:rPr>
          <w:rFonts w:hint="eastAsia" w:ascii="Times New Roman" w:hAnsi="Times New Roman"/>
          <w:color w:val="000000"/>
          <w:sz w:val="24"/>
          <w:highlight w:val="none"/>
          <w:lang w:val="en-US" w:eastAsia="zh-CN"/>
        </w:rPr>
        <w:t>5</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bookmarkStart w:id="43" w:name="_Toc484427778"/>
      <w:bookmarkStart w:id="44" w:name="_Toc487643434"/>
      <w:r>
        <w:rPr>
          <w:rFonts w:ascii="Times New Roman" w:hAnsi="Times New Roman"/>
          <w:color w:val="000000"/>
          <w:sz w:val="24"/>
          <w:highlight w:val="none"/>
        </w:rPr>
        <w:t>3）大气稳定度</w:t>
      </w:r>
      <w:bookmarkEnd w:id="43"/>
      <w:bookmarkEnd w:id="44"/>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大气稳定度是</w:t>
      </w:r>
      <w:r>
        <w:rPr>
          <w:rFonts w:ascii="Times New Roman" w:hAnsi="Times New Roman"/>
          <w:spacing w:val="2"/>
          <w:sz w:val="24"/>
          <w:highlight w:val="none"/>
        </w:rPr>
        <w:t>大气湍流</w:t>
      </w:r>
      <w:r>
        <w:rPr>
          <w:rFonts w:ascii="Times New Roman" w:hAnsi="Times New Roman"/>
          <w:color w:val="000000"/>
          <w:sz w:val="24"/>
          <w:highlight w:val="none"/>
        </w:rPr>
        <w:t>运动强弱的重要标志，是影响大气扩散的重要因子。按《导则》的推荐，大气稳定度的划分采用经修订的帕斯奎尔（Pasquill）法（简称PS法），将大气稳定度分为强不稳定、不稳定、弱不稳定、中性、较稳定和稳定六级，分别以A、B、C、D、E、F表示。根据正阳县常规气象资料统计得出各季及全年大气稳定度分级结果，列于表</w:t>
      </w:r>
      <w:r>
        <w:rPr>
          <w:rFonts w:hint="eastAsia"/>
          <w:color w:val="000000"/>
          <w:sz w:val="24"/>
          <w:highlight w:val="none"/>
          <w:lang w:val="en-US" w:eastAsia="zh-CN"/>
        </w:rPr>
        <w:t>4</w:t>
      </w:r>
      <w:r>
        <w:rPr>
          <w:rFonts w:hint="eastAsia" w:ascii="Times New Roman" w:hAnsi="Times New Roman"/>
          <w:color w:val="000000"/>
          <w:sz w:val="24"/>
          <w:highlight w:val="none"/>
          <w:lang w:val="en-US" w:eastAsia="zh-CN"/>
        </w:rPr>
        <w:t>.2</w:t>
      </w:r>
      <w:r>
        <w:rPr>
          <w:rFonts w:ascii="Times New Roman" w:hAnsi="Times New Roman"/>
          <w:color w:val="000000"/>
          <w:sz w:val="24"/>
          <w:highlight w:val="none"/>
        </w:rPr>
        <w:t>-</w:t>
      </w:r>
      <w:r>
        <w:rPr>
          <w:rFonts w:hint="eastAsia" w:ascii="Times New Roman" w:hAnsi="Times New Roman"/>
          <w:color w:val="000000"/>
          <w:sz w:val="24"/>
          <w:highlight w:val="none"/>
          <w:lang w:val="en-US" w:eastAsia="zh-CN"/>
        </w:rPr>
        <w:t>6</w:t>
      </w:r>
      <w:r>
        <w:rPr>
          <w:rFonts w:ascii="Times New Roman" w:hAnsi="Times New Roman"/>
          <w:color w:val="000000"/>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表4.2-5  多年平均气温、气压、相对湿度、降水量、蒸发量统计结果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01"/>
        <w:gridCol w:w="1740"/>
        <w:gridCol w:w="1445"/>
        <w:gridCol w:w="1445"/>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5" w:type="pct"/>
            <w:tcBorders>
              <w:top w:val="single" w:color="auto" w:sz="12" w:space="0"/>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月份</w:t>
            </w:r>
          </w:p>
        </w:tc>
        <w:tc>
          <w:tcPr>
            <w:tcW w:w="88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平均气温(℃)</w:t>
            </w:r>
          </w:p>
        </w:tc>
        <w:tc>
          <w:tcPr>
            <w:tcW w:w="1028" w:type="pct"/>
            <w:tcBorders>
              <w:top w:val="single" w:color="auto" w:sz="12" w:space="0"/>
            </w:tcBorders>
            <w:noWrap w:val="0"/>
            <w:vAlign w:val="center"/>
          </w:tcPr>
          <w:p>
            <w:pPr>
              <w:spacing w:line="240" w:lineRule="auto"/>
              <w:ind w:firstLine="0" w:firstLineChars="0"/>
              <w:jc w:val="both"/>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平均气压(hPa)</w:t>
            </w:r>
          </w:p>
        </w:tc>
        <w:tc>
          <w:tcPr>
            <w:tcW w:w="854" w:type="pct"/>
            <w:tcBorders>
              <w:top w:val="single" w:color="auto" w:sz="12" w:space="0"/>
            </w:tcBorders>
            <w:noWrap w:val="0"/>
            <w:vAlign w:val="center"/>
          </w:tcPr>
          <w:p>
            <w:pPr>
              <w:spacing w:line="240" w:lineRule="auto"/>
              <w:ind w:firstLine="0" w:firstLineChars="0"/>
              <w:jc w:val="both"/>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相对湿度(%)</w:t>
            </w:r>
          </w:p>
        </w:tc>
        <w:tc>
          <w:tcPr>
            <w:tcW w:w="854"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降水量(mm)</w:t>
            </w:r>
          </w:p>
        </w:tc>
        <w:tc>
          <w:tcPr>
            <w:tcW w:w="809" w:type="pct"/>
            <w:tcBorders>
              <w:top w:val="single" w:color="auto" w:sz="12" w:space="0"/>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蒸发量(mm)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1.2</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1017.5</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2.9</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1015.5</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69</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27.6</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8.4</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1010.9</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47.4</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14.9</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1005.2</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72</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70.5</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5</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20.6</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1000.5</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72</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87.4</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25.3</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995.8</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67</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115.4</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27.2</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993.4</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81</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200.3</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26.4</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996.5</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82</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176.8</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21.2</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1006.6</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78</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113.6</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15.9</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1010.8</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74</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70.9</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9.3</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1015.3</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71</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40.9</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12</w:t>
            </w:r>
          </w:p>
        </w:tc>
        <w:tc>
          <w:tcPr>
            <w:tcW w:w="88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3.2</w:t>
            </w:r>
          </w:p>
        </w:tc>
        <w:tc>
          <w:tcPr>
            <w:tcW w:w="102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1017.3</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67</w:t>
            </w:r>
          </w:p>
        </w:tc>
        <w:tc>
          <w:tcPr>
            <w:tcW w:w="854"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15.3</w:t>
            </w:r>
          </w:p>
        </w:tc>
        <w:tc>
          <w:tcPr>
            <w:tcW w:w="809"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pct"/>
            <w:tcBorders>
              <w:left w:val="single" w:color="auto" w:sz="12" w:space="0"/>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全年</w:t>
            </w:r>
          </w:p>
        </w:tc>
        <w:tc>
          <w:tcPr>
            <w:tcW w:w="88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14.8</w:t>
            </w:r>
          </w:p>
        </w:tc>
        <w:tc>
          <w:tcPr>
            <w:tcW w:w="1028"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1006.9</w:t>
            </w:r>
          </w:p>
        </w:tc>
        <w:tc>
          <w:tcPr>
            <w:tcW w:w="854"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73</w:t>
            </w:r>
          </w:p>
        </w:tc>
        <w:tc>
          <w:tcPr>
            <w:tcW w:w="854"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fldChar w:fldCharType="begin"/>
            </w:r>
            <w:r>
              <w:rPr>
                <w:rFonts w:hint="default" w:ascii="Times New Roman" w:hAnsi="Times New Roman" w:cs="Times New Roman"/>
                <w:b w:val="0"/>
                <w:bCs/>
                <w:sz w:val="21"/>
                <w:szCs w:val="21"/>
                <w:highlight w:val="none"/>
              </w:rPr>
              <w:instrText xml:space="preserve"> =SUM(ABOVE) </w:instrText>
            </w:r>
            <w:r>
              <w:rPr>
                <w:rFonts w:hint="default" w:ascii="Times New Roman" w:hAnsi="Times New Roman" w:cs="Times New Roman"/>
                <w:b w:val="0"/>
                <w:bCs/>
                <w:sz w:val="21"/>
                <w:szCs w:val="21"/>
                <w:highlight w:val="none"/>
              </w:rPr>
              <w:fldChar w:fldCharType="separate"/>
            </w:r>
            <w:r>
              <w:rPr>
                <w:rFonts w:hint="default" w:ascii="Times New Roman" w:hAnsi="Times New Roman" w:cs="Times New Roman"/>
                <w:b w:val="0"/>
                <w:bCs/>
                <w:sz w:val="21"/>
                <w:szCs w:val="21"/>
                <w:highlight w:val="none"/>
              </w:rPr>
              <w:t>985.6</w:t>
            </w:r>
            <w:r>
              <w:rPr>
                <w:rFonts w:hint="default" w:ascii="Times New Roman" w:hAnsi="Times New Roman" w:cs="Times New Roman"/>
                <w:b w:val="0"/>
                <w:bCs/>
                <w:sz w:val="21"/>
                <w:szCs w:val="21"/>
                <w:highlight w:val="none"/>
              </w:rPr>
              <w:fldChar w:fldCharType="end"/>
            </w:r>
          </w:p>
        </w:tc>
        <w:tc>
          <w:tcPr>
            <w:tcW w:w="809" w:type="pct"/>
            <w:tcBorders>
              <w:bottom w:val="single" w:color="auto" w:sz="12" w:space="0"/>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1572.8</w:t>
            </w:r>
          </w:p>
        </w:tc>
      </w:tr>
    </w:tbl>
    <w:p>
      <w:pPr>
        <w:pStyle w:val="40"/>
        <w:rPr>
          <w:rFonts w:hint="eastAsia" w:cs="Times New Roman"/>
          <w:highlight w:val="none"/>
          <w:lang w:val="en-US" w:eastAsia="zh-CN"/>
        </w:rPr>
      </w:pPr>
      <w:r>
        <w:rPr>
          <w:rFonts w:hint="eastAsia" w:cs="Times New Roman"/>
          <w:highlight w:val="none"/>
          <w:lang w:val="en-US" w:eastAsia="zh-CN"/>
        </w:rPr>
        <w:t>表4.2-6  大气稳定度频率（%）</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944"/>
        <w:gridCol w:w="1145"/>
        <w:gridCol w:w="1145"/>
        <w:gridCol w:w="1145"/>
        <w:gridCol w:w="1145"/>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2" w:type="pct"/>
            <w:tcBorders>
              <w:top w:val="single" w:color="auto" w:sz="12" w:space="0"/>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稳定度类别</w:t>
            </w:r>
          </w:p>
        </w:tc>
        <w:tc>
          <w:tcPr>
            <w:tcW w:w="558"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A</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B</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C</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D</w:t>
            </w:r>
          </w:p>
        </w:tc>
        <w:tc>
          <w:tcPr>
            <w:tcW w:w="677" w:type="pct"/>
            <w:tcBorders>
              <w:top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E</w:t>
            </w:r>
          </w:p>
        </w:tc>
        <w:tc>
          <w:tcPr>
            <w:tcW w:w="740" w:type="pct"/>
            <w:tcBorders>
              <w:top w:val="single" w:color="auto" w:sz="12" w:space="0"/>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春季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0.27</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28.29</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10.32</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27.94</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19.56</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夏季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2.49</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18.52</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8.99</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40.35</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22.01</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秋季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0.00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19.75</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6.60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34.41</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29.09</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2" w:type="pct"/>
            <w:tcBorders>
              <w:lef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冬季</w:t>
            </w:r>
          </w:p>
        </w:tc>
        <w:tc>
          <w:tcPr>
            <w:tcW w:w="558"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0.00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9.87</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8.92</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36.30</w:t>
            </w:r>
          </w:p>
        </w:tc>
        <w:tc>
          <w:tcPr>
            <w:tcW w:w="677" w:type="pct"/>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31.48</w:t>
            </w:r>
          </w:p>
        </w:tc>
        <w:tc>
          <w:tcPr>
            <w:tcW w:w="740" w:type="pct"/>
            <w:tcBorders>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2" w:type="pct"/>
            <w:tcBorders>
              <w:left w:val="single" w:color="auto" w:sz="12" w:space="0"/>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全年</w:t>
            </w:r>
          </w:p>
        </w:tc>
        <w:tc>
          <w:tcPr>
            <w:tcW w:w="558"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0.69</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19.11</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8.71</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34.75</w:t>
            </w:r>
          </w:p>
        </w:tc>
        <w:tc>
          <w:tcPr>
            <w:tcW w:w="677" w:type="pct"/>
            <w:tcBorders>
              <w:bottom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25.54</w:t>
            </w:r>
          </w:p>
        </w:tc>
        <w:tc>
          <w:tcPr>
            <w:tcW w:w="740" w:type="pct"/>
            <w:tcBorders>
              <w:bottom w:val="single" w:color="auto" w:sz="12" w:space="0"/>
              <w:right w:val="single" w:color="auto" w:sz="12" w:space="0"/>
            </w:tcBorders>
            <w:noWrap w:val="0"/>
            <w:vAlign w:val="center"/>
          </w:tcPr>
          <w:p>
            <w:pPr>
              <w:spacing w:line="240" w:lineRule="auto"/>
              <w:ind w:firstLine="0" w:firstLineChars="0"/>
              <w:jc w:val="center"/>
              <w:rPr>
                <w:rFonts w:hint="default" w:ascii="Times New Roman" w:hAnsi="Times New Roman" w:cs="Times New Roman"/>
                <w:b w:val="0"/>
                <w:bCs/>
                <w:sz w:val="21"/>
                <w:szCs w:val="21"/>
                <w:highlight w:val="none"/>
              </w:rPr>
            </w:pPr>
            <w:r>
              <w:rPr>
                <w:rFonts w:hint="default" w:ascii="Times New Roman" w:hAnsi="Times New Roman" w:cs="Times New Roman"/>
                <w:b w:val="0"/>
                <w:bCs/>
                <w:sz w:val="21"/>
                <w:szCs w:val="21"/>
                <w:highlight w:val="none"/>
              </w:rPr>
              <w:t>11.20</w:t>
            </w:r>
          </w:p>
        </w:tc>
      </w:tr>
    </w:tbl>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000000"/>
          <w:sz w:val="24"/>
          <w:highlight w:val="none"/>
        </w:rPr>
      </w:pPr>
      <w:r>
        <w:rPr>
          <w:rFonts w:ascii="Times New Roman" w:hAnsi="Times New Roman"/>
          <w:color w:val="000000"/>
          <w:sz w:val="24"/>
          <w:highlight w:val="none"/>
        </w:rPr>
        <w:t>由上表可知，正阳县区域大气稳定度以中性类（D）频率最大，为34.75%，其次为较稳定类(E)和不稳定类（B），分别为25.54%和19.11%，总体表现为中性偏稳定类。各季中，冬季和秋季除‘中性类稳定度’较高外，‘较稳定类（E类）’出现也较高，在此气象条件下不利于污染物的扩散；春季除‘中性类稳定度’偏高外，“不稳定类”出现概率增高，此气象条件下则有利于污染物的稀释和扩散。根据稳定度在各季节出现的频率分析，春季为污染物最有利于扩散的季节，夏季次之，冬季为最不利于扩散的时期，其次是秋季。</w:t>
      </w:r>
    </w:p>
    <w:p>
      <w:pPr>
        <w:pStyle w:val="10"/>
        <w:rPr>
          <w:highlight w:val="none"/>
        </w:rPr>
      </w:pPr>
      <w:r>
        <w:rPr>
          <w:rFonts w:ascii="Times New Roman" w:hAnsi="Times New Roman"/>
          <w:b/>
          <w:snapToGrid w:val="0"/>
          <w:color w:val="000000"/>
          <w:highlight w:val="none"/>
        </w:rPr>
        <w:drawing>
          <wp:inline distT="0" distB="0" distL="114300" distR="114300">
            <wp:extent cx="4434205" cy="6885940"/>
            <wp:effectExtent l="0" t="0" r="444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8"/>
                    <a:stretch>
                      <a:fillRect/>
                    </a:stretch>
                  </pic:blipFill>
                  <pic:spPr>
                    <a:xfrm>
                      <a:off x="0" y="0"/>
                      <a:ext cx="4434205" cy="6885940"/>
                    </a:xfrm>
                    <a:prstGeom prst="rect">
                      <a:avLst/>
                    </a:prstGeom>
                    <a:noFill/>
                    <a:ln>
                      <a:noFill/>
                    </a:ln>
                  </pic:spPr>
                </pic:pic>
              </a:graphicData>
            </a:graphic>
          </wp:inline>
        </w:drawing>
      </w:r>
    </w:p>
    <w:p>
      <w:pPr>
        <w:pStyle w:val="40"/>
        <w:rPr>
          <w:rFonts w:ascii="Times New Roman" w:hAnsi="Times New Roman"/>
          <w:b/>
          <w:snapToGrid w:val="0"/>
          <w:color w:val="000000"/>
          <w:highlight w:val="none"/>
        </w:rPr>
      </w:pPr>
      <w:r>
        <w:rPr>
          <w:rFonts w:ascii="Times New Roman" w:hAnsi="Times New Roman"/>
          <w:b/>
          <w:snapToGrid w:val="0"/>
          <w:color w:val="000000"/>
          <w:highlight w:val="none"/>
        </w:rPr>
        <w:drawing>
          <wp:inline distT="0" distB="0" distL="114300" distR="114300">
            <wp:extent cx="1409065" cy="1294765"/>
            <wp:effectExtent l="0" t="0" r="635"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9"/>
                    <a:stretch>
                      <a:fillRect/>
                    </a:stretch>
                  </pic:blipFill>
                  <pic:spPr>
                    <a:xfrm>
                      <a:off x="0" y="0"/>
                      <a:ext cx="1409065" cy="1294765"/>
                    </a:xfrm>
                    <a:prstGeom prst="rect">
                      <a:avLst/>
                    </a:prstGeom>
                    <a:noFill/>
                    <a:ln>
                      <a:noFill/>
                    </a:ln>
                  </pic:spPr>
                </pic:pic>
              </a:graphicData>
            </a:graphic>
          </wp:inline>
        </w:drawing>
      </w:r>
    </w:p>
    <w:p>
      <w:pPr>
        <w:pStyle w:val="1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图4.2-1 正阳县风频玫瑰图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sz w:val="24"/>
          <w:highlight w:val="none"/>
        </w:rPr>
      </w:pPr>
      <w:r>
        <w:rPr>
          <w:rFonts w:ascii="Times New Roman" w:hAnsi="Times New Roman"/>
          <w:sz w:val="24"/>
          <w:highlight w:val="none"/>
        </w:rPr>
        <w:t>（4）高空气象参数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因为项目周围50km范围内无高空气象探测站点，高空气象数据采用环境工程评估中心环境质量模拟重点实验室的中尺度气象模拟数据。模拟高空气象数据模拟网格点编号为（135300），网格点位置经度115.19794°，纬度33.88542°，年限为2016年。</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 w:val="0"/>
          <w:bCs w:val="0"/>
          <w:sz w:val="24"/>
          <w:highlight w:val="none"/>
        </w:rPr>
      </w:pPr>
      <w:r>
        <w:rPr>
          <w:rFonts w:ascii="Times New Roman" w:hAnsi="Times New Roman"/>
          <w:b w:val="0"/>
          <w:bCs w:val="0"/>
          <w:sz w:val="24"/>
          <w:highlight w:val="none"/>
        </w:rPr>
        <w:t>该高空气象数据是采用中尺度数值模式WRF模拟生成，把全国共划分为189×159个网格，每个网格的分辨率为27km×27km。该模式采用的原始数据有地形高度、土地利用、陆地—水体标志、植被组成等数据，数据源主要为美国的USGS数据，模式采用美国国家环境预报中心（NCEP）的在分析数据作为模型输入场和边界场。全年共输出高空气象模拟数据文件12个，每个文件包括各月逐日一日两次高空气象模拟数据。数据文件文件名共12位，前4为代表年，第5～6位代表月份，第7～12位代表该网格点编号。各文件中所包括的高空气象数据内容见表</w:t>
      </w:r>
      <w:r>
        <w:rPr>
          <w:rFonts w:hint="eastAsia"/>
          <w:b w:val="0"/>
          <w:bCs w:val="0"/>
          <w:sz w:val="24"/>
          <w:highlight w:val="none"/>
          <w:lang w:val="en-US" w:eastAsia="zh-CN"/>
        </w:rPr>
        <w:t>4</w:t>
      </w:r>
      <w:r>
        <w:rPr>
          <w:rFonts w:hint="eastAsia" w:ascii="Times New Roman" w:hAnsi="Times New Roman"/>
          <w:b w:val="0"/>
          <w:bCs w:val="0"/>
          <w:sz w:val="24"/>
          <w:highlight w:val="none"/>
          <w:lang w:val="en-US" w:eastAsia="zh-CN"/>
        </w:rPr>
        <w:t>.2-7</w:t>
      </w:r>
      <w:r>
        <w:rPr>
          <w:rFonts w:ascii="Times New Roman" w:hAnsi="Times New Roman"/>
          <w:b w:val="0"/>
          <w:bCs w:val="0"/>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表4.2-7 高空气象数据内容</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77"/>
        <w:gridCol w:w="1416"/>
        <w:gridCol w:w="2347"/>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tblHeader/>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单位</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年月日时</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干球温度</w:t>
            </w:r>
          </w:p>
        </w:tc>
        <w:tc>
          <w:tcPr>
            <w:tcW w:w="837" w:type="pct"/>
            <w:tcBorders>
              <w:left w:val="single" w:color="auto" w:sz="4" w:space="0"/>
            </w:tcBorders>
            <w:noWrap w:val="0"/>
            <w:vAlign w:val="center"/>
          </w:tcPr>
          <w:p>
            <w:pPr>
              <w:pStyle w:val="108"/>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探空数据层数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露点温度</w:t>
            </w:r>
          </w:p>
        </w:tc>
        <w:tc>
          <w:tcPr>
            <w:tcW w:w="837" w:type="pct"/>
            <w:tcBorders>
              <w:left w:val="single" w:color="auto" w:sz="4" w:space="0"/>
            </w:tcBorders>
            <w:noWrap w:val="0"/>
            <w:vAlign w:val="center"/>
          </w:tcPr>
          <w:p>
            <w:pPr>
              <w:pStyle w:val="108"/>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气压</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hPa</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风速</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高度</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m</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风向</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r>
    </w:tbl>
    <w:p>
      <w:pPr>
        <w:pStyle w:val="8"/>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w:t>
      </w:r>
      <w:r>
        <w:rPr>
          <w:rFonts w:hint="eastAsia"/>
          <w:highlight w:val="none"/>
        </w:rPr>
        <w:t>1.2废气预测与评价</w:t>
      </w:r>
    </w:p>
    <w:p>
      <w:pPr>
        <w:ind w:firstLine="480"/>
        <w:rPr>
          <w:rFonts w:hint="eastAsia"/>
          <w:highlight w:val="none"/>
        </w:rPr>
      </w:pPr>
      <w:r>
        <w:rPr>
          <w:rFonts w:hint="eastAsia"/>
          <w:highlight w:val="none"/>
        </w:rPr>
        <w:t>根据工程分析，本项目运营期废气主要为养殖过程猪舍产生的恶臭气体、污水处理过程及固粪处理区产生的恶臭气体、沼气燃烧废气、饲料加工废气及食堂油烟等。根据《环境影响评价技术导则 大气环境》（HJ2.2-2018）推荐的估算模式AERSCREEN进行预测，估算模式采用的</w:t>
      </w:r>
      <w:r>
        <w:rPr>
          <w:rFonts w:hint="eastAsia"/>
          <w:highlight w:val="none"/>
          <w:lang w:eastAsia="zh-CN"/>
        </w:rPr>
        <w:t>模型</w:t>
      </w:r>
      <w:r>
        <w:rPr>
          <w:rFonts w:hint="eastAsia"/>
          <w:highlight w:val="none"/>
        </w:rPr>
        <w:t>参数见表</w:t>
      </w:r>
      <w:r>
        <w:rPr>
          <w:rFonts w:hint="eastAsia"/>
          <w:highlight w:val="none"/>
          <w:lang w:val="en-US" w:eastAsia="zh-CN"/>
        </w:rPr>
        <w:t>4</w:t>
      </w:r>
      <w:r>
        <w:rPr>
          <w:rFonts w:hint="eastAsia"/>
          <w:highlight w:val="none"/>
        </w:rPr>
        <w:t>.2-</w:t>
      </w:r>
      <w:r>
        <w:rPr>
          <w:rFonts w:hint="eastAsia"/>
          <w:highlight w:val="none"/>
          <w:lang w:val="en-US" w:eastAsia="zh-CN"/>
        </w:rPr>
        <w:t>8，污染源排放参数见表4.2-9、4.2-10</w:t>
      </w:r>
      <w:r>
        <w:rPr>
          <w:rFonts w:hint="eastAsia"/>
          <w:highlight w:val="none"/>
        </w:rPr>
        <w:t>。</w:t>
      </w:r>
    </w:p>
    <w:p>
      <w:pPr>
        <w:pStyle w:val="40"/>
        <w:rPr>
          <w:rFonts w:hint="eastAsia" w:cs="Times New Roman"/>
          <w:highlight w:val="none"/>
          <w:lang w:val="en-US" w:eastAsia="zh-CN"/>
        </w:rPr>
      </w:pPr>
      <w:r>
        <w:rPr>
          <w:rFonts w:hint="eastAsia" w:cs="Times New Roman"/>
          <w:highlight w:val="none"/>
          <w:lang w:val="en-US" w:eastAsia="zh-CN"/>
        </w:rPr>
        <w:t>表4.2-8 模型参数一览表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2821"/>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参数</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城市/农村选项</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人口数（城市选项时）</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最高环境温度/℃</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最低环境温度/℃</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土地利用类型</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区域湿度条件</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中等湿度气候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是否考虑地形</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考虑地形</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sym w:font="Times New Roman" w:char="0000"/>
            </w:r>
            <w:r>
              <w:rPr>
                <w:rFonts w:hint="eastAsia"/>
                <w:b w:val="0"/>
                <w:bCs/>
                <w:color w:val="auto"/>
                <w:sz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地形数据分辨率/m</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是否考虑岸线熏烟</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考虑岸线熏烟</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岸线距离/km</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岸线方向/°</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bl>
    <w:p>
      <w:pPr>
        <w:pStyle w:val="22"/>
        <w:rPr>
          <w:bCs w:val="0"/>
          <w:highlight w:val="none"/>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.2-9 项目有组织废气排放源强参数一览表</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5"/>
        <w:gridCol w:w="703"/>
        <w:gridCol w:w="589"/>
        <w:gridCol w:w="648"/>
        <w:gridCol w:w="924"/>
        <w:gridCol w:w="442"/>
        <w:gridCol w:w="584"/>
        <w:gridCol w:w="813"/>
        <w:gridCol w:w="531"/>
        <w:gridCol w:w="636"/>
        <w:gridCol w:w="426"/>
        <w:gridCol w:w="10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编号</w:t>
            </w:r>
          </w:p>
        </w:tc>
        <w:tc>
          <w:tcPr>
            <w:tcW w:w="42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420"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污染物名称</w:t>
            </w:r>
          </w:p>
        </w:tc>
        <w:tc>
          <w:tcPr>
            <w:tcW w:w="741" w:type="pct"/>
            <w:gridSpan w:val="2"/>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排气筒底部中心坐标</w:t>
            </w:r>
            <w:r>
              <w:rPr>
                <w:rFonts w:hint="eastAsia"/>
                <w:b w:val="0"/>
                <w:bCs/>
                <w:color w:val="auto"/>
                <w:sz w:val="21"/>
                <w:highlight w:val="none"/>
              </w:rPr>
              <w:t>/m</w:t>
            </w:r>
          </w:p>
        </w:tc>
        <w:tc>
          <w:tcPr>
            <w:tcW w:w="551"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排气筒底部海拔高度/m</w:t>
            </w:r>
          </w:p>
        </w:tc>
        <w:tc>
          <w:tcPr>
            <w:tcW w:w="26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排气筒高度/m</w:t>
            </w:r>
          </w:p>
        </w:tc>
        <w:tc>
          <w:tcPr>
            <w:tcW w:w="30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排气筒出口内径/m</w:t>
            </w:r>
          </w:p>
        </w:tc>
        <w:tc>
          <w:tcPr>
            <w:tcW w:w="485"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烟气流量/(</w:t>
            </w:r>
            <w:r>
              <w:rPr>
                <w:b w:val="0"/>
                <w:bCs/>
                <w:color w:val="auto"/>
                <w:sz w:val="21"/>
                <w:szCs w:val="21"/>
                <w:highlight w:val="none"/>
              </w:rPr>
              <w:t>m</w:t>
            </w:r>
            <w:r>
              <w:rPr>
                <w:b w:val="0"/>
                <w:bCs/>
                <w:color w:val="auto"/>
                <w:sz w:val="21"/>
                <w:szCs w:val="21"/>
                <w:highlight w:val="none"/>
                <w:vertAlign w:val="superscript"/>
              </w:rPr>
              <w:t>3</w:t>
            </w:r>
            <w:r>
              <w:rPr>
                <w:b w:val="0"/>
                <w:bCs/>
                <w:color w:val="auto"/>
                <w:sz w:val="21"/>
                <w:szCs w:val="21"/>
                <w:highlight w:val="none"/>
              </w:rPr>
              <w:t>/h</w:t>
            </w:r>
            <w:r>
              <w:rPr>
                <w:b w:val="0"/>
                <w:bCs/>
                <w:color w:val="auto"/>
                <w:sz w:val="21"/>
                <w:highlight w:val="none"/>
              </w:rPr>
              <w:t>)</w:t>
            </w:r>
          </w:p>
        </w:tc>
        <w:tc>
          <w:tcPr>
            <w:tcW w:w="314"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烟气温度/℃</w:t>
            </w:r>
          </w:p>
        </w:tc>
        <w:tc>
          <w:tcPr>
            <w:tcW w:w="37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年排放小时数/h</w:t>
            </w:r>
          </w:p>
        </w:tc>
        <w:tc>
          <w:tcPr>
            <w:tcW w:w="253"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排放工况</w:t>
            </w:r>
          </w:p>
        </w:tc>
        <w:tc>
          <w:tcPr>
            <w:tcW w:w="614"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污染物排放速率/(</w:t>
            </w:r>
            <w:r>
              <w:rPr>
                <w:rFonts w:hint="eastAsia"/>
                <w:b w:val="0"/>
                <w:bCs/>
                <w:color w:val="auto"/>
                <w:sz w:val="21"/>
                <w:highlight w:val="none"/>
                <w:lang w:val="en-US" w:eastAsia="zh-CN"/>
              </w:rPr>
              <w:t>t</w:t>
            </w:r>
            <w:r>
              <w:rPr>
                <w:b w:val="0"/>
                <w:bCs/>
                <w:color w:val="auto"/>
                <w:sz w:val="21"/>
                <w:highlight w:val="none"/>
              </w:rPr>
              <w:t>/</w:t>
            </w:r>
            <w:r>
              <w:rPr>
                <w:rFonts w:hint="eastAsia"/>
                <w:b w:val="0"/>
                <w:bCs/>
                <w:color w:val="auto"/>
                <w:sz w:val="21"/>
                <w:highlight w:val="none"/>
                <w:lang w:val="en-US" w:eastAsia="zh-CN"/>
              </w:rPr>
              <w:t>a</w:t>
            </w:r>
            <w:r>
              <w:rPr>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422"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420"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353" w:type="pc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X</w:t>
            </w:r>
          </w:p>
        </w:tc>
        <w:tc>
          <w:tcPr>
            <w:tcW w:w="388" w:type="pc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Y</w:t>
            </w:r>
          </w:p>
        </w:tc>
        <w:tc>
          <w:tcPr>
            <w:tcW w:w="551"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266"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02"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485"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14"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76"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253"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614" w:type="pct"/>
            <w:vMerge w:val="continue"/>
            <w:tcBorders>
              <w:tl2br w:val="nil"/>
              <w:tr2bl w:val="nil"/>
            </w:tcBorders>
          </w:tcPr>
          <w:p>
            <w:pPr>
              <w:pStyle w:val="108"/>
              <w:spacing w:before="0" w:line="240" w:lineRule="auto"/>
              <w:ind w:firstLine="0" w:firstLineChars="0"/>
              <w:jc w:val="center"/>
              <w:rPr>
                <w:b/>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tcBorders>
              <w:tl2br w:val="nil"/>
              <w:tr2bl w:val="nil"/>
            </w:tcBorders>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1</w:t>
            </w:r>
          </w:p>
        </w:tc>
        <w:tc>
          <w:tcPr>
            <w:tcW w:w="422" w:type="pct"/>
            <w:tcBorders>
              <w:tl2br w:val="nil"/>
              <w:tr2bl w:val="nil"/>
            </w:tcBorders>
            <w:vAlign w:val="center"/>
          </w:tcPr>
          <w:p>
            <w:pPr>
              <w:pStyle w:val="108"/>
              <w:spacing w:before="0" w:line="240" w:lineRule="auto"/>
              <w:ind w:firstLine="0" w:firstLineChars="0"/>
              <w:jc w:val="center"/>
              <w:rPr>
                <w:b w:val="0"/>
                <w:bCs/>
                <w:color w:val="auto"/>
                <w:sz w:val="21"/>
                <w:highlight w:val="none"/>
              </w:rPr>
            </w:pPr>
            <w:r>
              <w:rPr>
                <w:rFonts w:hint="eastAsia"/>
                <w:b w:val="0"/>
                <w:bCs/>
                <w:color w:val="auto"/>
                <w:sz w:val="21"/>
                <w:highlight w:val="none"/>
                <w:lang w:val="en-US" w:eastAsia="zh-CN"/>
              </w:rPr>
              <w:t>1#</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b/>
                <w:color w:val="auto"/>
                <w:sz w:val="21"/>
                <w:highlight w:val="none"/>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122</w:t>
            </w:r>
          </w:p>
        </w:tc>
        <w:tc>
          <w:tcPr>
            <w:tcW w:w="388" w:type="pct"/>
            <w:tcBorders>
              <w:tl2br w:val="nil"/>
              <w:tr2bl w:val="nil"/>
            </w:tcBorders>
            <w:vAlign w:val="center"/>
          </w:tcPr>
          <w:p>
            <w:pPr>
              <w:pStyle w:val="108"/>
              <w:spacing w:before="0" w:line="240" w:lineRule="auto"/>
              <w:ind w:firstLine="0" w:firstLineChars="0"/>
              <w:jc w:val="center"/>
              <w:rPr>
                <w:rFonts w:hint="eastAsia" w:eastAsia="宋体"/>
                <w:bCs/>
                <w:color w:val="auto"/>
                <w:sz w:val="21"/>
                <w:highlight w:val="none"/>
                <w:lang w:val="en-US" w:eastAsia="zh-CN"/>
              </w:rPr>
            </w:pPr>
            <w:r>
              <w:rPr>
                <w:rFonts w:hint="eastAsia"/>
                <w:bCs/>
                <w:color w:val="auto"/>
                <w:sz w:val="21"/>
                <w:highlight w:val="none"/>
                <w:lang w:val="en-US" w:eastAsia="zh-CN"/>
              </w:rPr>
              <w:t>5</w:t>
            </w:r>
          </w:p>
        </w:tc>
        <w:tc>
          <w:tcPr>
            <w:tcW w:w="551"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67.452</w:t>
            </w:r>
          </w:p>
        </w:tc>
        <w:tc>
          <w:tcPr>
            <w:tcW w:w="266" w:type="pc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15</w:t>
            </w:r>
          </w:p>
        </w:tc>
        <w:tc>
          <w:tcPr>
            <w:tcW w:w="302" w:type="pct"/>
            <w:tcBorders>
              <w:tl2br w:val="nil"/>
              <w:tr2bl w:val="nil"/>
            </w:tcBorders>
            <w:vAlign w:val="center"/>
          </w:tcPr>
          <w:p>
            <w:pPr>
              <w:pStyle w:val="108"/>
              <w:spacing w:before="0" w:line="240" w:lineRule="auto"/>
              <w:ind w:firstLine="0" w:firstLineChars="0"/>
              <w:jc w:val="center"/>
              <w:rPr>
                <w:rFonts w:hint="default"/>
                <w:bCs/>
                <w:color w:val="auto"/>
                <w:sz w:val="21"/>
                <w:highlight w:val="none"/>
                <w:lang w:val="en-US"/>
              </w:rPr>
            </w:pPr>
            <w:r>
              <w:rPr>
                <w:bCs/>
                <w:color w:val="auto"/>
                <w:sz w:val="21"/>
                <w:highlight w:val="none"/>
              </w:rPr>
              <w:t>0.</w:t>
            </w:r>
            <w:r>
              <w:rPr>
                <w:rFonts w:hint="eastAsia"/>
                <w:bCs/>
                <w:color w:val="auto"/>
                <w:sz w:val="21"/>
                <w:highlight w:val="none"/>
                <w:lang w:val="en-US" w:eastAsia="zh-CN"/>
              </w:rPr>
              <w:t>35</w:t>
            </w:r>
          </w:p>
        </w:tc>
        <w:tc>
          <w:tcPr>
            <w:tcW w:w="485"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7800</w:t>
            </w:r>
          </w:p>
        </w:tc>
        <w:tc>
          <w:tcPr>
            <w:tcW w:w="314" w:type="pc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2</w:t>
            </w:r>
            <w:r>
              <w:rPr>
                <w:rFonts w:hint="eastAsia"/>
                <w:bCs/>
                <w:color w:val="auto"/>
                <w:sz w:val="21"/>
                <w:highlight w:val="none"/>
                <w:lang w:val="en-US"/>
              </w:rPr>
              <w:t>4</w:t>
            </w:r>
          </w:p>
        </w:tc>
        <w:tc>
          <w:tcPr>
            <w:tcW w:w="37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3600</w:t>
            </w:r>
          </w:p>
        </w:tc>
        <w:tc>
          <w:tcPr>
            <w:tcW w:w="253" w:type="pc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rPr>
              <w:t>0.0</w:t>
            </w:r>
            <w:r>
              <w:rPr>
                <w:rFonts w:hint="eastAsia"/>
                <w:bCs/>
                <w:color w:val="auto"/>
                <w:sz w:val="21"/>
                <w:highlight w:val="none"/>
                <w:lang w:val="en-US" w:eastAsia="zh-CN"/>
              </w:rPr>
              <w:t>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tcBorders>
              <w:tl2br w:val="nil"/>
              <w:tr2bl w:val="nil"/>
            </w:tcBorders>
            <w:vAlign w:val="center"/>
          </w:tcPr>
          <w:p>
            <w:pPr>
              <w:pStyle w:val="108"/>
              <w:spacing w:before="0" w:line="240" w:lineRule="auto"/>
              <w:ind w:firstLine="0" w:firstLineChars="0"/>
              <w:jc w:val="center"/>
              <w:rPr>
                <w:b w:val="0"/>
                <w:bCs/>
                <w:color w:val="auto"/>
                <w:sz w:val="21"/>
                <w:highlight w:val="none"/>
              </w:rPr>
            </w:pPr>
            <w:r>
              <w:rPr>
                <w:rFonts w:hint="eastAsia"/>
                <w:b w:val="0"/>
                <w:bCs/>
                <w:color w:val="auto"/>
                <w:sz w:val="21"/>
                <w:highlight w:val="none"/>
                <w:lang w:val="en-US" w:eastAsia="zh-CN"/>
              </w:rPr>
              <w:t>2</w:t>
            </w:r>
          </w:p>
        </w:tc>
        <w:tc>
          <w:tcPr>
            <w:tcW w:w="422" w:type="pct"/>
            <w:tcBorders>
              <w:tl2br w:val="nil"/>
              <w:tr2bl w:val="nil"/>
            </w:tcBorders>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lang w:val="en-US"/>
              </w:rPr>
              <w:t>2#</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bCs/>
                <w:color w:val="auto"/>
                <w:sz w:val="21"/>
                <w:highlight w:val="none"/>
                <w:lang w:val="en-US"/>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tcBorders>
              <w:tl2br w:val="nil"/>
              <w:tr2bl w:val="nil"/>
            </w:tcBorders>
            <w:vAlign w:val="center"/>
          </w:tcPr>
          <w:p>
            <w:pPr>
              <w:pStyle w:val="108"/>
              <w:spacing w:before="0" w:line="240" w:lineRule="auto"/>
              <w:ind w:firstLine="0" w:firstLineChars="0"/>
              <w:jc w:val="center"/>
              <w:rPr>
                <w:rFonts w:hint="default"/>
                <w:bCs/>
                <w:color w:val="auto"/>
                <w:sz w:val="21"/>
                <w:highlight w:val="none"/>
                <w:lang w:val="en-US" w:eastAsia="zh-CN"/>
              </w:rPr>
            </w:pPr>
            <w:r>
              <w:rPr>
                <w:rFonts w:hint="eastAsia"/>
                <w:bCs/>
                <w:color w:val="auto"/>
                <w:sz w:val="21"/>
                <w:highlight w:val="none"/>
                <w:lang w:val="en-US" w:eastAsia="zh-CN"/>
              </w:rPr>
              <w:t>163</w:t>
            </w:r>
          </w:p>
        </w:tc>
        <w:tc>
          <w:tcPr>
            <w:tcW w:w="388" w:type="pct"/>
            <w:tcBorders>
              <w:tl2br w:val="nil"/>
              <w:tr2bl w:val="nil"/>
            </w:tcBorders>
            <w:vAlign w:val="center"/>
          </w:tcPr>
          <w:p>
            <w:pPr>
              <w:pStyle w:val="108"/>
              <w:spacing w:before="0" w:line="240" w:lineRule="auto"/>
              <w:ind w:firstLine="0" w:firstLineChars="0"/>
              <w:jc w:val="center"/>
              <w:rPr>
                <w:rFonts w:hint="default"/>
                <w:bCs/>
                <w:color w:val="auto"/>
                <w:sz w:val="21"/>
                <w:highlight w:val="none"/>
                <w:lang w:val="en-US" w:eastAsia="zh-CN"/>
              </w:rPr>
            </w:pPr>
            <w:r>
              <w:rPr>
                <w:rFonts w:hint="eastAsia"/>
                <w:bCs/>
                <w:color w:val="auto"/>
                <w:sz w:val="21"/>
                <w:highlight w:val="none"/>
                <w:lang w:val="en-US" w:eastAsia="zh-CN"/>
              </w:rPr>
              <w:t>-11</w:t>
            </w:r>
          </w:p>
        </w:tc>
        <w:tc>
          <w:tcPr>
            <w:tcW w:w="551" w:type="pc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rFonts w:hint="eastAsia"/>
                <w:bCs/>
                <w:color w:val="auto"/>
                <w:sz w:val="21"/>
                <w:highlight w:val="none"/>
                <w:lang w:val="en-US" w:eastAsia="zh-CN"/>
              </w:rPr>
              <w:t>67.397</w:t>
            </w:r>
          </w:p>
        </w:tc>
        <w:tc>
          <w:tcPr>
            <w:tcW w:w="266" w:type="pct"/>
            <w:tcBorders>
              <w:tl2br w:val="nil"/>
              <w:tr2bl w:val="nil"/>
            </w:tcBorders>
            <w:vAlign w:val="center"/>
          </w:tcPr>
          <w:p>
            <w:pPr>
              <w:pStyle w:val="108"/>
              <w:spacing w:before="0" w:line="240" w:lineRule="auto"/>
              <w:ind w:firstLine="0" w:firstLineChars="0"/>
              <w:jc w:val="center"/>
              <w:rPr>
                <w:b/>
                <w:color w:val="auto"/>
                <w:sz w:val="21"/>
                <w:highlight w:val="none"/>
                <w:lang w:val="en-US"/>
              </w:rPr>
            </w:pPr>
            <w:r>
              <w:rPr>
                <w:bCs/>
                <w:color w:val="auto"/>
                <w:sz w:val="21"/>
                <w:highlight w:val="none"/>
              </w:rPr>
              <w:t>15</w:t>
            </w:r>
          </w:p>
        </w:tc>
        <w:tc>
          <w:tcPr>
            <w:tcW w:w="302" w:type="pc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bCs/>
                <w:color w:val="auto"/>
                <w:sz w:val="21"/>
                <w:highlight w:val="none"/>
              </w:rPr>
              <w:t>0.</w:t>
            </w:r>
            <w:r>
              <w:rPr>
                <w:rFonts w:hint="eastAsia"/>
                <w:bCs/>
                <w:color w:val="auto"/>
                <w:sz w:val="21"/>
                <w:highlight w:val="none"/>
                <w:lang w:val="en-US" w:eastAsia="zh-CN"/>
              </w:rPr>
              <w:t>35</w:t>
            </w:r>
          </w:p>
        </w:tc>
        <w:tc>
          <w:tcPr>
            <w:tcW w:w="485" w:type="pc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rFonts w:hint="eastAsia"/>
                <w:bCs/>
                <w:color w:val="auto"/>
                <w:sz w:val="21"/>
                <w:highlight w:val="none"/>
                <w:lang w:val="en-US" w:eastAsia="zh-CN"/>
              </w:rPr>
              <w:t>7800</w:t>
            </w:r>
          </w:p>
        </w:tc>
        <w:tc>
          <w:tcPr>
            <w:tcW w:w="314" w:type="pct"/>
            <w:tcBorders>
              <w:tl2br w:val="nil"/>
              <w:tr2bl w:val="nil"/>
            </w:tcBorders>
            <w:vAlign w:val="center"/>
          </w:tcPr>
          <w:p>
            <w:pPr>
              <w:pStyle w:val="108"/>
              <w:spacing w:before="0" w:line="240" w:lineRule="auto"/>
              <w:ind w:firstLine="0" w:firstLineChars="0"/>
              <w:jc w:val="center"/>
              <w:rPr>
                <w:b/>
                <w:color w:val="auto"/>
                <w:sz w:val="21"/>
                <w:highlight w:val="none"/>
              </w:rPr>
            </w:pPr>
            <w:r>
              <w:rPr>
                <w:bCs/>
                <w:color w:val="auto"/>
                <w:sz w:val="21"/>
                <w:highlight w:val="none"/>
              </w:rPr>
              <w:t>2</w:t>
            </w:r>
            <w:r>
              <w:rPr>
                <w:rFonts w:hint="eastAsia"/>
                <w:bCs/>
                <w:color w:val="auto"/>
                <w:sz w:val="21"/>
                <w:highlight w:val="none"/>
                <w:lang w:val="en-US"/>
              </w:rPr>
              <w:t>4</w:t>
            </w:r>
          </w:p>
        </w:tc>
        <w:tc>
          <w:tcPr>
            <w:tcW w:w="376" w:type="pc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rFonts w:hint="eastAsia"/>
                <w:bCs/>
                <w:color w:val="auto"/>
                <w:sz w:val="21"/>
                <w:highlight w:val="none"/>
                <w:lang w:val="en-US" w:eastAsia="zh-CN"/>
              </w:rPr>
              <w:t>3600</w:t>
            </w:r>
          </w:p>
        </w:tc>
        <w:tc>
          <w:tcPr>
            <w:tcW w:w="253" w:type="pct"/>
            <w:tcBorders>
              <w:tl2br w:val="nil"/>
              <w:tr2bl w:val="nil"/>
            </w:tcBorders>
            <w:vAlign w:val="center"/>
          </w:tcPr>
          <w:p>
            <w:pPr>
              <w:pStyle w:val="108"/>
              <w:spacing w:before="0" w:line="240" w:lineRule="auto"/>
              <w:ind w:firstLine="0" w:firstLineChars="0"/>
              <w:jc w:val="center"/>
              <w:rPr>
                <w:b/>
                <w:color w:val="auto"/>
                <w:sz w:val="21"/>
                <w:highlight w:val="none"/>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rFonts w:hint="default"/>
                <w:b/>
                <w:color w:val="auto"/>
                <w:sz w:val="21"/>
                <w:highlight w:val="none"/>
                <w:lang w:val="en-US"/>
              </w:rPr>
            </w:pPr>
            <w:r>
              <w:rPr>
                <w:rFonts w:cs="Times New Roman"/>
                <w:sz w:val="21"/>
                <w:szCs w:val="21"/>
                <w:highlight w:val="none"/>
              </w:rPr>
              <w:t>0.</w:t>
            </w:r>
            <w:r>
              <w:rPr>
                <w:rFonts w:hint="eastAsia" w:cs="Times New Roman"/>
                <w:sz w:val="21"/>
                <w:szCs w:val="21"/>
                <w:highlight w:val="none"/>
                <w:lang w:val="en-US" w:eastAsia="zh-CN"/>
              </w:rPr>
              <w:t>0615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tcBorders>
              <w:tl2br w:val="nil"/>
              <w:tr2bl w:val="nil"/>
            </w:tcBorders>
            <w:vAlign w:val="center"/>
          </w:tcPr>
          <w:p>
            <w:pPr>
              <w:pStyle w:val="108"/>
              <w:spacing w:before="0" w:line="240" w:lineRule="auto"/>
              <w:ind w:firstLine="0" w:firstLineChars="0"/>
              <w:jc w:val="center"/>
              <w:rPr>
                <w:rFonts w:hint="eastAsia" w:eastAsia="宋体"/>
                <w:b w:val="0"/>
                <w:bCs/>
                <w:color w:val="auto"/>
                <w:sz w:val="21"/>
                <w:highlight w:val="none"/>
                <w:lang w:val="en-US" w:eastAsia="zh-CN"/>
              </w:rPr>
            </w:pPr>
            <w:r>
              <w:rPr>
                <w:rFonts w:hint="eastAsia"/>
                <w:b w:val="0"/>
                <w:bCs/>
                <w:color w:val="auto"/>
                <w:sz w:val="21"/>
                <w:highlight w:val="none"/>
                <w:lang w:val="en-US" w:eastAsia="zh-CN"/>
              </w:rPr>
              <w:t>3</w:t>
            </w:r>
          </w:p>
        </w:tc>
        <w:tc>
          <w:tcPr>
            <w:tcW w:w="422" w:type="pct"/>
            <w:tcBorders>
              <w:tl2br w:val="nil"/>
              <w:tr2bl w:val="nil"/>
            </w:tcBorders>
            <w:vAlign w:val="center"/>
          </w:tcPr>
          <w:p>
            <w:pPr>
              <w:pStyle w:val="108"/>
              <w:spacing w:before="0" w:line="240" w:lineRule="auto"/>
              <w:ind w:firstLine="0" w:firstLineChars="0"/>
              <w:jc w:val="center"/>
              <w:rPr>
                <w:b w:val="0"/>
                <w:bCs/>
                <w:color w:val="auto"/>
                <w:sz w:val="21"/>
                <w:highlight w:val="none"/>
              </w:rPr>
            </w:pPr>
            <w:r>
              <w:rPr>
                <w:rFonts w:hint="eastAsia"/>
                <w:b w:val="0"/>
                <w:bCs/>
                <w:color w:val="auto"/>
                <w:sz w:val="21"/>
                <w:highlight w:val="none"/>
                <w:lang w:val="en-US" w:eastAsia="zh-CN"/>
              </w:rPr>
              <w:t>3</w:t>
            </w:r>
            <w:r>
              <w:rPr>
                <w:b w:val="0"/>
                <w:bCs/>
                <w:color w:val="auto"/>
                <w:sz w:val="21"/>
                <w:highlight w:val="none"/>
                <w:lang w:val="en-US"/>
              </w:rPr>
              <w:t>#</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bCs/>
                <w:color w:val="auto"/>
                <w:sz w:val="21"/>
                <w:highlight w:val="none"/>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142</w:t>
            </w:r>
          </w:p>
        </w:tc>
        <w:tc>
          <w:tcPr>
            <w:tcW w:w="388"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-23</w:t>
            </w:r>
          </w:p>
        </w:tc>
        <w:tc>
          <w:tcPr>
            <w:tcW w:w="551"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67.324</w:t>
            </w:r>
          </w:p>
        </w:tc>
        <w:tc>
          <w:tcPr>
            <w:tcW w:w="266" w:type="pct"/>
            <w:tcBorders>
              <w:tl2br w:val="nil"/>
              <w:tr2bl w:val="nil"/>
            </w:tcBorders>
            <w:vAlign w:val="center"/>
          </w:tcPr>
          <w:p>
            <w:pPr>
              <w:pStyle w:val="108"/>
              <w:spacing w:before="0" w:line="240" w:lineRule="auto"/>
              <w:ind w:firstLine="0" w:firstLineChars="0"/>
              <w:jc w:val="center"/>
              <w:rPr>
                <w:bCs/>
                <w:color w:val="auto"/>
                <w:sz w:val="21"/>
                <w:highlight w:val="none"/>
                <w:lang w:val="en-US"/>
              </w:rPr>
            </w:pPr>
            <w:r>
              <w:rPr>
                <w:rFonts w:hint="eastAsia"/>
                <w:bCs/>
                <w:color w:val="auto"/>
                <w:sz w:val="21"/>
                <w:highlight w:val="none"/>
                <w:lang w:val="en-US"/>
              </w:rPr>
              <w:t>15</w:t>
            </w:r>
          </w:p>
        </w:tc>
        <w:tc>
          <w:tcPr>
            <w:tcW w:w="302" w:type="pct"/>
            <w:tcBorders>
              <w:tl2br w:val="nil"/>
              <w:tr2bl w:val="nil"/>
            </w:tcBorders>
            <w:vAlign w:val="center"/>
          </w:tcPr>
          <w:p>
            <w:pPr>
              <w:pStyle w:val="108"/>
              <w:spacing w:before="0" w:line="240" w:lineRule="auto"/>
              <w:ind w:firstLine="0" w:firstLineChars="0"/>
              <w:jc w:val="center"/>
              <w:rPr>
                <w:rFonts w:hint="eastAsia" w:eastAsia="宋体"/>
                <w:bCs/>
                <w:color w:val="auto"/>
                <w:sz w:val="21"/>
                <w:highlight w:val="none"/>
                <w:lang w:val="en-US" w:eastAsia="zh-CN"/>
              </w:rPr>
            </w:pPr>
            <w:r>
              <w:rPr>
                <w:rFonts w:hint="eastAsia"/>
                <w:bCs/>
                <w:color w:val="auto"/>
                <w:sz w:val="21"/>
                <w:highlight w:val="none"/>
                <w:lang w:val="en-US"/>
              </w:rPr>
              <w:t>0.</w:t>
            </w:r>
            <w:r>
              <w:rPr>
                <w:rFonts w:hint="eastAsia"/>
                <w:bCs/>
                <w:color w:val="auto"/>
                <w:sz w:val="21"/>
                <w:highlight w:val="none"/>
                <w:lang w:val="en-US" w:eastAsia="zh-CN"/>
              </w:rPr>
              <w:t>4</w:t>
            </w:r>
          </w:p>
        </w:tc>
        <w:tc>
          <w:tcPr>
            <w:tcW w:w="485"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color w:val="auto"/>
                <w:sz w:val="21"/>
                <w:szCs w:val="21"/>
                <w:highlight w:val="none"/>
                <w:lang w:val="en-US" w:eastAsia="zh-CN"/>
              </w:rPr>
              <w:t>7800</w:t>
            </w:r>
          </w:p>
        </w:tc>
        <w:tc>
          <w:tcPr>
            <w:tcW w:w="314" w:type="pct"/>
            <w:tcBorders>
              <w:tl2br w:val="nil"/>
              <w:tr2bl w:val="nil"/>
            </w:tcBorders>
            <w:vAlign w:val="center"/>
          </w:tcPr>
          <w:p>
            <w:pPr>
              <w:pStyle w:val="108"/>
              <w:spacing w:before="0" w:line="240" w:lineRule="auto"/>
              <w:ind w:firstLine="0" w:firstLineChars="0"/>
              <w:jc w:val="center"/>
              <w:rPr>
                <w:bCs/>
                <w:color w:val="auto"/>
                <w:sz w:val="21"/>
                <w:highlight w:val="none"/>
                <w:lang w:val="en-US"/>
              </w:rPr>
            </w:pPr>
            <w:r>
              <w:rPr>
                <w:rFonts w:hint="eastAsia"/>
                <w:bCs/>
                <w:color w:val="auto"/>
                <w:sz w:val="21"/>
                <w:highlight w:val="none"/>
                <w:lang w:val="en-US"/>
              </w:rPr>
              <w:t>24</w:t>
            </w:r>
          </w:p>
        </w:tc>
        <w:tc>
          <w:tcPr>
            <w:tcW w:w="376" w:type="pct"/>
            <w:tcBorders>
              <w:tl2br w:val="nil"/>
              <w:tr2bl w:val="nil"/>
            </w:tcBorders>
            <w:vAlign w:val="center"/>
          </w:tcPr>
          <w:p>
            <w:pPr>
              <w:pStyle w:val="108"/>
              <w:spacing w:before="0" w:line="240" w:lineRule="auto"/>
              <w:ind w:firstLine="0" w:firstLineChars="0"/>
              <w:jc w:val="center"/>
              <w:rPr>
                <w:bCs/>
                <w:color w:val="auto"/>
                <w:sz w:val="21"/>
                <w:highlight w:val="none"/>
                <w:lang w:val="en-US"/>
              </w:rPr>
            </w:pPr>
            <w:r>
              <w:rPr>
                <w:rFonts w:hint="eastAsia"/>
                <w:bCs/>
                <w:color w:val="auto"/>
                <w:sz w:val="21"/>
                <w:highlight w:val="none"/>
                <w:lang w:val="en-US" w:eastAsia="zh-CN"/>
              </w:rPr>
              <w:t>36</w:t>
            </w:r>
            <w:r>
              <w:rPr>
                <w:rFonts w:hint="eastAsia"/>
                <w:bCs/>
                <w:color w:val="auto"/>
                <w:sz w:val="21"/>
                <w:highlight w:val="none"/>
                <w:lang w:val="en-US"/>
              </w:rPr>
              <w:t>00</w:t>
            </w:r>
          </w:p>
        </w:tc>
        <w:tc>
          <w:tcPr>
            <w:tcW w:w="253" w:type="pct"/>
            <w:tcBorders>
              <w:tl2br w:val="nil"/>
              <w:tr2bl w:val="nil"/>
            </w:tcBorders>
            <w:vAlign w:val="center"/>
          </w:tcPr>
          <w:p>
            <w:pPr>
              <w:pStyle w:val="108"/>
              <w:spacing w:before="0" w:line="240" w:lineRule="auto"/>
              <w:ind w:firstLine="0" w:firstLineChars="0"/>
              <w:jc w:val="center"/>
              <w:rPr>
                <w:bCs/>
                <w:color w:val="auto"/>
                <w:sz w:val="21"/>
                <w:highlight w:val="none"/>
                <w:lang w:val="en-US"/>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bCs/>
                <w:color w:val="auto"/>
                <w:sz w:val="21"/>
                <w:highlight w:val="none"/>
                <w:lang w:val="en-US"/>
              </w:rPr>
            </w:pPr>
            <w:r>
              <w:rPr>
                <w:sz w:val="21"/>
                <w:highlight w:val="none"/>
              </w:rPr>
              <w:t>0.</w:t>
            </w:r>
            <w:r>
              <w:rPr>
                <w:rFonts w:hint="eastAsia"/>
                <w:sz w:val="21"/>
                <w:highlight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tcBorders>
              <w:tl2br w:val="nil"/>
              <w:tr2bl w:val="nil"/>
            </w:tcBorders>
            <w:vAlign w:val="center"/>
          </w:tcPr>
          <w:p>
            <w:pPr>
              <w:pStyle w:val="108"/>
              <w:spacing w:before="0" w:line="240" w:lineRule="auto"/>
              <w:ind w:firstLine="0" w:firstLineChars="0"/>
              <w:jc w:val="center"/>
              <w:rPr>
                <w:rFonts w:hint="default" w:eastAsia="宋体"/>
                <w:b w:val="0"/>
                <w:bCs/>
                <w:color w:val="auto"/>
                <w:sz w:val="21"/>
                <w:highlight w:val="none"/>
                <w:lang w:val="en-US" w:eastAsia="zh-CN"/>
              </w:rPr>
            </w:pPr>
            <w:r>
              <w:rPr>
                <w:rFonts w:hint="eastAsia"/>
                <w:b w:val="0"/>
                <w:bCs/>
                <w:color w:val="auto"/>
                <w:sz w:val="21"/>
                <w:highlight w:val="none"/>
                <w:lang w:val="en-US" w:eastAsia="zh-CN"/>
              </w:rPr>
              <w:t>4</w:t>
            </w:r>
          </w:p>
        </w:tc>
        <w:tc>
          <w:tcPr>
            <w:tcW w:w="422" w:type="pct"/>
            <w:tcBorders>
              <w:tl2br w:val="nil"/>
              <w:tr2bl w:val="nil"/>
            </w:tcBorders>
            <w:vAlign w:val="center"/>
          </w:tcPr>
          <w:p>
            <w:pPr>
              <w:pStyle w:val="108"/>
              <w:spacing w:before="0" w:line="240" w:lineRule="auto"/>
              <w:ind w:firstLine="0" w:firstLineChars="0"/>
              <w:jc w:val="center"/>
              <w:rPr>
                <w:b/>
                <w:color w:val="auto"/>
                <w:sz w:val="21"/>
                <w:highlight w:val="none"/>
              </w:rPr>
            </w:pPr>
            <w:r>
              <w:rPr>
                <w:rFonts w:hint="eastAsia"/>
                <w:b w:val="0"/>
                <w:bCs/>
                <w:color w:val="auto"/>
                <w:sz w:val="21"/>
                <w:highlight w:val="none"/>
                <w:lang w:val="en-US" w:eastAsia="zh-CN"/>
              </w:rPr>
              <w:t>4</w:t>
            </w:r>
            <w:r>
              <w:rPr>
                <w:b w:val="0"/>
                <w:bCs/>
                <w:color w:val="auto"/>
                <w:sz w:val="21"/>
                <w:highlight w:val="none"/>
                <w:lang w:val="en-US"/>
              </w:rPr>
              <w:t>#</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133</w:t>
            </w:r>
          </w:p>
        </w:tc>
        <w:tc>
          <w:tcPr>
            <w:tcW w:w="388"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-84</w:t>
            </w:r>
          </w:p>
        </w:tc>
        <w:tc>
          <w:tcPr>
            <w:tcW w:w="551"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67.214</w:t>
            </w:r>
          </w:p>
        </w:tc>
        <w:tc>
          <w:tcPr>
            <w:tcW w:w="26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15</w:t>
            </w:r>
          </w:p>
        </w:tc>
        <w:tc>
          <w:tcPr>
            <w:tcW w:w="302"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0.25</w:t>
            </w:r>
          </w:p>
        </w:tc>
        <w:tc>
          <w:tcPr>
            <w:tcW w:w="485" w:type="pc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cs="Times New Roman"/>
                <w:bCs/>
                <w:color w:val="auto"/>
                <w:kern w:val="0"/>
                <w:sz w:val="21"/>
                <w:szCs w:val="20"/>
                <w:highlight w:val="none"/>
                <w:u w:color="000000"/>
                <w:lang w:val="en-US" w:eastAsia="zh-CN" w:bidi="ar-SA"/>
              </w:rPr>
              <w:t>3000</w:t>
            </w: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24</w:t>
            </w:r>
          </w:p>
        </w:tc>
        <w:tc>
          <w:tcPr>
            <w:tcW w:w="37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3600</w:t>
            </w:r>
          </w:p>
        </w:tc>
        <w:tc>
          <w:tcPr>
            <w:tcW w:w="253" w:type="pc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rFonts w:hint="eastAsia"/>
                <w:color w:val="auto"/>
                <w:sz w:val="21"/>
                <w:szCs w:val="21"/>
                <w:highlight w:val="none"/>
              </w:rPr>
            </w:pPr>
            <w:r>
              <w:rPr>
                <w:rFonts w:hint="eastAsia"/>
                <w:sz w:val="21"/>
                <w:highlight w:val="none"/>
              </w:rPr>
              <w:t>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tcBorders>
              <w:tl2br w:val="nil"/>
              <w:tr2bl w:val="nil"/>
            </w:tcBorders>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5</w:t>
            </w:r>
          </w:p>
        </w:tc>
        <w:tc>
          <w:tcPr>
            <w:tcW w:w="422" w:type="pct"/>
            <w:tcBorders>
              <w:tl2br w:val="nil"/>
              <w:tr2bl w:val="nil"/>
            </w:tcBorders>
            <w:vAlign w:val="center"/>
          </w:tcPr>
          <w:p>
            <w:pPr>
              <w:pStyle w:val="108"/>
              <w:spacing w:before="0" w:line="240" w:lineRule="auto"/>
              <w:ind w:firstLine="0" w:firstLineChars="0"/>
              <w:jc w:val="center"/>
              <w:rPr>
                <w:b/>
                <w:color w:val="auto"/>
                <w:sz w:val="21"/>
                <w:highlight w:val="none"/>
              </w:rPr>
            </w:pPr>
            <w:r>
              <w:rPr>
                <w:rFonts w:hint="eastAsia"/>
                <w:b w:val="0"/>
                <w:bCs/>
                <w:color w:val="auto"/>
                <w:sz w:val="21"/>
                <w:highlight w:val="none"/>
                <w:lang w:val="en-US" w:eastAsia="zh-CN"/>
              </w:rPr>
              <w:t>5</w:t>
            </w:r>
            <w:r>
              <w:rPr>
                <w:b w:val="0"/>
                <w:bCs/>
                <w:color w:val="auto"/>
                <w:sz w:val="21"/>
                <w:highlight w:val="none"/>
                <w:lang w:val="en-US"/>
              </w:rPr>
              <w:t>#</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472</w:t>
            </w:r>
          </w:p>
        </w:tc>
        <w:tc>
          <w:tcPr>
            <w:tcW w:w="388"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-388</w:t>
            </w:r>
          </w:p>
        </w:tc>
        <w:tc>
          <w:tcPr>
            <w:tcW w:w="551"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67.108</w:t>
            </w:r>
          </w:p>
        </w:tc>
        <w:tc>
          <w:tcPr>
            <w:tcW w:w="26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15</w:t>
            </w:r>
          </w:p>
        </w:tc>
        <w:tc>
          <w:tcPr>
            <w:tcW w:w="302"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0.5</w:t>
            </w:r>
          </w:p>
        </w:tc>
        <w:tc>
          <w:tcPr>
            <w:tcW w:w="485" w:type="pc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
                <w:color w:val="auto"/>
                <w:kern w:val="0"/>
                <w:sz w:val="21"/>
                <w:szCs w:val="20"/>
                <w:highlight w:val="none"/>
                <w:u w:color="000000"/>
                <w:lang w:val="en-US" w:eastAsia="zh-CN" w:bidi="ar-SA"/>
              </w:rPr>
            </w:pPr>
            <w:r>
              <w:rPr>
                <w:rFonts w:hint="eastAsia" w:cs="Times New Roman"/>
                <w:bCs/>
                <w:color w:val="auto"/>
                <w:kern w:val="0"/>
                <w:sz w:val="21"/>
                <w:szCs w:val="20"/>
                <w:highlight w:val="none"/>
                <w:u w:color="000000"/>
                <w:lang w:val="en-US" w:eastAsia="zh-CN" w:bidi="ar-SA"/>
              </w:rPr>
              <w:t>8000</w:t>
            </w: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24</w:t>
            </w:r>
          </w:p>
        </w:tc>
        <w:tc>
          <w:tcPr>
            <w:tcW w:w="37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3600</w:t>
            </w:r>
          </w:p>
        </w:tc>
        <w:tc>
          <w:tcPr>
            <w:tcW w:w="253" w:type="pc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rFonts w:hint="eastAsia"/>
                <w:color w:val="auto"/>
                <w:sz w:val="21"/>
                <w:szCs w:val="21"/>
                <w:highlight w:val="none"/>
              </w:rPr>
            </w:pPr>
            <w:r>
              <w:rPr>
                <w:rFonts w:hint="eastAsia"/>
                <w:b w:val="0"/>
                <w:bCs w:val="0"/>
                <w:color w:val="000000"/>
                <w:sz w:val="21"/>
                <w:szCs w:val="21"/>
                <w:highlight w:val="none"/>
                <w:u w:val="none"/>
                <w:lang w:val="en-US" w:eastAsia="zh-CN"/>
              </w:rPr>
              <w:t>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tcBorders>
              <w:tl2br w:val="nil"/>
              <w:tr2bl w:val="nil"/>
            </w:tcBorders>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6</w:t>
            </w:r>
          </w:p>
        </w:tc>
        <w:tc>
          <w:tcPr>
            <w:tcW w:w="422" w:type="pct"/>
            <w:tcBorders>
              <w:tl2br w:val="nil"/>
              <w:tr2bl w:val="nil"/>
            </w:tcBorders>
            <w:vAlign w:val="center"/>
          </w:tcPr>
          <w:p>
            <w:pPr>
              <w:pStyle w:val="108"/>
              <w:spacing w:before="0" w:line="240" w:lineRule="auto"/>
              <w:ind w:firstLine="0" w:firstLineChars="0"/>
              <w:jc w:val="center"/>
              <w:rPr>
                <w:b/>
                <w:color w:val="auto"/>
                <w:sz w:val="21"/>
                <w:highlight w:val="none"/>
              </w:rPr>
            </w:pPr>
            <w:r>
              <w:rPr>
                <w:rFonts w:hint="eastAsia"/>
                <w:b w:val="0"/>
                <w:bCs/>
                <w:color w:val="auto"/>
                <w:sz w:val="21"/>
                <w:highlight w:val="none"/>
                <w:lang w:val="en-US" w:eastAsia="zh-CN"/>
              </w:rPr>
              <w:t>6</w:t>
            </w:r>
            <w:r>
              <w:rPr>
                <w:b w:val="0"/>
                <w:bCs/>
                <w:color w:val="auto"/>
                <w:sz w:val="21"/>
                <w:highlight w:val="none"/>
                <w:lang w:val="en-US"/>
              </w:rPr>
              <w:t>#</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147</w:t>
            </w:r>
          </w:p>
        </w:tc>
        <w:tc>
          <w:tcPr>
            <w:tcW w:w="388"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-117</w:t>
            </w:r>
          </w:p>
        </w:tc>
        <w:tc>
          <w:tcPr>
            <w:tcW w:w="551"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67.038</w:t>
            </w:r>
          </w:p>
        </w:tc>
        <w:tc>
          <w:tcPr>
            <w:tcW w:w="26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20</w:t>
            </w:r>
          </w:p>
        </w:tc>
        <w:tc>
          <w:tcPr>
            <w:tcW w:w="302"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0.6</w:t>
            </w:r>
          </w:p>
        </w:tc>
        <w:tc>
          <w:tcPr>
            <w:tcW w:w="485" w:type="pc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cs="Times New Roman"/>
                <w:bCs/>
                <w:color w:val="auto"/>
                <w:kern w:val="0"/>
                <w:sz w:val="21"/>
                <w:szCs w:val="20"/>
                <w:highlight w:val="none"/>
                <w:u w:color="000000"/>
                <w:lang w:val="en-US" w:eastAsia="zh-CN" w:bidi="ar-SA"/>
              </w:rPr>
              <w:t>20000</w:t>
            </w: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24</w:t>
            </w:r>
          </w:p>
        </w:tc>
        <w:tc>
          <w:tcPr>
            <w:tcW w:w="376"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3600</w:t>
            </w:r>
          </w:p>
        </w:tc>
        <w:tc>
          <w:tcPr>
            <w:tcW w:w="253" w:type="pc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rFonts w:hint="eastAsia"/>
                <w:color w:val="auto"/>
                <w:sz w:val="21"/>
                <w:szCs w:val="21"/>
                <w:highlight w:val="none"/>
              </w:rPr>
            </w:pPr>
            <w:r>
              <w:rPr>
                <w:rFonts w:hint="eastAsia"/>
                <w:b w:val="0"/>
                <w:bCs w:val="0"/>
                <w:color w:val="000000"/>
                <w:sz w:val="21"/>
                <w:szCs w:val="21"/>
                <w:highlight w:val="none"/>
                <w:u w:val="none"/>
                <w:lang w:val="en-US" w:eastAsia="zh-CN"/>
              </w:rPr>
              <w:t>0.294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7</w:t>
            </w:r>
          </w:p>
        </w:tc>
        <w:tc>
          <w:tcPr>
            <w:tcW w:w="422"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rFonts w:hint="eastAsia"/>
                <w:b w:val="0"/>
                <w:bCs/>
                <w:color w:val="auto"/>
                <w:sz w:val="21"/>
                <w:highlight w:val="none"/>
                <w:lang w:val="en-US" w:eastAsia="zh-CN"/>
              </w:rPr>
              <w:t>7</w:t>
            </w:r>
            <w:r>
              <w:rPr>
                <w:b w:val="0"/>
                <w:bCs/>
                <w:color w:val="auto"/>
                <w:sz w:val="21"/>
                <w:highlight w:val="none"/>
                <w:lang w:val="en-US"/>
              </w:rPr>
              <w:t>#</w:t>
            </w:r>
            <w:r>
              <w:rPr>
                <w:b w:val="0"/>
                <w:bCs/>
                <w:color w:val="auto"/>
                <w:sz w:val="21"/>
                <w:highlight w:val="none"/>
              </w:rPr>
              <w:t>排气筒</w:t>
            </w:r>
          </w:p>
        </w:tc>
        <w:tc>
          <w:tcPr>
            <w:tcW w:w="420"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SO</w:t>
            </w:r>
            <w:r>
              <w:rPr>
                <w:rFonts w:hint="eastAsia"/>
                <w:bCs/>
                <w:color w:val="auto"/>
                <w:sz w:val="21"/>
                <w:highlight w:val="none"/>
                <w:vertAlign w:val="subscript"/>
                <w:lang w:val="en-US" w:eastAsia="zh-CN"/>
              </w:rPr>
              <w:t>2</w:t>
            </w:r>
          </w:p>
        </w:tc>
        <w:tc>
          <w:tcPr>
            <w:tcW w:w="353"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91</w:t>
            </w:r>
          </w:p>
        </w:tc>
        <w:tc>
          <w:tcPr>
            <w:tcW w:w="388"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-102</w:t>
            </w:r>
          </w:p>
        </w:tc>
        <w:tc>
          <w:tcPr>
            <w:tcW w:w="551"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67.630</w:t>
            </w:r>
          </w:p>
        </w:tc>
        <w:tc>
          <w:tcPr>
            <w:tcW w:w="26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8</w:t>
            </w:r>
          </w:p>
        </w:tc>
        <w:tc>
          <w:tcPr>
            <w:tcW w:w="302"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0.5</w:t>
            </w:r>
          </w:p>
        </w:tc>
        <w:tc>
          <w:tcPr>
            <w:tcW w:w="485" w:type="pct"/>
            <w:vMerge w:val="restar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cs="Times New Roman"/>
                <w:bCs/>
                <w:color w:val="auto"/>
                <w:kern w:val="0"/>
                <w:sz w:val="21"/>
                <w:szCs w:val="20"/>
                <w:highlight w:val="none"/>
                <w:u w:color="000000"/>
                <w:lang w:val="en-US" w:eastAsia="zh-CN" w:bidi="ar-SA"/>
              </w:rPr>
              <w:t>1135.5</w:t>
            </w: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3600</w:t>
            </w:r>
          </w:p>
        </w:tc>
        <w:tc>
          <w:tcPr>
            <w:tcW w:w="253" w:type="pct"/>
            <w:vMerge w:val="restar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正常</w:t>
            </w:r>
          </w:p>
        </w:tc>
        <w:tc>
          <w:tcPr>
            <w:tcW w:w="614"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sz w:val="21"/>
                <w:szCs w:val="21"/>
                <w:highlight w:val="none"/>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2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20"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35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51"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0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5"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3"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14"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sz w:val="21"/>
                <w:szCs w:val="21"/>
                <w:highlight w:val="none"/>
              </w:rPr>
              <w:t>0.</w:t>
            </w:r>
            <w:r>
              <w:rPr>
                <w:rFonts w:hint="eastAsia" w:cs="Times New Roman"/>
                <w:b w:val="0"/>
                <w:bCs/>
                <w:sz w:val="21"/>
                <w:szCs w:val="21"/>
                <w:highlight w:val="none"/>
                <w:lang w:val="en-US" w:eastAsia="zh-CN"/>
              </w:rPr>
              <w:t>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2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20" w:type="pct"/>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5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51"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0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5"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3"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14"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sz w:val="21"/>
                <w:szCs w:val="21"/>
                <w:highlight w:val="none"/>
                <w:lang w:val="en-US" w:eastAsia="zh-CN"/>
              </w:rPr>
              <w:t>0.038</w:t>
            </w:r>
          </w:p>
        </w:tc>
      </w:tr>
    </w:tbl>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.2-10 项目无组织废气排放源强参数一览表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596"/>
        <w:gridCol w:w="964"/>
        <w:gridCol w:w="1091"/>
        <w:gridCol w:w="965"/>
        <w:gridCol w:w="909"/>
        <w:gridCol w:w="735"/>
        <w:gridCol w:w="894"/>
        <w:gridCol w:w="594"/>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编号</w:t>
            </w:r>
          </w:p>
        </w:tc>
        <w:tc>
          <w:tcPr>
            <w:tcW w:w="352"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名称</w:t>
            </w:r>
          </w:p>
        </w:tc>
        <w:tc>
          <w:tcPr>
            <w:tcW w:w="569"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污染物名称</w:t>
            </w:r>
          </w:p>
        </w:tc>
        <w:tc>
          <w:tcPr>
            <w:tcW w:w="1214" w:type="pct"/>
            <w:gridSpan w:val="2"/>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面源各顶点坐标/m</w:t>
            </w:r>
          </w:p>
        </w:tc>
        <w:tc>
          <w:tcPr>
            <w:tcW w:w="537"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面源海拔高度/m</w:t>
            </w:r>
          </w:p>
        </w:tc>
        <w:tc>
          <w:tcPr>
            <w:tcW w:w="434"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面源有效排放度/m</w:t>
            </w:r>
          </w:p>
        </w:tc>
        <w:tc>
          <w:tcPr>
            <w:tcW w:w="528"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年排放小时数/h</w:t>
            </w:r>
          </w:p>
        </w:tc>
        <w:tc>
          <w:tcPr>
            <w:tcW w:w="351"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排放工况</w:t>
            </w:r>
          </w:p>
        </w:tc>
        <w:tc>
          <w:tcPr>
            <w:tcW w:w="686"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污染物排放速率/</w:t>
            </w:r>
            <w:r>
              <w:rPr>
                <w:rFonts w:hint="eastAsia"/>
                <w:b w:val="0"/>
                <w:bCs/>
                <w:color w:val="auto"/>
                <w:sz w:val="21"/>
                <w:highlight w:val="none"/>
                <w:u w:val="none" w:color="auto"/>
                <w:lang w:val="en-US" w:eastAsia="zh-CN"/>
              </w:rPr>
              <w:t>kg/h</w:t>
            </w:r>
            <w:r>
              <w:rPr>
                <w:rFonts w:hint="eastAsia"/>
                <w:b w:val="0"/>
                <w:bCs/>
                <w:color w:val="auto"/>
                <w:sz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X</w:t>
            </w:r>
          </w:p>
        </w:tc>
        <w:tc>
          <w:tcPr>
            <w:tcW w:w="569" w:type="pc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Y</w:t>
            </w:r>
          </w:p>
        </w:tc>
        <w:tc>
          <w:tcPr>
            <w:tcW w:w="537"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434"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528"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351"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686"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restart"/>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r>
              <w:rPr>
                <w:b/>
                <w:color w:val="auto"/>
                <w:sz w:val="21"/>
                <w:highlight w:val="none"/>
                <w:u w:val="none" w:color="auto"/>
              </w:rPr>
              <w:t>1</w:t>
            </w:r>
          </w:p>
        </w:tc>
        <w:tc>
          <w:tcPr>
            <w:tcW w:w="352" w:type="pct"/>
            <w:vMerge w:val="restart"/>
            <w:tcBorders>
              <w:tl2br w:val="nil"/>
              <w:tr2bl w:val="nil"/>
            </w:tcBorders>
            <w:vAlign w:val="center"/>
          </w:tcPr>
          <w:p>
            <w:pPr>
              <w:pStyle w:val="108"/>
              <w:spacing w:before="0" w:line="240" w:lineRule="auto"/>
              <w:ind w:firstLine="0" w:firstLineChars="0"/>
              <w:jc w:val="center"/>
              <w:rPr>
                <w:rFonts w:hint="eastAsia" w:eastAsia="宋体"/>
                <w:b/>
                <w:color w:val="auto"/>
                <w:sz w:val="21"/>
                <w:highlight w:val="none"/>
                <w:u w:val="none" w:color="auto"/>
                <w:lang w:val="en-US" w:eastAsia="zh-CN"/>
              </w:rPr>
            </w:pPr>
            <w:r>
              <w:rPr>
                <w:rFonts w:hint="eastAsia"/>
                <w:bCs/>
                <w:color w:val="auto"/>
                <w:sz w:val="21"/>
                <w:highlight w:val="none"/>
                <w:u w:val="none" w:color="auto"/>
                <w:lang w:eastAsia="zh-CN"/>
              </w:rPr>
              <w:t>厂区</w:t>
            </w:r>
          </w:p>
        </w:tc>
        <w:tc>
          <w:tcPr>
            <w:tcW w:w="569"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u w:val="none" w:color="auto"/>
                <w:lang w:val="en-US" w:eastAsia="zh-CN"/>
              </w:rPr>
            </w:pPr>
            <w:r>
              <w:rPr>
                <w:rFonts w:hint="eastAsia"/>
                <w:color w:val="auto"/>
                <w:sz w:val="21"/>
                <w:highlight w:val="none"/>
                <w:u w:val="none" w:color="auto"/>
                <w:lang w:val="en-US" w:eastAsia="zh-CN"/>
              </w:rPr>
              <w:t>NH</w:t>
            </w:r>
            <w:r>
              <w:rPr>
                <w:rFonts w:hint="eastAsia"/>
                <w:color w:val="auto"/>
                <w:sz w:val="21"/>
                <w:highlight w:val="none"/>
                <w:u w:val="none" w:color="auto"/>
                <w:vertAlign w:val="subscript"/>
                <w:lang w:val="en-US" w:eastAsia="zh-CN"/>
              </w:rPr>
              <w:t>3</w:t>
            </w: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0</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0</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r>
              <w:rPr>
                <w:color w:val="auto"/>
                <w:sz w:val="21"/>
                <w:highlight w:val="none"/>
                <w:u w:val="none" w:color="auto"/>
              </w:rPr>
              <w:t>105.2</w:t>
            </w:r>
          </w:p>
        </w:tc>
        <w:tc>
          <w:tcPr>
            <w:tcW w:w="434" w:type="pct"/>
            <w:vMerge w:val="restart"/>
            <w:tcBorders>
              <w:tl2br w:val="nil"/>
              <w:tr2bl w:val="nil"/>
            </w:tcBorders>
            <w:vAlign w:val="center"/>
          </w:tcPr>
          <w:p>
            <w:pPr>
              <w:pStyle w:val="108"/>
              <w:spacing w:before="0" w:line="240" w:lineRule="auto"/>
              <w:ind w:firstLine="0" w:firstLineChars="0"/>
              <w:jc w:val="center"/>
              <w:rPr>
                <w:rFonts w:hint="eastAsia" w:eastAsia="宋体"/>
                <w:color w:val="auto"/>
                <w:sz w:val="21"/>
                <w:highlight w:val="none"/>
                <w:u w:val="none" w:color="auto"/>
                <w:lang w:val="en-US" w:eastAsia="zh-CN"/>
              </w:rPr>
            </w:pPr>
            <w:r>
              <w:rPr>
                <w:rFonts w:hint="eastAsia"/>
                <w:color w:val="auto"/>
                <w:sz w:val="21"/>
                <w:highlight w:val="none"/>
                <w:u w:val="none" w:color="auto"/>
                <w:lang w:val="en-US" w:eastAsia="zh-CN"/>
              </w:rPr>
              <w:t>7</w:t>
            </w:r>
          </w:p>
        </w:tc>
        <w:tc>
          <w:tcPr>
            <w:tcW w:w="528"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8760</w:t>
            </w:r>
          </w:p>
        </w:tc>
        <w:tc>
          <w:tcPr>
            <w:tcW w:w="351"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86" w:type="pct"/>
            <w:vMerge w:val="restart"/>
            <w:tcBorders>
              <w:tl2br w:val="nil"/>
              <w:tr2bl w:val="nil"/>
            </w:tcBorders>
            <w:vAlign w:val="center"/>
          </w:tcPr>
          <w:p>
            <w:pPr>
              <w:spacing w:line="240" w:lineRule="auto"/>
              <w:ind w:firstLine="0" w:firstLineChars="0"/>
              <w:jc w:val="center"/>
              <w:rPr>
                <w:rFonts w:hint="default" w:eastAsia="宋体"/>
                <w:sz w:val="21"/>
                <w:highlight w:val="none"/>
                <w:u w:val="none" w:color="auto"/>
                <w:lang w:val="en-US" w:eastAsia="zh-CN"/>
              </w:rPr>
            </w:pPr>
            <w:r>
              <w:rPr>
                <w:rFonts w:hint="eastAsia"/>
                <w:sz w:val="21"/>
                <w:highlight w:val="none"/>
                <w:u w:val="none" w:color="auto"/>
                <w:lang w:val="en-US" w:eastAsia="zh-CN"/>
              </w:rPr>
              <w:t>0.267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278</w:t>
            </w:r>
          </w:p>
        </w:tc>
        <w:tc>
          <w:tcPr>
            <w:tcW w:w="569"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309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464</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29</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550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51</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693</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68</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679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169</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855</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174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884</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871</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-116</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779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-138</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557</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-142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580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-241</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413</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-212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216</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-214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-214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H</w:t>
            </w:r>
            <w:r>
              <w:rPr>
                <w:rFonts w:hint="eastAsia"/>
                <w:color w:val="auto"/>
                <w:sz w:val="21"/>
                <w:highlight w:val="none"/>
                <w:u w:val="none" w:color="auto"/>
                <w:vertAlign w:val="subscript"/>
                <w:lang w:val="en-US" w:eastAsia="zh-CN"/>
              </w:rPr>
              <w:t>2</w:t>
            </w:r>
            <w:r>
              <w:rPr>
                <w:rFonts w:hint="eastAsia"/>
                <w:color w:val="auto"/>
                <w:sz w:val="21"/>
                <w:highlight w:val="none"/>
                <w:u w:val="none" w:color="auto"/>
                <w:lang w:val="en-US" w:eastAsia="zh-CN"/>
              </w:rPr>
              <w:t>S</w:t>
            </w: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r>
              <w:rPr>
                <w:color w:val="auto"/>
                <w:sz w:val="21"/>
                <w:highlight w:val="none"/>
                <w:u w:val="none" w:color="auto"/>
              </w:rPr>
              <w:t>105.2</w:t>
            </w:r>
          </w:p>
        </w:tc>
        <w:tc>
          <w:tcPr>
            <w:tcW w:w="434" w:type="pct"/>
            <w:vMerge w:val="restart"/>
            <w:tcBorders>
              <w:tl2br w:val="nil"/>
              <w:tr2bl w:val="nil"/>
            </w:tcBorders>
            <w:vAlign w:val="center"/>
          </w:tcPr>
          <w:p>
            <w:pPr>
              <w:pStyle w:val="108"/>
              <w:spacing w:before="0" w:line="240" w:lineRule="auto"/>
              <w:ind w:firstLine="0" w:firstLineChars="0"/>
              <w:jc w:val="center"/>
              <w:rPr>
                <w:rFonts w:hint="eastAsia" w:eastAsia="宋体"/>
                <w:color w:val="auto"/>
                <w:sz w:val="21"/>
                <w:highlight w:val="none"/>
                <w:u w:val="none" w:color="auto"/>
                <w:lang w:val="en-US" w:eastAsia="zh-CN"/>
              </w:rPr>
            </w:pPr>
            <w:r>
              <w:rPr>
                <w:rFonts w:hint="eastAsia"/>
                <w:color w:val="auto"/>
                <w:sz w:val="21"/>
                <w:highlight w:val="none"/>
                <w:u w:val="none" w:color="auto"/>
                <w:lang w:val="en-US" w:eastAsia="zh-CN"/>
              </w:rPr>
              <w:t>7</w:t>
            </w:r>
          </w:p>
        </w:tc>
        <w:tc>
          <w:tcPr>
            <w:tcW w:w="528"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876</w:t>
            </w:r>
            <w:r>
              <w:rPr>
                <w:color w:val="auto"/>
                <w:sz w:val="21"/>
                <w:highlight w:val="none"/>
                <w:u w:val="none" w:color="auto"/>
              </w:rPr>
              <w:t>0</w:t>
            </w:r>
          </w:p>
        </w:tc>
        <w:tc>
          <w:tcPr>
            <w:tcW w:w="351"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86" w:type="pct"/>
            <w:vMerge w:val="restart"/>
            <w:tcBorders>
              <w:tl2br w:val="nil"/>
              <w:tr2bl w:val="nil"/>
            </w:tcBorders>
            <w:vAlign w:val="center"/>
          </w:tcPr>
          <w:p>
            <w:pPr>
              <w:spacing w:line="240" w:lineRule="auto"/>
              <w:ind w:firstLine="0" w:firstLineChars="0"/>
              <w:jc w:val="center"/>
              <w:rPr>
                <w:rFonts w:hint="default" w:eastAsia="宋体" w:cs="Times New Roman"/>
                <w:sz w:val="21"/>
                <w:szCs w:val="21"/>
                <w:highlight w:val="none"/>
                <w:u w:val="none" w:color="auto"/>
                <w:lang w:val="en-US" w:eastAsia="zh-CN"/>
              </w:rPr>
            </w:pPr>
            <w:r>
              <w:rPr>
                <w:rFonts w:hint="eastAsia" w:cs="Times New Roman"/>
                <w:sz w:val="21"/>
                <w:szCs w:val="21"/>
                <w:highlight w:val="none"/>
                <w:u w:val="none" w:color="auto"/>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278</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309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464</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29</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550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51</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693</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68</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679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169</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855</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174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884</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42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871</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-116</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779</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-138</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557</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-142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580</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-241</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413</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216</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80</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-214</w:t>
            </w:r>
          </w:p>
        </w:tc>
        <w:tc>
          <w:tcPr>
            <w:tcW w:w="537" w:type="pc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r>
              <w:rPr>
                <w:rFonts w:hint="eastAsia"/>
                <w:bCs/>
                <w:color w:val="auto"/>
                <w:sz w:val="21"/>
                <w:szCs w:val="21"/>
                <w:highlight w:val="none"/>
                <w:u w:val="none" w:color="auto"/>
                <w:lang w:val="en-US"/>
              </w:rPr>
              <w:t>PM</w:t>
            </w:r>
            <w:r>
              <w:rPr>
                <w:rFonts w:hint="eastAsia"/>
                <w:bCs/>
                <w:color w:val="auto"/>
                <w:sz w:val="21"/>
                <w:szCs w:val="21"/>
                <w:highlight w:val="none"/>
                <w:u w:val="none" w:color="auto"/>
                <w:vertAlign w:val="subscript"/>
                <w:lang w:val="en-US"/>
              </w:rPr>
              <w:t>10</w:t>
            </w: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r>
              <w:rPr>
                <w:color w:val="auto"/>
                <w:sz w:val="21"/>
                <w:highlight w:val="none"/>
                <w:u w:val="none" w:color="auto"/>
              </w:rPr>
              <w:t>105.2</w:t>
            </w:r>
          </w:p>
        </w:tc>
        <w:tc>
          <w:tcPr>
            <w:tcW w:w="434" w:type="pct"/>
            <w:vMerge w:val="restart"/>
            <w:tcBorders>
              <w:tl2br w:val="nil"/>
              <w:tr2bl w:val="nil"/>
            </w:tcBorders>
            <w:vAlign w:val="center"/>
          </w:tcPr>
          <w:p>
            <w:pPr>
              <w:pStyle w:val="108"/>
              <w:spacing w:before="0" w:line="240" w:lineRule="auto"/>
              <w:ind w:firstLine="0" w:firstLineChars="0"/>
              <w:jc w:val="center"/>
              <w:rPr>
                <w:rFonts w:hint="eastAsia" w:eastAsia="宋体"/>
                <w:b/>
                <w:color w:val="auto"/>
                <w:sz w:val="21"/>
                <w:highlight w:val="none"/>
                <w:u w:val="none" w:color="auto"/>
                <w:lang w:val="en-US" w:eastAsia="zh-CN"/>
              </w:rPr>
            </w:pPr>
            <w:r>
              <w:rPr>
                <w:rFonts w:hint="eastAsia"/>
                <w:b w:val="0"/>
                <w:bCs/>
                <w:color w:val="auto"/>
                <w:sz w:val="21"/>
                <w:highlight w:val="none"/>
                <w:u w:val="none" w:color="auto"/>
                <w:lang w:val="en-US" w:eastAsia="zh-CN"/>
              </w:rPr>
              <w:t>7</w:t>
            </w:r>
          </w:p>
        </w:tc>
        <w:tc>
          <w:tcPr>
            <w:tcW w:w="528"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u w:val="none" w:color="auto"/>
                <w:lang w:val="en-US" w:eastAsia="zh-CN"/>
              </w:rPr>
            </w:pPr>
            <w:r>
              <w:rPr>
                <w:rFonts w:hint="eastAsia"/>
                <w:color w:val="auto"/>
                <w:sz w:val="21"/>
                <w:highlight w:val="none"/>
                <w:u w:val="none" w:color="auto"/>
                <w:lang w:val="en-US" w:eastAsia="zh-CN"/>
              </w:rPr>
              <w:t>3600</w:t>
            </w:r>
          </w:p>
        </w:tc>
        <w:tc>
          <w:tcPr>
            <w:tcW w:w="351" w:type="pct"/>
            <w:vMerge w:val="restart"/>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r>
              <w:rPr>
                <w:rFonts w:hint="eastAsia"/>
                <w:color w:val="auto"/>
                <w:sz w:val="21"/>
                <w:highlight w:val="none"/>
                <w:u w:val="none" w:color="auto"/>
              </w:rPr>
              <w:t>正常</w:t>
            </w:r>
          </w:p>
        </w:tc>
        <w:tc>
          <w:tcPr>
            <w:tcW w:w="686" w:type="pct"/>
            <w:vMerge w:val="restart"/>
            <w:tcBorders>
              <w:tl2br w:val="nil"/>
              <w:tr2bl w:val="nil"/>
            </w:tcBorders>
            <w:vAlign w:val="center"/>
          </w:tcPr>
          <w:p>
            <w:pPr>
              <w:spacing w:line="240" w:lineRule="auto"/>
              <w:ind w:firstLine="0" w:firstLineChars="0"/>
              <w:jc w:val="center"/>
              <w:rPr>
                <w:rFonts w:hint="default"/>
                <w:b/>
                <w:sz w:val="21"/>
                <w:highlight w:val="none"/>
                <w:u w:val="none" w:color="auto"/>
                <w:lang w:val="en-US"/>
              </w:rPr>
            </w:pPr>
            <w:r>
              <w:rPr>
                <w:rFonts w:hint="eastAsia" w:cs="Times New Roman"/>
                <w:sz w:val="21"/>
                <w:szCs w:val="21"/>
                <w:highlight w:val="none"/>
                <w:u w:val="none" w:color="auto"/>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278</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309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464</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29</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550</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51</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693</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68</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679</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169</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855</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174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884</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42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871</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-116</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779</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-138</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557</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-142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580</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-241</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413</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216</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80</w:t>
            </w:r>
          </w:p>
        </w:tc>
        <w:tc>
          <w:tcPr>
            <w:tcW w:w="569"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rPr>
            </w:pPr>
            <w:r>
              <w:rPr>
                <w:rFonts w:hint="eastAsia"/>
                <w:color w:val="auto"/>
                <w:sz w:val="21"/>
                <w:highlight w:val="none"/>
                <w:u w:val="none" w:color="auto"/>
                <w:lang w:val="en-US" w:eastAsia="zh-CN"/>
              </w:rPr>
              <w:t>-214</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w:t>
            </w:r>
          </w:p>
        </w:tc>
        <w:tc>
          <w:tcPr>
            <w:tcW w:w="569"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537"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color w:val="auto"/>
                <w:sz w:val="21"/>
                <w:highlight w:val="none"/>
                <w:u w:val="none" w:color="auto"/>
              </w:rPr>
              <w:t>105.2</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6" w:type="pct"/>
            <w:vMerge w:val="continue"/>
            <w:tcBorders>
              <w:tl2br w:val="nil"/>
              <w:tr2bl w:val="nil"/>
            </w:tcBorders>
            <w:vAlign w:val="center"/>
          </w:tcPr>
          <w:p>
            <w:pPr>
              <w:spacing w:line="240" w:lineRule="auto"/>
              <w:ind w:firstLine="0" w:firstLineChars="0"/>
              <w:jc w:val="center"/>
              <w:rPr>
                <w:rFonts w:cs="Times New Roman"/>
                <w:sz w:val="21"/>
                <w:szCs w:val="21"/>
                <w:highlight w:val="none"/>
                <w:u w:val="none" w:color="auto"/>
              </w:rPr>
            </w:pPr>
          </w:p>
        </w:tc>
      </w:tr>
    </w:tbl>
    <w:p>
      <w:pPr>
        <w:pStyle w:val="8"/>
        <w:ind w:firstLine="482"/>
        <w:rPr>
          <w:rFonts w:hint="eastAsia" w:eastAsia="宋体"/>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3</w:t>
      </w:r>
      <w:r>
        <w:rPr>
          <w:highlight w:val="none"/>
        </w:rPr>
        <w:t>评价</w:t>
      </w:r>
      <w:r>
        <w:rPr>
          <w:rFonts w:hint="eastAsia"/>
          <w:highlight w:val="none"/>
          <w:lang w:eastAsia="zh-CN"/>
        </w:rPr>
        <w:t>标准</w:t>
      </w:r>
    </w:p>
    <w:p>
      <w:pPr>
        <w:keepNext w:val="0"/>
        <w:keepLines w:val="0"/>
        <w:pageBreakBefore w:val="0"/>
        <w:widowControl/>
        <w:tabs>
          <w:tab w:val="left" w:pos="864"/>
        </w:tabs>
        <w:kinsoku/>
        <w:wordWrap/>
        <w:overflowPunct/>
        <w:topLinePunct w:val="0"/>
        <w:autoSpaceDE/>
        <w:autoSpaceDN/>
        <w:bidi w:val="0"/>
        <w:adjustRightInd/>
        <w:snapToGrid/>
        <w:ind w:firstLine="482"/>
        <w:jc w:val="both"/>
        <w:textAlignment w:val="auto"/>
        <w:outlineLvl w:val="9"/>
        <w:rPr>
          <w:rFonts w:ascii="Times New Roman" w:hAnsi="Times New Roman" w:eastAsia="宋体" w:cstheme="minorBidi"/>
          <w:b/>
          <w:bCs w:val="0"/>
          <w:kern w:val="2"/>
          <w:sz w:val="21"/>
          <w:szCs w:val="24"/>
          <w:highlight w:val="none"/>
          <w:lang w:val="en-US" w:eastAsia="zh-CN" w:bidi="ar-SA"/>
        </w:rPr>
      </w:pPr>
      <w:r>
        <w:rPr>
          <w:rFonts w:hint="eastAsia"/>
          <w:highlight w:val="none"/>
          <w:lang w:val="en-US" w:eastAsia="zh-CN"/>
        </w:rPr>
        <w:t>评价标准见表4.2-11。</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.2-11 项目评价标准一览表   单位：</w:t>
      </w:r>
      <w:r>
        <w:rPr>
          <w:rFonts w:hint="default" w:ascii="Times New Roman" w:hAnsi="Times New Roman" w:eastAsia="宋体" w:cs="Times New Roman"/>
          <w:b/>
          <w:bCs w:val="0"/>
          <w:kern w:val="2"/>
          <w:sz w:val="21"/>
          <w:szCs w:val="24"/>
          <w:highlight w:val="none"/>
          <w:lang w:val="en-US" w:eastAsia="zh-CN" w:bidi="ar-SA"/>
        </w:rPr>
        <w:t>μg/</w:t>
      </w:r>
      <w:r>
        <w:rPr>
          <w:rFonts w:hint="eastAsia" w:ascii="Times New Roman" w:hAnsi="Times New Roman" w:eastAsia="宋体" w:cs="Times New Roman"/>
          <w:b/>
          <w:bCs w:val="0"/>
          <w:kern w:val="2"/>
          <w:sz w:val="21"/>
          <w:szCs w:val="24"/>
          <w:highlight w:val="none"/>
          <w:lang w:val="en-US" w:eastAsia="zh-CN" w:bidi="ar-SA"/>
        </w:rPr>
        <w:t>m</w:t>
      </w:r>
      <w:r>
        <w:rPr>
          <w:rFonts w:hint="eastAsia" w:ascii="Times New Roman" w:hAnsi="Times New Roman" w:eastAsia="宋体" w:cs="Times New Roman"/>
          <w:b/>
          <w:bCs w:val="0"/>
          <w:kern w:val="2"/>
          <w:sz w:val="21"/>
          <w:szCs w:val="24"/>
          <w:highlight w:val="none"/>
          <w:vertAlign w:val="superscript"/>
          <w:lang w:val="en-US" w:eastAsia="zh-CN" w:bidi="ar-SA"/>
        </w:rPr>
        <w:t>3</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32"/>
        <w:gridCol w:w="1103"/>
        <w:gridCol w:w="4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污染物名称</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取值时间</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浓度限值</w:t>
            </w:r>
          </w:p>
        </w:tc>
        <w:tc>
          <w:tcPr>
            <w:tcW w:w="2622" w:type="pct"/>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H</w:t>
            </w:r>
            <w:r>
              <w:rPr>
                <w:rFonts w:hint="eastAsia"/>
                <w:b w:val="0"/>
                <w:bCs/>
                <w:color w:val="auto"/>
                <w:sz w:val="21"/>
                <w:highlight w:val="none"/>
                <w:vertAlign w:val="subscript"/>
                <w:lang w:val="en-US" w:eastAsia="zh-CN"/>
              </w:rPr>
              <w:t>2</w:t>
            </w:r>
            <w:r>
              <w:rPr>
                <w:rFonts w:hint="eastAsia"/>
                <w:b w:val="0"/>
                <w:bCs/>
                <w:color w:val="auto"/>
                <w:sz w:val="21"/>
                <w:highlight w:val="none"/>
                <w:lang w:val="en-US" w:eastAsia="zh-CN"/>
              </w:rPr>
              <w:t>S</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10</w:t>
            </w:r>
          </w:p>
        </w:tc>
        <w:tc>
          <w:tcPr>
            <w:tcW w:w="2622" w:type="pct"/>
            <w:vMerge w:val="restart"/>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《环境影响评价技术导则—大气环境》（HJ2.2-2018）附录D 表D.1浓度参考限值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NH</w:t>
            </w:r>
            <w:r>
              <w:rPr>
                <w:rFonts w:hint="eastAsia"/>
                <w:b w:val="0"/>
                <w:bCs/>
                <w:color w:val="auto"/>
                <w:sz w:val="21"/>
                <w:highlight w:val="none"/>
                <w:vertAlign w:val="subscript"/>
                <w:lang w:val="en-US" w:eastAsia="zh-CN"/>
              </w:rPr>
              <w:t>3</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200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SO</w:t>
            </w:r>
            <w:r>
              <w:rPr>
                <w:rFonts w:hint="eastAsia"/>
                <w:b w:val="0"/>
                <w:bCs/>
                <w:color w:val="auto"/>
                <w:sz w:val="21"/>
                <w:highlight w:val="none"/>
                <w:vertAlign w:val="subscript"/>
                <w:lang w:val="en-US" w:eastAsia="zh-CN"/>
              </w:rPr>
              <w:t>2</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60</w:t>
            </w:r>
          </w:p>
        </w:tc>
        <w:tc>
          <w:tcPr>
            <w:tcW w:w="2622" w:type="pct"/>
            <w:vMerge w:val="restart"/>
            <w:tcBorders>
              <w:right w:val="single" w:color="auto" w:sz="12" w:space="0"/>
            </w:tcBorders>
            <w:noWrap/>
            <w:vAlign w:val="center"/>
          </w:tcPr>
          <w:p>
            <w:pPr>
              <w:pStyle w:val="108"/>
              <w:spacing w:before="0" w:line="240" w:lineRule="auto"/>
              <w:ind w:firstLine="0" w:firstLineChars="0"/>
              <w:jc w:val="both"/>
              <w:rPr>
                <w:rFonts w:hint="eastAsia"/>
                <w:b w:val="0"/>
                <w:bCs/>
                <w:color w:val="auto"/>
                <w:sz w:val="21"/>
                <w:highlight w:val="none"/>
                <w:lang w:val="en-US" w:eastAsia="zh-CN"/>
              </w:rPr>
            </w:pPr>
            <w:r>
              <w:rPr>
                <w:rFonts w:hint="eastAsia"/>
                <w:b w:val="0"/>
                <w:bCs/>
                <w:color w:val="auto"/>
                <w:sz w:val="21"/>
                <w:highlight w:val="none"/>
                <w:lang w:val="en-US" w:eastAsia="zh-CN"/>
              </w:rPr>
              <w:t>《环境空气质量标准》（GB3095—2012）</w:t>
            </w:r>
          </w:p>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500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100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PM</w:t>
            </w:r>
            <w:r>
              <w:rPr>
                <w:rFonts w:hint="eastAsia"/>
                <w:b w:val="0"/>
                <w:bCs/>
                <w:color w:val="auto"/>
                <w:sz w:val="21"/>
                <w:highlight w:val="none"/>
                <w:vertAlign w:val="subscript"/>
                <w:lang w:val="en-US" w:eastAsia="zh-CN"/>
              </w:rPr>
              <w:t>10</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70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jc w:val="center"/>
              <w:rPr>
                <w:rFonts w:ascii="Times New Roman" w:hAnsi="Times New Roman"/>
                <w:kern w:val="0"/>
                <w:sz w:val="21"/>
                <w:szCs w:val="21"/>
                <w:highlight w:val="none"/>
              </w:rPr>
            </w:pPr>
          </w:p>
        </w:tc>
      </w:tr>
    </w:tbl>
    <w:p>
      <w:pPr>
        <w:pStyle w:val="8"/>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.4估算结果</w:t>
      </w:r>
    </w:p>
    <w:p>
      <w:pPr>
        <w:ind w:firstLine="480"/>
        <w:rPr>
          <w:rFonts w:cs="Times New Roman"/>
          <w:highlight w:val="none"/>
        </w:rPr>
        <w:sectPr>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highlight w:val="none"/>
        </w:rPr>
        <w:t>根据</w:t>
      </w:r>
      <w:r>
        <w:rPr>
          <w:highlight w:val="none"/>
        </w:rPr>
        <w:t>《环境影响评价技术导则大气环境》（HJ2.2-20</w:t>
      </w:r>
      <w:r>
        <w:rPr>
          <w:rFonts w:hint="eastAsia"/>
          <w:highlight w:val="none"/>
        </w:rPr>
        <w:t>1</w:t>
      </w:r>
      <w:r>
        <w:rPr>
          <w:highlight w:val="none"/>
        </w:rPr>
        <w:t>8）</w:t>
      </w:r>
      <w:r>
        <w:rPr>
          <w:rFonts w:cs="Times New Roman"/>
          <w:highlight w:val="none"/>
        </w:rPr>
        <w:t>，估算模式的计算结果</w:t>
      </w:r>
      <w:r>
        <w:rPr>
          <w:rFonts w:hint="eastAsia" w:cs="Times New Roman"/>
          <w:highlight w:val="none"/>
        </w:rPr>
        <w:t>如下表所示</w:t>
      </w:r>
      <w:r>
        <w:rPr>
          <w:rFonts w:cs="Times New Roman"/>
          <w:highlight w:val="none"/>
        </w:rPr>
        <w:t>。</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.2-12 项目有组织废气排放预测结果一览表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1156"/>
        <w:gridCol w:w="839"/>
        <w:gridCol w:w="1339"/>
        <w:gridCol w:w="1314"/>
        <w:gridCol w:w="1003"/>
        <w:gridCol w:w="1339"/>
        <w:gridCol w:w="1314"/>
        <w:gridCol w:w="1003"/>
        <w:gridCol w:w="1339"/>
        <w:gridCol w:w="1314"/>
        <w:gridCol w:w="10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09" w:type="pct"/>
            <w:vMerge w:val="restart"/>
            <w:tcBorders>
              <w:tl2br w:val="nil"/>
              <w:tr2bl w:val="nil"/>
            </w:tcBorders>
            <w:vAlign w:val="center"/>
          </w:tcPr>
          <w:p>
            <w:pPr>
              <w:pStyle w:val="42"/>
              <w:ind w:firstLine="0" w:firstLineChars="0"/>
              <w:rPr>
                <w:b w:val="0"/>
                <w:bCs/>
                <w:kern w:val="2"/>
                <w:highlight w:val="none"/>
              </w:rPr>
            </w:pPr>
            <w:r>
              <w:rPr>
                <w:rFonts w:hint="eastAsia"/>
                <w:b w:val="0"/>
                <w:bCs/>
                <w:kern w:val="2"/>
                <w:highlight w:val="none"/>
              </w:rPr>
              <w:t>距点源下</w:t>
            </w:r>
          </w:p>
          <w:p>
            <w:pPr>
              <w:pStyle w:val="42"/>
              <w:ind w:firstLine="0" w:firstLineChars="0"/>
              <w:rPr>
                <w:b w:val="0"/>
                <w:bCs/>
                <w:kern w:val="2"/>
                <w:highlight w:val="none"/>
              </w:rPr>
            </w:pPr>
            <w:r>
              <w:rPr>
                <w:rFonts w:hint="eastAsia"/>
                <w:b w:val="0"/>
                <w:bCs/>
                <w:kern w:val="2"/>
                <w:highlight w:val="none"/>
              </w:rPr>
              <w:t>风向距离D（m）</w:t>
            </w:r>
          </w:p>
        </w:tc>
        <w:tc>
          <w:tcPr>
            <w:tcW w:w="706" w:type="pct"/>
            <w:gridSpan w:val="2"/>
            <w:tcBorders>
              <w:tl2br w:val="nil"/>
              <w:tr2bl w:val="nil"/>
            </w:tcBorders>
            <w:tcMar>
              <w:left w:w="28" w:type="dxa"/>
              <w:right w:w="28" w:type="dxa"/>
            </w:tcMar>
            <w:vAlign w:val="center"/>
          </w:tcPr>
          <w:p>
            <w:pPr>
              <w:pStyle w:val="42"/>
              <w:ind w:firstLine="0" w:firstLineChars="0"/>
              <w:rPr>
                <w:b w:val="0"/>
                <w:bCs/>
                <w:kern w:val="2"/>
                <w:highlight w:val="none"/>
              </w:rPr>
            </w:pPr>
            <w:r>
              <w:rPr>
                <w:rFonts w:hint="eastAsia"/>
                <w:b w:val="0"/>
                <w:bCs/>
                <w:kern w:val="2"/>
                <w:highlight w:val="none"/>
                <w:lang w:val="en-US" w:eastAsia="zh-CN"/>
              </w:rPr>
              <w:t>PM</w:t>
            </w:r>
            <w:r>
              <w:rPr>
                <w:rFonts w:hint="eastAsia"/>
                <w:b w:val="0"/>
                <w:bCs/>
                <w:kern w:val="2"/>
                <w:highlight w:val="none"/>
                <w:vertAlign w:val="subscript"/>
                <w:lang w:val="en-US" w:eastAsia="zh-CN"/>
              </w:rPr>
              <w:t>10</w:t>
            </w:r>
            <w:r>
              <w:rPr>
                <w:rFonts w:hint="eastAsia"/>
                <w:b w:val="0"/>
                <w:bCs/>
                <w:kern w:val="2"/>
                <w:highlight w:val="none"/>
              </w:rPr>
              <w:t>（</w:t>
            </w:r>
            <w:r>
              <w:rPr>
                <w:b w:val="0"/>
                <w:bCs/>
                <w:kern w:val="2"/>
                <w:highlight w:val="none"/>
              </w:rPr>
              <w:t>1#</w:t>
            </w:r>
            <w:r>
              <w:rPr>
                <w:rFonts w:hint="eastAsia"/>
                <w:b w:val="0"/>
                <w:bCs/>
                <w:kern w:val="2"/>
                <w:highlight w:val="none"/>
              </w:rPr>
              <w:t>排气筒）</w:t>
            </w:r>
          </w:p>
        </w:tc>
        <w:tc>
          <w:tcPr>
            <w:tcW w:w="474" w:type="pct"/>
            <w:vMerge w:val="restart"/>
            <w:tcBorders>
              <w:tl2br w:val="nil"/>
              <w:tr2bl w:val="nil"/>
            </w:tcBorders>
            <w:vAlign w:val="center"/>
          </w:tcPr>
          <w:p>
            <w:pPr>
              <w:pStyle w:val="42"/>
              <w:ind w:firstLine="0" w:firstLineChars="0"/>
              <w:rPr>
                <w:b w:val="0"/>
                <w:bCs/>
                <w:kern w:val="2"/>
                <w:highlight w:val="none"/>
              </w:rPr>
            </w:pPr>
            <w:r>
              <w:rPr>
                <w:rFonts w:hint="eastAsia"/>
                <w:b w:val="0"/>
                <w:bCs/>
                <w:kern w:val="2"/>
                <w:highlight w:val="none"/>
              </w:rPr>
              <w:t>距点源下风向距离D（m）</w:t>
            </w:r>
          </w:p>
        </w:tc>
        <w:tc>
          <w:tcPr>
            <w:tcW w:w="820" w:type="pct"/>
            <w:gridSpan w:val="2"/>
            <w:tcBorders>
              <w:tl2br w:val="nil"/>
              <w:tr2bl w:val="nil"/>
            </w:tcBorders>
            <w:vAlign w:val="center"/>
          </w:tcPr>
          <w:p>
            <w:pPr>
              <w:pStyle w:val="42"/>
              <w:ind w:firstLine="0" w:firstLineChars="0"/>
              <w:rPr>
                <w:b w:val="0"/>
                <w:bCs/>
                <w:kern w:val="2"/>
                <w:highlight w:val="none"/>
              </w:rPr>
            </w:pPr>
            <w:r>
              <w:rPr>
                <w:rFonts w:hint="eastAsia"/>
                <w:b w:val="0"/>
                <w:bCs/>
                <w:highlight w:val="none"/>
              </w:rPr>
              <w:t>PM</w:t>
            </w:r>
            <w:r>
              <w:rPr>
                <w:rFonts w:hint="eastAsia"/>
                <w:b w:val="0"/>
                <w:bCs/>
                <w:highlight w:val="none"/>
                <w:vertAlign w:val="subscript"/>
              </w:rPr>
              <w:t>10</w:t>
            </w:r>
            <w:r>
              <w:rPr>
                <w:rFonts w:hint="eastAsia"/>
                <w:b w:val="0"/>
                <w:bCs/>
                <w:kern w:val="2"/>
                <w:highlight w:val="none"/>
              </w:rPr>
              <w:t>（</w:t>
            </w:r>
            <w:r>
              <w:rPr>
                <w:rFonts w:hint="eastAsia"/>
                <w:b w:val="0"/>
                <w:bCs/>
                <w:kern w:val="2"/>
                <w:highlight w:val="none"/>
                <w:lang w:val="en-US" w:eastAsia="zh-CN"/>
              </w:rPr>
              <w:t>2</w:t>
            </w:r>
            <w:r>
              <w:rPr>
                <w:b w:val="0"/>
                <w:bCs/>
                <w:kern w:val="2"/>
                <w:highlight w:val="none"/>
              </w:rPr>
              <w:t>#</w:t>
            </w:r>
            <w:r>
              <w:rPr>
                <w:rFonts w:hint="eastAsia"/>
                <w:b w:val="0"/>
                <w:bCs/>
                <w:kern w:val="2"/>
                <w:highlight w:val="none"/>
              </w:rPr>
              <w:t>排气筒）</w:t>
            </w:r>
          </w:p>
        </w:tc>
        <w:tc>
          <w:tcPr>
            <w:tcW w:w="474" w:type="pct"/>
            <w:vMerge w:val="restart"/>
            <w:tcBorders>
              <w:tl2br w:val="nil"/>
              <w:tr2bl w:val="nil"/>
            </w:tcBorders>
            <w:vAlign w:val="center"/>
          </w:tcPr>
          <w:p>
            <w:pPr>
              <w:pStyle w:val="42"/>
              <w:ind w:firstLine="0" w:firstLineChars="0"/>
              <w:rPr>
                <w:b w:val="0"/>
                <w:bCs/>
                <w:kern w:val="2"/>
                <w:highlight w:val="none"/>
              </w:rPr>
            </w:pPr>
            <w:r>
              <w:rPr>
                <w:rFonts w:hint="eastAsia"/>
                <w:b w:val="0"/>
                <w:bCs/>
                <w:kern w:val="2"/>
                <w:highlight w:val="none"/>
              </w:rPr>
              <w:t>距点源下风向距离D（m）</w:t>
            </w:r>
          </w:p>
        </w:tc>
        <w:tc>
          <w:tcPr>
            <w:tcW w:w="820" w:type="pct"/>
            <w:gridSpan w:val="2"/>
            <w:tcBorders>
              <w:tl2br w:val="nil"/>
              <w:tr2bl w:val="nil"/>
            </w:tcBorders>
            <w:vAlign w:val="center"/>
          </w:tcPr>
          <w:p>
            <w:pPr>
              <w:pStyle w:val="42"/>
              <w:ind w:firstLine="0" w:firstLineChars="0"/>
              <w:rPr>
                <w:b w:val="0"/>
                <w:bCs/>
                <w:kern w:val="2"/>
                <w:highlight w:val="none"/>
              </w:rPr>
            </w:pPr>
            <w:r>
              <w:rPr>
                <w:rFonts w:hint="eastAsia"/>
                <w:b w:val="0"/>
                <w:bCs/>
                <w:kern w:val="2"/>
                <w:highlight w:val="none"/>
                <w:lang w:val="en-US" w:eastAsia="zh-CN"/>
              </w:rPr>
              <w:t>PM</w:t>
            </w:r>
            <w:r>
              <w:rPr>
                <w:rFonts w:hint="eastAsia"/>
                <w:b w:val="0"/>
                <w:bCs/>
                <w:kern w:val="2"/>
                <w:highlight w:val="none"/>
                <w:vertAlign w:val="subscript"/>
                <w:lang w:val="en-US" w:eastAsia="zh-CN"/>
              </w:rPr>
              <w:t>10</w:t>
            </w:r>
            <w:r>
              <w:rPr>
                <w:rFonts w:hint="eastAsia"/>
                <w:b w:val="0"/>
                <w:bCs/>
                <w:kern w:val="2"/>
                <w:highlight w:val="none"/>
              </w:rPr>
              <w:t>（</w:t>
            </w:r>
            <w:r>
              <w:rPr>
                <w:rFonts w:hint="eastAsia"/>
                <w:b w:val="0"/>
                <w:bCs/>
                <w:kern w:val="2"/>
                <w:highlight w:val="none"/>
                <w:lang w:val="en-US" w:eastAsia="zh-CN"/>
              </w:rPr>
              <w:t>3</w:t>
            </w:r>
            <w:r>
              <w:rPr>
                <w:b w:val="0"/>
                <w:bCs/>
                <w:kern w:val="2"/>
                <w:highlight w:val="none"/>
              </w:rPr>
              <w:t>#</w:t>
            </w:r>
            <w:r>
              <w:rPr>
                <w:rFonts w:hint="eastAsia"/>
                <w:b w:val="0"/>
                <w:bCs/>
                <w:kern w:val="2"/>
                <w:highlight w:val="none"/>
              </w:rPr>
              <w:t>排气筒）</w:t>
            </w:r>
          </w:p>
        </w:tc>
        <w:tc>
          <w:tcPr>
            <w:tcW w:w="474" w:type="pct"/>
            <w:vMerge w:val="restart"/>
            <w:tcBorders>
              <w:tl2br w:val="nil"/>
              <w:tr2bl w:val="nil"/>
            </w:tcBorders>
            <w:vAlign w:val="center"/>
          </w:tcPr>
          <w:p>
            <w:pPr>
              <w:pStyle w:val="42"/>
              <w:ind w:firstLine="0" w:firstLineChars="0"/>
              <w:rPr>
                <w:b w:val="0"/>
                <w:bCs/>
                <w:highlight w:val="none"/>
              </w:rPr>
            </w:pPr>
            <w:r>
              <w:rPr>
                <w:rFonts w:hint="eastAsia"/>
                <w:b w:val="0"/>
                <w:bCs/>
                <w:kern w:val="2"/>
                <w:highlight w:val="none"/>
              </w:rPr>
              <w:t>距点源下风向距离D（m）</w:t>
            </w:r>
          </w:p>
        </w:tc>
        <w:tc>
          <w:tcPr>
            <w:tcW w:w="820" w:type="pct"/>
            <w:gridSpan w:val="2"/>
            <w:tcBorders>
              <w:tl2br w:val="nil"/>
              <w:tr2bl w:val="nil"/>
            </w:tcBorders>
            <w:vAlign w:val="center"/>
          </w:tcPr>
          <w:p>
            <w:pPr>
              <w:pStyle w:val="42"/>
              <w:ind w:firstLine="0" w:firstLineChars="0"/>
              <w:rPr>
                <w:b w:val="0"/>
                <w:bCs/>
                <w:highlight w:val="none"/>
              </w:rPr>
            </w:pPr>
            <w:r>
              <w:rPr>
                <w:rFonts w:hint="eastAsia"/>
                <w:b w:val="0"/>
                <w:bCs/>
                <w:kern w:val="2"/>
                <w:highlight w:val="none"/>
                <w:lang w:val="en-US" w:eastAsia="zh-CN"/>
              </w:rPr>
              <w:t>PM</w:t>
            </w:r>
            <w:r>
              <w:rPr>
                <w:rFonts w:hint="eastAsia"/>
                <w:b w:val="0"/>
                <w:bCs/>
                <w:kern w:val="2"/>
                <w:highlight w:val="none"/>
                <w:vertAlign w:val="subscript"/>
                <w:lang w:val="en-US" w:eastAsia="zh-CN"/>
              </w:rPr>
              <w:t>10</w:t>
            </w:r>
            <w:r>
              <w:rPr>
                <w:rFonts w:hint="eastAsia"/>
                <w:b w:val="0"/>
                <w:bCs/>
                <w:kern w:val="2"/>
                <w:highlight w:val="none"/>
              </w:rPr>
              <w:t>（</w:t>
            </w:r>
            <w:r>
              <w:rPr>
                <w:rFonts w:hint="eastAsia"/>
                <w:b w:val="0"/>
                <w:bCs/>
                <w:kern w:val="2"/>
                <w:highlight w:val="none"/>
                <w:lang w:val="en-US" w:eastAsia="zh-CN"/>
              </w:rPr>
              <w:t>4</w:t>
            </w:r>
            <w:r>
              <w:rPr>
                <w:b w:val="0"/>
                <w:bCs/>
                <w:kern w:val="2"/>
                <w:highlight w:val="none"/>
              </w:rPr>
              <w:t>#</w:t>
            </w:r>
            <w:r>
              <w:rPr>
                <w:rFonts w:hint="eastAsia"/>
                <w:b w:val="0"/>
                <w:bCs/>
                <w:kern w:val="2"/>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409" w:type="pct"/>
            <w:vMerge w:val="continue"/>
            <w:tcBorders>
              <w:tl2br w:val="nil"/>
              <w:tr2bl w:val="nil"/>
            </w:tcBorders>
            <w:tcMar>
              <w:left w:w="28" w:type="dxa"/>
              <w:right w:w="28" w:type="dxa"/>
            </w:tcMar>
            <w:vAlign w:val="center"/>
          </w:tcPr>
          <w:p>
            <w:pPr>
              <w:pStyle w:val="42"/>
              <w:ind w:firstLine="422"/>
              <w:rPr>
                <w:b w:val="0"/>
                <w:bCs/>
                <w:kern w:val="2"/>
                <w:highlight w:val="none"/>
              </w:rPr>
            </w:pPr>
          </w:p>
        </w:tc>
        <w:tc>
          <w:tcPr>
            <w:tcW w:w="409" w:type="pct"/>
            <w:tcBorders>
              <w:tl2br w:val="nil"/>
              <w:tr2bl w:val="nil"/>
            </w:tcBorders>
            <w:tcMar>
              <w:left w:w="28" w:type="dxa"/>
              <w:right w:w="28" w:type="dxa"/>
            </w:tcMar>
            <w:vAlign w:val="center"/>
          </w:tcPr>
          <w:p>
            <w:pPr>
              <w:pStyle w:val="42"/>
              <w:ind w:firstLine="0" w:firstLineChars="0"/>
              <w:rPr>
                <w:b w:val="0"/>
                <w:bCs/>
                <w:kern w:val="2"/>
                <w:highlight w:val="none"/>
              </w:rPr>
            </w:pPr>
            <w:r>
              <w:rPr>
                <w:rFonts w:hint="eastAsia"/>
                <w:b w:val="0"/>
                <w:bCs/>
                <w:highlight w:val="none"/>
              </w:rPr>
              <w:t>1小时浓度</w:t>
            </w:r>
            <w:r>
              <w:rPr>
                <w:rFonts w:hint="eastAsia"/>
                <w:b w:val="0"/>
                <w:bCs/>
                <w:kern w:val="2"/>
                <w:highlight w:val="none"/>
              </w:rPr>
              <w:t>（mg/m</w:t>
            </w:r>
            <w:r>
              <w:rPr>
                <w:b w:val="0"/>
                <w:bCs/>
                <w:kern w:val="2"/>
                <w:highlight w:val="none"/>
                <w:vertAlign w:val="superscript"/>
              </w:rPr>
              <w:t>3</w:t>
            </w:r>
            <w:r>
              <w:rPr>
                <w:rFonts w:hint="eastAsia"/>
                <w:b w:val="0"/>
                <w:bCs/>
                <w:kern w:val="2"/>
                <w:highlight w:val="none"/>
              </w:rPr>
              <w:t>）</w:t>
            </w:r>
          </w:p>
        </w:tc>
        <w:tc>
          <w:tcPr>
            <w:tcW w:w="297" w:type="pct"/>
            <w:tcBorders>
              <w:tl2br w:val="nil"/>
              <w:tr2bl w:val="nil"/>
            </w:tcBorders>
            <w:tcMar>
              <w:left w:w="28" w:type="dxa"/>
              <w:right w:w="28" w:type="dxa"/>
            </w:tcMar>
            <w:vAlign w:val="center"/>
          </w:tcPr>
          <w:p>
            <w:pPr>
              <w:pStyle w:val="42"/>
              <w:ind w:firstLine="0" w:firstLineChars="0"/>
              <w:rPr>
                <w:b w:val="0"/>
                <w:bCs/>
                <w:kern w:val="2"/>
                <w:highlight w:val="none"/>
              </w:rPr>
            </w:pPr>
            <w:r>
              <w:rPr>
                <w:rFonts w:hint="eastAsia"/>
                <w:b w:val="0"/>
                <w:bCs/>
                <w:highlight w:val="none"/>
              </w:rPr>
              <w:t>1小时浓度</w:t>
            </w:r>
            <w:r>
              <w:rPr>
                <w:rFonts w:hint="eastAsia"/>
                <w:b w:val="0"/>
                <w:bCs/>
                <w:kern w:val="2"/>
                <w:highlight w:val="none"/>
              </w:rPr>
              <w:t>占标率（%）</w:t>
            </w:r>
          </w:p>
        </w:tc>
        <w:tc>
          <w:tcPr>
            <w:tcW w:w="474" w:type="pct"/>
            <w:vMerge w:val="continue"/>
            <w:tcBorders>
              <w:tl2br w:val="nil"/>
              <w:tr2bl w:val="nil"/>
            </w:tcBorders>
            <w:vAlign w:val="center"/>
          </w:tcPr>
          <w:p>
            <w:pPr>
              <w:pStyle w:val="42"/>
              <w:ind w:firstLine="422"/>
              <w:rPr>
                <w:b w:val="0"/>
                <w:bCs/>
                <w:kern w:val="2"/>
                <w:highlight w:val="none"/>
              </w:rPr>
            </w:pPr>
          </w:p>
        </w:tc>
        <w:tc>
          <w:tcPr>
            <w:tcW w:w="465" w:type="pct"/>
            <w:tcBorders>
              <w:tl2br w:val="nil"/>
              <w:tr2bl w:val="nil"/>
            </w:tcBorders>
            <w:vAlign w:val="center"/>
          </w:tcPr>
          <w:p>
            <w:pPr>
              <w:pStyle w:val="42"/>
              <w:ind w:firstLine="0" w:firstLineChars="0"/>
              <w:rPr>
                <w:b w:val="0"/>
                <w:bCs/>
                <w:kern w:val="2"/>
                <w:highlight w:val="none"/>
              </w:rPr>
            </w:pPr>
            <w:r>
              <w:rPr>
                <w:rFonts w:hint="eastAsia"/>
                <w:b w:val="0"/>
                <w:bCs/>
                <w:highlight w:val="none"/>
              </w:rPr>
              <w:t>1小时浓度</w:t>
            </w:r>
            <w:r>
              <w:rPr>
                <w:rFonts w:hint="eastAsia"/>
                <w:b w:val="0"/>
                <w:bCs/>
                <w:kern w:val="2"/>
                <w:highlight w:val="none"/>
              </w:rPr>
              <w:t>（mg/m</w:t>
            </w:r>
            <w:r>
              <w:rPr>
                <w:b w:val="0"/>
                <w:bCs/>
                <w:kern w:val="2"/>
                <w:highlight w:val="none"/>
                <w:vertAlign w:val="superscript"/>
              </w:rPr>
              <w:t>3</w:t>
            </w:r>
            <w:r>
              <w:rPr>
                <w:rFonts w:hint="eastAsia"/>
                <w:b w:val="0"/>
                <w:bCs/>
                <w:kern w:val="2"/>
                <w:highlight w:val="none"/>
              </w:rPr>
              <w:t>）</w:t>
            </w:r>
          </w:p>
        </w:tc>
        <w:tc>
          <w:tcPr>
            <w:tcW w:w="355" w:type="pct"/>
            <w:tcBorders>
              <w:tl2br w:val="nil"/>
              <w:tr2bl w:val="nil"/>
            </w:tcBorders>
            <w:vAlign w:val="center"/>
          </w:tcPr>
          <w:p>
            <w:pPr>
              <w:pStyle w:val="42"/>
              <w:ind w:firstLine="0" w:firstLineChars="0"/>
              <w:rPr>
                <w:b w:val="0"/>
                <w:bCs/>
                <w:highlight w:val="none"/>
              </w:rPr>
            </w:pPr>
            <w:r>
              <w:rPr>
                <w:rFonts w:hint="eastAsia"/>
                <w:b w:val="0"/>
                <w:bCs/>
                <w:highlight w:val="none"/>
              </w:rPr>
              <w:t>1小时浓度</w:t>
            </w:r>
            <w:r>
              <w:rPr>
                <w:rFonts w:hint="eastAsia"/>
                <w:b w:val="0"/>
                <w:bCs/>
                <w:kern w:val="2"/>
                <w:highlight w:val="none"/>
              </w:rPr>
              <w:t>占标率（%）</w:t>
            </w:r>
          </w:p>
        </w:tc>
        <w:tc>
          <w:tcPr>
            <w:tcW w:w="474" w:type="pct"/>
            <w:vMerge w:val="continue"/>
            <w:tcBorders>
              <w:tl2br w:val="nil"/>
              <w:tr2bl w:val="nil"/>
            </w:tcBorders>
            <w:vAlign w:val="center"/>
          </w:tcPr>
          <w:p>
            <w:pPr>
              <w:tabs>
                <w:tab w:val="left" w:pos="1021"/>
              </w:tabs>
              <w:adjustRightInd w:val="0"/>
              <w:snapToGrid w:val="0"/>
              <w:ind w:firstLine="0" w:firstLineChars="0"/>
              <w:jc w:val="center"/>
              <w:rPr>
                <w:b w:val="0"/>
                <w:bCs/>
                <w:snapToGrid w:val="0"/>
                <w:sz w:val="21"/>
                <w:highlight w:val="none"/>
              </w:rPr>
            </w:pPr>
          </w:p>
        </w:tc>
        <w:tc>
          <w:tcPr>
            <w:tcW w:w="465" w:type="pct"/>
            <w:tcBorders>
              <w:tl2br w:val="nil"/>
              <w:tr2bl w:val="nil"/>
            </w:tcBorders>
            <w:vAlign w:val="center"/>
          </w:tcPr>
          <w:p>
            <w:pPr>
              <w:pStyle w:val="42"/>
              <w:ind w:firstLine="0" w:firstLineChars="0"/>
              <w:rPr>
                <w:b w:val="0"/>
                <w:bCs/>
                <w:kern w:val="2"/>
                <w:highlight w:val="none"/>
              </w:rPr>
            </w:pPr>
            <w:r>
              <w:rPr>
                <w:rFonts w:hint="eastAsia"/>
                <w:b w:val="0"/>
                <w:bCs/>
                <w:highlight w:val="none"/>
              </w:rPr>
              <w:t>1小时浓度</w:t>
            </w:r>
            <w:r>
              <w:rPr>
                <w:rFonts w:hint="eastAsia"/>
                <w:b w:val="0"/>
                <w:bCs/>
                <w:kern w:val="2"/>
                <w:highlight w:val="none"/>
              </w:rPr>
              <w:t>（mg/m</w:t>
            </w:r>
            <w:r>
              <w:rPr>
                <w:b w:val="0"/>
                <w:bCs/>
                <w:kern w:val="2"/>
                <w:highlight w:val="none"/>
                <w:vertAlign w:val="superscript"/>
              </w:rPr>
              <w:t>3</w:t>
            </w:r>
            <w:r>
              <w:rPr>
                <w:rFonts w:hint="eastAsia"/>
                <w:b w:val="0"/>
                <w:bCs/>
                <w:kern w:val="2"/>
                <w:highlight w:val="none"/>
              </w:rPr>
              <w:t>）</w:t>
            </w:r>
          </w:p>
        </w:tc>
        <w:tc>
          <w:tcPr>
            <w:tcW w:w="355" w:type="pct"/>
            <w:tcBorders>
              <w:tl2br w:val="nil"/>
              <w:tr2bl w:val="nil"/>
            </w:tcBorders>
            <w:vAlign w:val="center"/>
          </w:tcPr>
          <w:p>
            <w:pPr>
              <w:pStyle w:val="42"/>
              <w:ind w:firstLine="0" w:firstLineChars="0"/>
              <w:rPr>
                <w:b w:val="0"/>
                <w:bCs/>
                <w:highlight w:val="none"/>
              </w:rPr>
            </w:pPr>
            <w:r>
              <w:rPr>
                <w:rFonts w:hint="eastAsia"/>
                <w:b w:val="0"/>
                <w:bCs/>
                <w:highlight w:val="none"/>
              </w:rPr>
              <w:t>1小时浓度</w:t>
            </w:r>
            <w:r>
              <w:rPr>
                <w:rFonts w:hint="eastAsia"/>
                <w:b w:val="0"/>
                <w:bCs/>
                <w:kern w:val="2"/>
                <w:highlight w:val="none"/>
              </w:rPr>
              <w:t>占标率（%）</w:t>
            </w:r>
          </w:p>
        </w:tc>
        <w:tc>
          <w:tcPr>
            <w:tcW w:w="474" w:type="pct"/>
            <w:vMerge w:val="continue"/>
            <w:tcBorders>
              <w:tl2br w:val="nil"/>
              <w:tr2bl w:val="nil"/>
            </w:tcBorders>
            <w:vAlign w:val="center"/>
          </w:tcPr>
          <w:p>
            <w:pPr>
              <w:pStyle w:val="42"/>
              <w:ind w:firstLine="0" w:firstLineChars="0"/>
              <w:rPr>
                <w:b w:val="0"/>
                <w:bCs/>
                <w:highlight w:val="none"/>
              </w:rPr>
            </w:pPr>
          </w:p>
        </w:tc>
        <w:tc>
          <w:tcPr>
            <w:tcW w:w="465" w:type="pct"/>
            <w:tcBorders>
              <w:tl2br w:val="nil"/>
              <w:tr2bl w:val="nil"/>
            </w:tcBorders>
            <w:vAlign w:val="center"/>
          </w:tcPr>
          <w:p>
            <w:pPr>
              <w:pStyle w:val="42"/>
              <w:ind w:firstLine="0" w:firstLineChars="0"/>
              <w:rPr>
                <w:b w:val="0"/>
                <w:bCs/>
                <w:kern w:val="2"/>
                <w:highlight w:val="none"/>
              </w:rPr>
            </w:pPr>
            <w:r>
              <w:rPr>
                <w:rFonts w:hint="eastAsia"/>
                <w:b w:val="0"/>
                <w:bCs/>
                <w:highlight w:val="none"/>
              </w:rPr>
              <w:t>1小时浓度</w:t>
            </w:r>
            <w:r>
              <w:rPr>
                <w:rFonts w:hint="eastAsia"/>
                <w:b w:val="0"/>
                <w:bCs/>
                <w:kern w:val="2"/>
                <w:highlight w:val="none"/>
              </w:rPr>
              <w:t>（mg/m</w:t>
            </w:r>
            <w:r>
              <w:rPr>
                <w:b w:val="0"/>
                <w:bCs/>
                <w:kern w:val="2"/>
                <w:highlight w:val="none"/>
                <w:vertAlign w:val="superscript"/>
              </w:rPr>
              <w:t>3</w:t>
            </w:r>
            <w:r>
              <w:rPr>
                <w:rFonts w:hint="eastAsia"/>
                <w:b w:val="0"/>
                <w:bCs/>
                <w:kern w:val="2"/>
                <w:highlight w:val="none"/>
              </w:rPr>
              <w:t>）</w:t>
            </w:r>
          </w:p>
        </w:tc>
        <w:tc>
          <w:tcPr>
            <w:tcW w:w="355" w:type="pct"/>
            <w:tcBorders>
              <w:tl2br w:val="nil"/>
              <w:tr2bl w:val="nil"/>
            </w:tcBorders>
            <w:vAlign w:val="center"/>
          </w:tcPr>
          <w:p>
            <w:pPr>
              <w:pStyle w:val="42"/>
              <w:ind w:firstLine="0" w:firstLineChars="0"/>
              <w:rPr>
                <w:b w:val="0"/>
                <w:bCs/>
                <w:highlight w:val="none"/>
              </w:rPr>
            </w:pPr>
            <w:r>
              <w:rPr>
                <w:rFonts w:hint="eastAsia"/>
                <w:b w:val="0"/>
                <w:bCs/>
                <w:highlight w:val="none"/>
              </w:rPr>
              <w:t>1小时浓度</w:t>
            </w:r>
            <w:r>
              <w:rPr>
                <w:rFonts w:hint="eastAsia"/>
                <w:b w:val="0"/>
                <w:bCs/>
                <w:kern w:val="2"/>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2.07E-06</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2.07E-06</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4.98E-07</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6.66E-07</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b/>
                <w:bCs/>
                <w:sz w:val="22"/>
                <w:szCs w:val="22"/>
                <w:highlight w:val="none"/>
              </w:rPr>
            </w:pPr>
            <w:r>
              <w:rPr>
                <w:rFonts w:hint="eastAsia"/>
                <w:b/>
                <w:bCs/>
                <w:sz w:val="22"/>
                <w:szCs w:val="22"/>
                <w:highlight w:val="none"/>
                <w:lang w:val="en-US" w:eastAsia="zh-CN"/>
              </w:rPr>
              <w:t>93</w:t>
            </w:r>
          </w:p>
        </w:tc>
        <w:tc>
          <w:tcPr>
            <w:tcW w:w="409" w:type="pct"/>
            <w:tcBorders>
              <w:tl2br w:val="nil"/>
              <w:tr2bl w:val="nil"/>
            </w:tcBorders>
            <w:tcMar>
              <w:left w:w="28" w:type="dxa"/>
              <w:right w:w="28" w:type="dxa"/>
            </w:tcMar>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1.97E-03</w:t>
            </w:r>
          </w:p>
        </w:tc>
        <w:tc>
          <w:tcPr>
            <w:tcW w:w="297" w:type="pct"/>
            <w:tcBorders>
              <w:tl2br w:val="nil"/>
              <w:tr2bl w:val="nil"/>
            </w:tcBorders>
            <w:tcMar>
              <w:left w:w="28" w:type="dxa"/>
              <w:right w:w="28" w:type="dxa"/>
            </w:tcMar>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0.44</w:t>
            </w:r>
          </w:p>
        </w:tc>
        <w:tc>
          <w:tcPr>
            <w:tcW w:w="474"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93</w:t>
            </w:r>
          </w:p>
        </w:tc>
        <w:tc>
          <w:tcPr>
            <w:tcW w:w="465"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1.97E-03</w:t>
            </w:r>
          </w:p>
        </w:tc>
        <w:tc>
          <w:tcPr>
            <w:tcW w:w="355"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0.44</w:t>
            </w:r>
          </w:p>
        </w:tc>
        <w:tc>
          <w:tcPr>
            <w:tcW w:w="474"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93</w:t>
            </w:r>
          </w:p>
        </w:tc>
        <w:tc>
          <w:tcPr>
            <w:tcW w:w="465"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4.80E-04</w:t>
            </w:r>
          </w:p>
        </w:tc>
        <w:tc>
          <w:tcPr>
            <w:tcW w:w="355" w:type="pct"/>
            <w:tcBorders>
              <w:tl2br w:val="nil"/>
              <w:tr2bl w:val="nil"/>
            </w:tcBorders>
            <w:vAlign w:val="center"/>
          </w:tcPr>
          <w:p>
            <w:pPr>
              <w:ind w:firstLine="0" w:firstLineChars="0"/>
              <w:jc w:val="center"/>
              <w:rPr>
                <w:rFonts w:hint="default"/>
                <w:b/>
                <w:bCs/>
                <w:sz w:val="22"/>
                <w:szCs w:val="22"/>
                <w:highlight w:val="none"/>
                <w:lang w:val="en-US" w:eastAsia="zh-CN"/>
              </w:rPr>
            </w:pPr>
            <w:r>
              <w:rPr>
                <w:rFonts w:hint="eastAsia"/>
                <w:b/>
                <w:bCs/>
                <w:sz w:val="22"/>
                <w:szCs w:val="22"/>
                <w:highlight w:val="none"/>
                <w:lang w:val="en-US" w:eastAsia="zh-CN"/>
              </w:rPr>
              <w:t>0.11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4.34E-05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1.02E-03</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0.24</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1.02E-03</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0.24</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2.45E-04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0.06</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6.45E-05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5.62E-04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0.13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5.62E-04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0.13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1.35E-04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default"/>
                <w:b/>
                <w:bCs/>
                <w:sz w:val="22"/>
                <w:szCs w:val="22"/>
                <w:highlight w:val="none"/>
                <w:lang w:val="en-US" w:eastAsia="zh-CN"/>
              </w:rPr>
            </w:pPr>
            <w:r>
              <w:rPr>
                <w:rFonts w:hint="eastAsia"/>
                <w:b/>
                <w:bCs/>
                <w:sz w:val="22"/>
                <w:szCs w:val="22"/>
                <w:highlight w:val="none"/>
                <w:lang w:val="en-US" w:eastAsia="zh-CN"/>
              </w:rPr>
              <w:t>275</w:t>
            </w:r>
          </w:p>
        </w:tc>
        <w:tc>
          <w:tcPr>
            <w:tcW w:w="465"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1.37E-04</w:t>
            </w:r>
          </w:p>
        </w:tc>
        <w:tc>
          <w:tcPr>
            <w:tcW w:w="355" w:type="pct"/>
            <w:tcBorders>
              <w:tl2br w:val="nil"/>
              <w:tr2bl w:val="nil"/>
            </w:tcBorders>
            <w:vAlign w:val="center"/>
          </w:tcPr>
          <w:p>
            <w:pPr>
              <w:ind w:firstLine="0" w:firstLineChars="0"/>
              <w:jc w:val="center"/>
              <w:rPr>
                <w:rFonts w:hint="eastAsia"/>
                <w:b/>
                <w:bCs/>
                <w:sz w:val="22"/>
                <w:szCs w:val="22"/>
                <w:highlight w:val="none"/>
                <w:lang w:val="en-US" w:eastAsia="zh-CN"/>
              </w:rPr>
            </w:pPr>
            <w:r>
              <w:rPr>
                <w:rFonts w:hint="eastAsia"/>
                <w:b/>
                <w:bCs/>
                <w:sz w:val="22"/>
                <w:szCs w:val="22"/>
                <w:highlight w:val="non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300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3.66E-04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0.09</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3.66E-04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0.09</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8.80E-05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6.86E-05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400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3.34E-04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0.08</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3.34E-04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0.08</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8.03E-05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6.26E-05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500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2.98E-04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0.07</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2.98E-04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0.07</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7.17E-05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5.59E-05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600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2.66E-04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0.06</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2.66E-04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0.06</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6.41E-05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600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5.00E-05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700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2.37E-04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0.06</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2.37E-04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0.06</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5.70E-05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4.44E-05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800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2.12E-04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0.05</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2.12E-04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0.05</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5.09E-05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3.97E-05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900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1.90E-04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0.05</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1.90E-04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0.05</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4.57E-05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3.56E-05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1000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1.72E-04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0.04</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1.72E-04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0.04</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4.14E-05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3.22E-05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1100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1.57E-04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0.04</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1.57E-04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0.04</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3.77E-05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2.94E-05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1200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1.43E-04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1.43E-04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3.45E-05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2.69E-05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1300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1.33E-04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1.33E-04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3.20E-05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2.49E-05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1400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1.25E-04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1.25E-04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3.00E-05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1500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1.17E-04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1.17E-04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2.82E-05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2.20E-05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1600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1.11E-04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1600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1.11E-04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0.03</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1600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2.66E-05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1600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2.07E-05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1700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1.05E-04</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1.05E-04</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2.52E-05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1800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9.90E-05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1800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9.90E-05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1800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2.38E-05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1800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1.86E-05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1900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9.40E-05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9.40E-05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2.26E-05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1.76E-05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2000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8.95E-05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8.95E-05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2.15E-05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0.01</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1.70E-05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2100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8.64E-05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8.64E-05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2.08E-05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2100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1.64E-05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2200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8.35E-05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8.35E-05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2.01E-05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2200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1.58E-05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2300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8.09E-05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8.09E-05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1.95E-05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2300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1.53E-05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2400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7.84E-05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7.84E-05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1.89E-05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2400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1.49E-05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ind w:firstLine="0" w:firstLineChars="0"/>
              <w:jc w:val="center"/>
              <w:rPr>
                <w:rFonts w:hint="eastAsia"/>
                <w:sz w:val="22"/>
                <w:szCs w:val="22"/>
                <w:highlight w:val="none"/>
              </w:rPr>
            </w:pPr>
            <w:r>
              <w:rPr>
                <w:rFonts w:hint="eastAsia"/>
                <w:sz w:val="22"/>
                <w:szCs w:val="22"/>
                <w:highlight w:val="none"/>
                <w:lang w:val="en-US" w:eastAsia="zh-CN"/>
              </w:rPr>
              <w:t>2500</w:t>
            </w:r>
          </w:p>
        </w:tc>
        <w:tc>
          <w:tcPr>
            <w:tcW w:w="409"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7.62E-05</w:t>
            </w:r>
          </w:p>
        </w:tc>
        <w:tc>
          <w:tcPr>
            <w:tcW w:w="297" w:type="pct"/>
            <w:tcBorders>
              <w:tl2br w:val="nil"/>
              <w:tr2bl w:val="nil"/>
            </w:tcBorders>
            <w:tcMar>
              <w:left w:w="28" w:type="dxa"/>
              <w:right w:w="28" w:type="dxa"/>
            </w:tcMar>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7.62E-05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0.02</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1.83E-05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c>
          <w:tcPr>
            <w:tcW w:w="474"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2500</w:t>
            </w:r>
          </w:p>
        </w:tc>
        <w:tc>
          <w:tcPr>
            <w:tcW w:w="46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1.44E-05</w:t>
            </w:r>
          </w:p>
        </w:tc>
        <w:tc>
          <w:tcPr>
            <w:tcW w:w="355" w:type="pct"/>
            <w:tcBorders>
              <w:tl2br w:val="nil"/>
              <w:tr2bl w:val="nil"/>
            </w:tcBorders>
            <w:vAlign w:val="center"/>
          </w:tcPr>
          <w:p>
            <w:pPr>
              <w:ind w:firstLine="0" w:firstLineChars="0"/>
              <w:jc w:val="center"/>
              <w:rPr>
                <w:rFonts w:hint="eastAsia"/>
                <w:b w:val="0"/>
                <w:bCs w:val="0"/>
                <w:sz w:val="22"/>
                <w:szCs w:val="22"/>
                <w:highlight w:val="none"/>
                <w:lang w:val="en-US" w:eastAsia="zh-CN"/>
              </w:rPr>
            </w:pPr>
            <w:r>
              <w:rPr>
                <w:rFonts w:hint="eastAsia"/>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pStyle w:val="42"/>
              <w:ind w:firstLine="0" w:firstLineChars="0"/>
              <w:rPr>
                <w:kern w:val="2"/>
                <w:highlight w:val="none"/>
              </w:rPr>
            </w:pPr>
            <w:r>
              <w:rPr>
                <w:rFonts w:hint="eastAsia"/>
                <w:kern w:val="2"/>
                <w:highlight w:val="none"/>
              </w:rPr>
              <w:t>最大落地浓度距离（m）</w:t>
            </w:r>
          </w:p>
        </w:tc>
        <w:tc>
          <w:tcPr>
            <w:tcW w:w="706" w:type="pct"/>
            <w:gridSpan w:val="2"/>
            <w:tcBorders>
              <w:tl2br w:val="nil"/>
              <w:tr2bl w:val="nil"/>
            </w:tcBorders>
            <w:tcMar>
              <w:left w:w="28" w:type="dxa"/>
              <w:right w:w="28" w:type="dxa"/>
            </w:tcMar>
            <w:vAlign w:val="center"/>
          </w:tcPr>
          <w:p>
            <w:pPr>
              <w:pStyle w:val="42"/>
              <w:ind w:firstLine="0" w:firstLineChars="0"/>
              <w:rPr>
                <w:rFonts w:hint="default" w:eastAsia="宋体"/>
                <w:kern w:val="2"/>
                <w:highlight w:val="none"/>
                <w:lang w:val="en-US" w:eastAsia="zh-CN"/>
              </w:rPr>
            </w:pPr>
            <w:r>
              <w:rPr>
                <w:rFonts w:hint="eastAsia"/>
                <w:kern w:val="2"/>
                <w:highlight w:val="none"/>
                <w:lang w:val="en-US" w:eastAsia="zh-CN"/>
              </w:rPr>
              <w:t>93</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最大落地浓度距离（m）</w:t>
            </w:r>
          </w:p>
        </w:tc>
        <w:tc>
          <w:tcPr>
            <w:tcW w:w="820" w:type="pct"/>
            <w:gridSpan w:val="2"/>
            <w:tcBorders>
              <w:tl2br w:val="nil"/>
              <w:tr2bl w:val="nil"/>
            </w:tcBorders>
            <w:vAlign w:val="center"/>
          </w:tcPr>
          <w:p>
            <w:pPr>
              <w:pStyle w:val="42"/>
              <w:ind w:firstLine="0" w:firstLineChars="0"/>
              <w:rPr>
                <w:kern w:val="2"/>
                <w:highlight w:val="none"/>
              </w:rPr>
            </w:pPr>
            <w:r>
              <w:rPr>
                <w:rFonts w:hint="eastAsia"/>
                <w:kern w:val="2"/>
                <w:highlight w:val="none"/>
                <w:lang w:val="en-US" w:eastAsia="zh-CN"/>
              </w:rPr>
              <w:t>93</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最大落地浓度距离（m）</w:t>
            </w:r>
          </w:p>
        </w:tc>
        <w:tc>
          <w:tcPr>
            <w:tcW w:w="820" w:type="pct"/>
            <w:gridSpan w:val="2"/>
            <w:tcBorders>
              <w:tl2br w:val="nil"/>
              <w:tr2bl w:val="nil"/>
            </w:tcBorders>
            <w:vAlign w:val="center"/>
          </w:tcPr>
          <w:p>
            <w:pPr>
              <w:pStyle w:val="42"/>
              <w:ind w:firstLine="0" w:firstLineChars="0"/>
              <w:rPr>
                <w:rFonts w:hint="default" w:eastAsia="宋体"/>
                <w:kern w:val="2"/>
                <w:highlight w:val="none"/>
                <w:lang w:val="en-US" w:eastAsia="zh-CN"/>
              </w:rPr>
            </w:pPr>
            <w:r>
              <w:rPr>
                <w:rFonts w:hint="eastAsia"/>
                <w:kern w:val="2"/>
                <w:highlight w:val="none"/>
                <w:lang w:val="en-US" w:eastAsia="zh-CN"/>
              </w:rPr>
              <w:t>93</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最大落地浓度距离（m）</w:t>
            </w:r>
          </w:p>
        </w:tc>
        <w:tc>
          <w:tcPr>
            <w:tcW w:w="820" w:type="pct"/>
            <w:gridSpan w:val="2"/>
            <w:tcBorders>
              <w:tl2br w:val="nil"/>
              <w:tr2bl w:val="nil"/>
            </w:tcBorders>
            <w:vAlign w:val="center"/>
          </w:tcPr>
          <w:p>
            <w:pPr>
              <w:pStyle w:val="42"/>
              <w:ind w:firstLine="0" w:firstLineChars="0"/>
              <w:rPr>
                <w:rFonts w:hint="default" w:eastAsia="宋体"/>
                <w:kern w:val="2"/>
                <w:highlight w:val="none"/>
                <w:lang w:val="en-US" w:eastAsia="zh-CN"/>
              </w:rPr>
            </w:pPr>
            <w:r>
              <w:rPr>
                <w:rFonts w:hint="eastAsia"/>
                <w:kern w:val="2"/>
                <w:highlight w:val="none"/>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pStyle w:val="42"/>
              <w:ind w:firstLine="0" w:firstLineChars="0"/>
              <w:rPr>
                <w:kern w:val="2"/>
                <w:highlight w:val="none"/>
              </w:rPr>
            </w:pPr>
            <w:r>
              <w:rPr>
                <w:rFonts w:hint="eastAsia"/>
                <w:kern w:val="2"/>
                <w:highlight w:val="none"/>
              </w:rPr>
              <w:t>最大占标率（%）</w:t>
            </w:r>
          </w:p>
        </w:tc>
        <w:tc>
          <w:tcPr>
            <w:tcW w:w="706" w:type="pct"/>
            <w:gridSpan w:val="2"/>
            <w:tcBorders>
              <w:tl2br w:val="nil"/>
              <w:tr2bl w:val="nil"/>
            </w:tcBorders>
            <w:tcMar>
              <w:left w:w="28" w:type="dxa"/>
              <w:right w:w="28" w:type="dxa"/>
            </w:tcMar>
            <w:vAlign w:val="center"/>
          </w:tcPr>
          <w:p>
            <w:pPr>
              <w:pStyle w:val="42"/>
              <w:ind w:firstLine="0" w:firstLineChars="0"/>
              <w:rPr>
                <w:rFonts w:hint="default" w:eastAsia="宋体"/>
                <w:kern w:val="2"/>
                <w:highlight w:val="none"/>
                <w:lang w:val="en-US" w:eastAsia="zh-CN"/>
              </w:rPr>
            </w:pPr>
            <w:r>
              <w:rPr>
                <w:rFonts w:hint="eastAsia"/>
                <w:kern w:val="2"/>
                <w:highlight w:val="none"/>
                <w:lang w:val="en-US" w:eastAsia="zh-CN"/>
              </w:rPr>
              <w:t>0.44</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最大占标率（%）</w:t>
            </w:r>
          </w:p>
        </w:tc>
        <w:tc>
          <w:tcPr>
            <w:tcW w:w="820" w:type="pct"/>
            <w:gridSpan w:val="2"/>
            <w:tcBorders>
              <w:tl2br w:val="nil"/>
              <w:tr2bl w:val="nil"/>
            </w:tcBorders>
            <w:vAlign w:val="center"/>
          </w:tcPr>
          <w:p>
            <w:pPr>
              <w:pStyle w:val="42"/>
              <w:ind w:firstLine="0" w:firstLineChars="0"/>
              <w:rPr>
                <w:rFonts w:hint="default"/>
                <w:kern w:val="2"/>
                <w:highlight w:val="none"/>
                <w:lang w:val="en-US"/>
              </w:rPr>
            </w:pPr>
            <w:r>
              <w:rPr>
                <w:rFonts w:hint="eastAsia"/>
                <w:kern w:val="2"/>
                <w:highlight w:val="none"/>
                <w:lang w:val="en-US" w:eastAsia="zh-CN"/>
              </w:rPr>
              <w:t>0.44</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最大占标率（%）</w:t>
            </w:r>
          </w:p>
        </w:tc>
        <w:tc>
          <w:tcPr>
            <w:tcW w:w="820" w:type="pct"/>
            <w:gridSpan w:val="2"/>
            <w:tcBorders>
              <w:tl2br w:val="nil"/>
              <w:tr2bl w:val="nil"/>
            </w:tcBorders>
            <w:vAlign w:val="center"/>
          </w:tcPr>
          <w:p>
            <w:pPr>
              <w:pStyle w:val="42"/>
              <w:ind w:firstLine="0" w:firstLineChars="0"/>
              <w:rPr>
                <w:rFonts w:hint="default" w:eastAsia="宋体"/>
                <w:kern w:val="2"/>
                <w:highlight w:val="none"/>
                <w:lang w:val="en-US" w:eastAsia="zh-CN"/>
              </w:rPr>
            </w:pPr>
            <w:r>
              <w:rPr>
                <w:rFonts w:hint="eastAsia"/>
                <w:kern w:val="2"/>
                <w:highlight w:val="none"/>
              </w:rPr>
              <w:t>0</w:t>
            </w:r>
            <w:r>
              <w:rPr>
                <w:rFonts w:hint="eastAsia"/>
                <w:kern w:val="2"/>
                <w:highlight w:val="none"/>
                <w:lang w:val="en-US" w:eastAsia="zh-CN"/>
              </w:rPr>
              <w:t>.11</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最大占标率（%）</w:t>
            </w:r>
          </w:p>
        </w:tc>
        <w:tc>
          <w:tcPr>
            <w:tcW w:w="820" w:type="pct"/>
            <w:gridSpan w:val="2"/>
            <w:tcBorders>
              <w:tl2br w:val="nil"/>
              <w:tr2bl w:val="nil"/>
            </w:tcBorders>
            <w:vAlign w:val="center"/>
          </w:tcPr>
          <w:p>
            <w:pPr>
              <w:pStyle w:val="42"/>
              <w:ind w:firstLine="0" w:firstLineChars="0"/>
              <w:rPr>
                <w:rFonts w:hint="eastAsia" w:eastAsia="宋体"/>
                <w:kern w:val="2"/>
                <w:highlight w:val="none"/>
                <w:lang w:eastAsia="zh-CN"/>
              </w:rPr>
            </w:pPr>
            <w:r>
              <w:rPr>
                <w:rFonts w:hint="eastAsia"/>
                <w:kern w:val="2"/>
                <w:highlight w:val="none"/>
              </w:rPr>
              <w:t>0.</w:t>
            </w:r>
            <w:r>
              <w:rPr>
                <w:rFonts w:hint="eastAsia"/>
                <w:kern w:val="2"/>
                <w:highlight w:val="no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tcBorders>
              <w:tl2br w:val="nil"/>
              <w:tr2bl w:val="nil"/>
            </w:tcBorders>
            <w:tcMar>
              <w:left w:w="28" w:type="dxa"/>
              <w:right w:w="28" w:type="dxa"/>
            </w:tcMar>
            <w:vAlign w:val="center"/>
          </w:tcPr>
          <w:p>
            <w:pPr>
              <w:pStyle w:val="42"/>
              <w:ind w:firstLine="0" w:firstLineChars="0"/>
              <w:rPr>
                <w:kern w:val="2"/>
                <w:highlight w:val="none"/>
              </w:rPr>
            </w:pPr>
            <w:r>
              <w:rPr>
                <w:rFonts w:hint="eastAsia"/>
                <w:kern w:val="2"/>
                <w:highlight w:val="none"/>
              </w:rPr>
              <w:t>最大落地浓度（mg/m</w:t>
            </w:r>
            <w:r>
              <w:rPr>
                <w:kern w:val="2"/>
                <w:highlight w:val="none"/>
                <w:vertAlign w:val="superscript"/>
              </w:rPr>
              <w:t>3</w:t>
            </w:r>
            <w:r>
              <w:rPr>
                <w:rFonts w:hint="eastAsia"/>
                <w:kern w:val="2"/>
                <w:highlight w:val="none"/>
              </w:rPr>
              <w:t>）</w:t>
            </w:r>
          </w:p>
        </w:tc>
        <w:tc>
          <w:tcPr>
            <w:tcW w:w="706" w:type="pct"/>
            <w:gridSpan w:val="2"/>
            <w:tcBorders>
              <w:tl2br w:val="nil"/>
              <w:tr2bl w:val="nil"/>
            </w:tcBorders>
            <w:tcMar>
              <w:left w:w="28" w:type="dxa"/>
              <w:right w:w="28" w:type="dxa"/>
            </w:tcMar>
            <w:vAlign w:val="center"/>
          </w:tcPr>
          <w:p>
            <w:pPr>
              <w:pStyle w:val="42"/>
              <w:ind w:firstLine="0" w:firstLineChars="0"/>
              <w:rPr>
                <w:kern w:val="2"/>
                <w:highlight w:val="none"/>
              </w:rPr>
            </w:pPr>
            <w:r>
              <w:rPr>
                <w:rFonts w:hint="eastAsia"/>
                <w:kern w:val="2"/>
                <w:highlight w:val="none"/>
              </w:rPr>
              <w:t>0.00197</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最大落地浓度（mg/m</w:t>
            </w:r>
            <w:r>
              <w:rPr>
                <w:kern w:val="2"/>
                <w:highlight w:val="none"/>
                <w:vertAlign w:val="superscript"/>
              </w:rPr>
              <w:t>3</w:t>
            </w:r>
            <w:r>
              <w:rPr>
                <w:rFonts w:hint="eastAsia"/>
                <w:kern w:val="2"/>
                <w:highlight w:val="none"/>
              </w:rPr>
              <w:t>）</w:t>
            </w:r>
          </w:p>
        </w:tc>
        <w:tc>
          <w:tcPr>
            <w:tcW w:w="820" w:type="pct"/>
            <w:gridSpan w:val="2"/>
            <w:tcBorders>
              <w:tl2br w:val="nil"/>
              <w:tr2bl w:val="nil"/>
            </w:tcBorders>
            <w:vAlign w:val="center"/>
          </w:tcPr>
          <w:p>
            <w:pPr>
              <w:pStyle w:val="42"/>
              <w:ind w:firstLine="0" w:firstLineChars="0"/>
              <w:rPr>
                <w:kern w:val="2"/>
                <w:highlight w:val="none"/>
              </w:rPr>
            </w:pPr>
            <w:r>
              <w:rPr>
                <w:rFonts w:hint="eastAsia"/>
                <w:kern w:val="2"/>
                <w:highlight w:val="none"/>
              </w:rPr>
              <w:t>0.00197</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最大落地浓度（mg/m</w:t>
            </w:r>
            <w:r>
              <w:rPr>
                <w:kern w:val="2"/>
                <w:highlight w:val="none"/>
                <w:vertAlign w:val="superscript"/>
              </w:rPr>
              <w:t>3</w:t>
            </w:r>
            <w:r>
              <w:rPr>
                <w:rFonts w:hint="eastAsia"/>
                <w:kern w:val="2"/>
                <w:highlight w:val="none"/>
              </w:rPr>
              <w:t>）</w:t>
            </w:r>
          </w:p>
        </w:tc>
        <w:tc>
          <w:tcPr>
            <w:tcW w:w="820" w:type="pct"/>
            <w:gridSpan w:val="2"/>
            <w:tcBorders>
              <w:tl2br w:val="nil"/>
              <w:tr2bl w:val="nil"/>
            </w:tcBorders>
            <w:vAlign w:val="center"/>
          </w:tcPr>
          <w:p>
            <w:pPr>
              <w:pStyle w:val="42"/>
              <w:ind w:firstLine="0" w:firstLineChars="0"/>
              <w:rPr>
                <w:kern w:val="2"/>
                <w:highlight w:val="none"/>
              </w:rPr>
            </w:pPr>
            <w:r>
              <w:rPr>
                <w:rFonts w:hint="eastAsia"/>
                <w:kern w:val="2"/>
                <w:highlight w:val="none"/>
              </w:rPr>
              <w:t>0.00048</w:t>
            </w:r>
          </w:p>
        </w:tc>
        <w:tc>
          <w:tcPr>
            <w:tcW w:w="474" w:type="pct"/>
            <w:tcBorders>
              <w:tl2br w:val="nil"/>
              <w:tr2bl w:val="nil"/>
            </w:tcBorders>
            <w:vAlign w:val="center"/>
          </w:tcPr>
          <w:p>
            <w:pPr>
              <w:pStyle w:val="42"/>
              <w:ind w:firstLine="0" w:firstLineChars="0"/>
              <w:rPr>
                <w:kern w:val="2"/>
                <w:highlight w:val="none"/>
              </w:rPr>
            </w:pPr>
            <w:r>
              <w:rPr>
                <w:rFonts w:hint="eastAsia"/>
                <w:kern w:val="2"/>
                <w:highlight w:val="none"/>
              </w:rPr>
              <w:t>最大落地浓度（mg/m</w:t>
            </w:r>
            <w:r>
              <w:rPr>
                <w:kern w:val="2"/>
                <w:highlight w:val="none"/>
                <w:vertAlign w:val="superscript"/>
              </w:rPr>
              <w:t>3</w:t>
            </w:r>
            <w:r>
              <w:rPr>
                <w:rFonts w:hint="eastAsia"/>
                <w:kern w:val="2"/>
                <w:highlight w:val="none"/>
              </w:rPr>
              <w:t>）</w:t>
            </w:r>
          </w:p>
        </w:tc>
        <w:tc>
          <w:tcPr>
            <w:tcW w:w="820" w:type="pct"/>
            <w:gridSpan w:val="2"/>
            <w:tcBorders>
              <w:tl2br w:val="nil"/>
              <w:tr2bl w:val="nil"/>
            </w:tcBorders>
            <w:vAlign w:val="center"/>
          </w:tcPr>
          <w:p>
            <w:pPr>
              <w:pStyle w:val="42"/>
              <w:ind w:firstLine="0" w:firstLineChars="0"/>
              <w:rPr>
                <w:kern w:val="2"/>
                <w:highlight w:val="none"/>
              </w:rPr>
            </w:pPr>
            <w:r>
              <w:rPr>
                <w:rFonts w:hint="eastAsia"/>
                <w:kern w:val="2"/>
                <w:highlight w:val="none"/>
              </w:rPr>
              <w:t>0.000137</w:t>
            </w:r>
          </w:p>
        </w:tc>
      </w:tr>
    </w:tbl>
    <w:p>
      <w:pPr>
        <w:pStyle w:val="22"/>
        <w:rPr>
          <w:rFonts w:cs="Times New Roman"/>
          <w:highlight w:val="none"/>
        </w:rPr>
      </w:pPr>
      <w:r>
        <w:rPr>
          <w:rFonts w:hint="eastAsia" w:cs="Times New Roman"/>
          <w:highlight w:val="none"/>
        </w:rPr>
        <w:t>续表</w:t>
      </w:r>
      <w:r>
        <w:rPr>
          <w:rFonts w:hint="eastAsia" w:cs="Times New Roman"/>
          <w:highlight w:val="none"/>
          <w:lang w:val="en-US" w:eastAsia="zh-CN"/>
        </w:rPr>
        <w:t>4</w:t>
      </w:r>
      <w:r>
        <w:rPr>
          <w:rFonts w:hint="eastAsia" w:cs="Times New Roman"/>
          <w:highlight w:val="none"/>
        </w:rPr>
        <w:t>.2-</w:t>
      </w:r>
      <w:r>
        <w:rPr>
          <w:rFonts w:hint="eastAsia" w:cs="Times New Roman"/>
          <w:highlight w:val="none"/>
          <w:lang w:val="en-US" w:eastAsia="zh-CN"/>
        </w:rPr>
        <w:t>12</w:t>
      </w:r>
      <w:r>
        <w:rPr>
          <w:rFonts w:hint="eastAsia" w:cs="Times New Roman"/>
          <w:highlight w:val="none"/>
        </w:rPr>
        <w:t xml:space="preserve"> 项目</w:t>
      </w:r>
      <w:r>
        <w:rPr>
          <w:rFonts w:hint="eastAsia" w:cs="Times New Roman"/>
          <w:highlight w:val="none"/>
          <w:lang w:eastAsia="zh-CN"/>
        </w:rPr>
        <w:t>有组织</w:t>
      </w:r>
      <w:r>
        <w:rPr>
          <w:rFonts w:hint="eastAsia" w:cs="Times New Roman"/>
          <w:highlight w:val="none"/>
        </w:rPr>
        <w:t>废气排放预测结果一览表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2395"/>
        <w:gridCol w:w="1742"/>
        <w:gridCol w:w="2776"/>
        <w:gridCol w:w="2725"/>
        <w:gridCol w:w="2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49"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rPr>
              <w:t>距点源下</w:t>
            </w:r>
          </w:p>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rPr>
              <w:t>风向距离D（m）</w:t>
            </w:r>
          </w:p>
        </w:tc>
        <w:tc>
          <w:tcPr>
            <w:tcW w:w="1465"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lang w:val="en-US" w:eastAsia="zh-CN"/>
              </w:rPr>
              <w:t>PM</w:t>
            </w:r>
            <w:r>
              <w:rPr>
                <w:rFonts w:hint="default" w:ascii="Times New Roman" w:hAnsi="Times New Roman" w:cs="Times New Roman"/>
                <w:b w:val="0"/>
                <w:bCs/>
                <w:kern w:val="2"/>
                <w:highlight w:val="none"/>
                <w:vertAlign w:val="subscript"/>
                <w:lang w:val="en-US" w:eastAsia="zh-CN"/>
              </w:rPr>
              <w:t>10</w:t>
            </w:r>
            <w:r>
              <w:rPr>
                <w:rFonts w:hint="default" w:ascii="Times New Roman" w:hAnsi="Times New Roman" w:cs="Times New Roman"/>
                <w:b w:val="0"/>
                <w:bCs/>
                <w:kern w:val="2"/>
                <w:highlight w:val="none"/>
              </w:rPr>
              <w:t>（</w:t>
            </w:r>
            <w:r>
              <w:rPr>
                <w:rFonts w:hint="default" w:ascii="Times New Roman" w:hAnsi="Times New Roman" w:cs="Times New Roman"/>
                <w:b w:val="0"/>
                <w:bCs/>
                <w:kern w:val="2"/>
                <w:highlight w:val="none"/>
                <w:lang w:val="en-US" w:eastAsia="zh-CN"/>
              </w:rPr>
              <w:t>5</w:t>
            </w:r>
            <w:r>
              <w:rPr>
                <w:rFonts w:hint="default" w:ascii="Times New Roman" w:hAnsi="Times New Roman" w:cs="Times New Roman"/>
                <w:b w:val="0"/>
                <w:bCs/>
                <w:kern w:val="2"/>
                <w:highlight w:val="none"/>
              </w:rPr>
              <w:t>#排气筒）</w:t>
            </w:r>
          </w:p>
        </w:tc>
        <w:tc>
          <w:tcPr>
            <w:tcW w:w="983"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rPr>
              <w:t>距点源下风向距离D（m）</w:t>
            </w:r>
          </w:p>
        </w:tc>
        <w:tc>
          <w:tcPr>
            <w:tcW w:w="1701" w:type="pct"/>
            <w:gridSpan w:val="2"/>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PM</w:t>
            </w:r>
            <w:r>
              <w:rPr>
                <w:rFonts w:hint="default" w:ascii="Times New Roman" w:hAnsi="Times New Roman" w:cs="Times New Roman"/>
                <w:b w:val="0"/>
                <w:bCs/>
                <w:highlight w:val="none"/>
                <w:vertAlign w:val="subscript"/>
              </w:rPr>
              <w:t>10</w:t>
            </w:r>
            <w:r>
              <w:rPr>
                <w:rFonts w:hint="default" w:ascii="Times New Roman" w:hAnsi="Times New Roman" w:cs="Times New Roman"/>
                <w:b w:val="0"/>
                <w:bCs/>
                <w:kern w:val="2"/>
                <w:highlight w:val="none"/>
              </w:rPr>
              <w:t>（</w:t>
            </w:r>
            <w:r>
              <w:rPr>
                <w:rFonts w:hint="default" w:ascii="Times New Roman" w:hAnsi="Times New Roman" w:cs="Times New Roman"/>
                <w:b w:val="0"/>
                <w:bCs/>
                <w:kern w:val="2"/>
                <w:highlight w:val="none"/>
                <w:lang w:val="en-US" w:eastAsia="zh-CN"/>
              </w:rPr>
              <w:t>6</w:t>
            </w:r>
            <w:r>
              <w:rPr>
                <w:rFonts w:hint="default" w:ascii="Times New Roman" w:hAnsi="Times New Roman" w:cs="Times New Roman"/>
                <w:b w:val="0"/>
                <w:bCs/>
                <w:kern w:val="2"/>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849" w:type="pct"/>
            <w:vMerge w:val="continue"/>
            <w:tcBorders>
              <w:tl2br w:val="nil"/>
              <w:tr2bl w:val="nil"/>
            </w:tcBorders>
            <w:tcMar>
              <w:left w:w="28" w:type="dxa"/>
              <w:right w:w="28" w:type="dxa"/>
            </w:tcMar>
            <w:vAlign w:val="center"/>
          </w:tcPr>
          <w:p>
            <w:pPr>
              <w:pStyle w:val="42"/>
              <w:ind w:firstLine="422"/>
              <w:jc w:val="center"/>
              <w:rPr>
                <w:rFonts w:hint="default" w:ascii="Times New Roman" w:hAnsi="Times New Roman" w:cs="Times New Roman"/>
                <w:b w:val="0"/>
                <w:bCs/>
                <w:kern w:val="2"/>
                <w:highlight w:val="none"/>
              </w:rPr>
            </w:pPr>
          </w:p>
        </w:tc>
        <w:tc>
          <w:tcPr>
            <w:tcW w:w="848"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（mg/m</w:t>
            </w:r>
            <w:r>
              <w:rPr>
                <w:rFonts w:hint="default" w:ascii="Times New Roman" w:hAnsi="Times New Roman" w:cs="Times New Roman"/>
                <w:b w:val="0"/>
                <w:bCs/>
                <w:kern w:val="2"/>
                <w:highlight w:val="none"/>
                <w:vertAlign w:val="superscript"/>
              </w:rPr>
              <w:t>3</w:t>
            </w:r>
            <w:r>
              <w:rPr>
                <w:rFonts w:hint="default" w:ascii="Times New Roman" w:hAnsi="Times New Roman" w:cs="Times New Roman"/>
                <w:b w:val="0"/>
                <w:bCs/>
                <w:kern w:val="2"/>
                <w:highlight w:val="none"/>
              </w:rPr>
              <w:t>）</w:t>
            </w:r>
          </w:p>
        </w:tc>
        <w:tc>
          <w:tcPr>
            <w:tcW w:w="617"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占标率（%）</w:t>
            </w:r>
          </w:p>
        </w:tc>
        <w:tc>
          <w:tcPr>
            <w:tcW w:w="983" w:type="pct"/>
            <w:vMerge w:val="continue"/>
            <w:tcBorders>
              <w:tl2br w:val="nil"/>
              <w:tr2bl w:val="nil"/>
            </w:tcBorders>
            <w:vAlign w:val="center"/>
          </w:tcPr>
          <w:p>
            <w:pPr>
              <w:pStyle w:val="42"/>
              <w:ind w:firstLine="422"/>
              <w:jc w:val="center"/>
              <w:rPr>
                <w:rFonts w:hint="default" w:ascii="Times New Roman" w:hAnsi="Times New Roman" w:cs="Times New Roman"/>
                <w:b w:val="0"/>
                <w:bCs/>
                <w:kern w:val="2"/>
                <w:highlight w:val="none"/>
              </w:rPr>
            </w:pPr>
          </w:p>
        </w:tc>
        <w:tc>
          <w:tcPr>
            <w:tcW w:w="965" w:type="pc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（mg/m</w:t>
            </w:r>
            <w:r>
              <w:rPr>
                <w:rFonts w:hint="default" w:ascii="Times New Roman" w:hAnsi="Times New Roman" w:cs="Times New Roman"/>
                <w:b w:val="0"/>
                <w:bCs/>
                <w:kern w:val="2"/>
                <w:highlight w:val="none"/>
                <w:vertAlign w:val="superscript"/>
              </w:rPr>
              <w:t>3</w:t>
            </w:r>
            <w:r>
              <w:rPr>
                <w:rFonts w:hint="default" w:ascii="Times New Roman" w:hAnsi="Times New Roman" w:cs="Times New Roman"/>
                <w:b w:val="0"/>
                <w:bCs/>
                <w:kern w:val="2"/>
                <w:highlight w:val="none"/>
              </w:rPr>
              <w:t>）</w:t>
            </w:r>
          </w:p>
        </w:tc>
        <w:tc>
          <w:tcPr>
            <w:tcW w:w="736" w:type="pct"/>
            <w:tcBorders>
              <w:tl2br w:val="nil"/>
              <w:tr2bl w:val="nil"/>
            </w:tcBorders>
            <w:vAlign w:val="center"/>
          </w:tcPr>
          <w:p>
            <w:pPr>
              <w:pStyle w:val="42"/>
              <w:ind w:firstLine="0" w:firstLineChars="0"/>
              <w:jc w:val="center"/>
              <w:rPr>
                <w:rFonts w:hint="default" w:ascii="Times New Roman" w:hAnsi="Times New Roman" w:cs="Times New Roman"/>
                <w:b w:val="0"/>
                <w:bCs/>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4.93E-07</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1.17E-02</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2"/>
                <w:szCs w:val="22"/>
                <w:highlight w:val="none"/>
              </w:rPr>
            </w:pPr>
            <w:r>
              <w:rPr>
                <w:rFonts w:hint="default" w:ascii="Times New Roman" w:hAnsi="Times New Roman" w:cs="Times New Roman"/>
                <w:b/>
                <w:bCs/>
                <w:sz w:val="22"/>
                <w:szCs w:val="22"/>
                <w:highlight w:val="none"/>
                <w:lang w:val="en-US" w:eastAsia="zh-CN"/>
              </w:rPr>
              <w:t>9</w:t>
            </w:r>
            <w:r>
              <w:rPr>
                <w:rFonts w:hint="eastAsia" w:ascii="Times New Roman" w:hAnsi="Times New Roman" w:cs="Times New Roman"/>
                <w:b/>
                <w:bCs/>
                <w:sz w:val="22"/>
                <w:szCs w:val="22"/>
                <w:highlight w:val="none"/>
                <w:lang w:val="en-US" w:eastAsia="zh-CN"/>
              </w:rPr>
              <w:t>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1.23E-03</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default" w:ascii="Times New Roman" w:hAnsi="Times New Roman" w:cs="Times New Roman"/>
                <w:b/>
                <w:bCs/>
                <w:sz w:val="22"/>
                <w:szCs w:val="22"/>
                <w:highlight w:val="none"/>
                <w:lang w:val="en-US" w:eastAsia="zh-CN"/>
              </w:rPr>
              <w:t>0.</w:t>
            </w:r>
            <w:r>
              <w:rPr>
                <w:rFonts w:hint="eastAsia" w:ascii="Times New Roman" w:hAnsi="Times New Roman" w:cs="Times New Roman"/>
                <w:b/>
                <w:bCs/>
                <w:sz w:val="22"/>
                <w:szCs w:val="22"/>
                <w:highlight w:val="none"/>
                <w:lang w:val="en-US" w:eastAsia="zh-CN"/>
              </w:rPr>
              <w:t>27</w:t>
            </w:r>
          </w:p>
        </w:tc>
        <w:tc>
          <w:tcPr>
            <w:tcW w:w="983"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15</w:t>
            </w:r>
          </w:p>
        </w:tc>
        <w:tc>
          <w:tcPr>
            <w:tcW w:w="965"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2.68E-02</w:t>
            </w:r>
          </w:p>
        </w:tc>
        <w:tc>
          <w:tcPr>
            <w:tcW w:w="736"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2.52E-04</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r>
              <w:rPr>
                <w:rFonts w:hint="eastAsia" w:cs="Times New Roman"/>
                <w:b w:val="0"/>
                <w:bCs w:val="0"/>
                <w:sz w:val="22"/>
                <w:szCs w:val="22"/>
                <w:highlight w:val="none"/>
                <w:lang w:val="en-US" w:eastAsia="zh-CN"/>
              </w:rPr>
              <w:t>27</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2.11E-03</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1.35E-04</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r>
              <w:rPr>
                <w:rFonts w:hint="eastAsia" w:cs="Times New Roman"/>
                <w:b w:val="0"/>
                <w:bCs w:val="0"/>
                <w:sz w:val="22"/>
                <w:szCs w:val="22"/>
                <w:highlight w:val="none"/>
                <w:lang w:val="en-US" w:eastAsia="zh-CN"/>
              </w:rPr>
              <w:t>14</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1.74E-03</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300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8.80E-05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w:t>
            </w:r>
            <w:r>
              <w:rPr>
                <w:rFonts w:hint="eastAsia" w:cs="Times New Roman"/>
                <w:b w:val="0"/>
                <w:bCs w:val="0"/>
                <w:sz w:val="22"/>
                <w:szCs w:val="22"/>
                <w:highlight w:val="none"/>
                <w:lang w:val="en-US" w:eastAsia="zh-CN"/>
              </w:rPr>
              <w:t>9</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300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1.37E-03</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400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8.03E-05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0.02</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400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1.14E-03</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500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7.17E-05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0.02</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500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9.87E-04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600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6.41E-05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0.02</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600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8.75E-04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700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5.70E-05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700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7.90E-04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800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5.09E-05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800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7.22E-04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900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4.57E-05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900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6.67E-04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1000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4.14E-05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1000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6.21E-04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1100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3.77E-05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1100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5.82E-04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1200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3.45E-05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1200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5.48E-04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1300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3.20E-05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1300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5.19E-04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1400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3.00E-05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1400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4.93E-04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1500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2.82E-05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1500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4.70E-04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1600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2.66E-05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1600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4.49E-04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1700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2.52E-05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1700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4.31E-04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1800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2.38E-05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1800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4.14E-04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1900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2.26E-05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1900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3.99E-04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2000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2.15E-05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0.01</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2000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3.85E-04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2100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2.08E-05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2100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3.72E-04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2200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2.01E-05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2200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3.60E-04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2300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1.95E-05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2300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3.49E-04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2400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1.89E-05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2400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3.38E-04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val="en-US" w:eastAsia="zh-CN"/>
              </w:rPr>
              <w:t>2500</w:t>
            </w:r>
          </w:p>
        </w:tc>
        <w:tc>
          <w:tcPr>
            <w:tcW w:w="848"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1.83E-05</w:t>
            </w:r>
          </w:p>
        </w:tc>
        <w:tc>
          <w:tcPr>
            <w:tcW w:w="617"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983"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2500</w:t>
            </w:r>
          </w:p>
        </w:tc>
        <w:tc>
          <w:tcPr>
            <w:tcW w:w="965"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3.29E-04</w:t>
            </w:r>
          </w:p>
        </w:tc>
        <w:tc>
          <w:tcPr>
            <w:tcW w:w="736"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最大落地浓度距离（m）</w:t>
            </w:r>
          </w:p>
        </w:tc>
        <w:tc>
          <w:tcPr>
            <w:tcW w:w="1465"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default" w:ascii="Times New Roman" w:hAnsi="Times New Roman" w:cs="Times New Roman"/>
                <w:kern w:val="2"/>
                <w:highlight w:val="none"/>
                <w:lang w:val="en-US" w:eastAsia="zh-CN"/>
              </w:rPr>
              <w:t>90</w:t>
            </w:r>
          </w:p>
        </w:tc>
        <w:tc>
          <w:tcPr>
            <w:tcW w:w="983"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最大落地浓度距离（m）</w:t>
            </w:r>
          </w:p>
        </w:tc>
        <w:tc>
          <w:tcPr>
            <w:tcW w:w="1701" w:type="pct"/>
            <w:gridSpan w:val="2"/>
            <w:tcBorders>
              <w:tl2br w:val="nil"/>
              <w:tr2bl w:val="nil"/>
            </w:tcBorders>
            <w:vAlign w:val="center"/>
          </w:tcPr>
          <w:p>
            <w:pPr>
              <w:pStyle w:val="42"/>
              <w:ind w:firstLine="0" w:firstLineChars="0"/>
              <w:jc w:val="center"/>
              <w:rPr>
                <w:rFonts w:hint="default" w:ascii="Times New Roman" w:hAnsi="Times New Roman" w:cs="Times New Roman"/>
                <w:kern w:val="2"/>
                <w:highlight w:val="none"/>
                <w:lang w:val="en-US"/>
              </w:rPr>
            </w:pPr>
            <w:r>
              <w:rPr>
                <w:rFonts w:hint="eastAsia" w:ascii="Times New Roman" w:hAnsi="Times New Roman" w:cs="Times New Roman"/>
                <w:kern w:val="2"/>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最大占标率（%）</w:t>
            </w:r>
          </w:p>
        </w:tc>
        <w:tc>
          <w:tcPr>
            <w:tcW w:w="1465"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cs="Times New Roman"/>
                <w:kern w:val="2"/>
                <w:highlight w:val="none"/>
                <w:lang w:val="en-US" w:eastAsia="zh-CN"/>
              </w:rPr>
              <w:t>0.27</w:t>
            </w:r>
          </w:p>
        </w:tc>
        <w:tc>
          <w:tcPr>
            <w:tcW w:w="983"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最大占标率（%）</w:t>
            </w:r>
          </w:p>
        </w:tc>
        <w:tc>
          <w:tcPr>
            <w:tcW w:w="1701" w:type="pct"/>
            <w:gridSpan w:val="2"/>
            <w:tcBorders>
              <w:tl2br w:val="nil"/>
              <w:tr2bl w:val="nil"/>
            </w:tcBorders>
            <w:vAlign w:val="center"/>
          </w:tcPr>
          <w:p>
            <w:pPr>
              <w:pStyle w:val="42"/>
              <w:ind w:firstLine="0" w:firstLineChars="0"/>
              <w:jc w:val="center"/>
              <w:rPr>
                <w:rFonts w:hint="default" w:ascii="Times New Roman" w:hAnsi="Times New Roman" w:cs="Times New Roman"/>
                <w:kern w:val="2"/>
                <w:highlight w:val="none"/>
                <w:lang w:val="en-US"/>
              </w:rPr>
            </w:pPr>
            <w:r>
              <w:rPr>
                <w:rFonts w:hint="eastAsia" w:cs="Times New Roman"/>
                <w:kern w:val="2"/>
                <w:highlight w:val="none"/>
                <w:lang w:val="en-US" w:eastAsia="zh-CN"/>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9"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最大落地浓度（mg/m</w:t>
            </w:r>
            <w:r>
              <w:rPr>
                <w:rFonts w:hint="default" w:ascii="Times New Roman" w:hAnsi="Times New Roman" w:cs="Times New Roman"/>
                <w:kern w:val="2"/>
                <w:highlight w:val="none"/>
                <w:vertAlign w:val="superscript"/>
              </w:rPr>
              <w:t>3</w:t>
            </w:r>
            <w:r>
              <w:rPr>
                <w:rFonts w:hint="default" w:ascii="Times New Roman" w:hAnsi="Times New Roman" w:cs="Times New Roman"/>
                <w:kern w:val="2"/>
                <w:highlight w:val="none"/>
              </w:rPr>
              <w:t>）</w:t>
            </w:r>
          </w:p>
        </w:tc>
        <w:tc>
          <w:tcPr>
            <w:tcW w:w="1465"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0.00123</w:t>
            </w:r>
          </w:p>
        </w:tc>
        <w:tc>
          <w:tcPr>
            <w:tcW w:w="983"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最大落地浓度（mg/m</w:t>
            </w:r>
            <w:r>
              <w:rPr>
                <w:rFonts w:hint="default" w:ascii="Times New Roman" w:hAnsi="Times New Roman" w:cs="Times New Roman"/>
                <w:kern w:val="2"/>
                <w:highlight w:val="none"/>
                <w:vertAlign w:val="superscript"/>
              </w:rPr>
              <w:t>3</w:t>
            </w:r>
            <w:r>
              <w:rPr>
                <w:rFonts w:hint="default" w:ascii="Times New Roman" w:hAnsi="Times New Roman" w:cs="Times New Roman"/>
                <w:kern w:val="2"/>
                <w:highlight w:val="none"/>
              </w:rPr>
              <w:t>）</w:t>
            </w:r>
          </w:p>
        </w:tc>
        <w:tc>
          <w:tcPr>
            <w:tcW w:w="1701" w:type="pct"/>
            <w:gridSpan w:val="2"/>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0.0268</w:t>
            </w:r>
          </w:p>
        </w:tc>
      </w:tr>
    </w:tbl>
    <w:p>
      <w:pPr>
        <w:pStyle w:val="22"/>
        <w:rPr>
          <w:rFonts w:cs="Times New Roman"/>
          <w:highlight w:val="none"/>
        </w:rPr>
      </w:pPr>
      <w:r>
        <w:rPr>
          <w:rFonts w:hint="eastAsia" w:cs="Times New Roman"/>
          <w:highlight w:val="none"/>
        </w:rPr>
        <w:t>续表</w:t>
      </w:r>
      <w:r>
        <w:rPr>
          <w:rFonts w:hint="eastAsia" w:cs="Times New Roman"/>
          <w:highlight w:val="none"/>
          <w:lang w:val="en-US" w:eastAsia="zh-CN"/>
        </w:rPr>
        <w:t>4</w:t>
      </w:r>
      <w:r>
        <w:rPr>
          <w:rFonts w:hint="eastAsia" w:cs="Times New Roman"/>
          <w:highlight w:val="none"/>
        </w:rPr>
        <w:t>.2-</w:t>
      </w:r>
      <w:r>
        <w:rPr>
          <w:rFonts w:hint="eastAsia" w:cs="Times New Roman"/>
          <w:highlight w:val="none"/>
          <w:lang w:val="en-US" w:eastAsia="zh-CN"/>
        </w:rPr>
        <w:t>12</w:t>
      </w:r>
      <w:r>
        <w:rPr>
          <w:rFonts w:hint="eastAsia" w:cs="Times New Roman"/>
          <w:highlight w:val="none"/>
        </w:rPr>
        <w:t xml:space="preserve"> 项目</w:t>
      </w:r>
      <w:r>
        <w:rPr>
          <w:rFonts w:hint="eastAsia" w:cs="Times New Roman"/>
          <w:highlight w:val="none"/>
          <w:lang w:eastAsia="zh-CN"/>
        </w:rPr>
        <w:t>有组织</w:t>
      </w:r>
      <w:r>
        <w:rPr>
          <w:rFonts w:hint="eastAsia" w:cs="Times New Roman"/>
          <w:highlight w:val="none"/>
        </w:rPr>
        <w:t>废气排放预测结果一览表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556"/>
        <w:gridCol w:w="1135"/>
        <w:gridCol w:w="1805"/>
        <w:gridCol w:w="1771"/>
        <w:gridCol w:w="1356"/>
        <w:gridCol w:w="1805"/>
        <w:gridCol w:w="1771"/>
        <w:gridCol w:w="1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51"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rPr>
              <w:t>距点源下</w:t>
            </w:r>
          </w:p>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rPr>
              <w:t>风向距离D（m）</w:t>
            </w:r>
          </w:p>
        </w:tc>
        <w:tc>
          <w:tcPr>
            <w:tcW w:w="95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lang w:val="en-US" w:eastAsia="zh-CN"/>
              </w:rPr>
              <w:t>PM</w:t>
            </w:r>
            <w:r>
              <w:rPr>
                <w:rFonts w:hint="default" w:ascii="Times New Roman" w:hAnsi="Times New Roman" w:cs="Times New Roman"/>
                <w:b w:val="0"/>
                <w:bCs/>
                <w:kern w:val="2"/>
                <w:highlight w:val="none"/>
                <w:vertAlign w:val="subscript"/>
                <w:lang w:val="en-US" w:eastAsia="zh-CN"/>
              </w:rPr>
              <w:t>10</w:t>
            </w:r>
            <w:r>
              <w:rPr>
                <w:rFonts w:hint="default" w:ascii="Times New Roman" w:hAnsi="Times New Roman" w:cs="Times New Roman"/>
                <w:b w:val="0"/>
                <w:bCs/>
                <w:kern w:val="2"/>
                <w:highlight w:val="none"/>
              </w:rPr>
              <w:t>（</w:t>
            </w:r>
            <w:r>
              <w:rPr>
                <w:rFonts w:hint="eastAsia" w:cs="Times New Roman"/>
                <w:b w:val="0"/>
                <w:bCs/>
                <w:kern w:val="2"/>
                <w:highlight w:val="none"/>
                <w:lang w:val="en-US" w:eastAsia="zh-CN"/>
              </w:rPr>
              <w:t>7</w:t>
            </w:r>
            <w:r>
              <w:rPr>
                <w:rFonts w:hint="default" w:ascii="Times New Roman" w:hAnsi="Times New Roman" w:cs="Times New Roman"/>
                <w:b w:val="0"/>
                <w:bCs/>
                <w:kern w:val="2"/>
                <w:highlight w:val="none"/>
              </w:rPr>
              <w:t>#排气筒）</w:t>
            </w:r>
          </w:p>
        </w:tc>
        <w:tc>
          <w:tcPr>
            <w:tcW w:w="639"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rPr>
              <w:t>距点源下风向距离D（m）</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kern w:val="2"/>
                <w:highlight w:val="none"/>
                <w:lang w:val="en-US" w:eastAsia="zh-CN"/>
              </w:rPr>
              <w:t>SO</w:t>
            </w:r>
            <w:r>
              <w:rPr>
                <w:rFonts w:hint="default" w:ascii="Times New Roman" w:hAnsi="Times New Roman" w:cs="Times New Roman"/>
                <w:b w:val="0"/>
                <w:bCs/>
                <w:kern w:val="2"/>
                <w:highlight w:val="none"/>
                <w:vertAlign w:val="subscript"/>
                <w:lang w:val="en-US" w:eastAsia="zh-CN"/>
              </w:rPr>
              <w:t>2</w:t>
            </w:r>
            <w:r>
              <w:rPr>
                <w:rFonts w:hint="default" w:ascii="Times New Roman" w:hAnsi="Times New Roman" w:cs="Times New Roman"/>
                <w:b w:val="0"/>
                <w:bCs/>
                <w:kern w:val="2"/>
                <w:highlight w:val="none"/>
              </w:rPr>
              <w:t>（</w:t>
            </w:r>
            <w:r>
              <w:rPr>
                <w:rFonts w:hint="eastAsia" w:cs="Times New Roman"/>
                <w:b w:val="0"/>
                <w:bCs/>
                <w:kern w:val="2"/>
                <w:highlight w:val="none"/>
                <w:lang w:val="en-US" w:eastAsia="zh-CN"/>
              </w:rPr>
              <w:t>7</w:t>
            </w:r>
            <w:r>
              <w:rPr>
                <w:rFonts w:hint="default" w:ascii="Times New Roman" w:hAnsi="Times New Roman" w:cs="Times New Roman"/>
                <w:b w:val="0"/>
                <w:bCs/>
                <w:kern w:val="2"/>
                <w:highlight w:val="none"/>
              </w:rPr>
              <w:t>#排气筒）</w:t>
            </w:r>
          </w:p>
        </w:tc>
        <w:tc>
          <w:tcPr>
            <w:tcW w:w="639"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highlight w:val="none"/>
              </w:rPr>
            </w:pPr>
            <w:r>
              <w:rPr>
                <w:rFonts w:hint="default" w:ascii="Times New Roman" w:hAnsi="Times New Roman" w:cs="Times New Roman"/>
                <w:b w:val="0"/>
                <w:bCs/>
                <w:kern w:val="2"/>
                <w:highlight w:val="none"/>
              </w:rPr>
              <w:t>距点源下风向距离D（m）</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cs="Times New Roman"/>
                <w:b w:val="0"/>
                <w:bCs/>
                <w:highlight w:val="none"/>
              </w:rPr>
            </w:pPr>
            <w:r>
              <w:rPr>
                <w:rFonts w:hint="default" w:ascii="Times New Roman" w:hAnsi="Times New Roman" w:cs="Times New Roman"/>
                <w:b w:val="0"/>
                <w:bCs/>
                <w:color w:val="auto"/>
                <w:sz w:val="21"/>
                <w:highlight w:val="none"/>
                <w:lang w:val="en-US" w:eastAsia="zh-CN"/>
              </w:rPr>
              <w:t>NO</w:t>
            </w:r>
            <w:r>
              <w:rPr>
                <w:rFonts w:hint="default" w:ascii="Times New Roman" w:hAnsi="Times New Roman" w:cs="Times New Roman"/>
                <w:b w:val="0"/>
                <w:bCs/>
                <w:color w:val="auto"/>
                <w:sz w:val="21"/>
                <w:highlight w:val="none"/>
                <w:vertAlign w:val="subscript"/>
                <w:lang w:val="en-US" w:eastAsia="zh-CN"/>
              </w:rPr>
              <w:t>X</w:t>
            </w:r>
            <w:r>
              <w:rPr>
                <w:rFonts w:hint="default" w:ascii="Times New Roman" w:hAnsi="Times New Roman" w:cs="Times New Roman"/>
                <w:b w:val="0"/>
                <w:bCs/>
                <w:kern w:val="2"/>
                <w:highlight w:val="none"/>
              </w:rPr>
              <w:t>（</w:t>
            </w:r>
            <w:r>
              <w:rPr>
                <w:rFonts w:hint="eastAsia" w:cs="Times New Roman"/>
                <w:b w:val="0"/>
                <w:bCs/>
                <w:kern w:val="2"/>
                <w:highlight w:val="none"/>
                <w:lang w:val="en-US" w:eastAsia="zh-CN"/>
              </w:rPr>
              <w:t>7</w:t>
            </w:r>
            <w:r>
              <w:rPr>
                <w:rFonts w:hint="default" w:ascii="Times New Roman" w:hAnsi="Times New Roman" w:cs="Times New Roman"/>
                <w:b w:val="0"/>
                <w:bCs/>
                <w:kern w:val="2"/>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551" w:type="pct"/>
            <w:vMerge w:val="continue"/>
            <w:tcBorders>
              <w:tl2br w:val="nil"/>
              <w:tr2bl w:val="nil"/>
            </w:tcBorders>
            <w:tcMar>
              <w:left w:w="28" w:type="dxa"/>
              <w:right w:w="28" w:type="dxa"/>
            </w:tcMar>
            <w:vAlign w:val="center"/>
          </w:tcPr>
          <w:p>
            <w:pPr>
              <w:pStyle w:val="42"/>
              <w:ind w:firstLine="422"/>
              <w:jc w:val="center"/>
              <w:rPr>
                <w:rFonts w:hint="default" w:ascii="Times New Roman" w:hAnsi="Times New Roman" w:cs="Times New Roman"/>
                <w:b w:val="0"/>
                <w:bCs/>
                <w:kern w:val="2"/>
                <w:highlight w:val="none"/>
              </w:rPr>
            </w:pPr>
          </w:p>
        </w:tc>
        <w:tc>
          <w:tcPr>
            <w:tcW w:w="551"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（mg/m</w:t>
            </w:r>
            <w:r>
              <w:rPr>
                <w:rFonts w:hint="default" w:ascii="Times New Roman" w:hAnsi="Times New Roman" w:cs="Times New Roman"/>
                <w:b w:val="0"/>
                <w:bCs/>
                <w:kern w:val="2"/>
                <w:highlight w:val="none"/>
                <w:vertAlign w:val="superscript"/>
              </w:rPr>
              <w:t>3</w:t>
            </w:r>
            <w:r>
              <w:rPr>
                <w:rFonts w:hint="default" w:ascii="Times New Roman" w:hAnsi="Times New Roman" w:cs="Times New Roman"/>
                <w:b w:val="0"/>
                <w:bCs/>
                <w:kern w:val="2"/>
                <w:highlight w:val="none"/>
              </w:rPr>
              <w:t>）</w:t>
            </w:r>
          </w:p>
        </w:tc>
        <w:tc>
          <w:tcPr>
            <w:tcW w:w="402"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占标率（%）</w:t>
            </w:r>
          </w:p>
        </w:tc>
        <w:tc>
          <w:tcPr>
            <w:tcW w:w="639" w:type="pct"/>
            <w:vMerge w:val="continue"/>
            <w:tcBorders>
              <w:tl2br w:val="nil"/>
              <w:tr2bl w:val="nil"/>
            </w:tcBorders>
            <w:vAlign w:val="center"/>
          </w:tcPr>
          <w:p>
            <w:pPr>
              <w:tabs>
                <w:tab w:val="left" w:pos="1021"/>
              </w:tabs>
              <w:adjustRightInd w:val="0"/>
              <w:snapToGrid w:val="0"/>
              <w:ind w:firstLine="0" w:firstLineChars="0"/>
              <w:jc w:val="center"/>
              <w:rPr>
                <w:rFonts w:hint="default" w:ascii="Times New Roman" w:hAnsi="Times New Roman" w:cs="Times New Roman"/>
                <w:b w:val="0"/>
                <w:bCs/>
                <w:snapToGrid w:val="0"/>
                <w:sz w:val="21"/>
                <w:highlight w:val="none"/>
              </w:rPr>
            </w:pPr>
          </w:p>
        </w:tc>
        <w:tc>
          <w:tcPr>
            <w:tcW w:w="627" w:type="pc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（mg/m</w:t>
            </w:r>
            <w:r>
              <w:rPr>
                <w:rFonts w:hint="default" w:ascii="Times New Roman" w:hAnsi="Times New Roman" w:cs="Times New Roman"/>
                <w:b w:val="0"/>
                <w:bCs/>
                <w:kern w:val="2"/>
                <w:highlight w:val="none"/>
                <w:vertAlign w:val="superscript"/>
              </w:rPr>
              <w:t>3</w:t>
            </w:r>
            <w:r>
              <w:rPr>
                <w:rFonts w:hint="default" w:ascii="Times New Roman" w:hAnsi="Times New Roman" w:cs="Times New Roman"/>
                <w:b w:val="0"/>
                <w:bCs/>
                <w:kern w:val="2"/>
                <w:highlight w:val="none"/>
              </w:rPr>
              <w:t>）</w:t>
            </w:r>
          </w:p>
        </w:tc>
        <w:tc>
          <w:tcPr>
            <w:tcW w:w="480" w:type="pct"/>
            <w:tcBorders>
              <w:tl2br w:val="nil"/>
              <w:tr2bl w:val="nil"/>
            </w:tcBorders>
            <w:vAlign w:val="center"/>
          </w:tcPr>
          <w:p>
            <w:pPr>
              <w:pStyle w:val="42"/>
              <w:ind w:firstLine="0" w:firstLineChars="0"/>
              <w:jc w:val="center"/>
              <w:rPr>
                <w:rFonts w:hint="default" w:ascii="Times New Roman" w:hAnsi="Times New Roman" w:cs="Times New Roman"/>
                <w:b w:val="0"/>
                <w:bCs/>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占标率（%）</w:t>
            </w:r>
          </w:p>
        </w:tc>
        <w:tc>
          <w:tcPr>
            <w:tcW w:w="639" w:type="pct"/>
            <w:vMerge w:val="continue"/>
            <w:tcBorders>
              <w:tl2br w:val="nil"/>
              <w:tr2bl w:val="nil"/>
            </w:tcBorders>
            <w:vAlign w:val="center"/>
          </w:tcPr>
          <w:p>
            <w:pPr>
              <w:pStyle w:val="42"/>
              <w:ind w:firstLine="0" w:firstLineChars="0"/>
              <w:jc w:val="center"/>
              <w:rPr>
                <w:rFonts w:hint="default" w:ascii="Times New Roman" w:hAnsi="Times New Roman" w:cs="Times New Roman"/>
                <w:b w:val="0"/>
                <w:bCs/>
                <w:highlight w:val="none"/>
              </w:rPr>
            </w:pPr>
          </w:p>
        </w:tc>
        <w:tc>
          <w:tcPr>
            <w:tcW w:w="627" w:type="pct"/>
            <w:tcBorders>
              <w:tl2br w:val="nil"/>
              <w:tr2bl w:val="nil"/>
            </w:tcBorders>
            <w:vAlign w:val="center"/>
          </w:tcPr>
          <w:p>
            <w:pPr>
              <w:pStyle w:val="42"/>
              <w:ind w:firstLine="0" w:firstLineChars="0"/>
              <w:jc w:val="center"/>
              <w:rPr>
                <w:rFonts w:hint="default" w:ascii="Times New Roman" w:hAnsi="Times New Roman" w:cs="Times New Roman"/>
                <w:b w:val="0"/>
                <w:bCs/>
                <w:kern w:val="2"/>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（mg/m</w:t>
            </w:r>
            <w:r>
              <w:rPr>
                <w:rFonts w:hint="default" w:ascii="Times New Roman" w:hAnsi="Times New Roman" w:cs="Times New Roman"/>
                <w:b w:val="0"/>
                <w:bCs/>
                <w:kern w:val="2"/>
                <w:highlight w:val="none"/>
                <w:vertAlign w:val="superscript"/>
              </w:rPr>
              <w:t>3</w:t>
            </w:r>
            <w:r>
              <w:rPr>
                <w:rFonts w:hint="default" w:ascii="Times New Roman" w:hAnsi="Times New Roman" w:cs="Times New Roman"/>
                <w:b w:val="0"/>
                <w:bCs/>
                <w:kern w:val="2"/>
                <w:highlight w:val="none"/>
              </w:rPr>
              <w:t>）</w:t>
            </w:r>
          </w:p>
        </w:tc>
        <w:tc>
          <w:tcPr>
            <w:tcW w:w="480" w:type="pct"/>
            <w:tcBorders>
              <w:tl2br w:val="nil"/>
              <w:tr2bl w:val="nil"/>
            </w:tcBorders>
            <w:vAlign w:val="center"/>
          </w:tcPr>
          <w:p>
            <w:pPr>
              <w:pStyle w:val="42"/>
              <w:ind w:firstLine="0" w:firstLineChars="0"/>
              <w:jc w:val="center"/>
              <w:rPr>
                <w:rFonts w:hint="default" w:ascii="Times New Roman" w:hAnsi="Times New Roman" w:cs="Times New Roman"/>
                <w:b w:val="0"/>
                <w:bCs/>
                <w:highlight w:val="none"/>
              </w:rPr>
            </w:pPr>
            <w:r>
              <w:rPr>
                <w:rFonts w:hint="default" w:ascii="Times New Roman" w:hAnsi="Times New Roman" w:cs="Times New Roman"/>
                <w:b w:val="0"/>
                <w:bCs/>
                <w:highlight w:val="none"/>
              </w:rPr>
              <w:t>1小时浓度</w:t>
            </w:r>
            <w:r>
              <w:rPr>
                <w:rFonts w:hint="default" w:ascii="Times New Roman" w:hAnsi="Times New Roman" w:cs="Times New Roman"/>
                <w:b w:val="0"/>
                <w:bCs/>
                <w:kern w:val="2"/>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4.00E-05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9.59E-05</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2.98E-04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default" w:ascii="Times New Roman" w:hAnsi="Times New Roman" w:cs="Times New Roman"/>
                <w:b w:val="0"/>
                <w:bCs w:val="0"/>
                <w:sz w:val="22"/>
                <w:szCs w:val="22"/>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2.65E-04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6.36E-04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1.98E-03</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12</w:t>
            </w:r>
            <w:r>
              <w:rPr>
                <w:rFonts w:hint="eastAsia" w:cs="Times New Roman"/>
                <w:b/>
                <w:bCs/>
                <w:sz w:val="22"/>
                <w:szCs w:val="22"/>
                <w:highlight w:val="none"/>
                <w:lang w:val="en-US" w:eastAsia="zh-CN"/>
              </w:rPr>
              <w:t>5</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5.43E-04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0.12</w:t>
            </w:r>
          </w:p>
        </w:tc>
        <w:tc>
          <w:tcPr>
            <w:tcW w:w="639"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125</w:t>
            </w:r>
          </w:p>
        </w:tc>
        <w:tc>
          <w:tcPr>
            <w:tcW w:w="627"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4.00E-04</w:t>
            </w:r>
          </w:p>
        </w:tc>
        <w:tc>
          <w:tcPr>
            <w:tcW w:w="480"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0.08</w:t>
            </w:r>
          </w:p>
        </w:tc>
        <w:tc>
          <w:tcPr>
            <w:tcW w:w="639"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125</w:t>
            </w:r>
          </w:p>
        </w:tc>
        <w:tc>
          <w:tcPr>
            <w:tcW w:w="627"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3.60E-03</w:t>
            </w:r>
          </w:p>
        </w:tc>
        <w:tc>
          <w:tcPr>
            <w:tcW w:w="480" w:type="pct"/>
            <w:tcBorders>
              <w:tl2br w:val="nil"/>
              <w:tr2bl w:val="nil"/>
            </w:tcBorders>
            <w:vAlign w:val="center"/>
          </w:tcPr>
          <w:p>
            <w:pPr>
              <w:ind w:firstLine="0" w:firstLineChars="0"/>
              <w:jc w:val="center"/>
              <w:rPr>
                <w:rFonts w:hint="default" w:ascii="Times New Roman" w:hAnsi="Times New Roman" w:cs="Times New Roman"/>
                <w:b/>
                <w:bCs/>
                <w:sz w:val="22"/>
                <w:szCs w:val="22"/>
                <w:highlight w:val="none"/>
                <w:lang w:val="en-US" w:eastAsia="zh-CN"/>
              </w:rPr>
            </w:pPr>
            <w:r>
              <w:rPr>
                <w:rFonts w:hint="eastAsia" w:ascii="Times New Roman" w:hAnsi="Times New Roman" w:cs="Times New Roman"/>
                <w:b/>
                <w:bCs/>
                <w:sz w:val="22"/>
                <w:szCs w:val="22"/>
                <w:highlight w:val="none"/>
                <w:lang w:val="en-US" w:eastAsia="zh-CN"/>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2.39E-04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0.07</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5.74E-04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1.79E-03</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1.94E-04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0.06</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4.66E-04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0.09</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1.45E-03</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1.63E-04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0.05</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3.90E-04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0.08</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1.21E-03</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1.40E-04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0.04</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3.36E-04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0.07</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1.05E-03</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1.23E-04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2.95E-04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0.06</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9.18E-04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1.08E-04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2.59E-04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0.05</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8.05E-04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1.00E-04</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2.40E-04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0.05</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7.48E-04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9.53E-05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2.29E-04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0.05</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7.11E-04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9.00E-05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2.16E-04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0.04</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1000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6.72E-04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1100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8.48E-05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1100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2.03E-04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0.04</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1100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6.33E-04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7.97E-05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1.91E-04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0.04</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5.95E-04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7.49E-05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1.80E-04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0.04</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5.60E-04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7.05E-05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1.69E-04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5.26E-04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1500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6.80E-05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1500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1.63E-04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1500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5.08E-04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1600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6.60E-05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1600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1.58E-04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1600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4.93E-04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1700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6.42E-05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1700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1.54E-04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1700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4.80E-04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1800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6.24E-05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1800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1.50E-04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1800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4.66E-04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6.05E-05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1.45E-04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1900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4.52E-04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5.87E-05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1.41E-04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2000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4.38E-04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2100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5.68E-05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2100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2100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4.24E-04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2200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5.50E-05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2200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1.32E-04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2200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4.11E-04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2300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5.33E-05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2300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2300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3.98E-04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2400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5.25E-05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2400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1.26E-04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0.03</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2400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3.92E-04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2500</w:t>
            </w:r>
          </w:p>
        </w:tc>
        <w:tc>
          <w:tcPr>
            <w:tcW w:w="551"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5.16E-05</w:t>
            </w:r>
          </w:p>
        </w:tc>
        <w:tc>
          <w:tcPr>
            <w:tcW w:w="402"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0.01</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2500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1.24E-04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0.02</w:t>
            </w:r>
          </w:p>
        </w:tc>
        <w:tc>
          <w:tcPr>
            <w:tcW w:w="639"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2500</w:t>
            </w:r>
          </w:p>
        </w:tc>
        <w:tc>
          <w:tcPr>
            <w:tcW w:w="627"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3.85E-04</w:t>
            </w:r>
          </w:p>
        </w:tc>
        <w:tc>
          <w:tcPr>
            <w:tcW w:w="480" w:type="pct"/>
            <w:tcBorders>
              <w:tl2br w:val="nil"/>
              <w:tr2bl w:val="nil"/>
            </w:tcBorders>
            <w:vAlign w:val="center"/>
          </w:tcPr>
          <w:p>
            <w:pPr>
              <w:ind w:firstLine="0" w:firstLineChars="0"/>
              <w:jc w:val="center"/>
              <w:rPr>
                <w:rFonts w:hint="default" w:ascii="Times New Roman" w:hAnsi="Times New Roman" w:cs="Times New Roman"/>
                <w:b w:val="0"/>
                <w:bCs w:val="0"/>
                <w:sz w:val="22"/>
                <w:szCs w:val="22"/>
                <w:highlight w:val="none"/>
                <w:lang w:val="en-US" w:eastAsia="zh-CN"/>
              </w:rPr>
            </w:pPr>
            <w:r>
              <w:rPr>
                <w:rFonts w:hint="eastAsia" w:ascii="Times New Roman" w:hAnsi="Times New Roman" w:cs="Times New Roman"/>
                <w:b w:val="0"/>
                <w:bCs w:val="0"/>
                <w:sz w:val="22"/>
                <w:szCs w:val="22"/>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最大落地浓度距离（m）</w:t>
            </w:r>
          </w:p>
        </w:tc>
        <w:tc>
          <w:tcPr>
            <w:tcW w:w="95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cs="Times New Roman"/>
                <w:kern w:val="2"/>
                <w:highlight w:val="none"/>
                <w:lang w:val="en-US" w:eastAsia="zh-CN"/>
              </w:rPr>
              <w:t>125</w:t>
            </w:r>
          </w:p>
        </w:tc>
        <w:tc>
          <w:tcPr>
            <w:tcW w:w="639"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最大落地浓度距离（m）</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cs="Times New Roman"/>
                <w:kern w:val="2"/>
                <w:highlight w:val="none"/>
                <w:lang w:val="en-US" w:eastAsia="zh-CN"/>
              </w:rPr>
              <w:t>125</w:t>
            </w:r>
          </w:p>
        </w:tc>
        <w:tc>
          <w:tcPr>
            <w:tcW w:w="639"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最大落地浓度距离（m）</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cs="Times New Roman"/>
                <w:kern w:val="2"/>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最大占标率（%）</w:t>
            </w:r>
          </w:p>
        </w:tc>
        <w:tc>
          <w:tcPr>
            <w:tcW w:w="95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cs="Times New Roman"/>
                <w:kern w:val="2"/>
                <w:highlight w:val="none"/>
                <w:lang w:val="en-US" w:eastAsia="zh-CN"/>
              </w:rPr>
              <w:t>0.12</w:t>
            </w:r>
          </w:p>
        </w:tc>
        <w:tc>
          <w:tcPr>
            <w:tcW w:w="639"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最大占标率（%）</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ascii="Times New Roman" w:hAnsi="Times New Roman" w:cs="Times New Roman"/>
                <w:kern w:val="2"/>
                <w:highlight w:val="none"/>
                <w:lang w:val="en-US" w:eastAsia="zh-CN"/>
              </w:rPr>
              <w:t>0</w:t>
            </w:r>
            <w:r>
              <w:rPr>
                <w:rFonts w:hint="eastAsia" w:cs="Times New Roman"/>
                <w:kern w:val="2"/>
                <w:highlight w:val="none"/>
                <w:lang w:val="en-US" w:eastAsia="zh-CN"/>
              </w:rPr>
              <w:t>.08</w:t>
            </w:r>
          </w:p>
        </w:tc>
        <w:tc>
          <w:tcPr>
            <w:tcW w:w="639"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最大占标率（%）</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kern w:val="2"/>
                <w:highlight w:val="none"/>
                <w:lang w:val="en-US" w:eastAsia="zh-CN"/>
              </w:rPr>
            </w:pPr>
            <w:r>
              <w:rPr>
                <w:rFonts w:hint="eastAsia" w:cs="Times New Roman"/>
                <w:kern w:val="2"/>
                <w:highlight w:val="none"/>
                <w:lang w:val="en-US" w:eastAsia="zh-CN"/>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1"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最大落地浓度（mg/m</w:t>
            </w:r>
            <w:r>
              <w:rPr>
                <w:rFonts w:hint="default" w:ascii="Times New Roman" w:hAnsi="Times New Roman" w:cs="Times New Roman"/>
                <w:kern w:val="2"/>
                <w:highlight w:val="none"/>
                <w:vertAlign w:val="superscript"/>
              </w:rPr>
              <w:t>3</w:t>
            </w:r>
            <w:r>
              <w:rPr>
                <w:rFonts w:hint="default" w:ascii="Times New Roman" w:hAnsi="Times New Roman" w:cs="Times New Roman"/>
                <w:kern w:val="2"/>
                <w:highlight w:val="none"/>
              </w:rPr>
              <w:t>）</w:t>
            </w:r>
          </w:p>
        </w:tc>
        <w:tc>
          <w:tcPr>
            <w:tcW w:w="95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0.000543</w:t>
            </w:r>
          </w:p>
        </w:tc>
        <w:tc>
          <w:tcPr>
            <w:tcW w:w="639"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最大落地浓度（mg/m</w:t>
            </w:r>
            <w:r>
              <w:rPr>
                <w:rFonts w:hint="default" w:ascii="Times New Roman" w:hAnsi="Times New Roman" w:cs="Times New Roman"/>
                <w:kern w:val="2"/>
                <w:highlight w:val="none"/>
                <w:vertAlign w:val="superscript"/>
              </w:rPr>
              <w:t>3</w:t>
            </w:r>
            <w:r>
              <w:rPr>
                <w:rFonts w:hint="default" w:ascii="Times New Roman" w:hAnsi="Times New Roman" w:cs="Times New Roman"/>
                <w:kern w:val="2"/>
                <w:highlight w:val="none"/>
              </w:rPr>
              <w:t>）</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0.0004</w:t>
            </w:r>
          </w:p>
        </w:tc>
        <w:tc>
          <w:tcPr>
            <w:tcW w:w="639" w:type="pct"/>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最大落地浓度（mg/m</w:t>
            </w:r>
            <w:r>
              <w:rPr>
                <w:rFonts w:hint="default" w:ascii="Times New Roman" w:hAnsi="Times New Roman" w:cs="Times New Roman"/>
                <w:kern w:val="2"/>
                <w:highlight w:val="none"/>
                <w:vertAlign w:val="superscript"/>
              </w:rPr>
              <w:t>3</w:t>
            </w:r>
            <w:r>
              <w:rPr>
                <w:rFonts w:hint="default" w:ascii="Times New Roman" w:hAnsi="Times New Roman" w:cs="Times New Roman"/>
                <w:kern w:val="2"/>
                <w:highlight w:val="none"/>
              </w:rPr>
              <w:t>）</w:t>
            </w:r>
          </w:p>
        </w:tc>
        <w:tc>
          <w:tcPr>
            <w:tcW w:w="1107" w:type="pct"/>
            <w:gridSpan w:val="2"/>
            <w:tcBorders>
              <w:tl2br w:val="nil"/>
              <w:tr2bl w:val="nil"/>
            </w:tcBorders>
            <w:vAlign w:val="center"/>
          </w:tcPr>
          <w:p>
            <w:pPr>
              <w:pStyle w:val="42"/>
              <w:ind w:firstLine="0" w:firstLineChars="0"/>
              <w:jc w:val="center"/>
              <w:rPr>
                <w:rFonts w:hint="default" w:ascii="Times New Roman" w:hAnsi="Times New Roman" w:cs="Times New Roman"/>
                <w:kern w:val="2"/>
                <w:highlight w:val="none"/>
              </w:rPr>
            </w:pPr>
            <w:r>
              <w:rPr>
                <w:rFonts w:hint="default" w:ascii="Times New Roman" w:hAnsi="Times New Roman" w:cs="Times New Roman"/>
                <w:kern w:val="2"/>
                <w:highlight w:val="none"/>
              </w:rPr>
              <w:t>0.0036</w:t>
            </w:r>
          </w:p>
        </w:tc>
      </w:tr>
    </w:tbl>
    <w:p>
      <w:pPr>
        <w:ind w:firstLine="480"/>
        <w:textAlignment w:val="baseline"/>
        <w:rPr>
          <w:kern w:val="0"/>
          <w:highlight w:val="none"/>
        </w:rPr>
        <w:sectPr>
          <w:pgSz w:w="16783" w:h="11850"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r>
        <w:rPr>
          <w:rFonts w:hint="eastAsia"/>
          <w:kern w:val="0"/>
          <w:highlight w:val="none"/>
        </w:rPr>
        <w:t>由上表可知项目</w:t>
      </w:r>
      <w:r>
        <w:rPr>
          <w:rFonts w:hint="eastAsia"/>
          <w:kern w:val="0"/>
          <w:highlight w:val="none"/>
          <w:lang w:eastAsia="zh-CN"/>
        </w:rPr>
        <w:t>有组织</w:t>
      </w:r>
      <w:r>
        <w:rPr>
          <w:rFonts w:hint="eastAsia"/>
          <w:highlight w:val="none"/>
        </w:rPr>
        <w:t>PM</w:t>
      </w:r>
      <w:r>
        <w:rPr>
          <w:rFonts w:hint="eastAsia"/>
          <w:highlight w:val="none"/>
          <w:vertAlign w:val="subscript"/>
        </w:rPr>
        <w:t>10</w:t>
      </w:r>
      <w:r>
        <w:rPr>
          <w:rFonts w:hint="eastAsia"/>
          <w:highlight w:val="none"/>
        </w:rPr>
        <w:t>最大落地浓度</w:t>
      </w:r>
      <w:r>
        <w:rPr>
          <w:rFonts w:hint="eastAsia"/>
          <w:highlight w:val="none"/>
          <w:lang w:eastAsia="zh-CN"/>
        </w:rPr>
        <w:t>出现在</w:t>
      </w:r>
      <w:r>
        <w:rPr>
          <w:rFonts w:hint="eastAsia"/>
          <w:kern w:val="0"/>
          <w:highlight w:val="none"/>
          <w:lang w:val="en-US" w:eastAsia="zh-CN"/>
        </w:rPr>
        <w:t>6#</w:t>
      </w:r>
      <w:r>
        <w:rPr>
          <w:rFonts w:hint="eastAsia"/>
          <w:highlight w:val="none"/>
        </w:rPr>
        <w:t>排气筒</w:t>
      </w:r>
      <w:r>
        <w:rPr>
          <w:rFonts w:hint="eastAsia"/>
          <w:highlight w:val="none"/>
          <w:lang w:eastAsia="zh-CN"/>
        </w:rPr>
        <w:t>，</w:t>
      </w:r>
      <w:r>
        <w:rPr>
          <w:rFonts w:hint="eastAsia"/>
          <w:highlight w:val="none"/>
        </w:rPr>
        <w:t>为</w:t>
      </w:r>
      <w:r>
        <w:rPr>
          <w:rFonts w:hint="eastAsia" w:cs="Times New Roman"/>
          <w:highlight w:val="none"/>
        </w:rPr>
        <w:t>0.0268</w:t>
      </w:r>
      <w:r>
        <w:rPr>
          <w:rFonts w:hint="eastAsia"/>
          <w:kern w:val="0"/>
          <w:highlight w:val="none"/>
        </w:rPr>
        <w:t>m</w:t>
      </w:r>
      <w:r>
        <w:rPr>
          <w:kern w:val="0"/>
          <w:highlight w:val="none"/>
        </w:rPr>
        <w:t>g/m</w:t>
      </w:r>
      <w:r>
        <w:rPr>
          <w:kern w:val="0"/>
          <w:highlight w:val="none"/>
          <w:vertAlign w:val="superscript"/>
        </w:rPr>
        <w:t>3</w:t>
      </w:r>
      <w:r>
        <w:rPr>
          <w:rFonts w:hint="eastAsia"/>
          <w:kern w:val="0"/>
          <w:highlight w:val="none"/>
        </w:rPr>
        <w:t>，最大占标率为</w:t>
      </w:r>
      <w:r>
        <w:rPr>
          <w:rFonts w:hint="eastAsia"/>
          <w:kern w:val="0"/>
          <w:highlight w:val="none"/>
          <w:lang w:val="en-US" w:eastAsia="zh-CN"/>
        </w:rPr>
        <w:t>5.96</w:t>
      </w:r>
      <w:r>
        <w:rPr>
          <w:rFonts w:hint="eastAsia"/>
          <w:kern w:val="0"/>
          <w:highlight w:val="none"/>
        </w:rPr>
        <w:t>%。</w:t>
      </w:r>
    </w:p>
    <w:p>
      <w:pPr>
        <w:pStyle w:val="22"/>
        <w:rPr>
          <w:rFonts w:cs="Times New Roman"/>
          <w:highlight w:val="none"/>
        </w:rPr>
      </w:pPr>
      <w:r>
        <w:rPr>
          <w:rFonts w:hint="eastAsia" w:cs="Times New Roman"/>
          <w:highlight w:val="none"/>
        </w:rPr>
        <w:t>表</w:t>
      </w:r>
      <w:r>
        <w:rPr>
          <w:rFonts w:hint="eastAsia" w:cs="Times New Roman"/>
          <w:highlight w:val="none"/>
          <w:lang w:val="en-US" w:eastAsia="zh-CN"/>
        </w:rPr>
        <w:t>4</w:t>
      </w:r>
      <w:r>
        <w:rPr>
          <w:rFonts w:hint="eastAsia" w:cs="Times New Roman"/>
          <w:highlight w:val="none"/>
        </w:rPr>
        <w:t>.2-1</w:t>
      </w:r>
      <w:r>
        <w:rPr>
          <w:rFonts w:hint="eastAsia" w:cs="Times New Roman"/>
          <w:highlight w:val="none"/>
          <w:lang w:val="en-US" w:eastAsia="zh-CN"/>
        </w:rPr>
        <w:t>3</w:t>
      </w:r>
      <w:r>
        <w:rPr>
          <w:rFonts w:hint="eastAsia" w:cs="Times New Roman"/>
          <w:highlight w:val="none"/>
        </w:rPr>
        <w:t xml:space="preserve"> 项目无组织废气排放预测结果一览表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948"/>
        <w:gridCol w:w="598"/>
        <w:gridCol w:w="1108"/>
        <w:gridCol w:w="1108"/>
        <w:gridCol w:w="758"/>
        <w:gridCol w:w="1109"/>
        <w:gridCol w:w="1109"/>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64" w:type="pct"/>
            <w:vMerge w:val="restart"/>
            <w:tcBorders>
              <w:tl2br w:val="nil"/>
              <w:tr2bl w:val="nil"/>
            </w:tcBorders>
            <w:vAlign w:val="center"/>
          </w:tcPr>
          <w:p>
            <w:pPr>
              <w:pStyle w:val="42"/>
              <w:ind w:firstLine="0" w:firstLineChars="0"/>
              <w:rPr>
                <w:b w:val="0"/>
                <w:bCs/>
                <w:kern w:val="2"/>
                <w:sz w:val="21"/>
                <w:szCs w:val="21"/>
                <w:highlight w:val="none"/>
              </w:rPr>
            </w:pPr>
            <w:r>
              <w:rPr>
                <w:rFonts w:hint="eastAsia"/>
                <w:b w:val="0"/>
                <w:bCs/>
                <w:kern w:val="2"/>
                <w:sz w:val="21"/>
                <w:szCs w:val="21"/>
                <w:highlight w:val="none"/>
              </w:rPr>
              <w:t>距面源下</w:t>
            </w:r>
          </w:p>
          <w:p>
            <w:pPr>
              <w:pStyle w:val="42"/>
              <w:ind w:firstLine="0" w:firstLineChars="0"/>
              <w:rPr>
                <w:b w:val="0"/>
                <w:bCs/>
                <w:kern w:val="2"/>
                <w:sz w:val="21"/>
                <w:szCs w:val="21"/>
                <w:highlight w:val="none"/>
              </w:rPr>
            </w:pPr>
            <w:r>
              <w:rPr>
                <w:rFonts w:hint="eastAsia"/>
                <w:b w:val="0"/>
                <w:bCs/>
                <w:kern w:val="2"/>
                <w:sz w:val="21"/>
                <w:szCs w:val="21"/>
                <w:highlight w:val="none"/>
              </w:rPr>
              <w:t>风向距离D（m）</w:t>
            </w:r>
          </w:p>
        </w:tc>
        <w:tc>
          <w:tcPr>
            <w:tcW w:w="893" w:type="pct"/>
            <w:gridSpan w:val="2"/>
            <w:tcBorders>
              <w:tl2br w:val="nil"/>
              <w:tr2bl w:val="nil"/>
            </w:tcBorders>
            <w:tcMar>
              <w:left w:w="28" w:type="dxa"/>
              <w:right w:w="28" w:type="dxa"/>
            </w:tcMar>
            <w:vAlign w:val="center"/>
          </w:tcPr>
          <w:p>
            <w:pPr>
              <w:pStyle w:val="42"/>
              <w:ind w:firstLine="0" w:firstLineChars="0"/>
              <w:rPr>
                <w:b w:val="0"/>
                <w:bCs/>
                <w:kern w:val="2"/>
                <w:sz w:val="21"/>
                <w:szCs w:val="21"/>
                <w:highlight w:val="none"/>
              </w:rPr>
            </w:pPr>
            <w:r>
              <w:rPr>
                <w:rFonts w:hint="eastAsia"/>
                <w:b w:val="0"/>
                <w:bCs/>
                <w:sz w:val="21"/>
                <w:szCs w:val="21"/>
                <w:highlight w:val="none"/>
              </w:rPr>
              <w:t>PM</w:t>
            </w:r>
            <w:r>
              <w:rPr>
                <w:rFonts w:hint="eastAsia"/>
                <w:b w:val="0"/>
                <w:bCs/>
                <w:sz w:val="21"/>
                <w:szCs w:val="21"/>
                <w:highlight w:val="none"/>
                <w:vertAlign w:val="subscript"/>
              </w:rPr>
              <w:t>10</w:t>
            </w:r>
          </w:p>
        </w:tc>
        <w:tc>
          <w:tcPr>
            <w:tcW w:w="644" w:type="pct"/>
            <w:vMerge w:val="restart"/>
            <w:tcBorders>
              <w:tl2br w:val="nil"/>
              <w:tr2bl w:val="nil"/>
            </w:tcBorders>
            <w:vAlign w:val="center"/>
          </w:tcPr>
          <w:p>
            <w:pPr>
              <w:pStyle w:val="42"/>
              <w:ind w:firstLine="0" w:firstLineChars="0"/>
              <w:rPr>
                <w:b w:val="0"/>
                <w:bCs/>
                <w:kern w:val="2"/>
                <w:sz w:val="21"/>
                <w:szCs w:val="21"/>
                <w:highlight w:val="none"/>
              </w:rPr>
            </w:pPr>
            <w:r>
              <w:rPr>
                <w:rFonts w:hint="eastAsia"/>
                <w:b w:val="0"/>
                <w:bCs/>
                <w:kern w:val="2"/>
                <w:sz w:val="21"/>
                <w:szCs w:val="21"/>
                <w:highlight w:val="none"/>
              </w:rPr>
              <w:t>距点源下</w:t>
            </w:r>
          </w:p>
          <w:p>
            <w:pPr>
              <w:pStyle w:val="42"/>
              <w:ind w:firstLine="0" w:firstLineChars="0"/>
              <w:rPr>
                <w:b w:val="0"/>
                <w:bCs/>
                <w:kern w:val="2"/>
                <w:sz w:val="21"/>
                <w:szCs w:val="21"/>
                <w:highlight w:val="none"/>
              </w:rPr>
            </w:pPr>
            <w:r>
              <w:rPr>
                <w:rFonts w:hint="eastAsia"/>
                <w:b w:val="0"/>
                <w:bCs/>
                <w:kern w:val="2"/>
                <w:sz w:val="21"/>
                <w:szCs w:val="21"/>
                <w:highlight w:val="none"/>
              </w:rPr>
              <w:t>风向距离D（m）</w:t>
            </w:r>
          </w:p>
        </w:tc>
        <w:tc>
          <w:tcPr>
            <w:tcW w:w="1126" w:type="pct"/>
            <w:gridSpan w:val="2"/>
            <w:tcBorders>
              <w:tl2br w:val="nil"/>
              <w:tr2bl w:val="nil"/>
            </w:tcBorders>
            <w:vAlign w:val="center"/>
          </w:tcPr>
          <w:p>
            <w:pPr>
              <w:pStyle w:val="42"/>
              <w:ind w:firstLine="0" w:firstLineChars="0"/>
              <w:rPr>
                <w:rFonts w:hint="default"/>
                <w:b w:val="0"/>
                <w:bCs/>
                <w:kern w:val="2"/>
                <w:sz w:val="21"/>
                <w:szCs w:val="21"/>
                <w:highlight w:val="none"/>
                <w:lang w:val="en-US"/>
              </w:rPr>
            </w:pPr>
            <w:r>
              <w:rPr>
                <w:rFonts w:hint="eastAsia" w:cs="Times New Roman"/>
                <w:b w:val="0"/>
                <w:bCs/>
                <w:kern w:val="2"/>
                <w:sz w:val="21"/>
                <w:szCs w:val="21"/>
                <w:highlight w:val="none"/>
                <w:lang w:val="en-US" w:eastAsia="zh-CN"/>
              </w:rPr>
              <w:t>NH</w:t>
            </w:r>
            <w:r>
              <w:rPr>
                <w:rFonts w:hint="eastAsia" w:cs="Times New Roman"/>
                <w:b w:val="0"/>
                <w:bCs/>
                <w:kern w:val="2"/>
                <w:sz w:val="21"/>
                <w:szCs w:val="21"/>
                <w:highlight w:val="none"/>
                <w:vertAlign w:val="subscript"/>
                <w:lang w:val="en-US" w:eastAsia="zh-CN"/>
              </w:rPr>
              <w:t>3</w:t>
            </w:r>
          </w:p>
        </w:tc>
        <w:tc>
          <w:tcPr>
            <w:tcW w:w="644" w:type="pct"/>
            <w:vMerge w:val="restart"/>
            <w:tcBorders>
              <w:tl2br w:val="nil"/>
              <w:tr2bl w:val="nil"/>
            </w:tcBorders>
            <w:vAlign w:val="center"/>
          </w:tcPr>
          <w:p>
            <w:pPr>
              <w:pStyle w:val="42"/>
              <w:ind w:firstLine="0" w:firstLineChars="0"/>
              <w:rPr>
                <w:b w:val="0"/>
                <w:bCs/>
                <w:kern w:val="2"/>
                <w:sz w:val="21"/>
                <w:szCs w:val="21"/>
                <w:highlight w:val="none"/>
              </w:rPr>
            </w:pPr>
            <w:r>
              <w:rPr>
                <w:rFonts w:hint="eastAsia"/>
                <w:b w:val="0"/>
                <w:bCs/>
                <w:kern w:val="2"/>
                <w:sz w:val="21"/>
                <w:szCs w:val="21"/>
                <w:highlight w:val="none"/>
              </w:rPr>
              <w:t>距点源下风向距离D（m）</w:t>
            </w:r>
          </w:p>
        </w:tc>
        <w:tc>
          <w:tcPr>
            <w:tcW w:w="1126" w:type="pct"/>
            <w:gridSpan w:val="2"/>
            <w:tcBorders>
              <w:tl2br w:val="nil"/>
              <w:tr2bl w:val="nil"/>
            </w:tcBorders>
            <w:vAlign w:val="center"/>
          </w:tcPr>
          <w:p>
            <w:pPr>
              <w:pStyle w:val="42"/>
              <w:ind w:firstLine="0" w:firstLineChars="0"/>
              <w:rPr>
                <w:rFonts w:hint="default"/>
                <w:b w:val="0"/>
                <w:bCs/>
                <w:kern w:val="2"/>
                <w:sz w:val="21"/>
                <w:szCs w:val="21"/>
                <w:highlight w:val="none"/>
                <w:lang w:val="en-US"/>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564" w:type="pct"/>
            <w:vMerge w:val="continue"/>
            <w:tcBorders>
              <w:tl2br w:val="nil"/>
              <w:tr2bl w:val="nil"/>
            </w:tcBorders>
            <w:tcMar>
              <w:left w:w="28" w:type="dxa"/>
              <w:right w:w="28" w:type="dxa"/>
            </w:tcMar>
            <w:vAlign w:val="center"/>
          </w:tcPr>
          <w:p>
            <w:pPr>
              <w:pStyle w:val="42"/>
              <w:ind w:firstLine="422"/>
              <w:rPr>
                <w:b w:val="0"/>
                <w:bCs/>
                <w:kern w:val="2"/>
                <w:sz w:val="21"/>
                <w:szCs w:val="21"/>
                <w:highlight w:val="none"/>
              </w:rPr>
            </w:pPr>
          </w:p>
        </w:tc>
        <w:tc>
          <w:tcPr>
            <w:tcW w:w="539" w:type="pct"/>
            <w:tcBorders>
              <w:tl2br w:val="nil"/>
              <w:tr2bl w:val="nil"/>
            </w:tcBorders>
            <w:tcMar>
              <w:left w:w="28" w:type="dxa"/>
              <w:right w:w="28" w:type="dxa"/>
            </w:tcMar>
            <w:vAlign w:val="center"/>
          </w:tcPr>
          <w:p>
            <w:pPr>
              <w:pStyle w:val="42"/>
              <w:ind w:firstLine="0" w:firstLineChars="0"/>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（mg/m</w:t>
            </w:r>
            <w:r>
              <w:rPr>
                <w:b w:val="0"/>
                <w:bCs/>
                <w:kern w:val="2"/>
                <w:sz w:val="21"/>
                <w:szCs w:val="21"/>
                <w:highlight w:val="none"/>
                <w:vertAlign w:val="superscript"/>
              </w:rPr>
              <w:t>3</w:t>
            </w:r>
            <w:r>
              <w:rPr>
                <w:rFonts w:hint="eastAsia"/>
                <w:b w:val="0"/>
                <w:bCs/>
                <w:kern w:val="2"/>
                <w:sz w:val="21"/>
                <w:szCs w:val="21"/>
                <w:highlight w:val="none"/>
              </w:rPr>
              <w:t>）</w:t>
            </w:r>
          </w:p>
        </w:tc>
        <w:tc>
          <w:tcPr>
            <w:tcW w:w="354" w:type="pct"/>
            <w:tcBorders>
              <w:tl2br w:val="nil"/>
              <w:tr2bl w:val="nil"/>
            </w:tcBorders>
            <w:tcMar>
              <w:left w:w="28" w:type="dxa"/>
              <w:right w:w="28" w:type="dxa"/>
            </w:tcMar>
            <w:vAlign w:val="center"/>
          </w:tcPr>
          <w:p>
            <w:pPr>
              <w:pStyle w:val="42"/>
              <w:ind w:firstLine="0" w:firstLineChars="0"/>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c>
          <w:tcPr>
            <w:tcW w:w="644" w:type="pct"/>
            <w:vMerge w:val="continue"/>
            <w:tcBorders>
              <w:tl2br w:val="nil"/>
              <w:tr2bl w:val="nil"/>
            </w:tcBorders>
            <w:vAlign w:val="center"/>
          </w:tcPr>
          <w:p>
            <w:pPr>
              <w:pStyle w:val="42"/>
              <w:ind w:firstLine="422"/>
              <w:rPr>
                <w:b w:val="0"/>
                <w:bCs/>
                <w:kern w:val="2"/>
                <w:sz w:val="21"/>
                <w:szCs w:val="21"/>
                <w:highlight w:val="none"/>
              </w:rPr>
            </w:pPr>
          </w:p>
        </w:tc>
        <w:tc>
          <w:tcPr>
            <w:tcW w:w="655" w:type="pct"/>
            <w:tcBorders>
              <w:tl2br w:val="nil"/>
              <w:tr2bl w:val="nil"/>
            </w:tcBorders>
            <w:vAlign w:val="center"/>
          </w:tcPr>
          <w:p>
            <w:pPr>
              <w:pStyle w:val="42"/>
              <w:ind w:firstLine="0" w:firstLineChars="0"/>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（mg/m</w:t>
            </w:r>
            <w:r>
              <w:rPr>
                <w:b w:val="0"/>
                <w:bCs/>
                <w:kern w:val="2"/>
                <w:sz w:val="21"/>
                <w:szCs w:val="21"/>
                <w:highlight w:val="none"/>
                <w:vertAlign w:val="superscript"/>
              </w:rPr>
              <w:t>3</w:t>
            </w:r>
            <w:r>
              <w:rPr>
                <w:rFonts w:hint="eastAsia"/>
                <w:b w:val="0"/>
                <w:bCs/>
                <w:kern w:val="2"/>
                <w:sz w:val="21"/>
                <w:szCs w:val="21"/>
                <w:highlight w:val="none"/>
              </w:rPr>
              <w:t>）</w:t>
            </w:r>
          </w:p>
        </w:tc>
        <w:tc>
          <w:tcPr>
            <w:tcW w:w="470" w:type="pct"/>
            <w:tcBorders>
              <w:tl2br w:val="nil"/>
              <w:tr2bl w:val="nil"/>
            </w:tcBorders>
            <w:vAlign w:val="center"/>
          </w:tcPr>
          <w:p>
            <w:pPr>
              <w:pStyle w:val="42"/>
              <w:ind w:firstLine="0" w:firstLineChars="0"/>
              <w:rPr>
                <w:b w:val="0"/>
                <w:bCs/>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c>
          <w:tcPr>
            <w:tcW w:w="644" w:type="pct"/>
            <w:vMerge w:val="continue"/>
            <w:tcBorders>
              <w:tl2br w:val="nil"/>
              <w:tr2bl w:val="nil"/>
            </w:tcBorders>
            <w:vAlign w:val="center"/>
          </w:tcPr>
          <w:p>
            <w:pPr>
              <w:pStyle w:val="42"/>
              <w:ind w:firstLine="422"/>
              <w:rPr>
                <w:b w:val="0"/>
                <w:bCs/>
                <w:kern w:val="2"/>
                <w:sz w:val="21"/>
                <w:szCs w:val="21"/>
                <w:highlight w:val="none"/>
              </w:rPr>
            </w:pPr>
          </w:p>
        </w:tc>
        <w:tc>
          <w:tcPr>
            <w:tcW w:w="655" w:type="pct"/>
            <w:tcBorders>
              <w:tl2br w:val="nil"/>
              <w:tr2bl w:val="nil"/>
            </w:tcBorders>
            <w:vAlign w:val="center"/>
          </w:tcPr>
          <w:p>
            <w:pPr>
              <w:pStyle w:val="42"/>
              <w:ind w:firstLine="0" w:firstLineChars="0"/>
              <w:rPr>
                <w:b w:val="0"/>
                <w:bCs/>
                <w:kern w:val="2"/>
                <w:sz w:val="21"/>
                <w:szCs w:val="21"/>
                <w:highlight w:val="none"/>
              </w:rPr>
            </w:pPr>
            <w:r>
              <w:rPr>
                <w:rFonts w:hint="eastAsia"/>
                <w:b w:val="0"/>
                <w:bCs/>
                <w:sz w:val="21"/>
                <w:szCs w:val="21"/>
                <w:highlight w:val="none"/>
              </w:rPr>
              <w:t>1小时浓度</w:t>
            </w:r>
            <w:r>
              <w:rPr>
                <w:rFonts w:hint="eastAsia"/>
                <w:b w:val="0"/>
                <w:bCs/>
                <w:kern w:val="2"/>
                <w:sz w:val="21"/>
                <w:szCs w:val="21"/>
                <w:highlight w:val="none"/>
              </w:rPr>
              <w:t>（mg/m</w:t>
            </w:r>
            <w:r>
              <w:rPr>
                <w:b w:val="0"/>
                <w:bCs/>
                <w:kern w:val="2"/>
                <w:sz w:val="21"/>
                <w:szCs w:val="21"/>
                <w:highlight w:val="none"/>
                <w:vertAlign w:val="superscript"/>
              </w:rPr>
              <w:t>3</w:t>
            </w:r>
            <w:r>
              <w:rPr>
                <w:rFonts w:hint="eastAsia"/>
                <w:b w:val="0"/>
                <w:bCs/>
                <w:kern w:val="2"/>
                <w:sz w:val="21"/>
                <w:szCs w:val="21"/>
                <w:highlight w:val="none"/>
              </w:rPr>
              <w:t>）</w:t>
            </w:r>
          </w:p>
        </w:tc>
        <w:tc>
          <w:tcPr>
            <w:tcW w:w="470" w:type="pct"/>
            <w:tcBorders>
              <w:tl2br w:val="nil"/>
              <w:tr2bl w:val="nil"/>
            </w:tcBorders>
            <w:vAlign w:val="center"/>
          </w:tcPr>
          <w:p>
            <w:pPr>
              <w:pStyle w:val="42"/>
              <w:ind w:firstLine="0" w:firstLineChars="0"/>
              <w:rPr>
                <w:b w:val="0"/>
                <w:bCs/>
                <w:sz w:val="21"/>
                <w:szCs w:val="21"/>
                <w:highlight w:val="none"/>
              </w:rPr>
            </w:pPr>
            <w:r>
              <w:rPr>
                <w:rFonts w:hint="eastAsia"/>
                <w:b w:val="0"/>
                <w:bCs/>
                <w:sz w:val="21"/>
                <w:szCs w:val="21"/>
                <w:highlight w:val="none"/>
              </w:rPr>
              <w:t>1小时浓度</w:t>
            </w:r>
            <w:r>
              <w:rPr>
                <w:rFonts w:hint="eastAsia"/>
                <w:b w:val="0"/>
                <w:bCs/>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2.57E-03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0.61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0.004816</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2.41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0.0003608</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3.07E-03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0.73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0.00589</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2.94</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0.0004412</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3.53E-03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0.007022</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3.51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0.000526</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300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3.94E-03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0.94</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0.008067</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4.03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0.0006043</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400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4.40E-03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1.05</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0.009047</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4.52</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0.0006777</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500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4.75E-03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0.01018</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5.09</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0.0007623</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600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4.90E-03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0.0113</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5.65</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0.0008464</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b w:val="0"/>
                <w:bCs w:val="0"/>
                <w:sz w:val="21"/>
                <w:szCs w:val="21"/>
                <w:highlight w:val="none"/>
              </w:rPr>
            </w:pPr>
            <w:r>
              <w:rPr>
                <w:rFonts w:hint="eastAsia"/>
                <w:b w:val="0"/>
                <w:bCs w:val="0"/>
                <w:sz w:val="21"/>
                <w:szCs w:val="21"/>
                <w:highlight w:val="none"/>
                <w:lang w:val="en-US" w:eastAsia="zh-CN"/>
              </w:rPr>
              <w:t>663</w:t>
            </w:r>
          </w:p>
        </w:tc>
        <w:tc>
          <w:tcPr>
            <w:tcW w:w="949" w:type="dxa"/>
            <w:tcBorders>
              <w:tl2br w:val="nil"/>
              <w:tr2bl w:val="nil"/>
            </w:tcBorders>
            <w:tcMar>
              <w:left w:w="28" w:type="dxa"/>
              <w:right w:w="28" w:type="dxa"/>
            </w:tcMar>
            <w:vAlign w:val="center"/>
          </w:tcPr>
          <w:p>
            <w:pPr>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4.93E-03</w:t>
            </w:r>
          </w:p>
        </w:tc>
        <w:tc>
          <w:tcPr>
            <w:tcW w:w="618" w:type="dxa"/>
            <w:tcBorders>
              <w:tl2br w:val="nil"/>
              <w:tr2bl w:val="nil"/>
            </w:tcBorders>
            <w:tcMar>
              <w:left w:w="28" w:type="dxa"/>
              <w:right w:w="28" w:type="dxa"/>
            </w:tcMar>
            <w:vAlign w:val="center"/>
          </w:tcPr>
          <w:p>
            <w:pPr>
              <w:ind w:firstLine="0" w:firstLineChars="0"/>
              <w:jc w:val="center"/>
              <w:rPr>
                <w:rFonts w:hint="eastAsia"/>
                <w:b w:val="0"/>
                <w:bCs w:val="0"/>
                <w:sz w:val="21"/>
                <w:szCs w:val="21"/>
                <w:highlight w:val="none"/>
                <w:lang w:val="en-US" w:eastAsia="zh-CN"/>
              </w:rPr>
            </w:pPr>
            <w:r>
              <w:rPr>
                <w:rFonts w:hint="eastAsia"/>
                <w:b w:val="0"/>
                <w:bCs w:val="0"/>
                <w:sz w:val="21"/>
                <w:szCs w:val="21"/>
                <w:highlight w:val="none"/>
                <w:lang w:val="en-US" w:eastAsia="zh-CN"/>
              </w:rPr>
              <w:t>1.17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0.01183</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5.91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0.0008864</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default"/>
                <w:b/>
                <w:bCs/>
                <w:sz w:val="21"/>
                <w:szCs w:val="21"/>
                <w:highlight w:val="none"/>
                <w:lang w:val="en-US"/>
              </w:rPr>
            </w:pPr>
            <w:r>
              <w:rPr>
                <w:rFonts w:hint="eastAsia"/>
                <w:b/>
                <w:bCs/>
                <w:sz w:val="21"/>
                <w:szCs w:val="21"/>
                <w:highlight w:val="none"/>
                <w:lang w:val="en-US" w:eastAsia="zh-CN"/>
              </w:rPr>
              <w:t>712</w:t>
            </w:r>
          </w:p>
        </w:tc>
        <w:tc>
          <w:tcPr>
            <w:tcW w:w="949" w:type="dxa"/>
            <w:tcBorders>
              <w:tl2br w:val="nil"/>
              <w:tr2bl w:val="nil"/>
            </w:tcBorders>
            <w:tcMar>
              <w:left w:w="28" w:type="dxa"/>
              <w:right w:w="28" w:type="dxa"/>
            </w:tcMar>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4.93E-03</w:t>
            </w:r>
          </w:p>
        </w:tc>
        <w:tc>
          <w:tcPr>
            <w:tcW w:w="618" w:type="dxa"/>
            <w:tcBorders>
              <w:tl2br w:val="nil"/>
              <w:tr2bl w:val="nil"/>
            </w:tcBorders>
            <w:tcMar>
              <w:left w:w="28" w:type="dxa"/>
              <w:right w:w="28" w:type="dxa"/>
            </w:tcMar>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1.17</w:t>
            </w:r>
          </w:p>
        </w:tc>
        <w:tc>
          <w:tcPr>
            <w:tcW w:w="1087" w:type="dxa"/>
            <w:tcBorders>
              <w:tl2br w:val="nil"/>
              <w:tr2bl w:val="nil"/>
            </w:tcBorders>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712</w:t>
            </w:r>
          </w:p>
        </w:tc>
        <w:tc>
          <w:tcPr>
            <w:tcW w:w="1109" w:type="dxa"/>
            <w:tcBorders>
              <w:tl2br w:val="nil"/>
              <w:tr2bl w:val="nil"/>
            </w:tcBorders>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0.01184</w:t>
            </w:r>
          </w:p>
        </w:tc>
        <w:tc>
          <w:tcPr>
            <w:tcW w:w="758" w:type="dxa"/>
            <w:tcBorders>
              <w:tl2br w:val="nil"/>
              <w:tr2bl w:val="nil"/>
            </w:tcBorders>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5.92</w:t>
            </w:r>
          </w:p>
        </w:tc>
        <w:tc>
          <w:tcPr>
            <w:tcW w:w="1087" w:type="dxa"/>
            <w:tcBorders>
              <w:tl2br w:val="nil"/>
              <w:tr2bl w:val="nil"/>
            </w:tcBorders>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712</w:t>
            </w:r>
          </w:p>
        </w:tc>
        <w:tc>
          <w:tcPr>
            <w:tcW w:w="1109" w:type="dxa"/>
            <w:tcBorders>
              <w:tl2br w:val="nil"/>
              <w:tr2bl w:val="nil"/>
            </w:tcBorders>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0.0008867</w:t>
            </w:r>
          </w:p>
        </w:tc>
        <w:tc>
          <w:tcPr>
            <w:tcW w:w="778" w:type="dxa"/>
            <w:tcBorders>
              <w:tl2br w:val="nil"/>
              <w:tr2bl w:val="nil"/>
            </w:tcBorders>
            <w:vAlign w:val="center"/>
          </w:tcPr>
          <w:p>
            <w:pPr>
              <w:ind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8.87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800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4.86E-03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1.16</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0.01166</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5.83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0.0008737</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900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4.79E-03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1.14</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900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0.01124</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5.62</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900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0.0008416</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1000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4.71E-03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1.12</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0.01074</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5.37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0.0008043</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8.04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1100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4.61E-03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0.01025</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5.12</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1100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0.0007679</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1200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4.49E-03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1200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0.009801</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4.9</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1200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0.0007341</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1300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4.36E-03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1.04</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1300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0.009386</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4.69</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1300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0.0007031</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1400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4.22E-03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1400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0.009008</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4.5</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1400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0.0006747</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1500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4.09E-03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0.97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1500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0.008662</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4.33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1500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0.0006488</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1600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3.95E-03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0.94</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1600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0.008344</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4.17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1600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0.000625</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1700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3.82E-03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0.91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1700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0.008053</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4.03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1700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0.0006032</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6.03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1800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3.69E-03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0.88</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1800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0.007787</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3.89</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1800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0.0005833</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1900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3.57E-03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0.85</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1900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0.007543</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3.77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1900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0.000565</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2000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3.45E-03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0.82</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2000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0.007319</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3.66</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2000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0.0005482</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2100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3.35E-03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0.8</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2100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0.007113</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3.56</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2100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0.0005328</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2200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3.25E-03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0.77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2200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0.006924</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3.46</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2200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0.0005186</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2300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3.16E-03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0.75</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2300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0.006744</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3.37</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2300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0.0005051</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2400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3.07E-03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0.73</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2400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0.006574</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3.29</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2400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0.0004924</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dxa"/>
            <w:tcBorders>
              <w:tl2br w:val="nil"/>
              <w:tr2bl w:val="nil"/>
            </w:tcBorders>
            <w:tcMar>
              <w:left w:w="28" w:type="dxa"/>
              <w:right w:w="28" w:type="dxa"/>
            </w:tcMar>
            <w:vAlign w:val="center"/>
          </w:tcPr>
          <w:p>
            <w:pPr>
              <w:ind w:firstLine="0" w:firstLineChars="0"/>
              <w:jc w:val="center"/>
              <w:rPr>
                <w:rFonts w:hint="eastAsia"/>
                <w:sz w:val="21"/>
                <w:szCs w:val="21"/>
                <w:highlight w:val="none"/>
              </w:rPr>
            </w:pPr>
            <w:r>
              <w:rPr>
                <w:rFonts w:hint="eastAsia"/>
                <w:sz w:val="21"/>
                <w:szCs w:val="21"/>
                <w:highlight w:val="none"/>
                <w:lang w:val="en-US" w:eastAsia="zh-CN"/>
              </w:rPr>
              <w:t>2500</w:t>
            </w:r>
          </w:p>
        </w:tc>
        <w:tc>
          <w:tcPr>
            <w:tcW w:w="949"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2.99E-03</w:t>
            </w:r>
          </w:p>
        </w:tc>
        <w:tc>
          <w:tcPr>
            <w:tcW w:w="618" w:type="dxa"/>
            <w:tcBorders>
              <w:tl2br w:val="nil"/>
              <w:tr2bl w:val="nil"/>
            </w:tcBorders>
            <w:tcMar>
              <w:left w:w="28" w:type="dxa"/>
              <w:right w:w="28" w:type="dxa"/>
            </w:tcMar>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0.71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2500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0.006412</w:t>
            </w:r>
          </w:p>
        </w:tc>
        <w:tc>
          <w:tcPr>
            <w:tcW w:w="75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3.21</w:t>
            </w:r>
          </w:p>
        </w:tc>
        <w:tc>
          <w:tcPr>
            <w:tcW w:w="1087"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2500</w:t>
            </w:r>
          </w:p>
        </w:tc>
        <w:tc>
          <w:tcPr>
            <w:tcW w:w="1109"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0.0004803</w:t>
            </w:r>
          </w:p>
        </w:tc>
        <w:tc>
          <w:tcPr>
            <w:tcW w:w="778" w:type="dxa"/>
            <w:tcBorders>
              <w:tl2br w:val="nil"/>
              <w:tr2bl w:val="nil"/>
            </w:tcBorders>
            <w:vAlign w:val="center"/>
          </w:tcPr>
          <w:p>
            <w:pPr>
              <w:ind w:firstLine="0" w:firstLineChars="0"/>
              <w:jc w:val="center"/>
              <w:rPr>
                <w:rFonts w:hint="eastAsia"/>
                <w:sz w:val="21"/>
                <w:szCs w:val="21"/>
                <w:highlight w:val="none"/>
                <w:lang w:val="en-US" w:eastAsia="zh-CN"/>
              </w:rPr>
            </w:pPr>
            <w:r>
              <w:rPr>
                <w:rFonts w:hint="eastAsia"/>
                <w:sz w:val="21"/>
                <w:szCs w:val="21"/>
                <w:highlight w:val="none"/>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pct"/>
            <w:tcBorders>
              <w:tl2br w:val="nil"/>
              <w:tr2bl w:val="nil"/>
            </w:tcBorders>
            <w:tcMar>
              <w:left w:w="28" w:type="dxa"/>
              <w:right w:w="28" w:type="dxa"/>
            </w:tcMar>
            <w:vAlign w:val="center"/>
          </w:tcPr>
          <w:p>
            <w:pPr>
              <w:pStyle w:val="42"/>
              <w:ind w:firstLine="0" w:firstLineChars="0"/>
              <w:rPr>
                <w:kern w:val="2"/>
                <w:sz w:val="21"/>
                <w:szCs w:val="21"/>
                <w:highlight w:val="none"/>
              </w:rPr>
            </w:pPr>
            <w:r>
              <w:rPr>
                <w:rFonts w:hint="eastAsia"/>
                <w:kern w:val="2"/>
                <w:sz w:val="21"/>
                <w:szCs w:val="21"/>
                <w:highlight w:val="none"/>
              </w:rPr>
              <w:t>最大落地浓度距离（m）</w:t>
            </w:r>
          </w:p>
        </w:tc>
        <w:tc>
          <w:tcPr>
            <w:tcW w:w="893" w:type="pct"/>
            <w:gridSpan w:val="2"/>
            <w:tcBorders>
              <w:tl2br w:val="nil"/>
              <w:tr2bl w:val="nil"/>
            </w:tcBorders>
            <w:tcMar>
              <w:left w:w="28" w:type="dxa"/>
              <w:right w:w="28" w:type="dxa"/>
            </w:tcMar>
            <w:vAlign w:val="center"/>
          </w:tcPr>
          <w:p>
            <w:pPr>
              <w:pStyle w:val="42"/>
              <w:ind w:firstLine="0" w:firstLineChars="0"/>
              <w:rPr>
                <w:rFonts w:hint="default" w:eastAsia="宋体"/>
                <w:kern w:val="2"/>
                <w:sz w:val="21"/>
                <w:szCs w:val="21"/>
                <w:highlight w:val="none"/>
                <w:lang w:val="en-US" w:eastAsia="zh-CN"/>
              </w:rPr>
            </w:pPr>
            <w:r>
              <w:rPr>
                <w:rFonts w:hint="eastAsia"/>
                <w:kern w:val="2"/>
                <w:sz w:val="21"/>
                <w:szCs w:val="21"/>
                <w:highlight w:val="none"/>
                <w:lang w:val="en-US" w:eastAsia="zh-CN"/>
              </w:rPr>
              <w:t>712</w:t>
            </w:r>
          </w:p>
        </w:tc>
        <w:tc>
          <w:tcPr>
            <w:tcW w:w="644" w:type="pct"/>
            <w:tcBorders>
              <w:tl2br w:val="nil"/>
              <w:tr2bl w:val="nil"/>
            </w:tcBorders>
            <w:vAlign w:val="center"/>
          </w:tcPr>
          <w:p>
            <w:pPr>
              <w:pStyle w:val="42"/>
              <w:ind w:firstLine="0" w:firstLineChars="0"/>
              <w:rPr>
                <w:kern w:val="2"/>
                <w:sz w:val="21"/>
                <w:szCs w:val="21"/>
                <w:highlight w:val="none"/>
              </w:rPr>
            </w:pPr>
            <w:r>
              <w:rPr>
                <w:rFonts w:hint="eastAsia"/>
                <w:kern w:val="2"/>
                <w:sz w:val="21"/>
                <w:szCs w:val="21"/>
                <w:highlight w:val="none"/>
              </w:rPr>
              <w:t>最大落地浓度距离（m）</w:t>
            </w:r>
          </w:p>
        </w:tc>
        <w:tc>
          <w:tcPr>
            <w:tcW w:w="1126" w:type="pct"/>
            <w:gridSpan w:val="2"/>
            <w:tcBorders>
              <w:tl2br w:val="nil"/>
              <w:tr2bl w:val="nil"/>
            </w:tcBorders>
            <w:vAlign w:val="center"/>
          </w:tcPr>
          <w:p>
            <w:pPr>
              <w:pStyle w:val="42"/>
              <w:ind w:firstLine="0" w:firstLineChars="0"/>
              <w:rPr>
                <w:rFonts w:hint="default" w:eastAsia="宋体"/>
                <w:kern w:val="2"/>
                <w:sz w:val="21"/>
                <w:szCs w:val="21"/>
                <w:highlight w:val="none"/>
                <w:lang w:val="en-US" w:eastAsia="zh-CN"/>
              </w:rPr>
            </w:pPr>
            <w:r>
              <w:rPr>
                <w:rFonts w:hint="eastAsia"/>
                <w:kern w:val="2"/>
                <w:sz w:val="21"/>
                <w:szCs w:val="21"/>
                <w:highlight w:val="none"/>
                <w:lang w:val="en-US" w:eastAsia="zh-CN"/>
              </w:rPr>
              <w:t>712</w:t>
            </w:r>
          </w:p>
        </w:tc>
        <w:tc>
          <w:tcPr>
            <w:tcW w:w="644" w:type="pct"/>
            <w:tcBorders>
              <w:tl2br w:val="nil"/>
              <w:tr2bl w:val="nil"/>
            </w:tcBorders>
            <w:vAlign w:val="center"/>
          </w:tcPr>
          <w:p>
            <w:pPr>
              <w:pStyle w:val="42"/>
              <w:ind w:firstLine="0" w:firstLineChars="0"/>
              <w:rPr>
                <w:kern w:val="2"/>
                <w:sz w:val="21"/>
                <w:szCs w:val="21"/>
                <w:highlight w:val="none"/>
              </w:rPr>
            </w:pPr>
            <w:r>
              <w:rPr>
                <w:rFonts w:hint="eastAsia"/>
                <w:kern w:val="2"/>
                <w:sz w:val="21"/>
                <w:szCs w:val="21"/>
                <w:highlight w:val="none"/>
              </w:rPr>
              <w:t>最大落地浓度距离（m）</w:t>
            </w:r>
          </w:p>
        </w:tc>
        <w:tc>
          <w:tcPr>
            <w:tcW w:w="1126" w:type="pct"/>
            <w:gridSpan w:val="2"/>
            <w:tcBorders>
              <w:tl2br w:val="nil"/>
              <w:tr2bl w:val="nil"/>
            </w:tcBorders>
            <w:vAlign w:val="center"/>
          </w:tcPr>
          <w:p>
            <w:pPr>
              <w:pStyle w:val="42"/>
              <w:ind w:firstLine="0" w:firstLineChars="0"/>
              <w:rPr>
                <w:rFonts w:hint="default" w:eastAsia="宋体"/>
                <w:kern w:val="2"/>
                <w:sz w:val="21"/>
                <w:szCs w:val="21"/>
                <w:highlight w:val="none"/>
                <w:lang w:val="en-US" w:eastAsia="zh-CN"/>
              </w:rPr>
            </w:pPr>
            <w:r>
              <w:rPr>
                <w:rFonts w:hint="eastAsia"/>
                <w:kern w:val="2"/>
                <w:sz w:val="21"/>
                <w:szCs w:val="21"/>
                <w:highlight w:val="none"/>
                <w:lang w:val="en-US" w:eastAsia="zh-CN"/>
              </w:rPr>
              <w:t>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pct"/>
            <w:tcBorders>
              <w:tl2br w:val="nil"/>
              <w:tr2bl w:val="nil"/>
            </w:tcBorders>
            <w:tcMar>
              <w:left w:w="28" w:type="dxa"/>
              <w:right w:w="28" w:type="dxa"/>
            </w:tcMar>
            <w:vAlign w:val="center"/>
          </w:tcPr>
          <w:p>
            <w:pPr>
              <w:pStyle w:val="42"/>
              <w:ind w:firstLine="0" w:firstLineChars="0"/>
              <w:rPr>
                <w:kern w:val="2"/>
                <w:sz w:val="21"/>
                <w:szCs w:val="21"/>
                <w:highlight w:val="none"/>
              </w:rPr>
            </w:pPr>
            <w:r>
              <w:rPr>
                <w:rFonts w:hint="eastAsia"/>
                <w:kern w:val="2"/>
                <w:sz w:val="21"/>
                <w:szCs w:val="21"/>
                <w:highlight w:val="none"/>
              </w:rPr>
              <w:t>最大占标率（%）</w:t>
            </w:r>
          </w:p>
        </w:tc>
        <w:tc>
          <w:tcPr>
            <w:tcW w:w="893" w:type="pct"/>
            <w:gridSpan w:val="2"/>
            <w:tcBorders>
              <w:tl2br w:val="nil"/>
              <w:tr2bl w:val="nil"/>
            </w:tcBorders>
            <w:tcMar>
              <w:left w:w="28" w:type="dxa"/>
              <w:right w:w="28" w:type="dxa"/>
            </w:tcMar>
            <w:vAlign w:val="center"/>
          </w:tcPr>
          <w:p>
            <w:pPr>
              <w:pStyle w:val="42"/>
              <w:ind w:firstLine="0" w:firstLineChars="0"/>
              <w:rPr>
                <w:rFonts w:hint="default" w:eastAsia="宋体"/>
                <w:kern w:val="2"/>
                <w:sz w:val="21"/>
                <w:szCs w:val="21"/>
                <w:highlight w:val="none"/>
                <w:lang w:val="en-US" w:eastAsia="zh-CN"/>
              </w:rPr>
            </w:pPr>
            <w:r>
              <w:rPr>
                <w:rFonts w:hint="eastAsia"/>
                <w:kern w:val="2"/>
                <w:sz w:val="21"/>
                <w:szCs w:val="21"/>
                <w:highlight w:val="none"/>
                <w:lang w:val="en-US" w:eastAsia="zh-CN"/>
              </w:rPr>
              <w:t>1.17</w:t>
            </w:r>
          </w:p>
        </w:tc>
        <w:tc>
          <w:tcPr>
            <w:tcW w:w="644" w:type="pct"/>
            <w:tcBorders>
              <w:tl2br w:val="nil"/>
              <w:tr2bl w:val="nil"/>
            </w:tcBorders>
            <w:vAlign w:val="center"/>
          </w:tcPr>
          <w:p>
            <w:pPr>
              <w:pStyle w:val="42"/>
              <w:ind w:firstLine="0" w:firstLineChars="0"/>
              <w:rPr>
                <w:kern w:val="2"/>
                <w:sz w:val="21"/>
                <w:szCs w:val="21"/>
                <w:highlight w:val="none"/>
              </w:rPr>
            </w:pPr>
            <w:r>
              <w:rPr>
                <w:rFonts w:hint="eastAsia"/>
                <w:kern w:val="2"/>
                <w:sz w:val="21"/>
                <w:szCs w:val="21"/>
                <w:highlight w:val="none"/>
              </w:rPr>
              <w:t>最大占标率（%）</w:t>
            </w:r>
          </w:p>
        </w:tc>
        <w:tc>
          <w:tcPr>
            <w:tcW w:w="1126" w:type="pct"/>
            <w:gridSpan w:val="2"/>
            <w:tcBorders>
              <w:tl2br w:val="nil"/>
              <w:tr2bl w:val="nil"/>
            </w:tcBorders>
            <w:vAlign w:val="center"/>
          </w:tcPr>
          <w:p>
            <w:pPr>
              <w:pStyle w:val="42"/>
              <w:ind w:firstLine="0" w:firstLineChars="0"/>
              <w:rPr>
                <w:rFonts w:hint="default" w:eastAsia="宋体"/>
                <w:kern w:val="2"/>
                <w:sz w:val="21"/>
                <w:szCs w:val="21"/>
                <w:highlight w:val="none"/>
                <w:lang w:val="en-US" w:eastAsia="zh-CN"/>
              </w:rPr>
            </w:pPr>
            <w:r>
              <w:rPr>
                <w:rFonts w:hint="eastAsia"/>
                <w:kern w:val="2"/>
                <w:sz w:val="21"/>
                <w:szCs w:val="21"/>
                <w:highlight w:val="none"/>
                <w:lang w:val="en-US" w:eastAsia="zh-CN"/>
              </w:rPr>
              <w:t>5.92</w:t>
            </w:r>
          </w:p>
        </w:tc>
        <w:tc>
          <w:tcPr>
            <w:tcW w:w="644" w:type="pct"/>
            <w:tcBorders>
              <w:tl2br w:val="nil"/>
              <w:tr2bl w:val="nil"/>
            </w:tcBorders>
            <w:vAlign w:val="center"/>
          </w:tcPr>
          <w:p>
            <w:pPr>
              <w:pStyle w:val="42"/>
              <w:ind w:firstLine="0" w:firstLineChars="0"/>
              <w:rPr>
                <w:kern w:val="2"/>
                <w:sz w:val="21"/>
                <w:szCs w:val="21"/>
                <w:highlight w:val="none"/>
              </w:rPr>
            </w:pPr>
            <w:r>
              <w:rPr>
                <w:rFonts w:hint="eastAsia"/>
                <w:kern w:val="2"/>
                <w:sz w:val="21"/>
                <w:szCs w:val="21"/>
                <w:highlight w:val="none"/>
              </w:rPr>
              <w:t>最大占标率（%）</w:t>
            </w:r>
          </w:p>
        </w:tc>
        <w:tc>
          <w:tcPr>
            <w:tcW w:w="1126" w:type="pct"/>
            <w:gridSpan w:val="2"/>
            <w:tcBorders>
              <w:tl2br w:val="nil"/>
              <w:tr2bl w:val="nil"/>
            </w:tcBorders>
            <w:vAlign w:val="center"/>
          </w:tcPr>
          <w:p>
            <w:pPr>
              <w:pStyle w:val="42"/>
              <w:ind w:firstLine="0" w:firstLineChars="0"/>
              <w:rPr>
                <w:rFonts w:hint="default" w:eastAsia="宋体"/>
                <w:kern w:val="2"/>
                <w:sz w:val="21"/>
                <w:szCs w:val="21"/>
                <w:highlight w:val="none"/>
                <w:lang w:val="en-US" w:eastAsia="zh-CN"/>
              </w:rPr>
            </w:pPr>
            <w:r>
              <w:rPr>
                <w:rFonts w:hint="eastAsia"/>
                <w:kern w:val="2"/>
                <w:sz w:val="21"/>
                <w:szCs w:val="21"/>
                <w:highlight w:val="none"/>
                <w:lang w:val="en-US" w:eastAsia="zh-CN"/>
              </w:rPr>
              <w:t>8.87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pct"/>
            <w:tcBorders>
              <w:tl2br w:val="nil"/>
              <w:tr2bl w:val="nil"/>
            </w:tcBorders>
            <w:tcMar>
              <w:left w:w="28" w:type="dxa"/>
              <w:right w:w="28" w:type="dxa"/>
            </w:tcMar>
            <w:vAlign w:val="center"/>
          </w:tcPr>
          <w:p>
            <w:pPr>
              <w:pStyle w:val="42"/>
              <w:ind w:firstLine="0" w:firstLineChars="0"/>
              <w:rPr>
                <w:kern w:val="2"/>
                <w:sz w:val="21"/>
                <w:szCs w:val="21"/>
                <w:highlight w:val="none"/>
              </w:rPr>
            </w:pPr>
            <w:r>
              <w:rPr>
                <w:rFonts w:hint="eastAsia"/>
                <w:kern w:val="2"/>
                <w:sz w:val="21"/>
                <w:szCs w:val="21"/>
                <w:highlight w:val="none"/>
              </w:rPr>
              <w:t>最大落地浓度（mg/m</w:t>
            </w:r>
            <w:r>
              <w:rPr>
                <w:kern w:val="2"/>
                <w:sz w:val="21"/>
                <w:szCs w:val="21"/>
                <w:highlight w:val="none"/>
                <w:vertAlign w:val="superscript"/>
              </w:rPr>
              <w:t>3</w:t>
            </w:r>
            <w:r>
              <w:rPr>
                <w:rFonts w:hint="eastAsia"/>
                <w:kern w:val="2"/>
                <w:sz w:val="21"/>
                <w:szCs w:val="21"/>
                <w:highlight w:val="none"/>
              </w:rPr>
              <w:t>）</w:t>
            </w:r>
          </w:p>
        </w:tc>
        <w:tc>
          <w:tcPr>
            <w:tcW w:w="893" w:type="pct"/>
            <w:gridSpan w:val="2"/>
            <w:tcBorders>
              <w:tl2br w:val="nil"/>
              <w:tr2bl w:val="nil"/>
            </w:tcBorders>
            <w:tcMar>
              <w:left w:w="28" w:type="dxa"/>
              <w:right w:w="28" w:type="dxa"/>
            </w:tcMar>
            <w:vAlign w:val="center"/>
          </w:tcPr>
          <w:p>
            <w:pPr>
              <w:pStyle w:val="42"/>
              <w:ind w:firstLine="0" w:firstLineChars="0"/>
              <w:rPr>
                <w:kern w:val="2"/>
                <w:sz w:val="21"/>
                <w:szCs w:val="21"/>
                <w:highlight w:val="none"/>
              </w:rPr>
            </w:pPr>
            <w:r>
              <w:rPr>
                <w:rFonts w:hint="eastAsia"/>
                <w:kern w:val="2"/>
                <w:sz w:val="21"/>
                <w:szCs w:val="21"/>
                <w:highlight w:val="none"/>
              </w:rPr>
              <w:t>0.00493</w:t>
            </w:r>
          </w:p>
        </w:tc>
        <w:tc>
          <w:tcPr>
            <w:tcW w:w="644" w:type="pct"/>
            <w:tcBorders>
              <w:tl2br w:val="nil"/>
              <w:tr2bl w:val="nil"/>
            </w:tcBorders>
            <w:vAlign w:val="center"/>
          </w:tcPr>
          <w:p>
            <w:pPr>
              <w:pStyle w:val="42"/>
              <w:ind w:firstLine="0" w:firstLineChars="0"/>
              <w:rPr>
                <w:kern w:val="2"/>
                <w:sz w:val="21"/>
                <w:szCs w:val="21"/>
                <w:highlight w:val="none"/>
              </w:rPr>
            </w:pPr>
            <w:r>
              <w:rPr>
                <w:rFonts w:hint="eastAsia"/>
                <w:kern w:val="2"/>
                <w:sz w:val="21"/>
                <w:szCs w:val="21"/>
                <w:highlight w:val="none"/>
              </w:rPr>
              <w:t>最大落地浓度（mg/m</w:t>
            </w:r>
            <w:r>
              <w:rPr>
                <w:kern w:val="2"/>
                <w:sz w:val="21"/>
                <w:szCs w:val="21"/>
                <w:highlight w:val="none"/>
                <w:vertAlign w:val="superscript"/>
              </w:rPr>
              <w:t>3</w:t>
            </w:r>
            <w:r>
              <w:rPr>
                <w:rFonts w:hint="eastAsia"/>
                <w:kern w:val="2"/>
                <w:sz w:val="21"/>
                <w:szCs w:val="21"/>
                <w:highlight w:val="none"/>
              </w:rPr>
              <w:t>）</w:t>
            </w:r>
          </w:p>
        </w:tc>
        <w:tc>
          <w:tcPr>
            <w:tcW w:w="1126" w:type="pct"/>
            <w:gridSpan w:val="2"/>
            <w:tcBorders>
              <w:tl2br w:val="nil"/>
              <w:tr2bl w:val="nil"/>
            </w:tcBorders>
            <w:vAlign w:val="center"/>
          </w:tcPr>
          <w:p>
            <w:pPr>
              <w:pStyle w:val="42"/>
              <w:ind w:firstLine="0" w:firstLineChars="0"/>
              <w:rPr>
                <w:rFonts w:hint="eastAsia" w:eastAsia="宋体"/>
                <w:kern w:val="2"/>
                <w:sz w:val="21"/>
                <w:szCs w:val="21"/>
                <w:highlight w:val="none"/>
                <w:lang w:eastAsia="zh-CN"/>
              </w:rPr>
            </w:pPr>
            <w:r>
              <w:rPr>
                <w:rFonts w:hint="eastAsia"/>
                <w:kern w:val="2"/>
                <w:sz w:val="21"/>
                <w:szCs w:val="21"/>
                <w:highlight w:val="none"/>
                <w:lang w:val="en-US" w:eastAsia="zh-CN"/>
              </w:rPr>
              <w:t>0.01184</w:t>
            </w:r>
          </w:p>
        </w:tc>
        <w:tc>
          <w:tcPr>
            <w:tcW w:w="644" w:type="pct"/>
            <w:tcBorders>
              <w:tl2br w:val="nil"/>
              <w:tr2bl w:val="nil"/>
            </w:tcBorders>
            <w:vAlign w:val="center"/>
          </w:tcPr>
          <w:p>
            <w:pPr>
              <w:pStyle w:val="42"/>
              <w:ind w:firstLine="0" w:firstLineChars="0"/>
              <w:rPr>
                <w:kern w:val="2"/>
                <w:sz w:val="21"/>
                <w:szCs w:val="21"/>
                <w:highlight w:val="none"/>
              </w:rPr>
            </w:pPr>
            <w:r>
              <w:rPr>
                <w:rFonts w:hint="eastAsia"/>
                <w:kern w:val="2"/>
                <w:sz w:val="21"/>
                <w:szCs w:val="21"/>
                <w:highlight w:val="none"/>
              </w:rPr>
              <w:t>最大落地浓度（mg/m</w:t>
            </w:r>
            <w:r>
              <w:rPr>
                <w:kern w:val="2"/>
                <w:sz w:val="21"/>
                <w:szCs w:val="21"/>
                <w:highlight w:val="none"/>
                <w:vertAlign w:val="superscript"/>
              </w:rPr>
              <w:t>3</w:t>
            </w:r>
            <w:r>
              <w:rPr>
                <w:rFonts w:hint="eastAsia"/>
                <w:kern w:val="2"/>
                <w:sz w:val="21"/>
                <w:szCs w:val="21"/>
                <w:highlight w:val="none"/>
              </w:rPr>
              <w:t>）</w:t>
            </w:r>
          </w:p>
        </w:tc>
        <w:tc>
          <w:tcPr>
            <w:tcW w:w="1126" w:type="pct"/>
            <w:gridSpan w:val="2"/>
            <w:tcBorders>
              <w:tl2br w:val="nil"/>
              <w:tr2bl w:val="nil"/>
            </w:tcBorders>
            <w:vAlign w:val="center"/>
          </w:tcPr>
          <w:p>
            <w:pPr>
              <w:pStyle w:val="42"/>
              <w:ind w:firstLine="0" w:firstLineChars="0"/>
              <w:rPr>
                <w:rFonts w:hint="eastAsia" w:eastAsia="宋体"/>
                <w:kern w:val="2"/>
                <w:sz w:val="21"/>
                <w:szCs w:val="21"/>
                <w:highlight w:val="none"/>
                <w:lang w:eastAsia="zh-CN"/>
              </w:rPr>
            </w:pPr>
            <w:r>
              <w:rPr>
                <w:rFonts w:hint="eastAsia"/>
                <w:kern w:val="2"/>
                <w:sz w:val="21"/>
                <w:szCs w:val="21"/>
                <w:highlight w:val="none"/>
                <w:lang w:val="en-US" w:eastAsia="zh-CN"/>
              </w:rPr>
              <w:t>0.0008867</w:t>
            </w:r>
          </w:p>
        </w:tc>
      </w:tr>
    </w:tbl>
    <w:p>
      <w:pPr>
        <w:ind w:firstLine="480"/>
        <w:rPr>
          <w:rFonts w:hint="eastAsia"/>
          <w:highlight w:val="none"/>
        </w:rPr>
      </w:pPr>
      <w:r>
        <w:rPr>
          <w:rFonts w:hint="eastAsia"/>
          <w:highlight w:val="none"/>
        </w:rPr>
        <w:t>计算结果显示项目无组织PM</w:t>
      </w:r>
      <w:r>
        <w:rPr>
          <w:rFonts w:hint="eastAsia"/>
          <w:highlight w:val="none"/>
          <w:vertAlign w:val="subscript"/>
        </w:rPr>
        <w:t>10</w:t>
      </w:r>
      <w:r>
        <w:rPr>
          <w:rFonts w:hint="eastAsia"/>
          <w:highlight w:val="none"/>
        </w:rPr>
        <w:t>最大落地浓度为0.00493mg/m</w:t>
      </w:r>
      <w:r>
        <w:rPr>
          <w:rFonts w:hint="eastAsia"/>
          <w:highlight w:val="none"/>
          <w:vertAlign w:val="superscript"/>
        </w:rPr>
        <w:t>3</w:t>
      </w:r>
      <w:r>
        <w:rPr>
          <w:rFonts w:hint="eastAsia"/>
          <w:highlight w:val="none"/>
        </w:rPr>
        <w:t>，出现在距离为下风向</w:t>
      </w:r>
      <w:r>
        <w:rPr>
          <w:rFonts w:hint="eastAsia"/>
          <w:highlight w:val="none"/>
          <w:lang w:val="en-US" w:eastAsia="zh-CN"/>
        </w:rPr>
        <w:t>712</w:t>
      </w:r>
      <w:r>
        <w:rPr>
          <w:rFonts w:hint="eastAsia"/>
          <w:highlight w:val="none"/>
        </w:rPr>
        <w:t>m</w:t>
      </w:r>
      <w:r>
        <w:rPr>
          <w:rFonts w:hint="eastAsia"/>
          <w:highlight w:val="none"/>
          <w:lang w:eastAsia="zh-CN"/>
        </w:rPr>
        <w:t>，</w:t>
      </w:r>
      <w:r>
        <w:rPr>
          <w:rFonts w:hint="eastAsia"/>
          <w:highlight w:val="none"/>
        </w:rPr>
        <w:t>满足《环境空气质量标准》（GB3095-2012）中二级标准。无组织</w:t>
      </w:r>
      <w:r>
        <w:rPr>
          <w:rFonts w:hint="eastAsia"/>
          <w:highlight w:val="none"/>
          <w:lang w:val="en-US" w:eastAsia="zh-CN"/>
        </w:rPr>
        <w:t>NH</w:t>
      </w:r>
      <w:r>
        <w:rPr>
          <w:rFonts w:hint="eastAsia"/>
          <w:highlight w:val="none"/>
          <w:vertAlign w:val="subscript"/>
          <w:lang w:val="en-US" w:eastAsia="zh-CN"/>
        </w:rPr>
        <w:t>3</w:t>
      </w:r>
      <w:r>
        <w:rPr>
          <w:rFonts w:hint="eastAsia"/>
          <w:highlight w:val="none"/>
        </w:rPr>
        <w:t>最大落地浓度为</w:t>
      </w:r>
      <w:r>
        <w:rPr>
          <w:rFonts w:hint="eastAsia"/>
          <w:highlight w:val="none"/>
          <w:lang w:val="en-US" w:eastAsia="zh-CN"/>
        </w:rPr>
        <w:t>0.01184</w:t>
      </w:r>
      <w:r>
        <w:rPr>
          <w:rFonts w:hint="eastAsia"/>
          <w:highlight w:val="none"/>
        </w:rPr>
        <w:t>mg/m</w:t>
      </w:r>
      <w:r>
        <w:rPr>
          <w:rFonts w:hint="eastAsia"/>
          <w:highlight w:val="none"/>
          <w:vertAlign w:val="superscript"/>
        </w:rPr>
        <w:t>3</w:t>
      </w:r>
      <w:r>
        <w:rPr>
          <w:rFonts w:hint="eastAsia"/>
          <w:highlight w:val="none"/>
        </w:rPr>
        <w:t>，出现在距离为下风向</w:t>
      </w:r>
      <w:r>
        <w:rPr>
          <w:rFonts w:hint="eastAsia"/>
          <w:highlight w:val="none"/>
          <w:lang w:val="en-US" w:eastAsia="zh-CN"/>
        </w:rPr>
        <w:t>712</w:t>
      </w:r>
      <w:r>
        <w:rPr>
          <w:rFonts w:hint="eastAsia"/>
          <w:highlight w:val="none"/>
        </w:rPr>
        <w:t>m</w:t>
      </w:r>
      <w:r>
        <w:rPr>
          <w:rFonts w:hint="eastAsia"/>
          <w:highlight w:val="none"/>
          <w:lang w:eastAsia="zh-CN"/>
        </w:rPr>
        <w:t>，满足</w:t>
      </w:r>
      <w:r>
        <w:rPr>
          <w:rFonts w:hint="eastAsia"/>
          <w:highlight w:val="none"/>
        </w:rPr>
        <w:t>《环境影响评级技术导则大气环境》（HJ 2.2-2018）附录D中空气质量浓度限值。无组织</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w:t>
      </w:r>
      <w:r>
        <w:rPr>
          <w:rFonts w:hint="eastAsia"/>
          <w:highlight w:val="none"/>
        </w:rPr>
        <w:t>最大落地浓度为</w:t>
      </w:r>
      <w:r>
        <w:rPr>
          <w:rFonts w:hint="eastAsia"/>
          <w:highlight w:val="none"/>
          <w:lang w:val="en-US" w:eastAsia="zh-CN"/>
        </w:rPr>
        <w:t>0.0008867</w:t>
      </w:r>
      <w:r>
        <w:rPr>
          <w:rFonts w:hint="eastAsia"/>
          <w:highlight w:val="none"/>
        </w:rPr>
        <w:t>mg/m</w:t>
      </w:r>
      <w:r>
        <w:rPr>
          <w:rFonts w:hint="eastAsia"/>
          <w:highlight w:val="none"/>
          <w:vertAlign w:val="superscript"/>
        </w:rPr>
        <w:t>3</w:t>
      </w:r>
      <w:r>
        <w:rPr>
          <w:rFonts w:hint="eastAsia"/>
          <w:highlight w:val="none"/>
        </w:rPr>
        <w:t>，出现在距离为下风向</w:t>
      </w:r>
      <w:r>
        <w:rPr>
          <w:rFonts w:hint="eastAsia"/>
          <w:highlight w:val="none"/>
          <w:lang w:val="en-US" w:eastAsia="zh-CN"/>
        </w:rPr>
        <w:t>712</w:t>
      </w:r>
      <w:r>
        <w:rPr>
          <w:rFonts w:hint="eastAsia"/>
          <w:highlight w:val="none"/>
        </w:rPr>
        <w:t>m</w:t>
      </w:r>
      <w:r>
        <w:rPr>
          <w:rFonts w:hint="eastAsia"/>
          <w:highlight w:val="none"/>
          <w:lang w:eastAsia="zh-CN"/>
        </w:rPr>
        <w:t>，满足</w:t>
      </w:r>
      <w:r>
        <w:rPr>
          <w:rFonts w:hint="eastAsia"/>
          <w:highlight w:val="none"/>
        </w:rPr>
        <w:t>《环境影响评级技术导则大气环境》（HJ 2.2-2018）附录D中空气质量浓度限值。不会对大气环境产生显著影响。</w:t>
      </w:r>
    </w:p>
    <w:p>
      <w:pPr>
        <w:pStyle w:val="8"/>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5</w:t>
      </w:r>
      <w:r>
        <w:rPr>
          <w:highlight w:val="none"/>
        </w:rPr>
        <w:t>评价等级</w:t>
      </w:r>
    </w:p>
    <w:p>
      <w:pPr>
        <w:ind w:firstLine="480"/>
        <w:rPr>
          <w:highlight w:val="none"/>
        </w:rPr>
      </w:pPr>
      <w:r>
        <w:rPr>
          <w:rFonts w:hint="eastAsia"/>
          <w:highlight w:val="none"/>
        </w:rPr>
        <w:t>根据据《环境影响评价技术导则 大气环境》（HJ2.2-2018）中有关大气环境评价等级划分的要求，分别计算每一种污染物的最大地面空气质量浓度占标率及第i个污染物的地面空气质量浓度达标准限值10%时所对应的最远距离来定本项目的大气环境影响评价等级：</w:t>
      </w:r>
    </w:p>
    <w:p>
      <w:pPr>
        <w:snapToGrid w:val="0"/>
        <w:ind w:firstLine="480"/>
        <w:rPr>
          <w:rFonts w:cs="Times New Roman"/>
          <w:highlight w:val="none"/>
        </w:rPr>
      </w:pPr>
      <w:r>
        <w:rPr>
          <w:highlight w:val="none"/>
        </w:rPr>
        <w:pict>
          <v:shape id="_x0000_s2058" o:spid="_x0000_s2058" o:spt="75" type="#_x0000_t75" style="position:absolute;left:0pt;margin-left:34.35pt;margin-top:3.05pt;height:42.5pt;width:100.9pt;z-index:254159872;mso-width-relative:page;mso-height-relative:page;" o:ole="t" filled="f" o:preferrelative="t" stroked="f" coordsize="21600,21600">
            <v:path/>
            <v:fill on="f" focussize="0,0"/>
            <v:stroke on="f" joinstyle="miter"/>
            <v:imagedata r:id="rId14" o:title=""/>
            <o:lock v:ext="edit" aspectratio="t"/>
          </v:shape>
          <o:OLEObject Type="Embed" ProgID="Equation.3" ShapeID="_x0000_s2058" DrawAspect="Content" ObjectID="_1468075732" r:id="rId40">
            <o:LockedField>false</o:LockedField>
          </o:OLEObject>
        </w:pict>
      </w:r>
    </w:p>
    <w:p>
      <w:pPr>
        <w:snapToGrid w:val="0"/>
        <w:ind w:firstLine="480"/>
        <w:rPr>
          <w:rFonts w:cs="Times New Roman"/>
          <w:highlight w:val="none"/>
        </w:rPr>
      </w:pPr>
    </w:p>
    <w:p>
      <w:pPr>
        <w:snapToGrid w:val="0"/>
        <w:ind w:firstLine="480"/>
        <w:rPr>
          <w:rFonts w:cs="Times New Roman"/>
          <w:szCs w:val="28"/>
          <w:highlight w:val="none"/>
        </w:rPr>
      </w:pPr>
      <w:r>
        <w:rPr>
          <w:rFonts w:cs="Times New Roman"/>
          <w:szCs w:val="28"/>
          <w:highlight w:val="none"/>
        </w:rPr>
        <w:t>式中：</w:t>
      </w:r>
    </w:p>
    <w:p>
      <w:pPr>
        <w:snapToGrid w:val="0"/>
        <w:ind w:firstLine="960" w:firstLineChars="400"/>
        <w:rPr>
          <w:rFonts w:cs="Times New Roman"/>
          <w:szCs w:val="28"/>
          <w:highlight w:val="none"/>
        </w:rPr>
      </w:pPr>
      <w:r>
        <w:rPr>
          <w:rFonts w:cs="Times New Roman"/>
          <w:highlight w:val="none"/>
        </w:rPr>
        <w:pict>
          <v:shape id="_x0000_s2059" o:spid="_x0000_s2059" o:spt="75" type="#_x0000_t75" style="position:absolute;left:0pt;margin-left:35.9pt;margin-top:1pt;height:18pt;width:12.45pt;z-index:254158848;mso-width-relative:page;mso-height-relative:page;" o:ole="t" filled="f" o:preferrelative="t" stroked="f" coordsize="21600,21600">
            <v:path/>
            <v:fill on="f" focussize="0,0"/>
            <v:stroke on="f" joinstyle="miter"/>
            <v:imagedata r:id="rId16" o:title=""/>
            <o:lock v:ext="edit" aspectratio="t"/>
          </v:shape>
          <o:OLEObject Type="Embed" ProgID="Equation.3" ShapeID="_x0000_s2059" DrawAspect="Content" ObjectID="_1468075733" r:id="rId41">
            <o:LockedField>false</o:LockedField>
          </o:OLEObject>
        </w:pict>
      </w:r>
      <w:r>
        <w:rPr>
          <w:rFonts w:cs="Times New Roman"/>
          <w:szCs w:val="28"/>
          <w:highlight w:val="none"/>
        </w:rPr>
        <w:t>——</w:t>
      </w:r>
      <w:r>
        <w:rPr>
          <w:rFonts w:hint="eastAsia" w:cs="Times New Roman"/>
          <w:szCs w:val="28"/>
          <w:highlight w:val="none"/>
        </w:rPr>
        <w:t>第i个污染物的最大地面空气质量浓度</w:t>
      </w:r>
      <w:r>
        <w:rPr>
          <w:rFonts w:cs="Times New Roman"/>
          <w:szCs w:val="28"/>
          <w:highlight w:val="none"/>
        </w:rPr>
        <w:t>占标率</w:t>
      </w:r>
      <w:r>
        <w:rPr>
          <w:rFonts w:hint="eastAsia" w:cs="Times New Roman"/>
          <w:szCs w:val="28"/>
          <w:highlight w:val="none"/>
        </w:rPr>
        <w:t>，%</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_x0000_s2060" o:spid="_x0000_s2060" o:spt="75" type="#_x0000_t75" style="position:absolute;left:0pt;margin-left:33.7pt;margin-top:2.1pt;height:18pt;width:14.5pt;z-index:254160896;mso-width-relative:page;mso-height-relative:page;" o:ole="t" filled="f" o:preferrelative="t" stroked="f" coordsize="21600,21600">
            <v:path/>
            <v:fill on="f" focussize="0,0"/>
            <v:stroke on="f" joinstyle="miter"/>
            <v:imagedata r:id="rId18" o:title=""/>
            <o:lock v:ext="edit" aspectratio="t"/>
          </v:shape>
          <o:OLEObject Type="Embed" ProgID="Equation.3" ShapeID="_x0000_s2060" DrawAspect="Content" ObjectID="_1468075734" r:id="rId42">
            <o:LockedField>false</o:LockedField>
          </o:OLEObject>
        </w:pict>
      </w:r>
      <w:r>
        <w:rPr>
          <w:rFonts w:cs="Times New Roman"/>
          <w:szCs w:val="28"/>
          <w:highlight w:val="none"/>
        </w:rPr>
        <w:t>——</w:t>
      </w:r>
      <w:r>
        <w:rPr>
          <w:rFonts w:hint="eastAsia" w:cs="Times New Roman"/>
          <w:szCs w:val="28"/>
          <w:highlight w:val="none"/>
        </w:rPr>
        <w:t>采用估算模型计算出的第i个污染物的最大1h地面空气质量浓度</w:t>
      </w:r>
      <w:r>
        <w:rPr>
          <w:rFonts w:cs="Times New Roman"/>
          <w:szCs w:val="28"/>
          <w:highlight w:val="none"/>
        </w:rPr>
        <w:t>，</w:t>
      </w:r>
      <w:r>
        <w:rPr>
          <w:rFonts w:hint="eastAsia" w:cs="Times New Roman"/>
          <w:szCs w:val="28"/>
          <w:highlight w:val="none"/>
        </w:rPr>
        <w:t>u</w:t>
      </w:r>
      <w:r>
        <w:rPr>
          <w:rFonts w:cs="Times New Roman"/>
          <w:szCs w:val="28"/>
          <w:highlight w:val="none"/>
        </w:rPr>
        <w:t>g/m</w:t>
      </w:r>
      <w:r>
        <w:rPr>
          <w:rFonts w:cs="Times New Roman"/>
          <w:szCs w:val="28"/>
          <w:highlight w:val="none"/>
          <w:vertAlign w:val="superscript"/>
        </w:rPr>
        <w:t>3</w:t>
      </w:r>
      <w:r>
        <w:rPr>
          <w:rFonts w:cs="Times New Roman"/>
          <w:szCs w:val="28"/>
          <w:highlight w:val="none"/>
        </w:rPr>
        <w:t>；</w:t>
      </w:r>
    </w:p>
    <w:p>
      <w:pPr>
        <w:snapToGrid w:val="0"/>
        <w:ind w:firstLine="960" w:firstLineChars="400"/>
        <w:rPr>
          <w:rFonts w:cs="Times New Roman"/>
          <w:szCs w:val="28"/>
          <w:highlight w:val="none"/>
        </w:rPr>
      </w:pPr>
      <w:r>
        <w:rPr>
          <w:rFonts w:cs="Times New Roman"/>
          <w:highlight w:val="none"/>
        </w:rPr>
        <w:pict>
          <v:shape id="_x0000_s2061" o:spid="_x0000_s2061" o:spt="75" type="#_x0000_t75" style="position:absolute;left:0pt;margin-left:31.1pt;margin-top:2.55pt;height:18pt;width:19.75pt;z-index:254161920;mso-width-relative:page;mso-height-relative:page;" o:ole="t" filled="f" o:preferrelative="t" stroked="f" coordsize="21600,21600">
            <v:path/>
            <v:fill on="f" focussize="0,0"/>
            <v:stroke on="f" joinstyle="miter"/>
            <v:imagedata r:id="rId20" o:title=""/>
            <o:lock v:ext="edit" aspectratio="t"/>
          </v:shape>
          <o:OLEObject Type="Embed" ProgID="Equation.3" ShapeID="_x0000_s2061" DrawAspect="Content" ObjectID="_1468075735" r:id="rId43">
            <o:LockedField>false</o:LockedField>
          </o:OLEObject>
        </w:pict>
      </w:r>
      <w:r>
        <w:rPr>
          <w:rFonts w:cs="Times New Roman"/>
          <w:szCs w:val="28"/>
          <w:highlight w:val="none"/>
        </w:rPr>
        <w:t>——</w:t>
      </w:r>
      <w:r>
        <w:rPr>
          <w:rFonts w:hint="eastAsia" w:cs="Times New Roman"/>
          <w:szCs w:val="28"/>
          <w:highlight w:val="none"/>
        </w:rPr>
        <w:t>第i个污染物的环境空气质量浓度标准</w:t>
      </w:r>
      <w:r>
        <w:rPr>
          <w:rFonts w:cs="Times New Roman"/>
          <w:szCs w:val="28"/>
          <w:highlight w:val="none"/>
        </w:rPr>
        <w:t>，</w:t>
      </w:r>
      <w:r>
        <w:rPr>
          <w:rFonts w:hint="eastAsia" w:cs="Times New Roman"/>
          <w:szCs w:val="28"/>
          <w:highlight w:val="none"/>
        </w:rPr>
        <w:t>u</w:t>
      </w:r>
      <w:r>
        <w:rPr>
          <w:rFonts w:cs="Times New Roman"/>
          <w:szCs w:val="28"/>
          <w:highlight w:val="none"/>
        </w:rPr>
        <w:t>g/m</w:t>
      </w:r>
      <w:r>
        <w:rPr>
          <w:rFonts w:cs="Times New Roman"/>
          <w:szCs w:val="28"/>
          <w:highlight w:val="none"/>
          <w:vertAlign w:val="superscript"/>
        </w:rPr>
        <w:t>3</w:t>
      </w:r>
      <w:r>
        <w:rPr>
          <w:rFonts w:cs="Times New Roman"/>
          <w:szCs w:val="28"/>
          <w:highlight w:val="none"/>
        </w:rPr>
        <w:t>。</w:t>
      </w:r>
    </w:p>
    <w:p>
      <w:pPr>
        <w:pStyle w:val="10"/>
        <w:snapToGrid w:val="0"/>
        <w:ind w:firstLine="480"/>
        <w:rPr>
          <w:rFonts w:cs="Times New Roman"/>
          <w:highlight w:val="none"/>
        </w:rPr>
      </w:pPr>
      <w:r>
        <w:rPr>
          <w:rFonts w:cs="Times New Roman"/>
          <w:highlight w:val="none"/>
        </w:rPr>
        <w:t>大气环境影响评价工作等级判断如下表</w:t>
      </w:r>
      <w:r>
        <w:rPr>
          <w:rFonts w:hint="eastAsia" w:cs="Times New Roman"/>
          <w:highlight w:val="none"/>
          <w:lang w:val="en-US" w:eastAsia="zh-CN"/>
        </w:rPr>
        <w:t>4</w:t>
      </w:r>
      <w:r>
        <w:rPr>
          <w:rFonts w:hint="eastAsia" w:cs="Times New Roman"/>
          <w:highlight w:val="none"/>
        </w:rPr>
        <w:t>.2</w:t>
      </w:r>
      <w:r>
        <w:rPr>
          <w:rFonts w:cs="Times New Roman"/>
          <w:highlight w:val="none"/>
        </w:rPr>
        <w:t>-</w:t>
      </w:r>
      <w:r>
        <w:rPr>
          <w:rFonts w:hint="eastAsia" w:cs="Times New Roman"/>
          <w:highlight w:val="none"/>
          <w:lang w:val="en-US" w:eastAsia="zh-CN"/>
        </w:rPr>
        <w:t>14</w:t>
      </w:r>
      <w:r>
        <w:rPr>
          <w:rFonts w:cs="Times New Roman"/>
          <w:highlight w:val="none"/>
        </w:rPr>
        <w:t>所示：</w:t>
      </w:r>
    </w:p>
    <w:p>
      <w:pPr>
        <w:pStyle w:val="40"/>
        <w:rPr>
          <w:rFonts w:hint="eastAsia" w:cs="Times New Roman"/>
          <w:highlight w:val="none"/>
          <w:lang w:val="en-US" w:eastAsia="zh-CN"/>
        </w:rPr>
      </w:pPr>
      <w:r>
        <w:rPr>
          <w:rFonts w:hint="eastAsia" w:cs="Times New Roman"/>
          <w:highlight w:val="none"/>
          <w:lang w:val="en-US" w:eastAsia="zh-CN"/>
        </w:rPr>
        <w:t>表4.2-14大气环境影响评价等级</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5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评价工作等级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c>
          <w:tcPr>
            <w:tcW w:w="349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Pmax＜1%</w:t>
            </w:r>
          </w:p>
        </w:tc>
      </w:tr>
    </w:tbl>
    <w:p>
      <w:pPr>
        <w:ind w:firstLine="480"/>
        <w:rPr>
          <w:rFonts w:cs="Times New Roman"/>
          <w:highlight w:val="none"/>
        </w:rPr>
      </w:pPr>
      <w:r>
        <w:rPr>
          <w:highlight w:val="none"/>
        </w:rPr>
        <w:t>本次采用</w:t>
      </w:r>
      <w:r>
        <w:rPr>
          <w:rFonts w:hint="eastAsia"/>
          <w:highlight w:val="none"/>
        </w:rPr>
        <w:t>AERSCREEN</w:t>
      </w:r>
      <w:r>
        <w:rPr>
          <w:highlight w:val="none"/>
        </w:rPr>
        <w:t>估算模式对项目的废气进行估算。</w:t>
      </w:r>
      <w:r>
        <w:rPr>
          <w:rFonts w:cs="Times New Roman"/>
          <w:highlight w:val="none"/>
        </w:rPr>
        <w:t>具体估算结果如下：</w:t>
      </w:r>
    </w:p>
    <w:p>
      <w:pPr>
        <w:pStyle w:val="40"/>
        <w:rPr>
          <w:rFonts w:hint="eastAsia" w:cs="Times New Roman"/>
          <w:highlight w:val="none"/>
          <w:lang w:val="en-US" w:eastAsia="zh-CN"/>
        </w:rPr>
      </w:pPr>
      <w:r>
        <w:rPr>
          <w:rFonts w:hint="eastAsia" w:cs="Times New Roman"/>
          <w:highlight w:val="none"/>
          <w:lang w:val="en-US" w:eastAsia="zh-CN"/>
        </w:rPr>
        <w:t>表4.2-15 项目废气排放估算结果一览表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914"/>
        <w:gridCol w:w="2059"/>
        <w:gridCol w:w="1377"/>
        <w:gridCol w:w="1800"/>
        <w:gridCol w:w="10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污染源</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最大地面质量浓度（mg/m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81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占标率（Pmax）</w:t>
            </w:r>
          </w:p>
        </w:tc>
        <w:tc>
          <w:tcPr>
            <w:tcW w:w="1063"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最大落地浓度距离（m）</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ascii="Times New Roman" w:hAnsi="Times New Roman"/>
                <w:color w:val="000000"/>
                <w:sz w:val="21"/>
                <w:szCs w:val="21"/>
                <w:highlight w:val="none"/>
              </w:rPr>
              <w:t>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0.00197</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0.44</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93</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2059"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0.00197</w:t>
            </w:r>
          </w:p>
        </w:tc>
        <w:tc>
          <w:tcPr>
            <w:tcW w:w="1377"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0.44</w:t>
            </w:r>
          </w:p>
        </w:tc>
        <w:tc>
          <w:tcPr>
            <w:tcW w:w="1800" w:type="dxa"/>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93</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0.00048</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0.11</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93</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0.000137</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0.03</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275</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0.00123</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0.27</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90</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default"/>
                <w:sz w:val="21"/>
                <w:szCs w:val="21"/>
                <w:highlight w:val="none"/>
                <w:lang w:val="en-US" w:eastAsia="zh-CN"/>
              </w:rPr>
            </w:pPr>
            <w:r>
              <w:rPr>
                <w:rFonts w:hint="default"/>
                <w:sz w:val="21"/>
                <w:szCs w:val="21"/>
                <w:highlight w:val="none"/>
                <w:lang w:val="en-US" w:eastAsia="zh-CN"/>
              </w:rPr>
              <w:t>0.0268</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5.96</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15</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7#排气筒</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0.000543</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0.12</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125</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SO</w:t>
            </w:r>
            <w:r>
              <w:rPr>
                <w:rFonts w:hint="default"/>
                <w:sz w:val="21"/>
                <w:szCs w:val="21"/>
                <w:highlight w:val="none"/>
                <w:vertAlign w:val="subscript"/>
                <w:lang w:val="en-US" w:eastAsia="zh-CN"/>
              </w:rPr>
              <w:t>2</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0.0004</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0.08</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125</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NO</w:t>
            </w:r>
            <w:r>
              <w:rPr>
                <w:rFonts w:hint="default"/>
                <w:sz w:val="21"/>
                <w:szCs w:val="21"/>
                <w:highlight w:val="none"/>
                <w:vertAlign w:val="subscript"/>
                <w:lang w:val="en-US" w:eastAsia="zh-CN"/>
              </w:rPr>
              <w:t>X</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default"/>
                <w:sz w:val="21"/>
                <w:szCs w:val="21"/>
                <w:highlight w:val="none"/>
                <w:lang w:val="en-US" w:eastAsia="zh-CN"/>
              </w:rPr>
              <w:t>0.0036</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1.44</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125</w:t>
            </w:r>
          </w:p>
        </w:tc>
        <w:tc>
          <w:tcPr>
            <w:tcW w:w="624"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540"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无组织PM</w:t>
            </w:r>
            <w:r>
              <w:rPr>
                <w:rFonts w:hint="eastAsia"/>
                <w:sz w:val="21"/>
                <w:szCs w:val="21"/>
                <w:highlight w:val="none"/>
                <w:vertAlign w:val="subscript"/>
                <w:lang w:val="en-US" w:eastAsia="zh-CN"/>
              </w:rPr>
              <w:t>10</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0.00493</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1.17</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712</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无组织NH</w:t>
            </w:r>
            <w:r>
              <w:rPr>
                <w:rFonts w:hint="eastAsia"/>
                <w:sz w:val="21"/>
                <w:szCs w:val="21"/>
                <w:highlight w:val="none"/>
                <w:vertAlign w:val="subscript"/>
                <w:lang w:val="en-US" w:eastAsia="zh-CN"/>
              </w:rPr>
              <w:t>3</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0.01184</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5.92</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712</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pPr>
              <w:spacing w:line="240" w:lineRule="auto"/>
              <w:ind w:firstLine="0" w:firstLineChars="0"/>
              <w:jc w:val="center"/>
              <w:rPr>
                <w:rFonts w:hint="eastAsia"/>
                <w:sz w:val="21"/>
                <w:szCs w:val="21"/>
                <w:highlight w:val="none"/>
                <w:lang w:val="en-US" w:eastAsia="zh-CN"/>
              </w:rPr>
            </w:pPr>
          </w:p>
        </w:tc>
        <w:tc>
          <w:tcPr>
            <w:tcW w:w="540"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无组织H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1216"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0.0008867</w:t>
            </w:r>
          </w:p>
        </w:tc>
        <w:tc>
          <w:tcPr>
            <w:tcW w:w="81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8.87</w:t>
            </w:r>
          </w:p>
        </w:tc>
        <w:tc>
          <w:tcPr>
            <w:tcW w:w="1063" w:type="pct"/>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712</w:t>
            </w:r>
          </w:p>
        </w:tc>
        <w:tc>
          <w:tcPr>
            <w:tcW w:w="624" w:type="pct"/>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二级</w:t>
            </w:r>
          </w:p>
        </w:tc>
      </w:tr>
    </w:tbl>
    <w:p>
      <w:pPr>
        <w:keepNext w:val="0"/>
        <w:keepLines w:val="0"/>
        <w:pageBreakBefore w:val="0"/>
        <w:widowControl/>
        <w:kinsoku/>
        <w:wordWrap/>
        <w:overflowPunct/>
        <w:topLinePunct w:val="0"/>
        <w:autoSpaceDE/>
        <w:autoSpaceDN/>
        <w:bidi w:val="0"/>
        <w:adjustRightInd/>
        <w:snapToGrid/>
        <w:ind w:firstLine="480"/>
        <w:textAlignment w:val="auto"/>
        <w:rPr>
          <w:rFonts w:cs="Times New Roman"/>
          <w:sz w:val="24"/>
          <w:szCs w:val="24"/>
          <w:highlight w:val="none"/>
        </w:rPr>
      </w:pPr>
      <w:r>
        <w:rPr>
          <w:rFonts w:cs="Times New Roman"/>
          <w:sz w:val="24"/>
          <w:szCs w:val="24"/>
          <w:highlight w:val="none"/>
        </w:rPr>
        <w:t>由上表可以看出：</w:t>
      </w:r>
      <w:r>
        <w:rPr>
          <w:rFonts w:hint="eastAsia" w:cs="Times New Roman"/>
          <w:sz w:val="24"/>
          <w:szCs w:val="24"/>
          <w:highlight w:val="none"/>
        </w:rPr>
        <w:t>营运期有组织废气</w:t>
      </w:r>
      <w:r>
        <w:rPr>
          <w:rFonts w:hint="eastAsia"/>
          <w:bCs/>
          <w:sz w:val="24"/>
          <w:szCs w:val="24"/>
          <w:highlight w:val="none"/>
        </w:rPr>
        <w:t>PM</w:t>
      </w:r>
      <w:r>
        <w:rPr>
          <w:rFonts w:hint="eastAsia"/>
          <w:bCs/>
          <w:sz w:val="24"/>
          <w:szCs w:val="24"/>
          <w:highlight w:val="none"/>
          <w:vertAlign w:val="subscript"/>
        </w:rPr>
        <w:t>10</w:t>
      </w:r>
      <w:r>
        <w:rPr>
          <w:rFonts w:hint="eastAsia" w:cs="Times New Roman"/>
          <w:sz w:val="24"/>
          <w:szCs w:val="24"/>
          <w:highlight w:val="none"/>
        </w:rPr>
        <w:t>（1#）</w:t>
      </w:r>
      <w:r>
        <w:rPr>
          <w:rFonts w:cs="Times New Roman"/>
          <w:sz w:val="24"/>
          <w:szCs w:val="24"/>
          <w:highlight w:val="none"/>
        </w:rPr>
        <w:t>、</w:t>
      </w:r>
      <w:r>
        <w:rPr>
          <w:rFonts w:hint="eastAsia"/>
          <w:bCs/>
          <w:sz w:val="24"/>
          <w:szCs w:val="24"/>
          <w:highlight w:val="none"/>
        </w:rPr>
        <w:t>PM</w:t>
      </w:r>
      <w:r>
        <w:rPr>
          <w:rFonts w:hint="eastAsia"/>
          <w:bCs/>
          <w:sz w:val="24"/>
          <w:szCs w:val="24"/>
          <w:highlight w:val="none"/>
          <w:vertAlign w:val="subscript"/>
          <w:lang w:val="en-US" w:eastAsia="zh-CN"/>
        </w:rPr>
        <w:t>10</w:t>
      </w:r>
      <w:r>
        <w:rPr>
          <w:rFonts w:hint="eastAsia" w:cs="Times New Roman"/>
          <w:sz w:val="24"/>
          <w:szCs w:val="24"/>
          <w:highlight w:val="none"/>
        </w:rPr>
        <w:t>（</w:t>
      </w:r>
      <w:r>
        <w:rPr>
          <w:rFonts w:hint="eastAsia" w:cs="Times New Roman"/>
          <w:sz w:val="24"/>
          <w:szCs w:val="24"/>
          <w:highlight w:val="none"/>
          <w:lang w:val="en-US" w:eastAsia="zh-CN"/>
        </w:rPr>
        <w:t>2</w:t>
      </w:r>
      <w:r>
        <w:rPr>
          <w:rFonts w:hint="eastAsia" w:cs="Times New Roman"/>
          <w:sz w:val="24"/>
          <w:szCs w:val="24"/>
          <w:highlight w:val="none"/>
        </w:rPr>
        <w:t>#）</w:t>
      </w:r>
      <w:r>
        <w:rPr>
          <w:rFonts w:cs="Times New Roman"/>
          <w:sz w:val="24"/>
          <w:szCs w:val="24"/>
          <w:highlight w:val="none"/>
        </w:rPr>
        <w:t>、</w:t>
      </w:r>
      <w:r>
        <w:rPr>
          <w:rFonts w:hint="eastAsia"/>
          <w:bCs/>
          <w:sz w:val="24"/>
          <w:szCs w:val="24"/>
          <w:highlight w:val="none"/>
        </w:rPr>
        <w:t>PM</w:t>
      </w:r>
      <w:r>
        <w:rPr>
          <w:rFonts w:hint="eastAsia"/>
          <w:bCs/>
          <w:sz w:val="24"/>
          <w:szCs w:val="24"/>
          <w:highlight w:val="none"/>
          <w:vertAlign w:val="subscript"/>
          <w:lang w:val="en-US" w:eastAsia="zh-CN"/>
        </w:rPr>
        <w:t>10</w:t>
      </w:r>
      <w:r>
        <w:rPr>
          <w:rFonts w:hint="eastAsia" w:cs="Times New Roman"/>
          <w:sz w:val="24"/>
          <w:szCs w:val="24"/>
          <w:highlight w:val="none"/>
        </w:rPr>
        <w:t>（</w:t>
      </w:r>
      <w:r>
        <w:rPr>
          <w:rFonts w:hint="eastAsia" w:cs="Times New Roman"/>
          <w:sz w:val="24"/>
          <w:szCs w:val="24"/>
          <w:highlight w:val="none"/>
          <w:lang w:val="en-US" w:eastAsia="zh-CN"/>
        </w:rPr>
        <w:t>3</w:t>
      </w:r>
      <w:r>
        <w:rPr>
          <w:rFonts w:hint="eastAsia" w:cs="Times New Roman"/>
          <w:sz w:val="24"/>
          <w:szCs w:val="24"/>
          <w:highlight w:val="none"/>
        </w:rPr>
        <w:t>#）、</w:t>
      </w:r>
      <w:r>
        <w:rPr>
          <w:rFonts w:hint="eastAsia"/>
          <w:bCs/>
          <w:sz w:val="24"/>
          <w:szCs w:val="24"/>
          <w:highlight w:val="none"/>
        </w:rPr>
        <w:t>PM</w:t>
      </w:r>
      <w:r>
        <w:rPr>
          <w:rFonts w:hint="eastAsia"/>
          <w:bCs/>
          <w:sz w:val="24"/>
          <w:szCs w:val="24"/>
          <w:highlight w:val="none"/>
          <w:vertAlign w:val="subscript"/>
          <w:lang w:val="en-US" w:eastAsia="zh-CN"/>
        </w:rPr>
        <w:t>10</w:t>
      </w:r>
      <w:r>
        <w:rPr>
          <w:rFonts w:hint="eastAsia" w:cs="Times New Roman"/>
          <w:sz w:val="24"/>
          <w:szCs w:val="24"/>
          <w:highlight w:val="none"/>
        </w:rPr>
        <w:t>（</w:t>
      </w:r>
      <w:r>
        <w:rPr>
          <w:rFonts w:hint="eastAsia" w:cs="Times New Roman"/>
          <w:sz w:val="24"/>
          <w:szCs w:val="24"/>
          <w:highlight w:val="none"/>
          <w:lang w:val="en-US" w:eastAsia="zh-CN"/>
        </w:rPr>
        <w:t>4</w:t>
      </w:r>
      <w:r>
        <w:rPr>
          <w:rFonts w:hint="eastAsia" w:cs="Times New Roman"/>
          <w:sz w:val="24"/>
          <w:szCs w:val="24"/>
          <w:highlight w:val="none"/>
        </w:rPr>
        <w:t>#）、</w:t>
      </w:r>
      <w:r>
        <w:rPr>
          <w:rFonts w:hint="eastAsia"/>
          <w:bCs/>
          <w:sz w:val="24"/>
          <w:szCs w:val="24"/>
          <w:highlight w:val="none"/>
        </w:rPr>
        <w:t>PM</w:t>
      </w:r>
      <w:r>
        <w:rPr>
          <w:rFonts w:hint="eastAsia"/>
          <w:bCs/>
          <w:sz w:val="24"/>
          <w:szCs w:val="24"/>
          <w:highlight w:val="none"/>
          <w:vertAlign w:val="subscript"/>
        </w:rPr>
        <w:t>10</w:t>
      </w:r>
      <w:r>
        <w:rPr>
          <w:rFonts w:hint="eastAsia" w:cs="Times New Roman"/>
          <w:sz w:val="24"/>
          <w:szCs w:val="24"/>
          <w:highlight w:val="none"/>
        </w:rPr>
        <w:t>（</w:t>
      </w:r>
      <w:r>
        <w:rPr>
          <w:rFonts w:hint="eastAsia" w:cs="Times New Roman"/>
          <w:sz w:val="24"/>
          <w:szCs w:val="24"/>
          <w:highlight w:val="none"/>
          <w:lang w:val="en-US" w:eastAsia="zh-CN"/>
        </w:rPr>
        <w:t>5</w:t>
      </w:r>
      <w:r>
        <w:rPr>
          <w:rFonts w:hint="eastAsia" w:cs="Times New Roman"/>
          <w:sz w:val="24"/>
          <w:szCs w:val="24"/>
          <w:highlight w:val="none"/>
        </w:rPr>
        <w:t>#）、</w:t>
      </w:r>
      <w:r>
        <w:rPr>
          <w:rFonts w:hint="eastAsia"/>
          <w:bCs/>
          <w:sz w:val="24"/>
          <w:szCs w:val="24"/>
          <w:highlight w:val="none"/>
        </w:rPr>
        <w:t>PM</w:t>
      </w:r>
      <w:r>
        <w:rPr>
          <w:rFonts w:hint="eastAsia"/>
          <w:bCs/>
          <w:sz w:val="24"/>
          <w:szCs w:val="24"/>
          <w:highlight w:val="none"/>
          <w:vertAlign w:val="subscript"/>
          <w:lang w:val="en-US" w:eastAsia="zh-CN"/>
        </w:rPr>
        <w:t>10</w:t>
      </w:r>
      <w:r>
        <w:rPr>
          <w:rFonts w:hint="eastAsia" w:cs="Times New Roman"/>
          <w:sz w:val="24"/>
          <w:szCs w:val="24"/>
          <w:highlight w:val="none"/>
        </w:rPr>
        <w:t>（</w:t>
      </w:r>
      <w:r>
        <w:rPr>
          <w:rFonts w:hint="eastAsia" w:cs="Times New Roman"/>
          <w:sz w:val="24"/>
          <w:szCs w:val="24"/>
          <w:highlight w:val="none"/>
          <w:lang w:val="en-US" w:eastAsia="zh-CN"/>
        </w:rPr>
        <w:t>6</w:t>
      </w:r>
      <w:r>
        <w:rPr>
          <w:rFonts w:hint="eastAsia" w:cs="Times New Roman"/>
          <w:sz w:val="24"/>
          <w:szCs w:val="24"/>
          <w:highlight w:val="none"/>
        </w:rPr>
        <w:t>#）</w:t>
      </w:r>
      <w:r>
        <w:rPr>
          <w:rFonts w:hint="eastAsia" w:cs="Times New Roman"/>
          <w:sz w:val="24"/>
          <w:szCs w:val="24"/>
          <w:highlight w:val="none"/>
          <w:lang w:eastAsia="zh-CN"/>
        </w:rPr>
        <w:t>、</w:t>
      </w:r>
      <w:r>
        <w:rPr>
          <w:rFonts w:hint="eastAsia"/>
          <w:bCs/>
          <w:sz w:val="24"/>
          <w:szCs w:val="24"/>
          <w:highlight w:val="none"/>
        </w:rPr>
        <w:t>PM</w:t>
      </w:r>
      <w:r>
        <w:rPr>
          <w:rFonts w:hint="eastAsia"/>
          <w:bCs/>
          <w:sz w:val="24"/>
          <w:szCs w:val="24"/>
          <w:highlight w:val="none"/>
          <w:vertAlign w:val="subscript"/>
          <w:lang w:val="en-US" w:eastAsia="zh-CN"/>
        </w:rPr>
        <w:t>10</w:t>
      </w:r>
      <w:r>
        <w:rPr>
          <w:rFonts w:hint="eastAsia" w:cs="Times New Roman"/>
          <w:sz w:val="24"/>
          <w:szCs w:val="24"/>
          <w:highlight w:val="none"/>
        </w:rPr>
        <w:t>（</w:t>
      </w:r>
      <w:r>
        <w:rPr>
          <w:rFonts w:hint="eastAsia" w:cs="Times New Roman"/>
          <w:sz w:val="24"/>
          <w:szCs w:val="24"/>
          <w:highlight w:val="none"/>
          <w:lang w:val="en-US" w:eastAsia="zh-CN"/>
        </w:rPr>
        <w:t>7</w:t>
      </w:r>
      <w:r>
        <w:rPr>
          <w:rFonts w:hint="eastAsia" w:cs="Times New Roman"/>
          <w:sz w:val="24"/>
          <w:szCs w:val="24"/>
          <w:highlight w:val="none"/>
        </w:rPr>
        <w:t>#）</w:t>
      </w:r>
      <w:r>
        <w:rPr>
          <w:rFonts w:cs="Times New Roman"/>
          <w:sz w:val="24"/>
          <w:szCs w:val="24"/>
          <w:highlight w:val="none"/>
        </w:rPr>
        <w:t>最大浓度贡献值</w:t>
      </w:r>
      <w:r>
        <w:rPr>
          <w:rFonts w:hint="eastAsia" w:cs="Times New Roman"/>
          <w:sz w:val="24"/>
          <w:szCs w:val="24"/>
          <w:highlight w:val="none"/>
        </w:rPr>
        <w:t>分别</w:t>
      </w:r>
      <w:r>
        <w:rPr>
          <w:rFonts w:cs="Times New Roman"/>
          <w:sz w:val="24"/>
          <w:szCs w:val="24"/>
          <w:highlight w:val="none"/>
        </w:rPr>
        <w:t>出现在</w:t>
      </w:r>
      <w:r>
        <w:rPr>
          <w:rFonts w:hint="eastAsia" w:cs="Times New Roman"/>
          <w:sz w:val="24"/>
          <w:szCs w:val="24"/>
          <w:highlight w:val="none"/>
          <w:lang w:val="en-US" w:eastAsia="zh-CN"/>
        </w:rPr>
        <w:t>93</w:t>
      </w:r>
      <w:r>
        <w:rPr>
          <w:rFonts w:hint="eastAsia" w:cs="Times New Roman"/>
          <w:sz w:val="24"/>
          <w:szCs w:val="24"/>
          <w:highlight w:val="none"/>
        </w:rPr>
        <w:t>、</w:t>
      </w:r>
      <w:r>
        <w:rPr>
          <w:rFonts w:hint="eastAsia" w:cs="Times New Roman"/>
          <w:sz w:val="24"/>
          <w:szCs w:val="24"/>
          <w:highlight w:val="none"/>
          <w:lang w:val="en-US" w:eastAsia="zh-CN"/>
        </w:rPr>
        <w:t>93</w:t>
      </w:r>
      <w:r>
        <w:rPr>
          <w:rFonts w:hint="eastAsia" w:cs="Times New Roman"/>
          <w:sz w:val="24"/>
          <w:szCs w:val="24"/>
          <w:highlight w:val="none"/>
        </w:rPr>
        <w:t>、</w:t>
      </w:r>
      <w:r>
        <w:rPr>
          <w:rFonts w:hint="eastAsia" w:cs="Times New Roman"/>
          <w:sz w:val="24"/>
          <w:szCs w:val="24"/>
          <w:highlight w:val="none"/>
          <w:lang w:val="en-US" w:eastAsia="zh-CN"/>
        </w:rPr>
        <w:t>93</w:t>
      </w:r>
      <w:r>
        <w:rPr>
          <w:rFonts w:hint="eastAsia" w:cs="Times New Roman"/>
          <w:sz w:val="24"/>
          <w:szCs w:val="24"/>
          <w:highlight w:val="none"/>
        </w:rPr>
        <w:t>、2</w:t>
      </w:r>
      <w:r>
        <w:rPr>
          <w:rFonts w:hint="eastAsia" w:cs="Times New Roman"/>
          <w:sz w:val="24"/>
          <w:szCs w:val="24"/>
          <w:highlight w:val="none"/>
          <w:lang w:val="en-US" w:eastAsia="zh-CN"/>
        </w:rPr>
        <w:t>92</w:t>
      </w:r>
      <w:r>
        <w:rPr>
          <w:rFonts w:hint="eastAsia" w:cs="Times New Roman"/>
          <w:sz w:val="24"/>
          <w:szCs w:val="24"/>
          <w:highlight w:val="none"/>
        </w:rPr>
        <w:t>、</w:t>
      </w:r>
      <w:r>
        <w:rPr>
          <w:rFonts w:hint="eastAsia" w:cs="Times New Roman"/>
          <w:sz w:val="24"/>
          <w:szCs w:val="24"/>
          <w:highlight w:val="none"/>
          <w:lang w:val="en-US" w:eastAsia="zh-CN"/>
        </w:rPr>
        <w:t>90</w:t>
      </w:r>
      <w:r>
        <w:rPr>
          <w:rFonts w:hint="eastAsia" w:cs="Times New Roman"/>
          <w:sz w:val="24"/>
          <w:szCs w:val="24"/>
          <w:highlight w:val="none"/>
        </w:rPr>
        <w:t>、</w:t>
      </w:r>
      <w:r>
        <w:rPr>
          <w:rFonts w:hint="eastAsia" w:cs="Times New Roman"/>
          <w:sz w:val="24"/>
          <w:szCs w:val="24"/>
          <w:highlight w:val="none"/>
          <w:lang w:val="en-US" w:eastAsia="zh-CN"/>
        </w:rPr>
        <w:t>1</w:t>
      </w:r>
      <w:r>
        <w:rPr>
          <w:rFonts w:hint="eastAsia" w:cs="Times New Roman"/>
          <w:sz w:val="24"/>
          <w:szCs w:val="24"/>
          <w:highlight w:val="none"/>
        </w:rPr>
        <w:t>5</w:t>
      </w:r>
      <w:r>
        <w:rPr>
          <w:rFonts w:hint="eastAsia" w:cs="Times New Roman"/>
          <w:sz w:val="24"/>
          <w:szCs w:val="24"/>
          <w:highlight w:val="none"/>
          <w:lang w:eastAsia="zh-CN"/>
        </w:rPr>
        <w:t>、</w:t>
      </w:r>
      <w:r>
        <w:rPr>
          <w:rFonts w:hint="eastAsia" w:cs="Times New Roman"/>
          <w:sz w:val="24"/>
          <w:szCs w:val="24"/>
          <w:highlight w:val="none"/>
          <w:lang w:val="en-US" w:eastAsia="zh-CN"/>
        </w:rPr>
        <w:t>120</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sz w:val="24"/>
          <w:szCs w:val="24"/>
          <w:highlight w:val="none"/>
          <w:lang w:val="en-US" w:eastAsia="zh-CN"/>
        </w:rPr>
        <w:t>0.00103</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0.00103</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hint="eastAsia"/>
          <w:sz w:val="24"/>
          <w:szCs w:val="24"/>
          <w:highlight w:val="none"/>
          <w:lang w:val="en-US" w:eastAsia="zh-CN"/>
        </w:rPr>
        <w:t>0.000247</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0.0000687</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hint="eastAsia"/>
          <w:sz w:val="24"/>
          <w:szCs w:val="24"/>
          <w:highlight w:val="none"/>
          <w:lang w:val="en-US" w:eastAsia="zh-CN"/>
        </w:rPr>
        <w:t>0.000256</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hint="eastAsia"/>
          <w:sz w:val="24"/>
          <w:szCs w:val="24"/>
          <w:highlight w:val="none"/>
          <w:lang w:val="en-US" w:eastAsia="zh-CN"/>
        </w:rPr>
        <w:t>0.0141</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vertAlign w:val="baseline"/>
          <w:lang w:eastAsia="zh-CN"/>
        </w:rPr>
        <w:t>、</w:t>
      </w:r>
      <w:r>
        <w:rPr>
          <w:rFonts w:hint="eastAsia"/>
          <w:sz w:val="24"/>
          <w:szCs w:val="24"/>
          <w:highlight w:val="none"/>
          <w:lang w:val="en-US" w:eastAsia="zh-CN"/>
        </w:rPr>
        <w:t>0.000274</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0.24</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24</w:t>
      </w:r>
      <w:r>
        <w:rPr>
          <w:rFonts w:hint="eastAsia" w:cs="Times New Roman"/>
          <w:sz w:val="24"/>
          <w:szCs w:val="24"/>
          <w:highlight w:val="none"/>
        </w:rPr>
        <w:t>%、0.06</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0</w:t>
      </w:r>
      <w:r>
        <w:rPr>
          <w:rFonts w:hint="eastAsia" w:cs="Times New Roman"/>
          <w:sz w:val="24"/>
          <w:szCs w:val="24"/>
          <w:highlight w:val="none"/>
        </w:rPr>
        <w:t>2%、0.</w:t>
      </w:r>
      <w:r>
        <w:rPr>
          <w:rFonts w:hint="eastAsia" w:cs="Times New Roman"/>
          <w:sz w:val="24"/>
          <w:szCs w:val="24"/>
          <w:highlight w:val="none"/>
          <w:lang w:val="en-US" w:eastAsia="zh-CN"/>
        </w:rPr>
        <w:t>06</w:t>
      </w:r>
      <w:r>
        <w:rPr>
          <w:rFonts w:hint="eastAsia" w:cs="Times New Roman"/>
          <w:sz w:val="24"/>
          <w:szCs w:val="24"/>
          <w:highlight w:val="none"/>
        </w:rPr>
        <w:t>%、</w:t>
      </w:r>
      <w:r>
        <w:rPr>
          <w:rFonts w:hint="eastAsia" w:cs="Times New Roman"/>
          <w:sz w:val="24"/>
          <w:szCs w:val="24"/>
          <w:highlight w:val="none"/>
          <w:lang w:val="en-US" w:eastAsia="zh-CN"/>
        </w:rPr>
        <w:t>3.35</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lang w:val="en-US" w:eastAsia="zh-CN"/>
        </w:rPr>
        <w:t>0.07%</w:t>
      </w:r>
      <w:r>
        <w:rPr>
          <w:rFonts w:hint="eastAsia" w:cs="Times New Roman"/>
          <w:sz w:val="24"/>
          <w:szCs w:val="24"/>
          <w:highlight w:val="none"/>
        </w:rPr>
        <w:t>。有组织废气</w:t>
      </w:r>
      <w:r>
        <w:rPr>
          <w:rFonts w:hint="eastAsia"/>
          <w:bCs/>
          <w:sz w:val="24"/>
          <w:szCs w:val="24"/>
          <w:highlight w:val="none"/>
          <w:lang w:val="en-US" w:eastAsia="zh-CN"/>
        </w:rPr>
        <w:t>SO</w:t>
      </w:r>
      <w:r>
        <w:rPr>
          <w:rFonts w:hint="eastAsia"/>
          <w:bCs/>
          <w:sz w:val="24"/>
          <w:szCs w:val="24"/>
          <w:highlight w:val="none"/>
          <w:vertAlign w:val="subscript"/>
          <w:lang w:val="en-US" w:eastAsia="zh-CN"/>
        </w:rPr>
        <w:t>2</w:t>
      </w:r>
      <w:r>
        <w:rPr>
          <w:rFonts w:hint="eastAsia" w:cs="Times New Roman"/>
          <w:sz w:val="24"/>
          <w:szCs w:val="24"/>
          <w:highlight w:val="none"/>
        </w:rPr>
        <w:t>（</w:t>
      </w:r>
      <w:r>
        <w:rPr>
          <w:rFonts w:hint="eastAsia" w:cs="Times New Roman"/>
          <w:sz w:val="24"/>
          <w:szCs w:val="24"/>
          <w:highlight w:val="none"/>
          <w:lang w:val="en-US" w:eastAsia="zh-CN"/>
        </w:rPr>
        <w:t>7</w:t>
      </w:r>
      <w:r>
        <w:rPr>
          <w:rFonts w:hint="eastAsia" w:cs="Times New Roman"/>
          <w:sz w:val="24"/>
          <w:szCs w:val="24"/>
          <w:highlight w:val="none"/>
        </w:rPr>
        <w:t>#）</w:t>
      </w:r>
      <w:r>
        <w:rPr>
          <w:rFonts w:cs="Times New Roman"/>
          <w:sz w:val="24"/>
          <w:szCs w:val="24"/>
          <w:highlight w:val="none"/>
        </w:rPr>
        <w:t>、</w:t>
      </w:r>
      <w:r>
        <w:rPr>
          <w:rFonts w:hint="eastAsia"/>
          <w:bCs/>
          <w:sz w:val="24"/>
          <w:szCs w:val="24"/>
          <w:highlight w:val="none"/>
          <w:lang w:val="en-US" w:eastAsia="zh-CN"/>
        </w:rPr>
        <w:t>NO</w:t>
      </w:r>
      <w:r>
        <w:rPr>
          <w:rFonts w:hint="eastAsia"/>
          <w:bCs/>
          <w:sz w:val="24"/>
          <w:szCs w:val="24"/>
          <w:highlight w:val="none"/>
          <w:vertAlign w:val="subscript"/>
          <w:lang w:val="en-US" w:eastAsia="zh-CN"/>
        </w:rPr>
        <w:t>X</w:t>
      </w:r>
      <w:r>
        <w:rPr>
          <w:rFonts w:hint="eastAsia" w:cs="Times New Roman"/>
          <w:sz w:val="24"/>
          <w:szCs w:val="24"/>
          <w:highlight w:val="none"/>
        </w:rPr>
        <w:t>（</w:t>
      </w:r>
      <w:r>
        <w:rPr>
          <w:rFonts w:hint="eastAsia" w:cs="Times New Roman"/>
          <w:sz w:val="24"/>
          <w:szCs w:val="24"/>
          <w:highlight w:val="none"/>
          <w:lang w:val="en-US" w:eastAsia="zh-CN"/>
        </w:rPr>
        <w:t>7</w:t>
      </w:r>
      <w:r>
        <w:rPr>
          <w:rFonts w:hint="eastAsia" w:cs="Times New Roman"/>
          <w:sz w:val="24"/>
          <w:szCs w:val="24"/>
          <w:highlight w:val="none"/>
        </w:rPr>
        <w:t>#）</w:t>
      </w:r>
      <w:r>
        <w:rPr>
          <w:rFonts w:cs="Times New Roman"/>
          <w:sz w:val="24"/>
          <w:szCs w:val="24"/>
          <w:highlight w:val="none"/>
        </w:rPr>
        <w:t>最大浓度贡献值</w:t>
      </w:r>
      <w:r>
        <w:rPr>
          <w:rFonts w:hint="eastAsia" w:cs="Times New Roman"/>
          <w:sz w:val="24"/>
          <w:szCs w:val="24"/>
          <w:highlight w:val="none"/>
        </w:rPr>
        <w:t>分别</w:t>
      </w:r>
      <w:r>
        <w:rPr>
          <w:rFonts w:cs="Times New Roman"/>
          <w:sz w:val="24"/>
          <w:szCs w:val="24"/>
          <w:highlight w:val="none"/>
        </w:rPr>
        <w:t>出现在</w:t>
      </w:r>
      <w:r>
        <w:rPr>
          <w:rFonts w:hint="eastAsia" w:cs="Times New Roman"/>
          <w:sz w:val="24"/>
          <w:szCs w:val="24"/>
          <w:highlight w:val="none"/>
          <w:lang w:val="en-US" w:eastAsia="zh-CN"/>
        </w:rPr>
        <w:t>120</w:t>
      </w:r>
      <w:r>
        <w:rPr>
          <w:rFonts w:hint="eastAsia" w:cs="Times New Roman"/>
          <w:sz w:val="24"/>
          <w:szCs w:val="24"/>
          <w:highlight w:val="none"/>
        </w:rPr>
        <w:t>、</w:t>
      </w:r>
      <w:r>
        <w:rPr>
          <w:rFonts w:hint="eastAsia" w:cs="Times New Roman"/>
          <w:sz w:val="24"/>
          <w:szCs w:val="24"/>
          <w:highlight w:val="none"/>
          <w:lang w:val="en-US" w:eastAsia="zh-CN"/>
        </w:rPr>
        <w:t>120</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sz w:val="24"/>
          <w:szCs w:val="24"/>
          <w:highlight w:val="none"/>
          <w:lang w:val="en-US" w:eastAsia="zh-CN"/>
        </w:rPr>
        <w:t>0.000657</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0.00205</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0.13</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82</w:t>
      </w:r>
      <w:r>
        <w:rPr>
          <w:rFonts w:hint="eastAsia" w:cs="Times New Roman"/>
          <w:sz w:val="24"/>
          <w:szCs w:val="24"/>
          <w:highlight w:val="none"/>
        </w:rPr>
        <w:t>%</w:t>
      </w:r>
      <w:r>
        <w:rPr>
          <w:rFonts w:hint="eastAsia" w:cs="Times New Roman"/>
          <w:sz w:val="24"/>
          <w:szCs w:val="24"/>
          <w:highlight w:val="none"/>
          <w:lang w:eastAsia="zh-CN"/>
        </w:rPr>
        <w:t>。</w:t>
      </w:r>
      <w:r>
        <w:rPr>
          <w:rFonts w:hint="eastAsia" w:cs="Times New Roman"/>
          <w:sz w:val="24"/>
          <w:szCs w:val="24"/>
          <w:highlight w:val="none"/>
        </w:rPr>
        <w:t>无组织废气</w:t>
      </w:r>
      <w:r>
        <w:rPr>
          <w:rFonts w:hint="eastAsia"/>
          <w:bCs/>
          <w:sz w:val="24"/>
          <w:szCs w:val="24"/>
          <w:highlight w:val="none"/>
        </w:rPr>
        <w:t>PM</w:t>
      </w:r>
      <w:r>
        <w:rPr>
          <w:rFonts w:hint="eastAsia"/>
          <w:bCs/>
          <w:sz w:val="24"/>
          <w:szCs w:val="24"/>
          <w:highlight w:val="none"/>
          <w:vertAlign w:val="subscript"/>
        </w:rPr>
        <w:t>10</w:t>
      </w:r>
      <w:r>
        <w:rPr>
          <w:rFonts w:cs="Times New Roman"/>
          <w:sz w:val="24"/>
          <w:szCs w:val="24"/>
          <w:highlight w:val="none"/>
        </w:rPr>
        <w:t>、</w:t>
      </w:r>
      <w:r>
        <w:rPr>
          <w:rFonts w:hint="eastAsia"/>
          <w:bCs/>
          <w:sz w:val="24"/>
          <w:szCs w:val="24"/>
          <w:highlight w:val="none"/>
          <w:lang w:val="en-US" w:eastAsia="zh-CN"/>
        </w:rPr>
        <w:t>NH</w:t>
      </w:r>
      <w:r>
        <w:rPr>
          <w:rFonts w:hint="eastAsia"/>
          <w:bCs/>
          <w:sz w:val="24"/>
          <w:szCs w:val="24"/>
          <w:highlight w:val="none"/>
          <w:vertAlign w:val="subscript"/>
          <w:lang w:val="en-US" w:eastAsia="zh-CN"/>
        </w:rPr>
        <w:t>3</w:t>
      </w:r>
      <w:r>
        <w:rPr>
          <w:rFonts w:hint="eastAsia"/>
          <w:bCs/>
          <w:sz w:val="24"/>
          <w:szCs w:val="24"/>
          <w:highlight w:val="none"/>
        </w:rPr>
        <w:t>、</w:t>
      </w:r>
      <w:r>
        <w:rPr>
          <w:rFonts w:hint="eastAsia" w:cs="Times New Roman"/>
          <w:sz w:val="24"/>
          <w:szCs w:val="24"/>
          <w:highlight w:val="none"/>
          <w:lang w:val="en-US" w:eastAsia="zh-CN"/>
        </w:rPr>
        <w:t>H</w:t>
      </w:r>
      <w:r>
        <w:rPr>
          <w:rFonts w:hint="eastAsia" w:cs="Times New Roman"/>
          <w:sz w:val="24"/>
          <w:szCs w:val="24"/>
          <w:highlight w:val="none"/>
          <w:vertAlign w:val="subscript"/>
          <w:lang w:val="en-US" w:eastAsia="zh-CN"/>
        </w:rPr>
        <w:t>2</w:t>
      </w:r>
      <w:r>
        <w:rPr>
          <w:rFonts w:hint="eastAsia" w:cs="Times New Roman"/>
          <w:sz w:val="24"/>
          <w:szCs w:val="24"/>
          <w:highlight w:val="none"/>
          <w:lang w:val="en-US" w:eastAsia="zh-CN"/>
        </w:rPr>
        <w:t>S</w:t>
      </w:r>
      <w:r>
        <w:rPr>
          <w:rFonts w:cs="Times New Roman"/>
          <w:sz w:val="24"/>
          <w:szCs w:val="24"/>
          <w:highlight w:val="none"/>
        </w:rPr>
        <w:t>最大浓度贡献值</w:t>
      </w:r>
      <w:r>
        <w:rPr>
          <w:rFonts w:hint="eastAsia" w:cs="Times New Roman"/>
          <w:sz w:val="24"/>
          <w:szCs w:val="24"/>
          <w:highlight w:val="none"/>
        </w:rPr>
        <w:t>均</w:t>
      </w:r>
      <w:r>
        <w:rPr>
          <w:rFonts w:cs="Times New Roman"/>
          <w:sz w:val="24"/>
          <w:szCs w:val="24"/>
          <w:highlight w:val="none"/>
        </w:rPr>
        <w:t>出现在</w:t>
      </w:r>
      <w:r>
        <w:rPr>
          <w:rFonts w:hint="eastAsia" w:cs="Times New Roman"/>
          <w:sz w:val="24"/>
          <w:szCs w:val="24"/>
          <w:highlight w:val="none"/>
          <w:lang w:val="en-US" w:eastAsia="zh-CN"/>
        </w:rPr>
        <w:t>712</w:t>
      </w:r>
      <w:r>
        <w:rPr>
          <w:rFonts w:cs="Times New Roman"/>
          <w:sz w:val="24"/>
          <w:szCs w:val="24"/>
          <w:highlight w:val="none"/>
        </w:rPr>
        <w:t>米</w:t>
      </w:r>
      <w:r>
        <w:rPr>
          <w:rFonts w:hint="eastAsia" w:cs="Times New Roman"/>
          <w:sz w:val="24"/>
          <w:szCs w:val="24"/>
          <w:highlight w:val="none"/>
        </w:rPr>
        <w:t>处，</w:t>
      </w:r>
      <w:r>
        <w:rPr>
          <w:rFonts w:cs="Times New Roman"/>
          <w:sz w:val="24"/>
          <w:szCs w:val="24"/>
          <w:highlight w:val="none"/>
        </w:rPr>
        <w:t>最大落地浓度分别为</w:t>
      </w:r>
      <w:r>
        <w:rPr>
          <w:rFonts w:hint="eastAsia"/>
          <w:sz w:val="24"/>
          <w:szCs w:val="24"/>
          <w:highlight w:val="none"/>
          <w:lang w:val="en-US" w:eastAsia="zh-CN"/>
        </w:rPr>
        <w:t>0.00493</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highlight w:val="none"/>
          <w:lang w:val="en-US" w:eastAsia="zh-CN"/>
        </w:rPr>
        <w:t>0.01184</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highlight w:val="none"/>
          <w:lang w:val="en-US" w:eastAsia="zh-CN"/>
        </w:rPr>
        <w:t>0.0008867</w:t>
      </w:r>
      <w:r>
        <w:rPr>
          <w:rFonts w:cs="Times New Roman"/>
          <w:sz w:val="24"/>
          <w:szCs w:val="24"/>
          <w:highlight w:val="none"/>
        </w:rPr>
        <w:t>mg/m</w:t>
      </w:r>
      <w:r>
        <w:rPr>
          <w:rFonts w:cs="Times New Roman"/>
          <w:sz w:val="24"/>
          <w:szCs w:val="24"/>
          <w:highlight w:val="none"/>
          <w:vertAlign w:val="superscript"/>
        </w:rPr>
        <w:t>3</w:t>
      </w:r>
      <w:r>
        <w:rPr>
          <w:rFonts w:hint="eastAsia" w:cs="Times New Roman"/>
          <w:sz w:val="24"/>
          <w:szCs w:val="24"/>
          <w:highlight w:val="none"/>
        </w:rPr>
        <w:t>，</w:t>
      </w:r>
      <w:r>
        <w:rPr>
          <w:rFonts w:cs="Times New Roman"/>
          <w:sz w:val="24"/>
          <w:szCs w:val="24"/>
          <w:highlight w:val="none"/>
        </w:rPr>
        <w:t>最大浓度占标率分别为</w:t>
      </w:r>
      <w:r>
        <w:rPr>
          <w:rFonts w:hint="eastAsia" w:cs="Times New Roman"/>
          <w:sz w:val="24"/>
          <w:szCs w:val="24"/>
          <w:highlight w:val="none"/>
          <w:lang w:val="en-US" w:eastAsia="zh-CN"/>
        </w:rPr>
        <w:t>1.17</w:t>
      </w:r>
      <w:r>
        <w:rPr>
          <w:rFonts w:cs="Times New Roman"/>
          <w:sz w:val="24"/>
          <w:szCs w:val="24"/>
          <w:highlight w:val="none"/>
        </w:rPr>
        <w:t>%、</w:t>
      </w:r>
      <w:r>
        <w:rPr>
          <w:rFonts w:hint="eastAsia" w:cs="Times New Roman"/>
          <w:sz w:val="24"/>
          <w:szCs w:val="24"/>
          <w:highlight w:val="none"/>
          <w:lang w:val="en-US" w:eastAsia="zh-CN"/>
        </w:rPr>
        <w:t>5.92</w:t>
      </w:r>
      <w:r>
        <w:rPr>
          <w:rFonts w:hint="eastAsia" w:cs="Times New Roman"/>
          <w:sz w:val="24"/>
          <w:szCs w:val="24"/>
          <w:highlight w:val="none"/>
        </w:rPr>
        <w:t>%、</w:t>
      </w:r>
      <w:r>
        <w:rPr>
          <w:rFonts w:hint="eastAsia" w:cs="Times New Roman"/>
          <w:sz w:val="24"/>
          <w:szCs w:val="24"/>
          <w:highlight w:val="none"/>
          <w:lang w:val="en-US" w:eastAsia="zh-CN"/>
        </w:rPr>
        <w:t>8.87</w:t>
      </w:r>
      <w:r>
        <w:rPr>
          <w:rFonts w:hint="eastAsia" w:cs="Times New Roman"/>
          <w:sz w:val="24"/>
          <w:szCs w:val="24"/>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cs="Times New Roman"/>
          <w:highlight w:val="none"/>
        </w:rPr>
        <w:t>根据</w:t>
      </w:r>
      <w:r>
        <w:rPr>
          <w:rFonts w:hint="eastAsia" w:cs="Times New Roman"/>
          <w:highlight w:val="none"/>
        </w:rPr>
        <w:t>AERSCREEN</w:t>
      </w:r>
      <w:r>
        <w:rPr>
          <w:rFonts w:cs="Times New Roman"/>
          <w:highlight w:val="none"/>
        </w:rPr>
        <w:t>估算模式对项目的废气进行估算结果，</w:t>
      </w:r>
      <w:r>
        <w:rPr>
          <w:rFonts w:hint="eastAsia" w:cs="Times New Roman"/>
          <w:highlight w:val="none"/>
        </w:rPr>
        <w:t>结合</w:t>
      </w:r>
      <w:r>
        <w:rPr>
          <w:highlight w:val="none"/>
        </w:rPr>
        <w:t>《环境影响评价技术导则大气环境》（HJ2.2-20</w:t>
      </w:r>
      <w:r>
        <w:rPr>
          <w:rFonts w:hint="eastAsia"/>
          <w:highlight w:val="none"/>
        </w:rPr>
        <w:t>1</w:t>
      </w:r>
      <w:r>
        <w:rPr>
          <w:highlight w:val="none"/>
        </w:rPr>
        <w:t>8）</w:t>
      </w:r>
      <w:r>
        <w:rPr>
          <w:rFonts w:hint="eastAsia"/>
          <w:highlight w:val="none"/>
        </w:rPr>
        <w:t>中</w:t>
      </w:r>
      <w:r>
        <w:rPr>
          <w:highlight w:val="none"/>
        </w:rPr>
        <w:t>大气环境影响评价等级</w:t>
      </w:r>
      <w:r>
        <w:rPr>
          <w:rFonts w:hint="eastAsia"/>
          <w:highlight w:val="none"/>
        </w:rPr>
        <w:t>判定依据，</w:t>
      </w:r>
      <w:r>
        <w:rPr>
          <w:rFonts w:cs="Times New Roman"/>
          <w:highlight w:val="none"/>
        </w:rPr>
        <w:t>确定本项目大气环境影响评价等级为</w:t>
      </w:r>
      <w:r>
        <w:rPr>
          <w:rFonts w:hint="eastAsia" w:cs="Times New Roman"/>
          <w:highlight w:val="none"/>
        </w:rPr>
        <w:t>二</w:t>
      </w:r>
      <w:r>
        <w:rPr>
          <w:rFonts w:cs="Times New Roman"/>
          <w:highlight w:val="none"/>
        </w:rPr>
        <w:t>级。</w:t>
      </w:r>
      <w:r>
        <w:rPr>
          <w:rFonts w:hint="eastAsia" w:cs="Times New Roman"/>
          <w:highlight w:val="none"/>
        </w:rPr>
        <w:t>根据导则要求，二级评价不进行进一步预测与评价，只对污染物排放量进行核算。</w:t>
      </w:r>
    </w:p>
    <w:p>
      <w:pPr>
        <w:pStyle w:val="8"/>
        <w:ind w:firstLine="482"/>
        <w:rPr>
          <w:rFonts w:hint="eastAsia"/>
          <w:highlight w:val="none"/>
          <w:lang w:eastAsia="zh-CN"/>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6</w:t>
      </w:r>
      <w:r>
        <w:rPr>
          <w:rFonts w:hint="eastAsia"/>
          <w:highlight w:val="none"/>
          <w:lang w:eastAsia="zh-CN"/>
        </w:rPr>
        <w:t>污染物排放量核算</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w:t>
      </w:r>
      <w:r>
        <w:rPr>
          <w:rFonts w:hint="eastAsia" w:cs="Times New Roman"/>
          <w:b/>
          <w:bCs w:val="0"/>
          <w:kern w:val="2"/>
          <w:sz w:val="21"/>
          <w:szCs w:val="24"/>
          <w:highlight w:val="none"/>
          <w:lang w:val="en-US" w:eastAsia="zh-CN" w:bidi="ar-SA"/>
        </w:rPr>
        <w:t>4</w:t>
      </w:r>
      <w:r>
        <w:rPr>
          <w:rFonts w:hint="eastAsia" w:ascii="Times New Roman" w:hAnsi="Times New Roman" w:eastAsia="宋体" w:cs="Times New Roman"/>
          <w:b/>
          <w:bCs w:val="0"/>
          <w:kern w:val="2"/>
          <w:sz w:val="21"/>
          <w:szCs w:val="24"/>
          <w:highlight w:val="none"/>
          <w:lang w:val="en-US" w:eastAsia="zh-CN" w:bidi="ar-SA"/>
        </w:rPr>
        <w:t>.2-16 大气污染物有组织排放量核算表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409"/>
        <w:gridCol w:w="1543"/>
        <w:gridCol w:w="1272"/>
        <w:gridCol w:w="1412"/>
        <w:gridCol w:w="1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75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核算排放浓度（mg/m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83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核算排放速率（kg/h）</w:t>
            </w:r>
          </w:p>
        </w:tc>
        <w:tc>
          <w:tcPr>
            <w:tcW w:w="84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1#排气筒</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DA001</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highlight w:val="none"/>
                <w:lang w:val="en-US" w:eastAsia="zh-CN"/>
              </w:rPr>
              <w:t>2.19</w:t>
            </w:r>
          </w:p>
        </w:tc>
        <w:tc>
          <w:tcPr>
            <w:tcW w:w="834" w:type="pct"/>
            <w:noWrap w:val="0"/>
            <w:vAlign w:val="center"/>
          </w:tcPr>
          <w:p>
            <w:pPr>
              <w:spacing w:line="240" w:lineRule="auto"/>
              <w:ind w:firstLine="0" w:firstLineChars="0"/>
              <w:jc w:val="center"/>
              <w:rPr>
                <w:rFonts w:hint="default" w:eastAsia="宋体"/>
                <w:sz w:val="21"/>
                <w:szCs w:val="21"/>
                <w:highlight w:val="none"/>
                <w:lang w:val="en-US" w:eastAsia="zh-CN"/>
              </w:rPr>
            </w:pPr>
            <w:r>
              <w:rPr>
                <w:sz w:val="21"/>
                <w:highlight w:val="none"/>
              </w:rPr>
              <w:t>0.</w:t>
            </w:r>
            <w:r>
              <w:rPr>
                <w:rFonts w:hint="eastAsia"/>
                <w:sz w:val="21"/>
                <w:highlight w:val="none"/>
              </w:rPr>
              <w:t>0</w:t>
            </w:r>
            <w:r>
              <w:rPr>
                <w:rFonts w:hint="eastAsia"/>
                <w:sz w:val="21"/>
                <w:highlight w:val="none"/>
                <w:lang w:val="en-US" w:eastAsia="zh-CN"/>
              </w:rPr>
              <w:t>17</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sz w:val="21"/>
                <w:highlight w:val="none"/>
              </w:rPr>
              <w:t>0.</w:t>
            </w:r>
            <w:r>
              <w:rPr>
                <w:rFonts w:hint="eastAsia"/>
                <w:sz w:val="21"/>
                <w:highlight w:val="none"/>
                <w:lang w:val="en-US" w:eastAsia="zh-CN"/>
              </w:rPr>
              <w:t>0615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2#排气筒</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DA002</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highlight w:val="none"/>
                <w:lang w:val="en-US" w:eastAsia="zh-CN"/>
              </w:rPr>
              <w:t>2.19</w:t>
            </w:r>
          </w:p>
        </w:tc>
        <w:tc>
          <w:tcPr>
            <w:tcW w:w="834" w:type="pct"/>
            <w:noWrap w:val="0"/>
            <w:vAlign w:val="center"/>
          </w:tcPr>
          <w:p>
            <w:pPr>
              <w:spacing w:line="240" w:lineRule="auto"/>
              <w:ind w:firstLine="0" w:firstLineChars="0"/>
              <w:jc w:val="center"/>
              <w:rPr>
                <w:rFonts w:hint="default" w:eastAsia="宋体"/>
                <w:sz w:val="21"/>
                <w:szCs w:val="21"/>
                <w:highlight w:val="none"/>
                <w:lang w:val="en-US" w:eastAsia="zh-CN"/>
              </w:rPr>
            </w:pPr>
            <w:r>
              <w:rPr>
                <w:sz w:val="21"/>
                <w:highlight w:val="none"/>
              </w:rPr>
              <w:t>0.</w:t>
            </w:r>
            <w:r>
              <w:rPr>
                <w:rFonts w:hint="eastAsia"/>
                <w:sz w:val="21"/>
                <w:highlight w:val="none"/>
              </w:rPr>
              <w:t>0</w:t>
            </w:r>
            <w:r>
              <w:rPr>
                <w:rFonts w:hint="eastAsia"/>
                <w:sz w:val="21"/>
                <w:highlight w:val="none"/>
                <w:lang w:val="en-US" w:eastAsia="zh-CN"/>
              </w:rPr>
              <w:t>17</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sz w:val="21"/>
                <w:highlight w:val="none"/>
              </w:rPr>
              <w:t>0.</w:t>
            </w:r>
            <w:r>
              <w:rPr>
                <w:rFonts w:hint="eastAsia"/>
                <w:sz w:val="21"/>
                <w:highlight w:val="none"/>
                <w:lang w:val="en-US" w:eastAsia="zh-CN"/>
              </w:rPr>
              <w:t>0615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3#排气筒</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DA003</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highlight w:val="none"/>
              </w:rPr>
              <w:t>0.</w:t>
            </w:r>
            <w:r>
              <w:rPr>
                <w:rFonts w:hint="eastAsia"/>
                <w:sz w:val="21"/>
                <w:highlight w:val="none"/>
                <w:lang w:val="en-US" w:eastAsia="zh-CN"/>
              </w:rPr>
              <w:t>523</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sz w:val="21"/>
                <w:highlight w:val="none"/>
              </w:rPr>
              <w:t>0.</w:t>
            </w:r>
            <w:r>
              <w:rPr>
                <w:rFonts w:hint="eastAsia"/>
                <w:sz w:val="21"/>
                <w:highlight w:val="none"/>
              </w:rPr>
              <w:t>00</w:t>
            </w:r>
            <w:r>
              <w:rPr>
                <w:rFonts w:hint="eastAsia"/>
                <w:sz w:val="21"/>
                <w:highlight w:val="none"/>
                <w:lang w:val="en-US" w:eastAsia="zh-CN"/>
              </w:rPr>
              <w:t>4</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sz w:val="21"/>
                <w:highlight w:val="none"/>
              </w:rPr>
              <w:t>0.</w:t>
            </w:r>
            <w:r>
              <w:rPr>
                <w:rFonts w:hint="eastAsia"/>
                <w:sz w:val="21"/>
                <w:highlight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4#排气筒</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DA004</w:t>
            </w:r>
          </w:p>
        </w:tc>
        <w:tc>
          <w:tcPr>
            <w:tcW w:w="912"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highlight w:val="none"/>
                <w:lang w:val="en-US" w:eastAsia="zh-CN"/>
              </w:rPr>
              <w:t>1.13</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0.0034</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highlight w:val="none"/>
              </w:rPr>
              <w:t>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5#排气筒</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DA005</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b w:val="0"/>
                <w:bCs w:val="0"/>
                <w:color w:val="000000"/>
                <w:sz w:val="21"/>
                <w:szCs w:val="21"/>
                <w:highlight w:val="none"/>
                <w:u w:val="none"/>
                <w:lang w:val="en-US" w:eastAsia="zh-CN"/>
              </w:rPr>
              <w:t>1.275</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0.01</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rFonts w:hint="eastAsia"/>
                <w:b w:val="0"/>
                <w:bCs w:val="0"/>
                <w:color w:val="000000"/>
                <w:sz w:val="21"/>
                <w:szCs w:val="21"/>
                <w:highlight w:val="none"/>
                <w:u w:val="none"/>
                <w:lang w:val="en-US" w:eastAsia="zh-CN"/>
              </w:rPr>
              <w:t>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6#排气筒</w:t>
            </w:r>
          </w:p>
        </w:tc>
        <w:tc>
          <w:tcPr>
            <w:tcW w:w="8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DA006</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b w:val="0"/>
                <w:bCs w:val="0"/>
                <w:color w:val="000000"/>
                <w:sz w:val="21"/>
                <w:szCs w:val="21"/>
                <w:highlight w:val="none"/>
                <w:u w:val="none"/>
                <w:lang w:val="en-US" w:eastAsia="zh-CN"/>
              </w:rPr>
              <w:t>4.08</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0.082</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rFonts w:hint="eastAsia"/>
                <w:b w:val="0"/>
                <w:bCs w:val="0"/>
                <w:color w:val="000000"/>
                <w:sz w:val="21"/>
                <w:szCs w:val="21"/>
                <w:highlight w:val="none"/>
                <w:u w:val="none"/>
                <w:lang w:val="en-US" w:eastAsia="zh-CN"/>
              </w:rPr>
              <w:t>0.294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7#排气筒</w:t>
            </w:r>
          </w:p>
        </w:tc>
        <w:tc>
          <w:tcPr>
            <w:tcW w:w="83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DA007</w:t>
            </w: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2.72</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0.0078</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2" w:type="pct"/>
            <w:noWrap w:val="0"/>
            <w:vAlign w:val="center"/>
          </w:tcPr>
          <w:p>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3.70</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0.011</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rPr>
              <w:t>0.0</w:t>
            </w:r>
            <w:r>
              <w:rPr>
                <w:rFonts w:hint="eastAsia" w:cs="Times New Roman"/>
                <w:b w:val="0"/>
                <w:bCs/>
                <w:sz w:val="21"/>
                <w:szCs w:val="21"/>
                <w:highlight w:val="none"/>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752"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lang w:val="en-US" w:eastAsia="zh-CN"/>
              </w:rPr>
              <w:t>24.52</w:t>
            </w:r>
          </w:p>
        </w:tc>
        <w:tc>
          <w:tcPr>
            <w:tcW w:w="834"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0.07</w:t>
            </w:r>
          </w:p>
        </w:tc>
        <w:tc>
          <w:tcPr>
            <w:tcW w:w="843"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b w:val="0"/>
                <w:bCs/>
                <w:sz w:val="21"/>
                <w:szCs w:val="21"/>
                <w:highlight w:val="none"/>
              </w:rPr>
              <w:t>0.</w:t>
            </w:r>
            <w:r>
              <w:rPr>
                <w:rFonts w:hint="eastAsia" w:cs="Times New Roman"/>
                <w:b w:val="0"/>
                <w:bCs/>
                <w:sz w:val="21"/>
                <w:szCs w:val="21"/>
                <w:highlight w:val="none"/>
                <w:lang w:val="en-US" w:eastAsia="zh-CN"/>
              </w:rPr>
              <w:t>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7"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一般排放口合计</w:t>
            </w: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843"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7"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843"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7"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843"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有组织排放合计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7"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有组织排放总计</w:t>
            </w: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42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sz w:val="21"/>
                <w:szCs w:val="21"/>
                <w:highlight w:val="none"/>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7"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142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sz w:val="21"/>
                <w:szCs w:val="21"/>
                <w:highlight w:val="none"/>
                <w:lang w:val="en-US" w:eastAsia="zh-CN"/>
              </w:rPr>
              <w:t>0.252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7"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颗粒物（PM</w:t>
            </w:r>
            <w:r>
              <w:rPr>
                <w:rFonts w:hint="eastAsia"/>
                <w:sz w:val="21"/>
                <w:szCs w:val="21"/>
                <w:highlight w:val="none"/>
                <w:vertAlign w:val="subscript"/>
                <w:lang w:val="en-US" w:eastAsia="zh-CN"/>
              </w:rPr>
              <w:t>10</w:t>
            </w:r>
            <w:r>
              <w:rPr>
                <w:rFonts w:hint="eastAsia"/>
                <w:sz w:val="21"/>
                <w:szCs w:val="21"/>
                <w:highlight w:val="none"/>
                <w:lang w:val="en-US" w:eastAsia="zh-CN"/>
              </w:rPr>
              <w:t>）</w:t>
            </w:r>
          </w:p>
        </w:tc>
        <w:tc>
          <w:tcPr>
            <w:tcW w:w="1428" w:type="dxa"/>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sz w:val="21"/>
                <w:szCs w:val="21"/>
                <w:highlight w:val="none"/>
                <w:lang w:val="en-US" w:eastAsia="zh-CN"/>
              </w:rPr>
              <w:t>0.519</w:t>
            </w:r>
          </w:p>
        </w:tc>
      </w:tr>
    </w:tbl>
    <w:p>
      <w:pPr>
        <w:pStyle w:val="22"/>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17</w:t>
      </w:r>
      <w:r>
        <w:rPr>
          <w:rFonts w:cs="Times New Roman"/>
          <w:highlight w:val="none"/>
        </w:rPr>
        <w:t xml:space="preserve"> 大气污染物无组织排放量核算表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99"/>
        <w:gridCol w:w="323"/>
        <w:gridCol w:w="509"/>
        <w:gridCol w:w="1539"/>
        <w:gridCol w:w="1086"/>
        <w:gridCol w:w="1037"/>
        <w:gridCol w:w="1142"/>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5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产污环节</w:t>
            </w:r>
          </w:p>
        </w:tc>
        <w:tc>
          <w:tcPr>
            <w:tcW w:w="504"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91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主要防治措施</w:t>
            </w:r>
          </w:p>
        </w:tc>
        <w:tc>
          <w:tcPr>
            <w:tcW w:w="1894"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国家或地方污染物排放标准</w:t>
            </w:r>
          </w:p>
        </w:tc>
        <w:tc>
          <w:tcPr>
            <w:tcW w:w="62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5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04"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91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267"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标准名称</w:t>
            </w:r>
          </w:p>
        </w:tc>
        <w:tc>
          <w:tcPr>
            <w:tcW w:w="62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浓度限值</w:t>
            </w:r>
          </w:p>
        </w:tc>
        <w:tc>
          <w:tcPr>
            <w:tcW w:w="626" w:type="pct"/>
            <w:vMerge w:val="continue"/>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400"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5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厂区恶臭</w:t>
            </w:r>
          </w:p>
        </w:tc>
        <w:tc>
          <w:tcPr>
            <w:tcW w:w="504"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91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ascii="Times New Roman" w:hAnsi="Times New Roman"/>
                <w:bCs/>
                <w:color w:val="000000"/>
                <w:sz w:val="21"/>
                <w:szCs w:val="21"/>
                <w:highlight w:val="none"/>
              </w:rPr>
              <w:t>控制饲养密度、采用节水型饮水器、加强通风、全漏缝地板并及时清粪，喷洒除臭剂</w:t>
            </w:r>
          </w:p>
        </w:tc>
        <w:tc>
          <w:tcPr>
            <w:tcW w:w="1267"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《恶臭污染物排放标准》（GB14554-93）</w:t>
            </w:r>
          </w:p>
        </w:tc>
        <w:tc>
          <w:tcPr>
            <w:tcW w:w="62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0.06mg/m</w:t>
            </w:r>
            <w:r>
              <w:rPr>
                <w:rFonts w:hint="eastAsia"/>
                <w:sz w:val="21"/>
                <w:szCs w:val="21"/>
                <w:highlight w:val="none"/>
                <w:vertAlign w:val="superscript"/>
                <w:lang w:val="en-US" w:eastAsia="zh-CN"/>
              </w:rPr>
              <w:t>3</w:t>
            </w:r>
          </w:p>
        </w:tc>
        <w:tc>
          <w:tcPr>
            <w:tcW w:w="1046"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sz w:val="21"/>
                <w:szCs w:val="21"/>
                <w:highlight w:val="none"/>
                <w:lang w:val="en-US" w:eastAsia="zh-CN"/>
              </w:rPr>
              <w:t>2.344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400"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5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厂区恶臭</w:t>
            </w:r>
          </w:p>
        </w:tc>
        <w:tc>
          <w:tcPr>
            <w:tcW w:w="504"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91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267"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2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1.5mg/m</w:t>
            </w:r>
            <w:r>
              <w:rPr>
                <w:rFonts w:hint="eastAsia"/>
                <w:sz w:val="21"/>
                <w:szCs w:val="21"/>
                <w:highlight w:val="none"/>
                <w:vertAlign w:val="superscript"/>
                <w:lang w:val="en-US" w:eastAsia="zh-CN"/>
              </w:rPr>
              <w:t>3</w:t>
            </w:r>
          </w:p>
        </w:tc>
        <w:tc>
          <w:tcPr>
            <w:tcW w:w="1046" w:type="dxa"/>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sz w:val="21"/>
                <w:szCs w:val="21"/>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400"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65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厂区</w:t>
            </w:r>
          </w:p>
        </w:tc>
        <w:tc>
          <w:tcPr>
            <w:tcW w:w="504" w:type="pct"/>
            <w:gridSpan w:val="2"/>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颗粒物</w:t>
            </w:r>
          </w:p>
        </w:tc>
        <w:tc>
          <w:tcPr>
            <w:tcW w:w="91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车间密闭，输送管道密闭，喷淋洒水降尘</w:t>
            </w:r>
          </w:p>
        </w:tc>
        <w:tc>
          <w:tcPr>
            <w:tcW w:w="1267"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《大气污染物综合排放标准》GB16297-1996中二级排放标准</w:t>
            </w:r>
          </w:p>
        </w:tc>
        <w:tc>
          <w:tcPr>
            <w:tcW w:w="62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1.0mg/m</w:t>
            </w:r>
            <w:r>
              <w:rPr>
                <w:rFonts w:hint="eastAsia"/>
                <w:sz w:val="21"/>
                <w:szCs w:val="21"/>
                <w:highlight w:val="none"/>
                <w:vertAlign w:val="superscript"/>
                <w:lang w:val="en-US" w:eastAsia="zh-CN"/>
              </w:rPr>
              <w:t>3</w:t>
            </w:r>
          </w:p>
        </w:tc>
        <w:tc>
          <w:tcPr>
            <w:tcW w:w="626" w:type="pct"/>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sz w:val="21"/>
                <w:szCs w:val="21"/>
                <w:highlight w:val="none"/>
                <w:u w:val="none" w:color="auto"/>
                <w:lang w:val="en-US" w:eastAsia="zh-CN"/>
              </w:rPr>
              <w:t>0.252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9"/>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无组织排放总计（t/a）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pct"/>
            <w:gridSpan w:val="3"/>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无组织排放总计</w:t>
            </w:r>
          </w:p>
        </w:tc>
        <w:tc>
          <w:tcPr>
            <w:tcW w:w="187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3235"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sz w:val="21"/>
                <w:szCs w:val="21"/>
                <w:highlight w:val="none"/>
                <w:lang w:val="en-US" w:eastAsia="zh-CN"/>
              </w:rPr>
              <w:t>2.344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253" w:type="pct"/>
            <w:gridSpan w:val="3"/>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87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3235" w:type="dxa"/>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cs="Times New Roman"/>
                <w:sz w:val="21"/>
                <w:szCs w:val="21"/>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pct"/>
            <w:gridSpan w:val="3"/>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87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w:t>
            </w:r>
          </w:p>
        </w:tc>
        <w:tc>
          <w:tcPr>
            <w:tcW w:w="3235" w:type="dxa"/>
            <w:gridSpan w:val="3"/>
            <w:noWrap w:val="0"/>
            <w:vAlign w:val="center"/>
          </w:tcPr>
          <w:p>
            <w:pPr>
              <w:spacing w:line="240" w:lineRule="auto"/>
              <w:ind w:firstLine="0" w:firstLineChars="0"/>
              <w:jc w:val="center"/>
              <w:rPr>
                <w:rFonts w:hint="default"/>
                <w:sz w:val="21"/>
                <w:szCs w:val="21"/>
                <w:highlight w:val="none"/>
                <w:lang w:val="en-US" w:eastAsia="zh-CN"/>
              </w:rPr>
            </w:pPr>
            <w:r>
              <w:rPr>
                <w:rFonts w:hint="eastAsia" w:cs="Times New Roman"/>
                <w:sz w:val="21"/>
                <w:szCs w:val="21"/>
                <w:highlight w:val="none"/>
                <w:u w:val="none" w:color="auto"/>
                <w:lang w:val="en-US" w:eastAsia="zh-CN"/>
              </w:rPr>
              <w:t>0.252</w:t>
            </w:r>
          </w:p>
        </w:tc>
      </w:tr>
    </w:tbl>
    <w:p>
      <w:pPr>
        <w:pStyle w:val="22"/>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 xml:space="preserve">18 </w:t>
      </w:r>
      <w:r>
        <w:rPr>
          <w:rFonts w:cs="Times New Roman"/>
          <w:highlight w:val="none"/>
        </w:rPr>
        <w:t>大气污染物年排放量核算表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4197"/>
        <w:gridCol w:w="2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5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NO</w:t>
            </w:r>
            <w:r>
              <w:rPr>
                <w:rFonts w:hint="eastAsia"/>
                <w:sz w:val="21"/>
                <w:szCs w:val="21"/>
                <w:highlight w:val="none"/>
                <w:vertAlign w:val="subscript"/>
                <w:lang w:val="en-US" w:eastAsia="zh-CN"/>
              </w:rPr>
              <w:t>X</w:t>
            </w:r>
          </w:p>
        </w:tc>
        <w:tc>
          <w:tcPr>
            <w:tcW w:w="2651" w:type="dxa"/>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1567"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1567"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248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颗粒物（无组织与有组织合计）</w:t>
            </w:r>
          </w:p>
        </w:tc>
        <w:tc>
          <w:tcPr>
            <w:tcW w:w="1567"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0.771</w:t>
            </w:r>
          </w:p>
        </w:tc>
      </w:tr>
    </w:tbl>
    <w:p>
      <w:pPr>
        <w:pStyle w:val="8"/>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7</w:t>
      </w:r>
      <w:r>
        <w:rPr>
          <w:highlight w:val="none"/>
        </w:rPr>
        <w:t>大气环境防护距离</w:t>
      </w:r>
      <w:r>
        <w:rPr>
          <w:rFonts w:hint="eastAsia"/>
          <w:highlight w:val="none"/>
        </w:rPr>
        <w:t>及卫生防护距离</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（1）大气防护距离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cs="Times New Roman"/>
          <w:highlight w:val="none"/>
        </w:rPr>
        <w:t>大气环境防护距离</w:t>
      </w:r>
      <w:r>
        <w:rPr>
          <w:rFonts w:hint="eastAsia" w:cs="Times New Roman"/>
          <w:highlight w:val="none"/>
        </w:rPr>
        <w:t>是为保护人群健康，减少正常排放条件下大气污染物对居住区的环境影响，在项目厂界外设置的环境防护距离。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cs="Times New Roman"/>
          <w:highlight w:val="none"/>
        </w:rPr>
        <w:t>根据《环境影响评价技术导则—大气环境》（HJ2.2-20</w:t>
      </w:r>
      <w:r>
        <w:rPr>
          <w:rFonts w:hint="eastAsia" w:cs="Times New Roman"/>
          <w:highlight w:val="none"/>
        </w:rPr>
        <w:t>1</w:t>
      </w:r>
      <w:r>
        <w:rPr>
          <w:rFonts w:cs="Times New Roman"/>
          <w:highlight w:val="none"/>
        </w:rPr>
        <w:t>8）</w:t>
      </w:r>
      <w:r>
        <w:rPr>
          <w:rFonts w:hint="eastAsia" w:cs="Times New Roman"/>
          <w:highlight w:val="none"/>
        </w:rPr>
        <w:t>，</w:t>
      </w:r>
      <w:r>
        <w:rPr>
          <w:color w:val="000000"/>
          <w:sz w:val="24"/>
          <w:highlight w:val="none"/>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color w:val="000000"/>
          <w:sz w:val="24"/>
          <w:highlight w:val="none"/>
        </w:rPr>
        <w:t>本项目污染物区域最大落地浓度贡献值均满足《环境影响评价技术导则 大气环境》（HJ2.2-2018）附录D，无需设置大气环境防护距离。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2</w:t>
      </w:r>
      <w:r>
        <w:rPr>
          <w:rFonts w:hint="eastAsia"/>
          <w:color w:val="000000"/>
          <w:sz w:val="24"/>
          <w:highlight w:val="none"/>
          <w:lang w:eastAsia="zh-CN"/>
        </w:rPr>
        <w:t>）</w:t>
      </w:r>
      <w:r>
        <w:rPr>
          <w:rFonts w:hint="eastAsia"/>
          <w:color w:val="000000"/>
          <w:sz w:val="24"/>
          <w:highlight w:val="none"/>
        </w:rPr>
        <w:t>卫生防护距离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依据《制定地方大气污染物排放标准的技术方法》(GB/T3840-1991)卫生防护距离确定方法，无组织排放源所在的生产单元（生产车间）与居住区之间应设置卫生防护距离，其计算公式为：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drawing>
          <wp:inline distT="0" distB="0" distL="114300" distR="114300">
            <wp:extent cx="2324100" cy="4762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4"/>
                    <a:stretch>
                      <a:fillRect/>
                    </a:stretch>
                  </pic:blipFill>
                  <pic:spPr>
                    <a:xfrm>
                      <a:off x="0" y="0"/>
                      <a:ext cx="2324100" cy="476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式中：C</w:t>
      </w:r>
      <w:r>
        <w:rPr>
          <w:rFonts w:ascii="Times New Roman" w:hAnsi="Times New Roman" w:cs="Times New Roman"/>
          <w:bCs/>
          <w:color w:val="000000"/>
          <w:sz w:val="24"/>
          <w:szCs w:val="22"/>
          <w:highlight w:val="none"/>
          <w:vertAlign w:val="subscript"/>
        </w:rPr>
        <w:t>m</w:t>
      </w:r>
      <w:r>
        <w:rPr>
          <w:rFonts w:ascii="Times New Roman" w:hAnsi="Times New Roman" w:cs="Times New Roman"/>
          <w:bCs/>
          <w:color w:val="000000"/>
          <w:sz w:val="24"/>
          <w:szCs w:val="22"/>
          <w:highlight w:val="none"/>
        </w:rPr>
        <w:t>—标准浓度限值，mg/Nm</w:t>
      </w:r>
      <w:r>
        <w:rPr>
          <w:rFonts w:ascii="Times New Roman" w:hAnsi="Times New Roman" w:cs="Times New Roman"/>
          <w:bCs/>
          <w:color w:val="000000"/>
          <w:sz w:val="24"/>
          <w:szCs w:val="22"/>
          <w:highlight w:val="none"/>
          <w:vertAlign w:val="superscript"/>
        </w:rPr>
        <w:t>3</w:t>
      </w:r>
      <w:r>
        <w:rPr>
          <w:rFonts w:ascii="Times New Roman" w:hAnsi="Times New Roman" w:cs="Times New Roman"/>
          <w:bCs/>
          <w:color w:val="000000"/>
          <w:sz w:val="24"/>
          <w:szCs w:val="22"/>
          <w:highlight w:val="none"/>
        </w:rPr>
        <w:t>，取值分别为NH</w:t>
      </w:r>
      <w:r>
        <w:rPr>
          <w:rFonts w:ascii="Times New Roman" w:hAnsi="Times New Roman" w:cs="Times New Roman"/>
          <w:bCs/>
          <w:color w:val="000000"/>
          <w:sz w:val="24"/>
          <w:szCs w:val="22"/>
          <w:highlight w:val="none"/>
          <w:vertAlign w:val="subscript"/>
        </w:rPr>
        <w:t>3</w:t>
      </w:r>
      <w:r>
        <w:rPr>
          <w:rFonts w:ascii="Times New Roman" w:hAnsi="Times New Roman" w:cs="Times New Roman"/>
          <w:bCs/>
          <w:color w:val="000000"/>
          <w:sz w:val="24"/>
          <w:szCs w:val="22"/>
          <w:highlight w:val="none"/>
        </w:rPr>
        <w:t>为0.2，H</w:t>
      </w:r>
      <w:r>
        <w:rPr>
          <w:rFonts w:ascii="Times New Roman" w:hAnsi="Times New Roman" w:cs="Times New Roman"/>
          <w:bCs/>
          <w:color w:val="000000"/>
          <w:sz w:val="24"/>
          <w:szCs w:val="22"/>
          <w:highlight w:val="none"/>
          <w:vertAlign w:val="subscript"/>
        </w:rPr>
        <w:t>2</w:t>
      </w:r>
      <w:r>
        <w:rPr>
          <w:rFonts w:ascii="Times New Roman" w:hAnsi="Times New Roman" w:cs="Times New Roman"/>
          <w:bCs/>
          <w:color w:val="000000"/>
          <w:sz w:val="24"/>
          <w:szCs w:val="22"/>
          <w:highlight w:val="none"/>
        </w:rPr>
        <w:t>S为0.01（按居住区标准，即《工业企业设计卫生标准》（TJ36-79）。</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L—工业企业所需卫生防护距离，m。</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r—有害气体无组织排放源所在生产单元的等效半径，m。根据该生产单元占地面积S(m</w:t>
      </w:r>
      <w:r>
        <w:rPr>
          <w:rFonts w:ascii="Times New Roman" w:hAnsi="Times New Roman" w:cs="Times New Roman"/>
          <w:bCs/>
          <w:color w:val="000000"/>
          <w:sz w:val="24"/>
          <w:szCs w:val="22"/>
          <w:highlight w:val="none"/>
          <w:vertAlign w:val="superscript"/>
        </w:rPr>
        <w:t>2</w:t>
      </w:r>
      <w:r>
        <w:rPr>
          <w:rFonts w:ascii="Times New Roman" w:hAnsi="Times New Roman" w:cs="Times New Roman"/>
          <w:bCs/>
          <w:color w:val="000000"/>
          <w:sz w:val="24"/>
          <w:szCs w:val="22"/>
          <w:highlight w:val="none"/>
        </w:rPr>
        <w:t>)计算，r=(S/</w:t>
      </w:r>
      <w:r>
        <w:rPr>
          <w:rFonts w:ascii="Times New Roman" w:hAnsi="Times New Roman" w:cs="Times New Roman"/>
          <w:bCs/>
          <w:color w:val="000000"/>
          <w:sz w:val="24"/>
          <w:szCs w:val="22"/>
          <w:highlight w:val="none"/>
        </w:rPr>
        <w:sym w:font="Symbol" w:char="F070"/>
      </w:r>
      <w:r>
        <w:rPr>
          <w:rFonts w:ascii="Times New Roman" w:hAnsi="Times New Roman" w:cs="Times New Roman"/>
          <w:bCs/>
          <w:color w:val="000000"/>
          <w:sz w:val="24"/>
          <w:szCs w:val="22"/>
          <w:highlight w:val="none"/>
        </w:rPr>
        <w:t>)</w:t>
      </w:r>
      <w:r>
        <w:rPr>
          <w:rFonts w:ascii="Times New Roman" w:hAnsi="Times New Roman" w:cs="Times New Roman"/>
          <w:bCs/>
          <w:color w:val="000000"/>
          <w:sz w:val="24"/>
          <w:szCs w:val="22"/>
          <w:highlight w:val="none"/>
          <w:vertAlign w:val="superscript"/>
        </w:rPr>
        <w:t>0.5</w:t>
      </w:r>
      <w:r>
        <w:rPr>
          <w:rFonts w:ascii="Times New Roman" w:hAnsi="Times New Roman" w:cs="Times New Roman"/>
          <w:bCs/>
          <w:color w:val="000000"/>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A，B，C，D—卫生防护距离计算系数，无因次，根据工业企业所在地区近五年平均风速及工业企业大气污染源构成类别确定。</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Q</w:t>
      </w:r>
      <w:r>
        <w:rPr>
          <w:rFonts w:ascii="Times New Roman" w:hAnsi="Times New Roman" w:cs="Times New Roman"/>
          <w:bCs/>
          <w:color w:val="000000"/>
          <w:sz w:val="24"/>
          <w:szCs w:val="22"/>
          <w:highlight w:val="none"/>
          <w:vertAlign w:val="subscript"/>
        </w:rPr>
        <w:t>c</w:t>
      </w:r>
      <w:r>
        <w:rPr>
          <w:rFonts w:ascii="Times New Roman" w:hAnsi="Times New Roman" w:cs="Times New Roman"/>
          <w:bCs/>
          <w:color w:val="000000"/>
          <w:sz w:val="24"/>
          <w:szCs w:val="22"/>
          <w:highlight w:val="none"/>
        </w:rPr>
        <w:t>—工业企业有害气体无组织排放量可以达到的控制水平。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依照上述公式无组织排放单元与居住区之间卫生防护距离计算参数及其结果见表4</w:t>
      </w:r>
      <w:r>
        <w:rPr>
          <w:rFonts w:hint="eastAsia" w:cs="Times New Roman"/>
          <w:bCs/>
          <w:color w:val="000000"/>
          <w:sz w:val="24"/>
          <w:szCs w:val="22"/>
          <w:highlight w:val="none"/>
          <w:lang w:val="en-US" w:eastAsia="zh-CN"/>
        </w:rPr>
        <w:t>.2</w:t>
      </w:r>
      <w:r>
        <w:rPr>
          <w:rFonts w:ascii="Times New Roman" w:hAnsi="Times New Roman" w:cs="Times New Roman"/>
          <w:bCs/>
          <w:color w:val="000000"/>
          <w:sz w:val="24"/>
          <w:szCs w:val="22"/>
          <w:highlight w:val="none"/>
        </w:rPr>
        <w:t>-</w:t>
      </w:r>
      <w:r>
        <w:rPr>
          <w:rFonts w:hint="eastAsia" w:ascii="Times New Roman" w:hAnsi="Times New Roman" w:cs="Times New Roman"/>
          <w:bCs/>
          <w:color w:val="000000"/>
          <w:sz w:val="24"/>
          <w:szCs w:val="22"/>
          <w:highlight w:val="none"/>
        </w:rPr>
        <w:t>19</w:t>
      </w:r>
      <w:r>
        <w:rPr>
          <w:rFonts w:ascii="Times New Roman" w:hAnsi="Times New Roman" w:cs="Times New Roman"/>
          <w:bCs/>
          <w:color w:val="000000"/>
          <w:sz w:val="24"/>
          <w:szCs w:val="22"/>
          <w:highlight w:val="none"/>
        </w:rPr>
        <w:t>。</w:t>
      </w:r>
    </w:p>
    <w:p>
      <w:pPr>
        <w:pStyle w:val="22"/>
        <w:rPr>
          <w:rFonts w:cs="Times New Roman"/>
          <w:highlight w:val="none"/>
        </w:rPr>
      </w:pPr>
      <w:r>
        <w:rPr>
          <w:rFonts w:cs="Times New Roman"/>
          <w:highlight w:val="none"/>
        </w:rPr>
        <w:t>表</w:t>
      </w:r>
      <w:r>
        <w:rPr>
          <w:rFonts w:hint="eastAsia" w:cs="Times New Roman"/>
          <w:highlight w:val="none"/>
          <w:lang w:val="en-US" w:eastAsia="zh-CN"/>
        </w:rPr>
        <w:t>4.2</w:t>
      </w:r>
      <w:r>
        <w:rPr>
          <w:rFonts w:cs="Times New Roman"/>
          <w:highlight w:val="none"/>
        </w:rPr>
        <w:t>-</w:t>
      </w:r>
      <w:r>
        <w:rPr>
          <w:rFonts w:hint="eastAsia" w:cs="Times New Roman"/>
          <w:highlight w:val="none"/>
          <w:lang w:val="en-US" w:eastAsia="zh-CN"/>
        </w:rPr>
        <w:t xml:space="preserve">19 </w:t>
      </w:r>
      <w:r>
        <w:rPr>
          <w:rFonts w:hint="eastAsia" w:cs="Times New Roman"/>
          <w:highlight w:val="none"/>
        </w:rPr>
        <w:t>无组织排放单元卫生防护距离计算参数及其结果</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70"/>
        <w:gridCol w:w="942"/>
        <w:gridCol w:w="944"/>
        <w:gridCol w:w="531"/>
        <w:gridCol w:w="689"/>
        <w:gridCol w:w="584"/>
        <w:gridCol w:w="584"/>
        <w:gridCol w:w="1207"/>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无组织</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排放源</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主要</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排放量t/a</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评价标准</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mg/m</w:t>
            </w:r>
            <w:r>
              <w:rPr>
                <w:rFonts w:hint="eastAsia"/>
                <w:sz w:val="21"/>
                <w:szCs w:val="21"/>
                <w:highlight w:val="none"/>
                <w:vertAlign w:val="superscript"/>
                <w:lang w:val="en-US" w:eastAsia="zh-CN"/>
              </w:rPr>
              <w:t>3</w:t>
            </w:r>
          </w:p>
        </w:tc>
        <w:tc>
          <w:tcPr>
            <w:tcW w:w="0" w:type="auto"/>
            <w:gridSpan w:val="4"/>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计算参数</w:t>
            </w:r>
          </w:p>
        </w:tc>
        <w:tc>
          <w:tcPr>
            <w:tcW w:w="0" w:type="auto"/>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卫生防护距离</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计算值（m）</w:t>
            </w:r>
          </w:p>
        </w:tc>
        <w:tc>
          <w:tcPr>
            <w:tcW w:w="0" w:type="auto"/>
            <w:vMerge w:val="restart"/>
            <w:noWrap w:val="0"/>
            <w:vAlign w:val="center"/>
          </w:tcPr>
          <w:p>
            <w:pPr>
              <w:spacing w:line="240" w:lineRule="auto"/>
              <w:ind w:firstLine="0" w:firstLineChars="0"/>
              <w:jc w:val="both"/>
              <w:rPr>
                <w:rFonts w:hint="eastAsia"/>
                <w:sz w:val="21"/>
                <w:szCs w:val="21"/>
                <w:highlight w:val="none"/>
                <w:lang w:val="en-US" w:eastAsia="zh-CN"/>
              </w:rPr>
            </w:pPr>
            <w:r>
              <w:rPr>
                <w:rFonts w:hint="eastAsia"/>
                <w:sz w:val="21"/>
                <w:szCs w:val="21"/>
                <w:highlight w:val="none"/>
                <w:lang w:val="en-US" w:eastAsia="zh-CN"/>
              </w:rPr>
              <w:t>卫生防护距离距离(m)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A</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D</w:t>
            </w: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Merge w:val="restart"/>
            <w:noWrap w:val="0"/>
            <w:vAlign w:val="center"/>
          </w:tcPr>
          <w:p>
            <w:pPr>
              <w:spacing w:line="240" w:lineRule="auto"/>
              <w:ind w:firstLine="0" w:firstLineChars="0"/>
              <w:jc w:val="center"/>
              <w:rPr>
                <w:rFonts w:hint="eastAsia"/>
                <w:b/>
                <w:bCs/>
                <w:sz w:val="21"/>
                <w:szCs w:val="21"/>
                <w:highlight w:val="none"/>
                <w:lang w:val="en-US" w:eastAsia="zh-CN"/>
              </w:rPr>
            </w:pPr>
            <w:r>
              <w:rPr>
                <w:rFonts w:hint="eastAsia"/>
                <w:b w:val="0"/>
                <w:bCs w:val="0"/>
                <w:sz w:val="21"/>
                <w:szCs w:val="21"/>
                <w:highlight w:val="none"/>
                <w:lang w:val="en-US" w:eastAsia="zh-CN"/>
              </w:rPr>
              <w:t>厂区</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H</w:t>
            </w:r>
            <w:r>
              <w:rPr>
                <w:rFonts w:hint="eastAsia"/>
                <w:sz w:val="21"/>
                <w:szCs w:val="21"/>
                <w:highlight w:val="none"/>
                <w:vertAlign w:val="subscript"/>
                <w:lang w:val="en-US" w:eastAsia="zh-CN"/>
              </w:rPr>
              <w:t>2</w:t>
            </w:r>
            <w:r>
              <w:rPr>
                <w:rFonts w:hint="eastAsia"/>
                <w:sz w:val="21"/>
                <w:szCs w:val="21"/>
                <w:highlight w:val="none"/>
                <w:lang w:val="en-US" w:eastAsia="zh-CN"/>
              </w:rPr>
              <w:t>S</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0.16</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8.385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NH</w:t>
            </w:r>
            <w:r>
              <w:rPr>
                <w:rFonts w:hint="eastAsia"/>
                <w:sz w:val="21"/>
                <w:szCs w:val="21"/>
                <w:highlight w:val="none"/>
                <w:vertAlign w:val="subscript"/>
                <w:lang w:val="en-US" w:eastAsia="zh-CN"/>
              </w:rPr>
              <w:t>3</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2.344</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0.20</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5.789</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PM</w:t>
            </w:r>
            <w:r>
              <w:rPr>
                <w:rFonts w:hint="eastAsia"/>
                <w:sz w:val="21"/>
                <w:szCs w:val="21"/>
                <w:highlight w:val="none"/>
                <w:vertAlign w:val="subscript"/>
                <w:lang w:val="en-US" w:eastAsia="zh-CN"/>
              </w:rPr>
              <w:t>10</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0.252</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0.45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470</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0.021</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1.85</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0.84</w:t>
            </w:r>
          </w:p>
        </w:tc>
        <w:tc>
          <w:tcPr>
            <w:tcW w:w="0" w:type="auto"/>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0.12</w:t>
            </w:r>
          </w:p>
        </w:tc>
        <w:tc>
          <w:tcPr>
            <w:tcW w:w="0" w:type="auto"/>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color w:val="000000"/>
          <w:sz w:val="24"/>
          <w:szCs w:val="22"/>
          <w:highlight w:val="none"/>
        </w:rPr>
      </w:pPr>
      <w:r>
        <w:rPr>
          <w:rFonts w:ascii="Times New Roman" w:hAnsi="Times New Roman" w:cs="Times New Roman"/>
          <w:bCs/>
          <w:color w:val="000000"/>
          <w:sz w:val="24"/>
          <w:szCs w:val="22"/>
          <w:highlight w:val="none"/>
        </w:rPr>
        <w:t>根据《制定地方大气污染物排放标准的技术方法》规定，</w:t>
      </w:r>
      <w:r>
        <w:rPr>
          <w:rFonts w:hint="eastAsia" w:asciiTheme="minorEastAsia" w:hAnsiTheme="minorEastAsia" w:eastAsiaTheme="minorEastAsia" w:cstheme="minorEastAsia"/>
          <w:bCs/>
          <w:color w:val="000000"/>
          <w:sz w:val="24"/>
          <w:szCs w:val="22"/>
          <w:highlight w:val="none"/>
        </w:rPr>
        <w:t>“无组织排放多种有害气体的工业企业，</w:t>
      </w:r>
      <w:r>
        <w:rPr>
          <w:rFonts w:hint="default" w:ascii="Times New Roman" w:hAnsi="Times New Roman" w:cs="Times New Roman" w:eastAsiaTheme="minorEastAsia"/>
          <w:bCs/>
          <w:color w:val="000000"/>
          <w:sz w:val="24"/>
          <w:szCs w:val="22"/>
          <w:highlight w:val="none"/>
        </w:rPr>
        <w:t>按Q</w:t>
      </w:r>
      <w:r>
        <w:rPr>
          <w:rFonts w:hint="default" w:ascii="Times New Roman" w:hAnsi="Times New Roman" w:cs="Times New Roman" w:eastAsiaTheme="minorEastAsia"/>
          <w:bCs/>
          <w:color w:val="000000"/>
          <w:sz w:val="24"/>
          <w:szCs w:val="22"/>
          <w:highlight w:val="none"/>
          <w:vertAlign w:val="subscript"/>
        </w:rPr>
        <w:t>c</w:t>
      </w:r>
      <w:r>
        <w:rPr>
          <w:rFonts w:hint="default" w:ascii="Times New Roman" w:hAnsi="Times New Roman" w:cs="Times New Roman" w:eastAsiaTheme="minorEastAsia"/>
          <w:bCs/>
          <w:color w:val="000000"/>
          <w:sz w:val="24"/>
          <w:szCs w:val="22"/>
          <w:highlight w:val="none"/>
        </w:rPr>
        <w:t>/C</w:t>
      </w:r>
      <w:r>
        <w:rPr>
          <w:rFonts w:hint="default" w:ascii="Times New Roman" w:hAnsi="Times New Roman" w:cs="Times New Roman" w:eastAsiaTheme="minorEastAsia"/>
          <w:bCs/>
          <w:color w:val="000000"/>
          <w:sz w:val="24"/>
          <w:szCs w:val="22"/>
          <w:highlight w:val="none"/>
          <w:vertAlign w:val="subscript"/>
        </w:rPr>
        <w:t>m</w:t>
      </w:r>
      <w:r>
        <w:rPr>
          <w:rFonts w:hint="default" w:ascii="Times New Roman" w:hAnsi="Times New Roman" w:cs="Times New Roman" w:eastAsiaTheme="minorEastAsia"/>
          <w:bCs/>
          <w:color w:val="000000"/>
          <w:sz w:val="24"/>
          <w:szCs w:val="22"/>
          <w:highlight w:val="none"/>
        </w:rPr>
        <w:t>的最大值计算其所需卫生防护距离；但当按两种或两种以上的有害气体的Q</w:t>
      </w:r>
      <w:r>
        <w:rPr>
          <w:rFonts w:hint="default" w:ascii="Times New Roman" w:hAnsi="Times New Roman" w:cs="Times New Roman" w:eastAsiaTheme="minorEastAsia"/>
          <w:bCs/>
          <w:color w:val="000000"/>
          <w:sz w:val="24"/>
          <w:szCs w:val="22"/>
          <w:highlight w:val="none"/>
          <w:vertAlign w:val="subscript"/>
        </w:rPr>
        <w:t>c</w:t>
      </w:r>
      <w:r>
        <w:rPr>
          <w:rFonts w:hint="default" w:ascii="Times New Roman" w:hAnsi="Times New Roman" w:cs="Times New Roman" w:eastAsiaTheme="minorEastAsia"/>
          <w:bCs/>
          <w:color w:val="000000"/>
          <w:sz w:val="24"/>
          <w:szCs w:val="22"/>
          <w:highlight w:val="none"/>
        </w:rPr>
        <w:t>/C</w:t>
      </w:r>
      <w:r>
        <w:rPr>
          <w:rFonts w:hint="default" w:ascii="Times New Roman" w:hAnsi="Times New Roman" w:cs="Times New Roman" w:eastAsiaTheme="minorEastAsia"/>
          <w:bCs/>
          <w:color w:val="000000"/>
          <w:sz w:val="24"/>
          <w:szCs w:val="22"/>
          <w:highlight w:val="none"/>
          <w:vertAlign w:val="subscript"/>
        </w:rPr>
        <w:t>m</w:t>
      </w:r>
      <w:r>
        <w:rPr>
          <w:rFonts w:hint="default" w:ascii="Times New Roman" w:hAnsi="Times New Roman" w:cs="Times New Roman" w:eastAsiaTheme="minorEastAsia"/>
          <w:bCs/>
          <w:color w:val="000000"/>
          <w:sz w:val="24"/>
          <w:szCs w:val="22"/>
          <w:highlight w:val="none"/>
        </w:rPr>
        <w:t>值计算的卫生防护距离在同一级别时，该类工业企业的卫生防护距离级别应该高一级。”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经计算，项目无组织排放2种有害气体，因此，场区需设置卫生防护距离为100m。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根据本项目平面布置，本项目卫生防护距离设置为：厂区：东场界100m、南场界100m、西场界100m、北场界100m。</w:t>
      </w:r>
    </w:p>
    <w:p>
      <w:pPr>
        <w:pStyle w:val="8"/>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8</w:t>
      </w:r>
      <w:r>
        <w:rPr>
          <w:highlight w:val="none"/>
        </w:rPr>
        <w:t>其他废气环境影响分析</w:t>
      </w:r>
    </w:p>
    <w:p>
      <w:pPr>
        <w:keepNext w:val="0"/>
        <w:keepLines w:val="0"/>
        <w:pageBreakBefore w:val="0"/>
        <w:kinsoku/>
        <w:wordWrap/>
        <w:overflowPunct/>
        <w:topLinePunct w:val="0"/>
        <w:autoSpaceDE/>
        <w:autoSpaceDN/>
        <w:bidi w:val="0"/>
        <w:adjustRightInd/>
        <w:snapToGrid/>
        <w:ind w:firstLine="480"/>
        <w:textAlignment w:val="auto"/>
        <w:rPr>
          <w:rFonts w:cs="Times New Roman"/>
          <w:highlight w:val="none"/>
        </w:rPr>
      </w:pPr>
      <w:bookmarkStart w:id="45" w:name="_Toc255379767"/>
      <w:r>
        <w:rPr>
          <w:rFonts w:cs="Times New Roman"/>
          <w:highlight w:val="none"/>
        </w:rPr>
        <w:t>（</w:t>
      </w:r>
      <w:r>
        <w:rPr>
          <w:rFonts w:hint="eastAsia" w:cs="Times New Roman"/>
          <w:highlight w:val="none"/>
        </w:rPr>
        <w:t>1</w:t>
      </w:r>
      <w:r>
        <w:rPr>
          <w:rFonts w:cs="Times New Roman"/>
          <w:highlight w:val="none"/>
        </w:rPr>
        <w:t>）</w:t>
      </w:r>
      <w:r>
        <w:rPr>
          <w:rFonts w:hint="eastAsia" w:cs="Times New Roman"/>
          <w:highlight w:val="none"/>
        </w:rPr>
        <w:t>食堂</w:t>
      </w:r>
      <w:r>
        <w:rPr>
          <w:rFonts w:cs="Times New Roman"/>
          <w:highlight w:val="none"/>
        </w:rPr>
        <w:t>油烟环境影响分析</w:t>
      </w:r>
    </w:p>
    <w:bookmarkEnd w:id="4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bCs/>
          <w:color w:val="auto"/>
          <w:sz w:val="24"/>
          <w:szCs w:val="24"/>
          <w:highlight w:val="none"/>
          <w:u w:val="single"/>
        </w:rPr>
      </w:pPr>
      <w:r>
        <w:rPr>
          <w:kern w:val="0"/>
          <w:highlight w:val="none"/>
        </w:rPr>
        <w:t>项目职工为</w:t>
      </w:r>
      <w:r>
        <w:rPr>
          <w:rFonts w:hint="eastAsia"/>
          <w:kern w:val="0"/>
          <w:highlight w:val="none"/>
          <w:lang w:val="en-US" w:eastAsia="zh-CN"/>
        </w:rPr>
        <w:t>90</w:t>
      </w:r>
      <w:r>
        <w:rPr>
          <w:kern w:val="0"/>
          <w:highlight w:val="none"/>
        </w:rPr>
        <w:t>人，</w:t>
      </w:r>
      <w:r>
        <w:rPr>
          <w:rFonts w:hint="eastAsia"/>
          <w:kern w:val="0"/>
          <w:highlight w:val="none"/>
        </w:rPr>
        <w:t>食堂每天供应三餐，类比牧原食品股份有限公司其它猪场食堂食用油用量的一般情况</w:t>
      </w:r>
      <w:r>
        <w:rPr>
          <w:kern w:val="0"/>
          <w:highlight w:val="none"/>
        </w:rPr>
        <w:t>，</w:t>
      </w:r>
      <w:r>
        <w:rPr>
          <w:rFonts w:hint="eastAsia"/>
          <w:kern w:val="0"/>
          <w:highlight w:val="none"/>
        </w:rPr>
        <w:t>人均食用油日用量</w:t>
      </w:r>
      <w:r>
        <w:rPr>
          <w:rFonts w:hint="eastAsia"/>
          <w:kern w:val="0"/>
          <w:highlight w:val="none"/>
          <w:lang w:eastAsia="zh-CN"/>
        </w:rPr>
        <w:t>以</w:t>
      </w:r>
      <w:r>
        <w:rPr>
          <w:rFonts w:ascii="Times New Roman" w:hAnsi="Times New Roman" w:cs="Times New Roman"/>
          <w:b w:val="0"/>
          <w:bCs w:val="0"/>
          <w:color w:val="auto"/>
          <w:sz w:val="24"/>
          <w:szCs w:val="22"/>
          <w:highlight w:val="none"/>
          <w:u w:val="none"/>
        </w:rPr>
        <w:t>25g/d计，年消耗食用油2</w:t>
      </w:r>
      <w:r>
        <w:rPr>
          <w:rFonts w:hint="eastAsia" w:cs="Times New Roman"/>
          <w:b w:val="0"/>
          <w:bCs w:val="0"/>
          <w:color w:val="auto"/>
          <w:sz w:val="24"/>
          <w:szCs w:val="22"/>
          <w:highlight w:val="none"/>
          <w:u w:val="none"/>
          <w:lang w:val="en-US" w:eastAsia="zh-CN"/>
        </w:rPr>
        <w:t>.25</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82</w:t>
      </w:r>
      <w:r>
        <w:rPr>
          <w:rFonts w:ascii="Times New Roman" w:hAnsi="Times New Roman" w:cs="Times New Roman"/>
          <w:b w:val="0"/>
          <w:bCs w:val="0"/>
          <w:color w:val="auto"/>
          <w:sz w:val="24"/>
          <w:szCs w:val="22"/>
          <w:highlight w:val="none"/>
          <w:u w:val="none"/>
        </w:rPr>
        <w:t>t/a，做饭时挥发损失约3%，则厨房油烟产生量约0.06</w:t>
      </w:r>
      <w:r>
        <w:rPr>
          <w:rFonts w:hint="eastAsia" w:cs="Times New Roman"/>
          <w:b w:val="0"/>
          <w:bCs w:val="0"/>
          <w:color w:val="auto"/>
          <w:sz w:val="24"/>
          <w:szCs w:val="22"/>
          <w:highlight w:val="none"/>
          <w:u w:val="none"/>
          <w:lang w:val="en-US" w:eastAsia="zh-CN"/>
        </w:rPr>
        <w:t>75</w:t>
      </w:r>
      <w:r>
        <w:rPr>
          <w:rFonts w:ascii="Times New Roman" w:hAnsi="Times New Roman" w:cs="Times New Roman"/>
          <w:b w:val="0"/>
          <w:bCs w:val="0"/>
          <w:color w:val="auto"/>
          <w:sz w:val="24"/>
          <w:szCs w:val="22"/>
          <w:highlight w:val="none"/>
          <w:u w:val="none"/>
        </w:rPr>
        <w:t>kg/d、0.02</w:t>
      </w:r>
      <w:r>
        <w:rPr>
          <w:rFonts w:hint="eastAsia" w:cs="Times New Roman"/>
          <w:b w:val="0"/>
          <w:bCs w:val="0"/>
          <w:color w:val="auto"/>
          <w:sz w:val="24"/>
          <w:szCs w:val="22"/>
          <w:highlight w:val="none"/>
          <w:u w:val="none"/>
          <w:lang w:val="en-US" w:eastAsia="zh-CN"/>
        </w:rPr>
        <w:t>5</w:t>
      </w:r>
      <w:r>
        <w:rPr>
          <w:rFonts w:ascii="Times New Roman" w:hAnsi="Times New Roman" w:cs="Times New Roman"/>
          <w:b w:val="0"/>
          <w:bCs w:val="0"/>
          <w:color w:val="auto"/>
          <w:sz w:val="24"/>
          <w:szCs w:val="22"/>
          <w:highlight w:val="none"/>
          <w:u w:val="none"/>
        </w:rPr>
        <w:t>t/a。项目废气量为</w:t>
      </w:r>
      <w:r>
        <w:rPr>
          <w:rFonts w:hint="eastAsia" w:ascii="Times New Roman" w:hAnsi="Times New Roman" w:cs="Times New Roman"/>
          <w:b w:val="0"/>
          <w:bCs w:val="0"/>
          <w:color w:val="auto"/>
          <w:sz w:val="24"/>
          <w:szCs w:val="22"/>
          <w:highlight w:val="none"/>
          <w:u w:val="none"/>
          <w:lang w:val="en-US" w:eastAsia="zh-CN"/>
        </w:rPr>
        <w:t>5</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ascii="Times New Roman" w:hAnsi="Times New Roman" w:cs="Times New Roman"/>
          <w:b w:val="0"/>
          <w:bCs w:val="0"/>
          <w:color w:val="auto"/>
          <w:sz w:val="24"/>
          <w:szCs w:val="22"/>
          <w:highlight w:val="none"/>
          <w:u w:val="none"/>
          <w:lang w:val="en-US" w:eastAsia="zh-CN"/>
        </w:rPr>
        <w:t>3</w:t>
      </w:r>
      <w:r>
        <w:rPr>
          <w:rFonts w:hint="eastAsia" w:cs="Times New Roman"/>
          <w:b w:val="0"/>
          <w:bCs w:val="0"/>
          <w:color w:val="auto"/>
          <w:sz w:val="24"/>
          <w:szCs w:val="22"/>
          <w:highlight w:val="none"/>
          <w:u w:val="none"/>
          <w:lang w:val="en-US" w:eastAsia="zh-CN"/>
        </w:rPr>
        <w:t>.42</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，建设单位安装净化效率不低于90%的油烟净化装置，经处理后排放。经计算，处理后餐厅油烟年排放量为0.002</w:t>
      </w:r>
      <w:r>
        <w:rPr>
          <w:rFonts w:hint="eastAsia" w:cs="Times New Roman"/>
          <w:b w:val="0"/>
          <w:bCs w:val="0"/>
          <w:color w:val="auto"/>
          <w:sz w:val="24"/>
          <w:szCs w:val="22"/>
          <w:highlight w:val="none"/>
          <w:u w:val="none"/>
          <w:lang w:val="en-US" w:eastAsia="zh-CN"/>
        </w:rPr>
        <w:t>5</w:t>
      </w:r>
      <w:r>
        <w:rPr>
          <w:rFonts w:ascii="Times New Roman" w:hAnsi="Times New Roman" w:cs="Times New Roman"/>
          <w:b w:val="0"/>
          <w:bCs w:val="0"/>
          <w:color w:val="auto"/>
          <w:sz w:val="24"/>
          <w:szCs w:val="22"/>
          <w:highlight w:val="none"/>
          <w:u w:val="none"/>
        </w:rPr>
        <w:t>t/a，排放浓度为0.</w:t>
      </w:r>
      <w:r>
        <w:rPr>
          <w:rFonts w:hint="eastAsia" w:ascii="Times New Roman" w:hAnsi="Times New Roman" w:cs="Times New Roman"/>
          <w:b w:val="0"/>
          <w:bCs w:val="0"/>
          <w:color w:val="auto"/>
          <w:sz w:val="24"/>
          <w:szCs w:val="22"/>
          <w:highlight w:val="none"/>
          <w:u w:val="none"/>
          <w:lang w:val="en-US" w:eastAsia="zh-CN"/>
        </w:rPr>
        <w:t>3</w:t>
      </w:r>
      <w:r>
        <w:rPr>
          <w:rFonts w:hint="eastAsia" w:cs="Times New Roman"/>
          <w:b w:val="0"/>
          <w:bCs w:val="0"/>
          <w:color w:val="auto"/>
          <w:sz w:val="24"/>
          <w:szCs w:val="22"/>
          <w:highlight w:val="none"/>
          <w:u w:val="none"/>
          <w:lang w:val="en-US" w:eastAsia="zh-CN"/>
        </w:rPr>
        <w:t>4</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2018)规定限值油烟1.5 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要求，实现达标排放。</w:t>
      </w:r>
    </w:p>
    <w:p>
      <w:pPr>
        <w:pStyle w:val="8"/>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.1</w:t>
      </w:r>
      <w:r>
        <w:rPr>
          <w:rFonts w:hint="eastAsia"/>
          <w:highlight w:val="none"/>
        </w:rPr>
        <w:t>.</w:t>
      </w:r>
      <w:r>
        <w:rPr>
          <w:rFonts w:hint="eastAsia"/>
          <w:highlight w:val="none"/>
          <w:lang w:val="en-US" w:eastAsia="zh-CN"/>
        </w:rPr>
        <w:t>9</w:t>
      </w:r>
      <w:r>
        <w:rPr>
          <w:rFonts w:hint="eastAsia"/>
          <w:highlight w:val="none"/>
        </w:rPr>
        <w:t>大气环境影响评价自查表</w:t>
      </w:r>
    </w:p>
    <w:p>
      <w:pPr>
        <w:pStyle w:val="22"/>
        <w:rPr>
          <w:rFonts w:hint="eastAsia" w:cs="Times New Roman"/>
          <w:highlight w:val="none"/>
        </w:rPr>
      </w:pPr>
      <w:r>
        <w:rPr>
          <w:rFonts w:hint="eastAsia" w:cs="Times New Roman"/>
          <w:highlight w:val="none"/>
        </w:rPr>
        <w:t>表</w:t>
      </w:r>
      <w:r>
        <w:rPr>
          <w:rFonts w:hint="eastAsia" w:cs="Times New Roman"/>
          <w:highlight w:val="none"/>
          <w:lang w:val="en-US" w:eastAsia="zh-CN"/>
        </w:rPr>
        <w:t>4</w:t>
      </w:r>
      <w:r>
        <w:rPr>
          <w:rFonts w:cs="Times New Roman"/>
          <w:highlight w:val="none"/>
        </w:rPr>
        <w:t>.</w:t>
      </w:r>
      <w:r>
        <w:rPr>
          <w:rFonts w:hint="eastAsia" w:cs="Times New Roman"/>
          <w:highlight w:val="none"/>
        </w:rPr>
        <w:t>2</w:t>
      </w:r>
      <w:r>
        <w:rPr>
          <w:rFonts w:cs="Times New Roman"/>
          <w:highlight w:val="none"/>
        </w:rPr>
        <w:t>-</w:t>
      </w:r>
      <w:r>
        <w:rPr>
          <w:rFonts w:hint="eastAsia" w:cs="Times New Roman"/>
          <w:highlight w:val="none"/>
          <w:lang w:val="en-US" w:eastAsia="zh-CN"/>
        </w:rPr>
        <w:t>20</w:t>
      </w:r>
      <w:r>
        <w:rPr>
          <w:rFonts w:cs="Times New Roman"/>
          <w:highlight w:val="none"/>
        </w:rPr>
        <w:t xml:space="preserve"> </w:t>
      </w:r>
      <w:r>
        <w:rPr>
          <w:rFonts w:hint="eastAsia" w:cs="Times New Roman"/>
          <w:highlight w:val="none"/>
        </w:rPr>
        <w:t>建设项目大气环境影响评价自查表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83"/>
        <w:gridCol w:w="1124"/>
        <w:gridCol w:w="681"/>
        <w:gridCol w:w="578"/>
        <w:gridCol w:w="257"/>
        <w:gridCol w:w="23"/>
        <w:gridCol w:w="774"/>
        <w:gridCol w:w="689"/>
        <w:gridCol w:w="134"/>
        <w:gridCol w:w="515"/>
        <w:gridCol w:w="752"/>
        <w:gridCol w:w="866"/>
        <w:gridCol w:w="252"/>
        <w:gridCol w:w="712"/>
        <w:gridCol w:w="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68" w:type="pct"/>
            <w:gridSpan w:val="2"/>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000000"/>
                <w:sz w:val="21"/>
                <w:szCs w:val="21"/>
                <w:highlight w:val="none"/>
              </w:rPr>
            </w:pPr>
            <w:r>
              <w:rPr>
                <w:rFonts w:ascii="Times New Roman" w:hAnsi="Times New Roman"/>
                <w:bCs/>
                <w:color w:val="000000"/>
                <w:sz w:val="21"/>
                <w:szCs w:val="21"/>
                <w:highlight w:val="none"/>
              </w:rPr>
              <w:t>工作内容</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评价等级与范围</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评价等级</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一级□</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二级</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评价范围</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边长=50km□</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边长=5~50km□</w:t>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评价因子</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+NOx排放量</w:t>
            </w:r>
          </w:p>
        </w:tc>
        <w:tc>
          <w:tcPr>
            <w:tcW w:w="758"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≥2000t/a□</w:t>
            </w:r>
          </w:p>
        </w:tc>
        <w:tc>
          <w:tcPr>
            <w:tcW w:w="1440"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500~2000t/a□</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&lt;500t/a</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评价因子</w:t>
            </w:r>
          </w:p>
        </w:tc>
        <w:tc>
          <w:tcPr>
            <w:tcW w:w="2199" w:type="pct"/>
            <w:gridSpan w:val="8"/>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基本污染物(</w:t>
            </w:r>
            <w:r>
              <w:rPr>
                <w:rFonts w:hint="eastAsia" w:ascii="Times New Roman" w:hAnsi="Times New Roman"/>
                <w:bCs/>
                <w:color w:val="000000"/>
                <w:sz w:val="21"/>
                <w:szCs w:val="21"/>
                <w:highlight w:val="none"/>
                <w:lang w:val="en-US" w:eastAsia="zh-CN"/>
              </w:rPr>
              <w:t>PM</w:t>
            </w:r>
            <w:r>
              <w:rPr>
                <w:rFonts w:hint="eastAsia" w:ascii="Times New Roman" w:hAnsi="Times New Roman"/>
                <w:bCs/>
                <w:color w:val="000000"/>
                <w:sz w:val="21"/>
                <w:szCs w:val="21"/>
                <w:highlight w:val="none"/>
                <w:vertAlign w:val="subscript"/>
                <w:lang w:val="en-US" w:eastAsia="zh-CN"/>
              </w:rPr>
              <w:t>10</w:t>
            </w: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)、其他污染物(H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ascii="Times New Roman" w:hAnsi="Times New Roman"/>
                <w:bCs/>
                <w:color w:val="000000"/>
                <w:sz w:val="21"/>
                <w:szCs w:val="21"/>
                <w:highlight w:val="none"/>
              </w:rPr>
              <w:t xml:space="preserve"> )</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不包括二次PM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评价标准</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评价标准</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国家标准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06" w:type="pct"/>
            <w:gridSpan w:val="3"/>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地方标准</w:t>
            </w:r>
            <w:r>
              <w:rPr>
                <w:rFonts w:hint="eastAsia"/>
                <w:bCs/>
                <w:color w:val="000000"/>
                <w:sz w:val="21"/>
                <w:szCs w:val="21"/>
                <w:highlight w:val="none"/>
                <w:lang w:eastAsia="zh-CN"/>
              </w:rPr>
              <w:t>□</w:t>
            </w:r>
          </w:p>
        </w:tc>
        <w:tc>
          <w:tcPr>
            <w:tcW w:w="974"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附录D</w:t>
            </w:r>
            <w:r>
              <w:rPr>
                <w:rFonts w:hint="eastAsia"/>
                <w:bCs/>
                <w:color w:val="000000"/>
                <w:sz w:val="21"/>
                <w:szCs w:val="21"/>
                <w:highlight w:val="none"/>
                <w:lang w:eastAsia="zh-CN"/>
              </w:rPr>
              <w:t>□</w:t>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现状评价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评价功能区</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二类区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评价基准年</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环境空气质量现状调查数据来源</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长期例行监测标准□</w:t>
            </w:r>
          </w:p>
        </w:tc>
        <w:tc>
          <w:tcPr>
            <w:tcW w:w="1780"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主管部门发布的数据标准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现状补充标准</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现状评价</w:t>
            </w:r>
          </w:p>
        </w:tc>
        <w:tc>
          <w:tcPr>
            <w:tcW w:w="2199" w:type="pct"/>
            <w:gridSpan w:val="8"/>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达标区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不达标区</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污染源调查</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调查内容</w:t>
            </w:r>
          </w:p>
        </w:tc>
        <w:tc>
          <w:tcPr>
            <w:tcW w:w="1393"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本项目正常排放源</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本项目非正常排放源□</w:t>
            </w:r>
          </w:p>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现有污染源□</w:t>
            </w:r>
          </w:p>
        </w:tc>
        <w:tc>
          <w:tcPr>
            <w:tcW w:w="806"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拟替代的污染源□</w:t>
            </w:r>
          </w:p>
        </w:tc>
        <w:tc>
          <w:tcPr>
            <w:tcW w:w="974"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其他在建、拟建项目污染源□</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大气环境影响预测与评价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预测模型</w:t>
            </w:r>
          </w:p>
        </w:tc>
        <w:tc>
          <w:tcPr>
            <w:tcW w:w="41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AERMOD□</w:t>
            </w:r>
          </w:p>
        </w:tc>
        <w:tc>
          <w:tcPr>
            <w:tcW w:w="50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ADMS□</w:t>
            </w:r>
          </w:p>
        </w:tc>
        <w:tc>
          <w:tcPr>
            <w:tcW w:w="895"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AUSTAL2000□</w:t>
            </w:r>
          </w:p>
        </w:tc>
        <w:tc>
          <w:tcPr>
            <w:tcW w:w="84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EDMS/AEDT□</w:t>
            </w:r>
          </w:p>
        </w:tc>
        <w:tc>
          <w:tcPr>
            <w:tcW w:w="67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CALPUFF□</w:t>
            </w:r>
          </w:p>
        </w:tc>
        <w:tc>
          <w:tcPr>
            <w:tcW w:w="428"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网格模型□</w:t>
            </w:r>
          </w:p>
        </w:tc>
        <w:tc>
          <w:tcPr>
            <w:tcW w:w="2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其他</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预测范围</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边长≥50km□</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边长5~50km□</w:t>
            </w:r>
          </w:p>
        </w:tc>
        <w:tc>
          <w:tcPr>
            <w:tcW w:w="706"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边长=5km</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预测因子</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预测因子(H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hint="eastAsia"/>
                <w:bCs/>
                <w:color w:val="000000"/>
                <w:sz w:val="21"/>
                <w:szCs w:val="21"/>
                <w:highlight w:val="none"/>
                <w:vertAlign w:val="baseline"/>
                <w:lang w:eastAsia="zh-CN"/>
              </w:rPr>
              <w:t>、</w:t>
            </w:r>
            <w:r>
              <w:rPr>
                <w:rFonts w:hint="eastAsia" w:ascii="Times New Roman" w:hAnsi="Times New Roman"/>
                <w:bCs/>
                <w:color w:val="000000"/>
                <w:sz w:val="21"/>
                <w:szCs w:val="21"/>
                <w:highlight w:val="none"/>
                <w:lang w:val="en-US" w:eastAsia="zh-CN"/>
              </w:rPr>
              <w:t>PM</w:t>
            </w:r>
            <w:r>
              <w:rPr>
                <w:rFonts w:hint="eastAsia" w:ascii="Times New Roman" w:hAnsi="Times New Roman"/>
                <w:bCs/>
                <w:color w:val="000000"/>
                <w:sz w:val="21"/>
                <w:szCs w:val="21"/>
                <w:highlight w:val="none"/>
                <w:vertAlign w:val="subscript"/>
                <w:lang w:val="en-US" w:eastAsia="zh-CN"/>
              </w:rPr>
              <w:t>10</w:t>
            </w:r>
            <w:r>
              <w:rPr>
                <w:rFonts w:hint="eastAsia"/>
                <w:bCs/>
                <w:color w:val="000000"/>
                <w:sz w:val="21"/>
                <w:szCs w:val="21"/>
                <w:highlight w:val="none"/>
                <w:vertAlign w:val="baseline"/>
                <w:lang w:val="en-US" w:eastAsia="zh-CN"/>
              </w:rPr>
              <w:t>、</w:t>
            </w: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 xml:space="preserve">  )</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t>□</w:t>
            </w:r>
            <w:r>
              <w:rPr>
                <w:rFonts w:ascii="Times New Roman" w:hAnsi="Times New Roman"/>
                <w:bCs/>
                <w:color w:val="000000"/>
                <w:sz w:val="21"/>
                <w:szCs w:val="21"/>
                <w:highlight w:val="none"/>
              </w:rPr>
              <w:br w:type="textWrapping"/>
            </w:r>
            <w:r>
              <w:rPr>
                <w:rFonts w:ascii="Times New Roman" w:hAnsi="Times New Roman"/>
                <w:bCs/>
                <w:color w:val="000000"/>
                <w:sz w:val="21"/>
                <w:szCs w:val="21"/>
                <w:highlight w:val="none"/>
              </w:rPr>
              <w:t>不包括二次PM</w:t>
            </w:r>
            <w:r>
              <w:rPr>
                <w:rFonts w:ascii="Times New Roman" w:hAnsi="Times New Roman"/>
                <w:bCs/>
                <w:color w:val="000000"/>
                <w:sz w:val="21"/>
                <w:szCs w:val="21"/>
                <w:highlight w:val="none"/>
                <w:vertAlign w:val="subscript"/>
              </w:rPr>
              <w:t>2.5</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正常排放短期浓度贡献值</w:t>
            </w:r>
          </w:p>
        </w:tc>
        <w:tc>
          <w:tcPr>
            <w:tcW w:w="2652" w:type="pct"/>
            <w:gridSpan w:val="9"/>
            <w:tcBorders>
              <w:tl2br w:val="nil"/>
              <w:tr2bl w:val="nil"/>
            </w:tcBorders>
            <w:noWrap w:val="0"/>
            <w:vAlign w:val="center"/>
          </w:tcPr>
          <w:p>
            <w:pPr>
              <w:widowControl/>
              <w:spacing w:line="260" w:lineRule="exact"/>
              <w:jc w:val="center"/>
              <w:rPr>
                <w:rFonts w:hint="eastAsia" w:ascii="Times New Roman" w:hAnsi="Times New Roman" w:eastAsia="宋体"/>
                <w:bCs/>
                <w:color w:val="000000"/>
                <w:sz w:val="21"/>
                <w:szCs w:val="21"/>
                <w:highlight w:val="none"/>
                <w:lang w:eastAsia="zh-CN"/>
              </w:rPr>
            </w:pPr>
            <w:r>
              <w:rPr>
                <w:rFonts w:ascii="Times New Roman" w:hAnsi="Times New Roman"/>
                <w:bCs/>
                <w:color w:val="000000"/>
                <w:sz w:val="21"/>
                <w:szCs w:val="21"/>
                <w:highlight w:val="none"/>
              </w:rPr>
              <w:t>C本项目最大占标率≤100%</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C本项目最大占标率&gt;100%□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正常排放年均浓度贡献值</w:t>
            </w:r>
          </w:p>
        </w:tc>
        <w:tc>
          <w:tcPr>
            <w:tcW w:w="913"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一类区</w:t>
            </w:r>
          </w:p>
        </w:tc>
        <w:tc>
          <w:tcPr>
            <w:tcW w:w="1739"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最大占标率≤10%□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最大占标率&gt;10%□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913" w:type="pct"/>
            <w:gridSpan w:val="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二类区</w:t>
            </w:r>
          </w:p>
        </w:tc>
        <w:tc>
          <w:tcPr>
            <w:tcW w:w="1739"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最大占标率≤30%□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本项目</w:t>
            </w:r>
            <w:r>
              <w:rPr>
                <w:rFonts w:ascii="Times New Roman" w:hAnsi="Times New Roman"/>
                <w:bCs/>
                <w:color w:val="000000"/>
                <w:sz w:val="21"/>
                <w:szCs w:val="21"/>
                <w:highlight w:val="none"/>
              </w:rPr>
              <w:t>最大占标率&gt;30%□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非正常1h浓度贡献值</w:t>
            </w:r>
          </w:p>
        </w:tc>
        <w:tc>
          <w:tcPr>
            <w:tcW w:w="91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非正常持续时长(  )h</w:t>
            </w:r>
          </w:p>
        </w:tc>
        <w:tc>
          <w:tcPr>
            <w:tcW w:w="2412" w:type="pct"/>
            <w:gridSpan w:val="8"/>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非正常</w:t>
            </w:r>
            <w:r>
              <w:rPr>
                <w:rFonts w:ascii="Times New Roman" w:hAnsi="Times New Roman"/>
                <w:bCs/>
                <w:color w:val="000000"/>
                <w:sz w:val="21"/>
                <w:szCs w:val="21"/>
                <w:highlight w:val="none"/>
              </w:rPr>
              <w:t>占标率≤100%□</w:t>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w:t>
            </w:r>
            <w:r>
              <w:rPr>
                <w:rFonts w:ascii="Times New Roman" w:hAnsi="Times New Roman"/>
                <w:bCs/>
                <w:color w:val="000000"/>
                <w:sz w:val="21"/>
                <w:szCs w:val="21"/>
                <w:highlight w:val="none"/>
                <w:vertAlign w:val="subscript"/>
              </w:rPr>
              <w:t>非正常</w:t>
            </w:r>
            <w:r>
              <w:rPr>
                <w:rFonts w:ascii="Times New Roman" w:hAnsi="Times New Roman"/>
                <w:bCs/>
                <w:color w:val="000000"/>
                <w:sz w:val="21"/>
                <w:szCs w:val="21"/>
                <w:highlight w:val="none"/>
              </w:rPr>
              <w:t>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保证率日平均浓度和年平均浓度叠加值</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C叠加达标□</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区域环境质量的整体变化情况</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k≤-20%□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k&gt;-20%□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环境监测计划</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监测因子：(H</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S、NH</w:t>
            </w:r>
            <w:r>
              <w:rPr>
                <w:rFonts w:ascii="Times New Roman" w:hAnsi="Times New Roman"/>
                <w:bCs/>
                <w:color w:val="000000"/>
                <w:sz w:val="21"/>
                <w:szCs w:val="21"/>
                <w:highlight w:val="none"/>
                <w:vertAlign w:val="subscript"/>
              </w:rPr>
              <w:t>3</w:t>
            </w:r>
            <w:r>
              <w:rPr>
                <w:rFonts w:ascii="Times New Roman" w:hAnsi="Times New Roman"/>
                <w:bCs/>
                <w:color w:val="000000"/>
                <w:sz w:val="21"/>
                <w:szCs w:val="21"/>
                <w:highlight w:val="none"/>
              </w:rPr>
              <w:t>、颗粒物、SO</w:t>
            </w:r>
            <w:r>
              <w:rPr>
                <w:rFonts w:ascii="Times New Roman" w:hAnsi="Times New Roman"/>
                <w:bCs/>
                <w:color w:val="000000"/>
                <w:sz w:val="21"/>
                <w:szCs w:val="21"/>
                <w:highlight w:val="none"/>
                <w:vertAlign w:val="subscript"/>
              </w:rPr>
              <w:t>2</w:t>
            </w:r>
            <w:r>
              <w:rPr>
                <w:rFonts w:ascii="Times New Roman" w:hAnsi="Times New Roman"/>
                <w:bCs/>
                <w:color w:val="000000"/>
                <w:sz w:val="21"/>
                <w:szCs w:val="21"/>
                <w:highlight w:val="none"/>
              </w:rPr>
              <w:t>、NO</w:t>
            </w:r>
            <w:r>
              <w:rPr>
                <w:rFonts w:ascii="Times New Roman" w:hAnsi="Times New Roman"/>
                <w:bCs/>
                <w:color w:val="000000"/>
                <w:sz w:val="21"/>
                <w:szCs w:val="21"/>
                <w:highlight w:val="none"/>
                <w:vertAlign w:val="subscript"/>
              </w:rPr>
              <w:t>X</w:t>
            </w:r>
            <w:r>
              <w:rPr>
                <w:rFonts w:ascii="Times New Roman" w:hAnsi="Times New Roman"/>
                <w:bCs/>
                <w:color w:val="000000"/>
                <w:sz w:val="21"/>
                <w:szCs w:val="21"/>
                <w:highlight w:val="none"/>
              </w:rPr>
              <w:t>)</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有组织废气监测</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br w:type="textWrapping"/>
            </w:r>
            <w:r>
              <w:rPr>
                <w:rFonts w:ascii="Times New Roman" w:hAnsi="Times New Roman"/>
                <w:bCs/>
                <w:color w:val="000000"/>
                <w:sz w:val="21"/>
                <w:szCs w:val="21"/>
                <w:highlight w:val="none"/>
              </w:rPr>
              <w:t>无组织废气监测</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环境质量监测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监测因子：(   )</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监测点位数(  )</w:t>
            </w:r>
          </w:p>
        </w:tc>
        <w:tc>
          <w:tcPr>
            <w:tcW w:w="706" w:type="pct"/>
            <w:gridSpan w:val="2"/>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评价结论</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环境影响</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 xml:space="preserve">可以接受 </w:t>
            </w:r>
            <w:r>
              <w:rPr>
                <w:rFonts w:ascii="Times New Roman" w:hAnsi="Times New Roman"/>
                <w:bCs/>
                <w:color w:val="000000"/>
                <w:sz w:val="21"/>
                <w:szCs w:val="21"/>
                <w:highlight w:val="none"/>
              </w:rPr>
              <w:fldChar w:fldCharType="begin"/>
            </w:r>
            <w:r>
              <w:rPr>
                <w:rFonts w:ascii="Times New Roman" w:hAnsi="Times New Roman"/>
                <w:bCs/>
                <w:color w:val="000000"/>
                <w:sz w:val="21"/>
                <w:szCs w:val="21"/>
                <w:highlight w:val="none"/>
              </w:rPr>
              <w:instrText xml:space="preserve"> eq \o\ac(</w:instrText>
            </w:r>
            <w:r>
              <w:rPr>
                <w:rFonts w:ascii="Times New Roman" w:hAnsi="Times New Roman"/>
                <w:bCs/>
                <w:color w:val="000000"/>
                <w:position w:val="-4"/>
                <w:sz w:val="31"/>
                <w:szCs w:val="21"/>
                <w:highlight w:val="none"/>
              </w:rPr>
              <w:instrText xml:space="preserve">□</w:instrText>
            </w:r>
            <w:r>
              <w:rPr>
                <w:rFonts w:ascii="Times New Roman" w:hAnsi="Times New Roman"/>
                <w:bCs/>
                <w:color w:val="000000"/>
                <w:position w:val="0"/>
                <w:sz w:val="21"/>
                <w:szCs w:val="21"/>
                <w:highlight w:val="none"/>
              </w:rPr>
              <w:instrText xml:space="preserve">,√)</w:instrText>
            </w:r>
            <w:r>
              <w:rPr>
                <w:rFonts w:ascii="Times New Roman" w:hAnsi="Times New Roman"/>
                <w:bCs/>
                <w:color w:val="000000"/>
                <w:sz w:val="21"/>
                <w:szCs w:val="21"/>
                <w:highlight w:val="none"/>
              </w:rPr>
              <w:fldChar w:fldCharType="end"/>
            </w:r>
            <w:r>
              <w:rPr>
                <w:rFonts w:ascii="Times New Roman" w:hAnsi="Times New Roman"/>
                <w:bCs/>
                <w:color w:val="000000"/>
                <w:sz w:val="21"/>
                <w:szCs w:val="21"/>
                <w:highlight w:val="none"/>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大气环境防护距离</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污染源年排放量</w:t>
            </w:r>
          </w:p>
        </w:tc>
        <w:tc>
          <w:tcPr>
            <w:tcW w:w="927" w:type="pct"/>
            <w:gridSpan w:val="4"/>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000000"/>
                <w:sz w:val="21"/>
                <w:szCs w:val="21"/>
                <w:highlight w:val="none"/>
              </w:rPr>
            </w:pPr>
            <w:r>
              <w:rPr>
                <w:rFonts w:ascii="Times New Roman" w:hAnsi="Times New Roman"/>
                <w:bCs/>
                <w:color w:val="000000"/>
                <w:sz w:val="21"/>
                <w:szCs w:val="21"/>
                <w:highlight w:val="none"/>
              </w:rPr>
              <w:t>SO</w:t>
            </w:r>
            <w:r>
              <w:rPr>
                <w:rFonts w:ascii="Times New Roman" w:hAnsi="Times New Roman"/>
                <w:bCs/>
                <w:color w:val="000000"/>
                <w:sz w:val="21"/>
                <w:szCs w:val="21"/>
                <w:highlight w:val="none"/>
                <w:vertAlign w:val="subscript"/>
              </w:rPr>
              <w:t>2</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ascii="Times New Roman" w:hAnsi="Times New Roman"/>
                <w:bCs/>
                <w:color w:val="000000"/>
                <w:sz w:val="21"/>
                <w:szCs w:val="21"/>
                <w:highlight w:val="none"/>
                <w:lang w:val="en-US" w:eastAsia="zh-CN"/>
              </w:rPr>
              <w:t>0.0</w:t>
            </w:r>
            <w:r>
              <w:rPr>
                <w:rFonts w:hint="eastAsia"/>
                <w:bCs/>
                <w:color w:val="000000"/>
                <w:sz w:val="21"/>
                <w:szCs w:val="21"/>
                <w:highlight w:val="none"/>
                <w:lang w:val="en-US" w:eastAsia="zh-CN"/>
              </w:rPr>
              <w:t>28</w:t>
            </w:r>
            <w:r>
              <w:rPr>
                <w:rFonts w:ascii="Times New Roman" w:hAnsi="Times New Roman"/>
                <w:bCs/>
                <w:color w:val="000000"/>
                <w:sz w:val="21"/>
                <w:szCs w:val="21"/>
                <w:highlight w:val="none"/>
              </w:rPr>
              <w:t>)t/a</w:t>
            </w:r>
          </w:p>
        </w:tc>
        <w:tc>
          <w:tcPr>
            <w:tcW w:w="962" w:type="pct"/>
            <w:gridSpan w:val="3"/>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000000"/>
                <w:sz w:val="21"/>
                <w:szCs w:val="21"/>
                <w:highlight w:val="none"/>
              </w:rPr>
            </w:pPr>
            <w:r>
              <w:rPr>
                <w:rFonts w:ascii="Times New Roman" w:hAnsi="Times New Roman"/>
                <w:bCs/>
                <w:color w:val="000000"/>
                <w:sz w:val="21"/>
                <w:szCs w:val="21"/>
                <w:highlight w:val="none"/>
              </w:rPr>
              <w:t>NO</w:t>
            </w:r>
            <w:r>
              <w:rPr>
                <w:rFonts w:hint="eastAsia"/>
                <w:bCs/>
                <w:color w:val="000000"/>
                <w:sz w:val="21"/>
                <w:szCs w:val="21"/>
                <w:highlight w:val="none"/>
                <w:vertAlign w:val="subscript"/>
                <w:lang w:val="en-US" w:eastAsia="zh-CN"/>
              </w:rPr>
              <w:t>X</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ascii="Times New Roman" w:hAnsi="Times New Roman"/>
                <w:bCs/>
                <w:color w:val="000000"/>
                <w:sz w:val="21"/>
                <w:szCs w:val="21"/>
                <w:highlight w:val="none"/>
              </w:rPr>
              <w:t>0.</w:t>
            </w:r>
            <w:r>
              <w:rPr>
                <w:rFonts w:hint="eastAsia"/>
                <w:bCs/>
                <w:color w:val="000000"/>
                <w:sz w:val="21"/>
                <w:szCs w:val="21"/>
                <w:highlight w:val="none"/>
                <w:lang w:val="en-US" w:eastAsia="zh-CN"/>
              </w:rPr>
              <w:t>252</w:t>
            </w:r>
            <w:r>
              <w:rPr>
                <w:rFonts w:ascii="Times New Roman" w:hAnsi="Times New Roman"/>
                <w:bCs/>
                <w:color w:val="000000"/>
                <w:sz w:val="21"/>
                <w:szCs w:val="21"/>
                <w:highlight w:val="none"/>
              </w:rPr>
              <w:t>)t/a</w:t>
            </w:r>
          </w:p>
        </w:tc>
        <w:tc>
          <w:tcPr>
            <w:tcW w:w="1284" w:type="pct"/>
            <w:gridSpan w:val="3"/>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000000"/>
                <w:sz w:val="21"/>
                <w:szCs w:val="21"/>
                <w:highlight w:val="none"/>
              </w:rPr>
            </w:pPr>
            <w:r>
              <w:rPr>
                <w:rFonts w:ascii="Times New Roman" w:hAnsi="Times New Roman"/>
                <w:bCs/>
                <w:color w:val="000000"/>
                <w:sz w:val="21"/>
                <w:szCs w:val="21"/>
                <w:highlight w:val="none"/>
              </w:rPr>
              <w:t>颗粒物</w:t>
            </w:r>
            <w:r>
              <w:rPr>
                <w:rFonts w:hint="eastAsia"/>
                <w:bCs/>
                <w:color w:val="000000"/>
                <w:sz w:val="21"/>
                <w:szCs w:val="21"/>
                <w:highlight w:val="none"/>
                <w:lang w:eastAsia="zh-CN"/>
              </w:rPr>
              <w:t>：</w:t>
            </w:r>
            <w:r>
              <w:rPr>
                <w:rFonts w:ascii="Times New Roman" w:hAnsi="Times New Roman"/>
                <w:bCs/>
                <w:color w:val="000000"/>
                <w:sz w:val="21"/>
                <w:szCs w:val="21"/>
                <w:highlight w:val="none"/>
              </w:rPr>
              <w:t>(</w:t>
            </w:r>
            <w:r>
              <w:rPr>
                <w:rFonts w:hint="eastAsia" w:ascii="Times New Roman" w:hAnsi="Times New Roman"/>
                <w:bCs/>
                <w:color w:val="000000"/>
                <w:sz w:val="21"/>
                <w:szCs w:val="21"/>
                <w:highlight w:val="none"/>
              </w:rPr>
              <w:t>0.</w:t>
            </w:r>
            <w:r>
              <w:rPr>
                <w:rFonts w:hint="eastAsia"/>
                <w:bCs/>
                <w:color w:val="000000"/>
                <w:sz w:val="21"/>
                <w:szCs w:val="21"/>
                <w:highlight w:val="none"/>
                <w:lang w:val="en-US" w:eastAsia="zh-CN"/>
              </w:rPr>
              <w:t>771</w:t>
            </w:r>
            <w:r>
              <w:rPr>
                <w:rFonts w:ascii="Times New Roman" w:hAnsi="Times New Roman"/>
                <w:bCs/>
                <w:color w:val="000000"/>
                <w:sz w:val="21"/>
                <w:szCs w:val="21"/>
                <w:highlight w:val="none"/>
              </w:rPr>
              <w:t>)t/a</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VOCs</w:t>
            </w:r>
            <w:r>
              <w:rPr>
                <w:rFonts w:hint="eastAsia"/>
                <w:bCs/>
                <w:color w:val="000000"/>
                <w:sz w:val="21"/>
                <w:szCs w:val="21"/>
                <w:highlight w:val="none"/>
                <w:lang w:eastAsia="zh-CN"/>
              </w:rPr>
              <w:t>：</w:t>
            </w:r>
            <w:r>
              <w:rPr>
                <w:rFonts w:ascii="Times New Roman" w:hAnsi="Times New Roman"/>
                <w:bCs/>
                <w:color w:val="000000"/>
                <w:sz w:val="21"/>
                <w:szCs w:val="21"/>
                <w:highlight w:val="none"/>
              </w:rPr>
              <w:t>(0)t/a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000" w:type="pct"/>
            <w:gridSpan w:val="15"/>
            <w:tcBorders>
              <w:tl2br w:val="nil"/>
              <w:tr2bl w:val="nil"/>
            </w:tcBorders>
            <w:noWrap w:val="0"/>
            <w:vAlign w:val="center"/>
          </w:tcPr>
          <w:p>
            <w:pPr>
              <w:widowControl/>
              <w:spacing w:line="260" w:lineRule="exact"/>
              <w:jc w:val="center"/>
              <w:rPr>
                <w:rFonts w:ascii="Times New Roman" w:hAnsi="Times New Roman"/>
                <w:bCs/>
                <w:color w:val="000000"/>
                <w:sz w:val="21"/>
                <w:szCs w:val="21"/>
                <w:highlight w:val="none"/>
              </w:rPr>
            </w:pPr>
            <w:r>
              <w:rPr>
                <w:rFonts w:ascii="Times New Roman" w:hAnsi="Times New Roman"/>
                <w:bCs/>
                <w:color w:val="000000"/>
                <w:sz w:val="21"/>
                <w:szCs w:val="21"/>
                <w:highlight w:val="none"/>
              </w:rPr>
              <w:t>注：“□”，填“√”；“(  )”为内容填写项</w:t>
            </w:r>
          </w:p>
        </w:tc>
      </w:tr>
    </w:tbl>
    <w:p>
      <w:pPr>
        <w:pStyle w:val="7"/>
        <w:spacing w:before="66"/>
        <w:ind w:firstLine="482"/>
        <w:rPr>
          <w:highlight w:val="none"/>
        </w:rPr>
      </w:pPr>
      <w:r>
        <w:rPr>
          <w:rFonts w:hint="eastAsia"/>
          <w:highlight w:val="none"/>
          <w:lang w:val="en-US" w:eastAsia="zh-CN"/>
        </w:rPr>
        <w:t>4</w:t>
      </w:r>
      <w:r>
        <w:rPr>
          <w:highlight w:val="none"/>
        </w:rPr>
        <w:t>.2</w:t>
      </w:r>
      <w:r>
        <w:rPr>
          <w:rFonts w:hint="eastAsia"/>
          <w:highlight w:val="none"/>
        </w:rPr>
        <w:t>.2</w:t>
      </w:r>
      <w:r>
        <w:rPr>
          <w:highlight w:val="none"/>
        </w:rPr>
        <w:t>地表水环境影响预测与评价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《排污许可证申请与核发技术规范  畜禽养殖行业（HJ1029-2019）》对畜禽养殖行业废水的直接排放和间接排放进行了解释：</w:t>
      </w:r>
      <w:r>
        <w:rPr>
          <w:rFonts w:hint="eastAsia" w:asciiTheme="minorEastAsia" w:hAnsiTheme="minorEastAsia" w:eastAsiaTheme="minorEastAsia" w:cstheme="minorEastAsia"/>
          <w:bCs/>
          <w:sz w:val="24"/>
          <w:szCs w:val="24"/>
          <w:highlight w:val="none"/>
        </w:rPr>
        <w:t>“直接排放指进入江河、湖、库等水环境，进入城市下水道（再进入江河、湖、库），进入城市下水道（再入沿海海域），以及其他直接进入环境水体的排放方式；间接排放指进入城镇污水集中处理设施、进入其他单位废水处理设施、进入工业废水集中处理设施，以及其他间接进入环境水体的排放方式”</w:t>
      </w:r>
      <w:r>
        <w:rPr>
          <w:rFonts w:ascii="Times New Roman" w:hAnsi="Times New Roman" w:cs="Times New Roman"/>
          <w:bCs/>
          <w:sz w:val="24"/>
          <w:szCs w:val="24"/>
          <w:highlight w:val="none"/>
        </w:rPr>
        <w:t>。本项目废水经场内污水处理设施处理后，沼液全部实现综合利用，不设排污口，不排放，本项目地表水评价按三级B进行简要分析。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根据《环境影响评价技术导则  地表水环境》（HJ2.3-2018）</w:t>
      </w:r>
      <w:r>
        <w:rPr>
          <w:rFonts w:hint="eastAsia" w:ascii="Times New Roman" w:hAnsi="Times New Roman" w:cs="Times New Roman"/>
          <w:bCs/>
          <w:sz w:val="24"/>
          <w:szCs w:val="24"/>
          <w:highlight w:val="none"/>
        </w:rPr>
        <w:t>“水污染型三级B可不进行水环境影响预测”</w:t>
      </w:r>
      <w:r>
        <w:rPr>
          <w:rFonts w:ascii="Times New Roman" w:hAnsi="Times New Roman" w:cs="Times New Roman"/>
          <w:bCs/>
          <w:sz w:val="24"/>
          <w:szCs w:val="24"/>
          <w:highlight w:val="none"/>
        </w:rPr>
        <w:t>的要求，评价主要评价内容包括水污染控制和水环境影响减缓措施有效性评价；依托污水处理设施的环境可行性评价。</w:t>
      </w:r>
    </w:p>
    <w:p>
      <w:pPr>
        <w:pStyle w:val="8"/>
        <w:ind w:firstLine="482"/>
        <w:rPr>
          <w:rFonts w:ascii="Times New Roman" w:hAnsi="Times New Roman" w:cs="Times New Roman"/>
          <w:bCs/>
          <w:sz w:val="24"/>
          <w:szCs w:val="24"/>
          <w:highlight w:val="none"/>
        </w:rPr>
      </w:pPr>
      <w:r>
        <w:rPr>
          <w:rFonts w:hint="eastAsia"/>
          <w:highlight w:val="none"/>
          <w:lang w:val="en-US" w:eastAsia="zh-CN"/>
        </w:rPr>
        <w:t>4</w:t>
      </w:r>
      <w:r>
        <w:rPr>
          <w:highlight w:val="none"/>
        </w:rPr>
        <w:t>.2.2.1水污染控制和水环境影响减缓措施有效性评价</w:t>
      </w:r>
      <w:r>
        <w:rPr>
          <w:rFonts w:ascii="Times New Roman" w:hAnsi="Times New Roman" w:cs="Times New Roman"/>
          <w:bCs/>
          <w:sz w:val="24"/>
          <w:szCs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（1）</w:t>
      </w:r>
      <w:r>
        <w:rPr>
          <w:rFonts w:ascii="Times New Roman" w:hAnsi="Times New Roman" w:cs="Times New Roman"/>
          <w:bCs/>
          <w:sz w:val="24"/>
          <w:szCs w:val="24"/>
          <w:highlight w:val="none"/>
        </w:rPr>
        <w:t>正常工况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4"/>
          <w:highlight w:val="none"/>
        </w:rPr>
      </w:pPr>
      <w:r>
        <w:rPr>
          <w:rFonts w:ascii="Times New Roman" w:hAnsi="Times New Roman" w:cs="Times New Roman"/>
          <w:bCs/>
          <w:sz w:val="24"/>
          <w:szCs w:val="24"/>
          <w:highlight w:val="none"/>
        </w:rPr>
        <w:t>项目废水产生量为</w:t>
      </w:r>
      <w:r>
        <w:rPr>
          <w:rFonts w:ascii="Times New Roman" w:hAnsi="Times New Roman" w:cs="Times New Roman"/>
          <w:bCs/>
          <w:color w:val="000000"/>
          <w:sz w:val="24"/>
          <w:szCs w:val="24"/>
          <w:highlight w:val="none"/>
        </w:rPr>
        <w:t>夏季</w:t>
      </w:r>
      <w:r>
        <w:rPr>
          <w:rFonts w:hint="eastAsia" w:cs="Times New Roman"/>
          <w:bCs/>
          <w:color w:val="000000"/>
          <w:sz w:val="24"/>
          <w:szCs w:val="24"/>
          <w:highlight w:val="none"/>
          <w:lang w:val="en-US" w:eastAsia="zh-CN"/>
        </w:rPr>
        <w:t>416.91</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/d，其他季节</w:t>
      </w:r>
      <w:r>
        <w:rPr>
          <w:rFonts w:hint="eastAsia" w:cs="Times New Roman"/>
          <w:bCs/>
          <w:color w:val="000000"/>
          <w:sz w:val="24"/>
          <w:szCs w:val="24"/>
          <w:highlight w:val="none"/>
          <w:lang w:val="en-US" w:eastAsia="zh-CN"/>
        </w:rPr>
        <w:t>287.08</w:t>
      </w:r>
      <w:r>
        <w:rPr>
          <w:rFonts w:ascii="Times New Roman" w:hAnsi="Times New Roman" w:cs="Times New Roman"/>
          <w:bCs/>
          <w:color w:val="000000"/>
          <w:sz w:val="24"/>
          <w:szCs w:val="24"/>
          <w:highlight w:val="none"/>
        </w:rPr>
        <w:t>m</w:t>
      </w:r>
      <w:r>
        <w:rPr>
          <w:rFonts w:ascii="Times New Roman" w:hAnsi="Times New Roman" w:cs="Times New Roman"/>
          <w:bCs/>
          <w:color w:val="000000"/>
          <w:sz w:val="24"/>
          <w:szCs w:val="24"/>
          <w:highlight w:val="none"/>
          <w:vertAlign w:val="superscript"/>
        </w:rPr>
        <w:t>3</w:t>
      </w:r>
      <w:r>
        <w:rPr>
          <w:rFonts w:ascii="Times New Roman" w:hAnsi="Times New Roman" w:cs="Times New Roman"/>
          <w:bCs/>
          <w:color w:val="000000"/>
          <w:sz w:val="24"/>
          <w:szCs w:val="24"/>
          <w:highlight w:val="none"/>
        </w:rPr>
        <w:t>/d，</w:t>
      </w:r>
      <w:r>
        <w:rPr>
          <w:rFonts w:hint="eastAsia" w:ascii="Times New Roman" w:hAnsi="Times New Roman" w:cs="Times New Roman"/>
          <w:bCs/>
          <w:color w:val="000000"/>
          <w:sz w:val="24"/>
          <w:szCs w:val="24"/>
          <w:highlight w:val="none"/>
          <w:lang w:eastAsia="zh-CN"/>
        </w:rPr>
        <w:t>废水进入沼气池进行处理后沼液</w:t>
      </w:r>
      <w:r>
        <w:rPr>
          <w:rFonts w:ascii="Times New Roman" w:hAnsi="Times New Roman" w:cs="Times New Roman"/>
          <w:bCs/>
          <w:color w:val="000000"/>
          <w:sz w:val="24"/>
          <w:szCs w:val="24"/>
          <w:highlight w:val="none"/>
        </w:rPr>
        <w:t>作为农肥施用于项目配套农田的种植。废水全部消纳利用，不外排。</w:t>
      </w:r>
      <w:r>
        <w:rPr>
          <w:rFonts w:ascii="Times New Roman" w:hAnsi="Times New Roman" w:cs="Times New Roman"/>
          <w:bCs/>
          <w:sz w:val="24"/>
          <w:szCs w:val="24"/>
          <w:highlight w:val="none"/>
        </w:rPr>
        <w:t>项目的生产运营不会对评价区地表水环境造成污染影响。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sz w:val="24"/>
          <w:szCs w:val="24"/>
          <w:highlight w:val="none"/>
        </w:rPr>
        <w:t>（2）雨季及非施肥期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sz w:val="24"/>
          <w:szCs w:val="24"/>
          <w:highlight w:val="none"/>
        </w:rPr>
      </w:pPr>
      <w:r>
        <w:rPr>
          <w:rFonts w:ascii="Times New Roman" w:hAnsi="Times New Roman" w:cs="Times New Roman"/>
          <w:bCs/>
          <w:color w:val="000000"/>
          <w:sz w:val="24"/>
          <w:szCs w:val="22"/>
          <w:highlight w:val="none"/>
        </w:rPr>
        <w:t>雨季及非施肥期，项目所产生的沼液无法及时消纳，拟全部暂存于沼液储存池，项目场内设1个沼液储存池，项目沼液作为基肥使用，结合当地施肥习惯，按照存储166d以上沼液的规模设计沼液储存池，有效容积不得低于</w:t>
      </w:r>
      <w:r>
        <w:rPr>
          <w:rFonts w:hint="eastAsia" w:ascii="Times New Roman" w:hAnsi="Times New Roman" w:cs="Times New Roman"/>
          <w:bCs/>
          <w:color w:val="000000"/>
          <w:sz w:val="24"/>
          <w:szCs w:val="22"/>
          <w:highlight w:val="none"/>
          <w:lang w:val="en-US" w:eastAsia="zh-CN"/>
        </w:rPr>
        <w:t>71066</w:t>
      </w:r>
      <w:r>
        <w:rPr>
          <w:rFonts w:ascii="Times New Roman" w:hAnsi="Times New Roman" w:cs="Times New Roman"/>
          <w:bCs/>
          <w:color w:val="000000"/>
          <w:sz w:val="24"/>
          <w:szCs w:val="22"/>
          <w:highlight w:val="none"/>
        </w:rPr>
        <w:t>m</w:t>
      </w:r>
      <w:r>
        <w:rPr>
          <w:rFonts w:ascii="Times New Roman" w:hAnsi="Times New Roman" w:cs="Times New Roman"/>
          <w:bCs/>
          <w:color w:val="000000"/>
          <w:sz w:val="24"/>
          <w:szCs w:val="22"/>
          <w:highlight w:val="none"/>
          <w:vertAlign w:val="superscript"/>
        </w:rPr>
        <w:t>3</w:t>
      </w:r>
      <w:r>
        <w:rPr>
          <w:rFonts w:ascii="Times New Roman" w:hAnsi="Times New Roman" w:cs="Times New Roman"/>
          <w:bCs/>
          <w:color w:val="000000"/>
          <w:sz w:val="24"/>
          <w:szCs w:val="22"/>
          <w:highlight w:val="none"/>
        </w:rPr>
        <w:t>，同时考虑最大降雨量，本项目设计沼液存储池总容积</w:t>
      </w:r>
      <w:r>
        <w:rPr>
          <w:rFonts w:hint="eastAsia" w:ascii="Times New Roman" w:hAnsi="Times New Roman" w:cs="Times New Roman"/>
          <w:bCs/>
          <w:color w:val="000000"/>
          <w:sz w:val="24"/>
          <w:szCs w:val="22"/>
          <w:highlight w:val="none"/>
          <w:lang w:eastAsia="zh-CN"/>
        </w:rPr>
        <w:t>10</w:t>
      </w:r>
      <w:r>
        <w:rPr>
          <w:rFonts w:hint="eastAsia" w:cs="Times New Roman"/>
          <w:bCs/>
          <w:color w:val="000000"/>
          <w:sz w:val="24"/>
          <w:szCs w:val="22"/>
          <w:highlight w:val="none"/>
          <w:lang w:val="en-US" w:eastAsia="zh-CN"/>
        </w:rPr>
        <w:t>0</w:t>
      </w:r>
      <w:r>
        <w:rPr>
          <w:rFonts w:hint="eastAsia" w:ascii="Times New Roman" w:hAnsi="Times New Roman" w:cs="Times New Roman"/>
          <w:bCs/>
          <w:color w:val="000000"/>
          <w:sz w:val="24"/>
          <w:szCs w:val="22"/>
          <w:highlight w:val="none"/>
          <w:lang w:eastAsia="zh-CN"/>
        </w:rPr>
        <w:t>000m</w:t>
      </w:r>
      <w:r>
        <w:rPr>
          <w:rFonts w:ascii="Times New Roman" w:hAnsi="Times New Roman" w:cs="Times New Roman"/>
          <w:bCs/>
          <w:color w:val="000000"/>
          <w:sz w:val="24"/>
          <w:szCs w:val="22"/>
          <w:highlight w:val="none"/>
          <w:vertAlign w:val="superscript"/>
        </w:rPr>
        <w:t>3</w:t>
      </w:r>
      <w:r>
        <w:rPr>
          <w:rFonts w:ascii="Times New Roman" w:hAnsi="Times New Roman" w:cs="Times New Roman"/>
          <w:bCs/>
          <w:color w:val="000000"/>
          <w:sz w:val="24"/>
          <w:szCs w:val="22"/>
          <w:highlight w:val="none"/>
        </w:rPr>
        <w:t>，位于项目用地</w:t>
      </w:r>
      <w:r>
        <w:rPr>
          <w:rFonts w:hint="eastAsia" w:cs="Times New Roman"/>
          <w:bCs/>
          <w:color w:val="000000"/>
          <w:sz w:val="24"/>
          <w:szCs w:val="22"/>
          <w:highlight w:val="none"/>
          <w:lang w:eastAsia="zh-CN"/>
        </w:rPr>
        <w:t>东北</w:t>
      </w:r>
      <w:r>
        <w:rPr>
          <w:rFonts w:ascii="Times New Roman" w:hAnsi="Times New Roman" w:cs="Times New Roman"/>
          <w:bCs/>
          <w:color w:val="000000"/>
          <w:sz w:val="24"/>
          <w:szCs w:val="22"/>
          <w:highlight w:val="none"/>
        </w:rPr>
        <w:t>侧。</w:t>
      </w:r>
    </w:p>
    <w:p>
      <w:pPr>
        <w:pStyle w:val="8"/>
        <w:ind w:firstLine="482"/>
        <w:rPr>
          <w:rFonts w:hint="eastAsia"/>
          <w:highlight w:val="none"/>
          <w:lang w:val="en-US" w:eastAsia="zh-CN"/>
        </w:rPr>
      </w:pPr>
      <w:r>
        <w:rPr>
          <w:rFonts w:hint="eastAsia"/>
          <w:highlight w:val="none"/>
          <w:lang w:val="en-US" w:eastAsia="zh-CN"/>
        </w:rPr>
        <w:t>4.2.2.2污水处理设施的环境可行性评价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000000"/>
          <w:sz w:val="24"/>
          <w:szCs w:val="22"/>
          <w:highlight w:val="none"/>
        </w:rPr>
      </w:pPr>
      <w:r>
        <w:rPr>
          <w:rFonts w:ascii="Times New Roman" w:hAnsi="Times New Roman" w:cs="Times New Roman"/>
          <w:bCs/>
          <w:color w:val="000000"/>
          <w:sz w:val="24"/>
          <w:szCs w:val="22"/>
          <w:highlight w:val="none"/>
        </w:rPr>
        <w:t>污水处理设施的环境可行性评价主要为本项目自建污水处理设施可行性评价，该部分内容详见</w:t>
      </w:r>
      <w:r>
        <w:rPr>
          <w:rFonts w:hint="eastAsia" w:cs="Times New Roman"/>
          <w:bCs/>
          <w:color w:val="000000"/>
          <w:sz w:val="24"/>
          <w:szCs w:val="22"/>
          <w:highlight w:val="none"/>
          <w:lang w:eastAsia="zh-CN"/>
        </w:rPr>
        <w:t>“</w:t>
      </w:r>
      <w:r>
        <w:rPr>
          <w:rFonts w:ascii="Times New Roman" w:hAnsi="Times New Roman" w:cs="Times New Roman"/>
          <w:bCs/>
          <w:color w:val="000000"/>
          <w:sz w:val="24"/>
          <w:szCs w:val="22"/>
          <w:highlight w:val="none"/>
        </w:rPr>
        <w:t>第五章 环境保护措施及其可行性论证</w:t>
      </w:r>
      <w:r>
        <w:rPr>
          <w:rFonts w:hint="eastAsia" w:cs="Times New Roman"/>
          <w:bCs/>
          <w:color w:val="000000"/>
          <w:sz w:val="24"/>
          <w:szCs w:val="22"/>
          <w:highlight w:val="none"/>
          <w:lang w:eastAsia="zh-CN"/>
        </w:rPr>
        <w:t>”</w:t>
      </w:r>
      <w:r>
        <w:rPr>
          <w:rFonts w:ascii="Times New Roman" w:hAnsi="Times New Roman" w:cs="Times New Roman"/>
          <w:bCs/>
          <w:color w:val="000000"/>
          <w:sz w:val="24"/>
          <w:szCs w:val="22"/>
          <w:highlight w:val="none"/>
        </w:rPr>
        <w:t>中</w:t>
      </w:r>
      <w:r>
        <w:rPr>
          <w:rFonts w:hint="eastAsia" w:asciiTheme="minorEastAsia" w:hAnsiTheme="minorEastAsia" w:eastAsiaTheme="minorEastAsia" w:cstheme="minorEastAsia"/>
          <w:bCs/>
          <w:color w:val="000000"/>
          <w:sz w:val="24"/>
          <w:szCs w:val="22"/>
          <w:highlight w:val="none"/>
        </w:rPr>
        <w:t xml:space="preserve"> “废水</w:t>
      </w:r>
      <w:r>
        <w:rPr>
          <w:rFonts w:hint="eastAsia" w:asciiTheme="minorEastAsia" w:hAnsiTheme="minorEastAsia" w:eastAsiaTheme="minorEastAsia" w:cstheme="minorEastAsia"/>
          <w:bCs/>
          <w:color w:val="000000"/>
          <w:sz w:val="24"/>
          <w:szCs w:val="22"/>
          <w:highlight w:val="none"/>
          <w:lang w:eastAsia="zh-CN"/>
        </w:rPr>
        <w:t>治理措施</w:t>
      </w:r>
      <w:r>
        <w:rPr>
          <w:rFonts w:hint="eastAsia" w:asciiTheme="minorEastAsia" w:hAnsiTheme="minorEastAsia" w:eastAsiaTheme="minorEastAsia" w:cstheme="minorEastAsia"/>
          <w:bCs/>
          <w:color w:val="000000"/>
          <w:sz w:val="24"/>
          <w:szCs w:val="22"/>
          <w:highlight w:val="none"/>
        </w:rPr>
        <w:t>”章节内容。</w:t>
      </w:r>
    </w:p>
    <w:p>
      <w:pPr>
        <w:pStyle w:val="8"/>
        <w:ind w:firstLine="482"/>
        <w:rPr>
          <w:rFonts w:hint="eastAsia"/>
          <w:highlight w:val="none"/>
          <w:lang w:val="en-US" w:eastAsia="zh-CN"/>
        </w:rPr>
      </w:pPr>
      <w:r>
        <w:rPr>
          <w:rFonts w:hint="eastAsia"/>
          <w:highlight w:val="none"/>
          <w:lang w:val="en-US" w:eastAsia="zh-CN"/>
        </w:rPr>
        <w:t>4.2.2.3水污染物排放信息及排放量核算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000000"/>
          <w:sz w:val="24"/>
          <w:szCs w:val="22"/>
          <w:highlight w:val="none"/>
        </w:rPr>
      </w:pPr>
      <w:r>
        <w:rPr>
          <w:rFonts w:ascii="Times New Roman" w:hAnsi="Times New Roman" w:cs="Times New Roman"/>
          <w:bCs/>
          <w:color w:val="000000"/>
          <w:sz w:val="24"/>
          <w:szCs w:val="22"/>
          <w:highlight w:val="none"/>
        </w:rPr>
        <w:t>①废水类别、污染物及污染治理设施信息</w:t>
      </w:r>
    </w:p>
    <w:p>
      <w:pPr>
        <w:pStyle w:val="40"/>
        <w:rPr>
          <w:rFonts w:hint="eastAsia" w:cs="Times New Roman"/>
          <w:highlight w:val="none"/>
          <w:lang w:val="en-US" w:eastAsia="zh-CN"/>
        </w:rPr>
      </w:pPr>
      <w:r>
        <w:rPr>
          <w:rFonts w:hint="eastAsia" w:cs="Times New Roman"/>
          <w:highlight w:val="none"/>
          <w:lang w:val="en-US" w:eastAsia="zh-CN"/>
        </w:rPr>
        <w:t>表4.2-21 废水类别、污染物及污染治理设施信息表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29"/>
        <w:gridCol w:w="975"/>
        <w:gridCol w:w="792"/>
        <w:gridCol w:w="499"/>
        <w:gridCol w:w="858"/>
        <w:gridCol w:w="702"/>
        <w:gridCol w:w="704"/>
        <w:gridCol w:w="484"/>
        <w:gridCol w:w="677"/>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60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废水类别</w:t>
            </w:r>
          </w:p>
        </w:tc>
        <w:tc>
          <w:tcPr>
            <w:tcW w:w="57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污染物种类</w:t>
            </w:r>
          </w:p>
        </w:tc>
        <w:tc>
          <w:tcPr>
            <w:tcW w:w="46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排放去向</w:t>
            </w:r>
          </w:p>
        </w:tc>
        <w:tc>
          <w:tcPr>
            <w:tcW w:w="29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排放规律</w:t>
            </w:r>
          </w:p>
        </w:tc>
        <w:tc>
          <w:tcPr>
            <w:tcW w:w="1338" w:type="pct"/>
            <w:gridSpan w:val="3"/>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w:t>
            </w:r>
          </w:p>
        </w:tc>
        <w:tc>
          <w:tcPr>
            <w:tcW w:w="28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400"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排放口设置是否符合要求</w:t>
            </w:r>
          </w:p>
        </w:tc>
        <w:tc>
          <w:tcPr>
            <w:tcW w:w="552"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608"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76"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468"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295"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07"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污染治理设施编号</w:t>
            </w:r>
          </w:p>
        </w:tc>
        <w:tc>
          <w:tcPr>
            <w:tcW w:w="415"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污染治理设施名称</w:t>
            </w:r>
          </w:p>
        </w:tc>
        <w:tc>
          <w:tcPr>
            <w:tcW w:w="415"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污染治理设施工艺</w:t>
            </w:r>
          </w:p>
        </w:tc>
        <w:tc>
          <w:tcPr>
            <w:tcW w:w="286"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400"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552"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73"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08"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养殖废水（猪尿液、猪舍冲洗废水、猪粪含水）</w:t>
            </w:r>
          </w:p>
        </w:tc>
        <w:tc>
          <w:tcPr>
            <w:tcW w:w="57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COD、BOD</w:t>
            </w:r>
            <w:r>
              <w:rPr>
                <w:rFonts w:hint="eastAsia"/>
                <w:sz w:val="21"/>
                <w:szCs w:val="21"/>
                <w:highlight w:val="none"/>
                <w:vertAlign w:val="subscript"/>
                <w:lang w:val="en-US" w:eastAsia="zh-CN"/>
              </w:rPr>
              <w:t>5</w:t>
            </w:r>
            <w:r>
              <w:rPr>
                <w:rFonts w:hint="eastAsia"/>
                <w:sz w:val="21"/>
                <w:szCs w:val="21"/>
                <w:highlight w:val="none"/>
                <w:lang w:val="en-US" w:eastAsia="zh-CN"/>
              </w:rPr>
              <w:t>、SS、氨氮</w:t>
            </w:r>
          </w:p>
        </w:tc>
        <w:tc>
          <w:tcPr>
            <w:tcW w:w="468"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黑膜沼气池厌氧发酵，制成沼液，沼液综合利用，不外排</w:t>
            </w:r>
          </w:p>
        </w:tc>
        <w:tc>
          <w:tcPr>
            <w:tcW w:w="29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507"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TW001</w:t>
            </w:r>
          </w:p>
        </w:tc>
        <w:tc>
          <w:tcPr>
            <w:tcW w:w="41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污水处理系统</w:t>
            </w:r>
          </w:p>
        </w:tc>
        <w:tc>
          <w:tcPr>
            <w:tcW w:w="415"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“固液分离+黑膜沼气池”</w:t>
            </w:r>
          </w:p>
        </w:tc>
        <w:tc>
          <w:tcPr>
            <w:tcW w:w="286"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400"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□是</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□否</w:t>
            </w:r>
          </w:p>
        </w:tc>
        <w:tc>
          <w:tcPr>
            <w:tcW w:w="552" w:type="pct"/>
            <w:vMerge w:val="restar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□企业总排</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□雨水排放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□清净下水排放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□温排水排放</w:t>
            </w:r>
          </w:p>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08"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生活污水</w:t>
            </w:r>
          </w:p>
        </w:tc>
        <w:tc>
          <w:tcPr>
            <w:tcW w:w="57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COD、BOD</w:t>
            </w:r>
            <w:r>
              <w:rPr>
                <w:rFonts w:hint="eastAsia"/>
                <w:sz w:val="21"/>
                <w:szCs w:val="21"/>
                <w:highlight w:val="none"/>
                <w:vertAlign w:val="subscript"/>
                <w:lang w:val="en-US" w:eastAsia="zh-CN"/>
              </w:rPr>
              <w:t>5</w:t>
            </w:r>
            <w:r>
              <w:rPr>
                <w:rFonts w:hint="eastAsia"/>
                <w:sz w:val="21"/>
                <w:szCs w:val="21"/>
                <w:highlight w:val="none"/>
                <w:lang w:val="en-US" w:eastAsia="zh-CN"/>
              </w:rPr>
              <w:t>、SS、氨氮</w:t>
            </w:r>
          </w:p>
        </w:tc>
        <w:tc>
          <w:tcPr>
            <w:tcW w:w="468"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295"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507"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415"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415"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286" w:type="pct"/>
            <w:vMerge w:val="continue"/>
            <w:tcBorders>
              <w:tl2br w:val="nil"/>
              <w:tr2bl w:val="nil"/>
            </w:tcBorders>
            <w:noWrap w:val="0"/>
            <w:vAlign w:val="center"/>
          </w:tcPr>
          <w:p>
            <w:pPr>
              <w:pStyle w:val="136"/>
              <w:spacing w:line="240" w:lineRule="auto"/>
              <w:ind w:firstLine="0"/>
              <w:jc w:val="center"/>
              <w:rPr>
                <w:sz w:val="21"/>
                <w:szCs w:val="21"/>
                <w:highlight w:val="none"/>
                <w:lang w:val="en-US" w:eastAsia="zh-CN"/>
              </w:rPr>
            </w:pPr>
          </w:p>
        </w:tc>
        <w:tc>
          <w:tcPr>
            <w:tcW w:w="400" w:type="pct"/>
            <w:vMerge w:val="continue"/>
            <w:tcBorders>
              <w:tl2br w:val="nil"/>
              <w:tr2bl w:val="nil"/>
            </w:tcBorders>
            <w:noWrap w:val="0"/>
            <w:vAlign w:val="center"/>
          </w:tcPr>
          <w:p>
            <w:pPr>
              <w:pStyle w:val="136"/>
              <w:spacing w:line="240" w:lineRule="auto"/>
              <w:ind w:firstLine="0"/>
              <w:jc w:val="center"/>
              <w:rPr>
                <w:b/>
                <w:sz w:val="21"/>
                <w:szCs w:val="21"/>
                <w:highlight w:val="none"/>
                <w:lang w:val="en-US" w:eastAsia="zh-CN"/>
              </w:rPr>
            </w:pPr>
          </w:p>
        </w:tc>
        <w:tc>
          <w:tcPr>
            <w:tcW w:w="552" w:type="pct"/>
            <w:vMerge w:val="continue"/>
            <w:tcBorders>
              <w:tl2br w:val="nil"/>
              <w:tr2bl w:val="nil"/>
            </w:tcBorders>
            <w:noWrap w:val="0"/>
            <w:vAlign w:val="center"/>
          </w:tcPr>
          <w:p>
            <w:pPr>
              <w:pStyle w:val="136"/>
              <w:spacing w:line="240" w:lineRule="auto"/>
              <w:ind w:firstLine="0"/>
              <w:jc w:val="center"/>
              <w:rPr>
                <w:b/>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②废水污染物排放信息</w:t>
      </w:r>
    </w:p>
    <w:p>
      <w:pPr>
        <w:pStyle w:val="40"/>
        <w:rPr>
          <w:rFonts w:hint="eastAsia" w:cs="Times New Roman"/>
          <w:highlight w:val="none"/>
          <w:lang w:val="en-US" w:eastAsia="zh-CN"/>
        </w:rPr>
      </w:pPr>
      <w:r>
        <w:rPr>
          <w:rFonts w:hint="eastAsia" w:cs="Times New Roman"/>
          <w:highlight w:val="none"/>
          <w:lang w:val="en-US" w:eastAsia="zh-CN"/>
        </w:rPr>
        <w:t>表4.2-22 废水污染物排放信息表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59"/>
        <w:gridCol w:w="1164"/>
        <w:gridCol w:w="1636"/>
        <w:gridCol w:w="1770"/>
        <w:gridCol w:w="1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80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排放口编号</w:t>
            </w: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污染物种类</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排放浓度/（mg/L）</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日排放量/（t/d）</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803"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803"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68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96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1045"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③污染物排放量核算</w:t>
      </w:r>
    </w:p>
    <w:p>
      <w:pPr>
        <w:pStyle w:val="22"/>
        <w:rPr>
          <w:rFonts w:hint="eastAsia" w:cs="Times New Roman"/>
          <w:highlight w:val="none"/>
        </w:rPr>
      </w:pPr>
      <w:r>
        <w:rPr>
          <w:rFonts w:hint="eastAsia" w:cs="Times New Roman"/>
          <w:highlight w:val="none"/>
        </w:rPr>
        <w:t>表</w:t>
      </w:r>
      <w:r>
        <w:rPr>
          <w:rFonts w:hint="eastAsia" w:cs="Times New Roman"/>
          <w:highlight w:val="none"/>
          <w:lang w:val="en-US" w:eastAsia="zh-CN"/>
        </w:rPr>
        <w:t>4.2</w:t>
      </w:r>
      <w:r>
        <w:rPr>
          <w:rFonts w:hint="eastAsia" w:cs="Times New Roman"/>
          <w:highlight w:val="none"/>
        </w:rPr>
        <w:t>-2</w:t>
      </w:r>
      <w:r>
        <w:rPr>
          <w:rFonts w:hint="eastAsia" w:cs="Times New Roman"/>
          <w:highlight w:val="none"/>
          <w:lang w:val="en-US" w:eastAsia="zh-CN"/>
        </w:rPr>
        <w:t>3</w:t>
      </w:r>
      <w:r>
        <w:rPr>
          <w:rFonts w:hint="eastAsia" w:cs="Times New Roman"/>
          <w:highlight w:val="none"/>
        </w:rPr>
        <w:t xml:space="preserve"> 水污染物年排放量核算表</w:t>
      </w:r>
    </w:p>
    <w:tbl>
      <w:tblPr>
        <w:tblStyle w:val="2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39"/>
        <w:gridCol w:w="3091"/>
        <w:gridCol w:w="32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污染物</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COD</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BOD</w:t>
            </w:r>
            <w:r>
              <w:rPr>
                <w:rFonts w:hint="eastAsia"/>
                <w:sz w:val="21"/>
                <w:szCs w:val="21"/>
                <w:highlight w:val="none"/>
                <w:vertAlign w:val="subscript"/>
                <w:lang w:val="en-US" w:eastAsia="zh-CN"/>
              </w:rPr>
              <w:t>5</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SS</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868"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氨氮</w:t>
            </w:r>
          </w:p>
        </w:tc>
        <w:tc>
          <w:tcPr>
            <w:tcW w:w="195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0</w:t>
            </w:r>
          </w:p>
        </w:tc>
      </w:tr>
    </w:tbl>
    <w:p>
      <w:pPr>
        <w:pStyle w:val="8"/>
        <w:ind w:firstLine="482"/>
        <w:rPr>
          <w:rFonts w:hint="eastAsia"/>
          <w:highlight w:val="none"/>
          <w:lang w:val="en-US" w:eastAsia="zh-CN"/>
        </w:rPr>
      </w:pPr>
      <w:r>
        <w:rPr>
          <w:rFonts w:hint="eastAsia"/>
          <w:highlight w:val="none"/>
          <w:lang w:val="en-US" w:eastAsia="zh-CN"/>
        </w:rPr>
        <w:t>4.2.2.4结论</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（1）水环境影响评价结论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highlight w:val="none"/>
        </w:rPr>
      </w:pPr>
      <w:r>
        <w:rPr>
          <w:rFonts w:ascii="Times New Roman" w:hAnsi="Times New Roman"/>
          <w:bCs/>
          <w:color w:val="000000"/>
          <w:sz w:val="24"/>
          <w:highlight w:val="none"/>
        </w:rPr>
        <w:t>本项目营运期间废水主要有养殖废水（包括猪尿液、猪舍冲洗废水、猪粪带入废水）及职工生活废水，全部进入污水处理系统处理，经处理后制成的沼液综合利用，不外排，对周围地表水环境影响较小。</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000000"/>
          <w:sz w:val="24"/>
          <w:highlight w:val="none"/>
        </w:rPr>
      </w:pPr>
      <w:r>
        <w:rPr>
          <w:rFonts w:ascii="Times New Roman" w:hAnsi="Times New Roman"/>
          <w:bCs/>
          <w:color w:val="000000"/>
          <w:sz w:val="24"/>
          <w:highlight w:val="none"/>
        </w:rPr>
        <w:t>（2）污染物排放量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sz w:val="24"/>
          <w:highlight w:val="none"/>
        </w:rPr>
      </w:pPr>
      <w:r>
        <w:rPr>
          <w:color w:val="000000"/>
          <w:sz w:val="24"/>
          <w:highlight w:val="none"/>
        </w:rPr>
        <w:t>本项目营运期间无废水外排，养殖场不设置污水排放口，因此，项目营运期间对周围地表水环境影响不大。</w:t>
      </w:r>
    </w:p>
    <w:p>
      <w:pPr>
        <w:pStyle w:val="7"/>
        <w:spacing w:before="66"/>
        <w:ind w:firstLine="482"/>
        <w:rPr>
          <w:highlight w:val="none"/>
        </w:rPr>
      </w:pPr>
      <w:r>
        <w:rPr>
          <w:rFonts w:hint="eastAsia"/>
          <w:highlight w:val="none"/>
          <w:lang w:val="en-US" w:eastAsia="zh-CN"/>
        </w:rPr>
        <w:t>4</w:t>
      </w:r>
      <w:r>
        <w:rPr>
          <w:highlight w:val="none"/>
        </w:rPr>
        <w:t>.</w:t>
      </w:r>
      <w:r>
        <w:rPr>
          <w:rFonts w:hint="eastAsia"/>
          <w:highlight w:val="none"/>
        </w:rPr>
        <w:t>2.3地</w:t>
      </w:r>
      <w:r>
        <w:rPr>
          <w:highlight w:val="none"/>
        </w:rPr>
        <w:t>下水环境影响预测与评价</w:t>
      </w:r>
    </w:p>
    <w:p>
      <w:pPr>
        <w:pStyle w:val="8"/>
        <w:ind w:firstLine="482"/>
        <w:rPr>
          <w:rFonts w:hint="eastAsia"/>
          <w:highlight w:val="none"/>
          <w:lang w:eastAsia="zh-CN"/>
        </w:rPr>
      </w:pPr>
      <w:r>
        <w:rPr>
          <w:rFonts w:hint="eastAsia"/>
          <w:highlight w:val="none"/>
          <w:lang w:val="en-US" w:eastAsia="zh-CN"/>
        </w:rPr>
        <w:t>4</w:t>
      </w:r>
      <w:r>
        <w:rPr>
          <w:highlight w:val="none"/>
        </w:rPr>
        <w:t>.2.3.1</w:t>
      </w:r>
      <w:r>
        <w:rPr>
          <w:rFonts w:hint="eastAsia"/>
          <w:highlight w:val="none"/>
          <w:lang w:eastAsia="zh-CN"/>
        </w:rPr>
        <w:t>评价工作等级确定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根据《环境影响评价技术导则·地下水环境》（HJ610-2016）评价等级划分依据，建设项目评价等级由项目类别和环境敏感程度共同判定：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（1）地下水环境影响评价项目类别：根据HJ610-2016附录A</w:t>
      </w:r>
      <w:r>
        <w:rPr>
          <w:rFonts w:hint="eastAsia" w:asciiTheme="minorEastAsia" w:hAnsiTheme="minorEastAsia" w:eastAsiaTheme="minorEastAsia" w:cstheme="minorEastAsia"/>
          <w:color w:val="000000"/>
          <w:sz w:val="24"/>
          <w:szCs w:val="28"/>
          <w:highlight w:val="none"/>
          <w:lang w:val="en-GB"/>
        </w:rPr>
        <w:t>“地下水环境影响评价行业分类表”</w:t>
      </w:r>
      <w:r>
        <w:rPr>
          <w:rFonts w:ascii="Times New Roman" w:hAnsi="Times New Roman"/>
          <w:color w:val="000000"/>
          <w:sz w:val="24"/>
          <w:szCs w:val="28"/>
          <w:highlight w:val="none"/>
          <w:lang w:val="en-GB"/>
        </w:rPr>
        <w:t>，本项目行业类别属于畜禽养殖场、养殖小区项目，环境影响评价文件类型为报告书，因此其地下水环境影响评价项目类别为Ⅲ类。</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000000"/>
          <w:sz w:val="24"/>
          <w:szCs w:val="28"/>
          <w:highlight w:val="none"/>
          <w:lang w:val="en-GB"/>
        </w:rPr>
      </w:pPr>
      <w:r>
        <w:rPr>
          <w:rFonts w:ascii="Times New Roman" w:hAnsi="Times New Roman"/>
          <w:color w:val="000000"/>
          <w:sz w:val="24"/>
          <w:szCs w:val="28"/>
          <w:highlight w:val="none"/>
          <w:lang w:val="en-GB"/>
        </w:rPr>
        <w:t>（2）建设项目场地的地下水环境敏感程度：根据《河南省县级集中式饮用水水源保护区划》，本项目在饮用水源保护区范围之外，不会对正阳县饮用水源产生影响。且本项目周围无国家和地方政府设定的与地下水环境相关的其它保护区。因此，本项目的地下水环境敏感程度为不敏感。</w:t>
      </w:r>
    </w:p>
    <w:p>
      <w:pPr>
        <w:keepNext w:val="0"/>
        <w:keepLines w:val="0"/>
        <w:pageBreakBefore w:val="0"/>
        <w:widowControl/>
        <w:kinsoku/>
        <w:wordWrap/>
        <w:overflowPunct/>
        <w:autoSpaceDE/>
        <w:autoSpaceDN/>
        <w:bidi w:val="0"/>
        <w:adjustRightInd/>
        <w:snapToGrid/>
        <w:spacing w:line="360" w:lineRule="auto"/>
        <w:textAlignment w:val="auto"/>
        <w:rPr>
          <w:rFonts w:hint="eastAsia" w:eastAsia="宋体"/>
          <w:highlight w:val="none"/>
          <w:lang w:eastAsia="zh-CN"/>
        </w:rPr>
      </w:pPr>
      <w:r>
        <w:rPr>
          <w:rFonts w:ascii="Times New Roman" w:hAnsi="Times New Roman"/>
          <w:color w:val="000000"/>
          <w:sz w:val="24"/>
          <w:szCs w:val="28"/>
          <w:highlight w:val="none"/>
          <w:lang w:val="en-GB"/>
        </w:rPr>
        <w:t>根据评价工作等级分级表可知，本项目地下水评价工作等级为三级</w:t>
      </w:r>
      <w:r>
        <w:rPr>
          <w:rFonts w:hint="eastAsia" w:ascii="Times New Roman" w:hAnsi="Times New Roman"/>
          <w:color w:val="000000"/>
          <w:sz w:val="24"/>
          <w:szCs w:val="28"/>
          <w:highlight w:val="none"/>
          <w:lang w:val="en-GB" w:eastAsia="zh-CN"/>
        </w:rPr>
        <w:t>。</w:t>
      </w:r>
    </w:p>
    <w:p>
      <w:pPr>
        <w:pStyle w:val="8"/>
        <w:ind w:firstLine="482"/>
        <w:rPr>
          <w:highlight w:val="none"/>
        </w:rPr>
      </w:pPr>
      <w:r>
        <w:rPr>
          <w:rFonts w:hint="eastAsia"/>
          <w:highlight w:val="none"/>
          <w:lang w:val="en-US" w:eastAsia="zh-CN"/>
        </w:rPr>
        <w:t>4</w:t>
      </w:r>
      <w:r>
        <w:rPr>
          <w:highlight w:val="none"/>
        </w:rPr>
        <w:t>.2.3.</w:t>
      </w:r>
      <w:r>
        <w:rPr>
          <w:rFonts w:hint="eastAsia"/>
          <w:highlight w:val="none"/>
          <w:lang w:val="en-US" w:eastAsia="zh-CN"/>
        </w:rPr>
        <w:t>2</w:t>
      </w:r>
      <w:r>
        <w:rPr>
          <w:rFonts w:hint="eastAsia"/>
          <w:highlight w:val="none"/>
        </w:rPr>
        <w:t>区域地下水特征</w:t>
      </w:r>
    </w:p>
    <w:p>
      <w:pPr>
        <w:ind w:firstLine="480"/>
        <w:rPr>
          <w:highlight w:val="none"/>
        </w:rPr>
      </w:pPr>
      <w:r>
        <w:rPr>
          <w:rFonts w:hint="eastAsia"/>
          <w:highlight w:val="none"/>
        </w:rPr>
        <w:t>（1）地质状况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本项目位于正阳县县</w:t>
      </w:r>
      <w:r>
        <w:rPr>
          <w:rFonts w:hint="eastAsia" w:cs="Times New Roman"/>
          <w:sz w:val="24"/>
          <w:szCs w:val="22"/>
          <w:highlight w:val="none"/>
          <w:lang w:eastAsia="zh-CN"/>
        </w:rPr>
        <w:t>铜钟镇崔塘村</w:t>
      </w:r>
      <w:r>
        <w:rPr>
          <w:rFonts w:ascii="Times New Roman" w:hAnsi="Times New Roman" w:cs="Times New Roman"/>
          <w:sz w:val="24"/>
          <w:szCs w:val="22"/>
          <w:highlight w:val="none"/>
        </w:rPr>
        <w:t>，地下水流向和地势基本一致，由西向东减低，平均比降1/3600～1/4000。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ascii="Times New Roman" w:hAnsi="Times New Roman" w:cs="Times New Roman"/>
          <w:color w:val="000000"/>
          <w:sz w:val="24"/>
          <w:szCs w:val="22"/>
          <w:highlight w:val="none"/>
        </w:rPr>
      </w:pPr>
      <w:r>
        <w:rPr>
          <w:rFonts w:ascii="Times New Roman" w:hAnsi="Times New Roman" w:cs="Times New Roman"/>
          <w:color w:val="000000"/>
          <w:sz w:val="24"/>
          <w:szCs w:val="22"/>
          <w:highlight w:val="none"/>
        </w:rPr>
        <w:t>正阳县地下水资源分为三个水文地质分区：芦岗以东的岗东平原富水区、岗西中等富水区、岗岭贫水区。根据河南省地矿厅地质三队提供的勘查资料，城区30m以上的地下水多为潜水，下部为承压水。岗东平原富水区，其主要补给是接受相邻区域水平方向上的径流补给和层间的赿流补给，在天然条件下该区地下水流向东南。本区深层地下水含水层是指30－500m深度以内的含水岩组，其含水层岩性为粉细砂、细砂、中粗砂及砂砾石层。250－300m深度间具有多层下更新统含水沙层，向东及东北方向，砂层厚度大，分选好，富水性和导水性均较好，单井出水量一般为1700～2000</w:t>
      </w:r>
      <w:r>
        <w:rPr>
          <w:rFonts w:hint="eastAsia" w:ascii="Times New Roman" w:hAnsi="Times New Roman" w:cs="Times New Roman"/>
          <w:color w:val="000000"/>
          <w:sz w:val="24"/>
          <w:szCs w:val="22"/>
          <w:highlight w:val="none"/>
          <w:lang w:val="en-US" w:eastAsia="zh-CN"/>
        </w:rPr>
        <w:t>m</w:t>
      </w:r>
      <w:r>
        <w:rPr>
          <w:rFonts w:hint="eastAsia" w:ascii="Times New Roman" w:hAnsi="Times New Roman" w:cs="Times New Roman"/>
          <w:color w:val="000000"/>
          <w:sz w:val="24"/>
          <w:szCs w:val="22"/>
          <w:highlight w:val="none"/>
          <w:vertAlign w:val="superscript"/>
          <w:lang w:val="en-US" w:eastAsia="zh-CN"/>
        </w:rPr>
        <w:t>3</w:t>
      </w:r>
      <w:r>
        <w:rPr>
          <w:rFonts w:hint="default" w:ascii="Times New Roman" w:hAnsi="Times New Roman" w:cs="Times New Roman"/>
          <w:color w:val="000000"/>
          <w:sz w:val="24"/>
          <w:szCs w:val="22"/>
          <w:highlight w:val="none"/>
        </w:rPr>
        <w:t>/d</w:t>
      </w:r>
      <w:r>
        <w:rPr>
          <w:rFonts w:ascii="Times New Roman" w:hAnsi="Times New Roman" w:cs="Times New Roman"/>
          <w:color w:val="000000"/>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经现场调查本项目附近村民饮用水采用自建水井，饮用地下水。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lang w:val="zh-CN"/>
        </w:rPr>
      </w:pPr>
      <w:r>
        <w:rPr>
          <w:rFonts w:hint="eastAsia" w:cs="Times New Roman"/>
          <w:highlight w:val="none"/>
        </w:rPr>
        <w:t>（2）</w:t>
      </w:r>
      <w:r>
        <w:rPr>
          <w:rFonts w:ascii="Times New Roman" w:hAnsi="Times New Roman"/>
          <w:sz w:val="24"/>
          <w:highlight w:val="none"/>
          <w:lang w:val="zh-CN"/>
        </w:rPr>
        <w:t>区域地下水情况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本项目位于正阳县铜钟镇</w:t>
      </w:r>
      <w:r>
        <w:rPr>
          <w:rFonts w:hint="eastAsia"/>
          <w:highlight w:val="none"/>
          <w:lang w:eastAsia="zh-CN"/>
        </w:rPr>
        <w:t>崔塘村</w:t>
      </w:r>
      <w:r>
        <w:rPr>
          <w:rFonts w:hint="eastAsia"/>
          <w:highlight w:val="none"/>
        </w:rPr>
        <w:t>，本项目距正阳县城市饮用水水源地一级保护区最近距离约为</w:t>
      </w:r>
      <w:r>
        <w:rPr>
          <w:rFonts w:hint="eastAsia"/>
          <w:highlight w:val="none"/>
          <w:lang w:val="en-US" w:eastAsia="zh-CN"/>
        </w:rPr>
        <w:t>22.7</w:t>
      </w:r>
      <w:r>
        <w:rPr>
          <w:rFonts w:hint="eastAsia"/>
          <w:highlight w:val="none"/>
        </w:rPr>
        <w:t>km，对比铜钟镇饮用水水源地保护区划，本项目距铜钟镇饮用水水源地一级保护区最近距离约为</w:t>
      </w:r>
      <w:r>
        <w:rPr>
          <w:rFonts w:hint="eastAsia"/>
          <w:highlight w:val="none"/>
          <w:lang w:val="en-US" w:eastAsia="zh-CN"/>
        </w:rPr>
        <w:t>1.3</w:t>
      </w:r>
      <w:r>
        <w:rPr>
          <w:rFonts w:hint="eastAsia"/>
          <w:highlight w:val="none"/>
        </w:rPr>
        <w:t>km，本项目不在饮用水源保护区范围内，建设单位拟自行建设自备井1</w:t>
      </w:r>
      <w:r>
        <w:rPr>
          <w:rFonts w:hint="eastAsia"/>
          <w:highlight w:val="none"/>
          <w:lang w:eastAsia="zh-CN"/>
        </w:rPr>
        <w:t>个</w:t>
      </w:r>
      <w:r>
        <w:rPr>
          <w:rFonts w:hint="eastAsia"/>
          <w:highlight w:val="none"/>
        </w:rPr>
        <w:t>以满足自身用水需求。</w:t>
      </w:r>
    </w:p>
    <w:p>
      <w:pPr>
        <w:pStyle w:val="8"/>
        <w:ind w:firstLine="482"/>
        <w:rPr>
          <w:highlight w:val="none"/>
        </w:rPr>
      </w:pPr>
      <w:r>
        <w:rPr>
          <w:rFonts w:hint="eastAsia"/>
          <w:highlight w:val="none"/>
          <w:lang w:val="en-US" w:eastAsia="zh-CN"/>
        </w:rPr>
        <w:t>4</w:t>
      </w:r>
      <w:r>
        <w:rPr>
          <w:rFonts w:hint="eastAsia"/>
          <w:highlight w:val="none"/>
        </w:rPr>
        <w:t>.2.3.</w:t>
      </w:r>
      <w:r>
        <w:rPr>
          <w:rFonts w:hint="eastAsia"/>
          <w:highlight w:val="none"/>
          <w:lang w:val="en-US" w:eastAsia="zh-CN"/>
        </w:rPr>
        <w:t>3</w:t>
      </w:r>
      <w:r>
        <w:rPr>
          <w:rFonts w:hint="eastAsia"/>
          <w:highlight w:val="none"/>
        </w:rPr>
        <w:t>地下水环境影响预测</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1、评价预测原则</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项目地下水环境影响预测遵循《环境影响评价技术导则-总纲》与《环境影响评价技术导则-地下水环境》</w:t>
      </w:r>
      <w:r>
        <w:rPr>
          <w:rFonts w:hint="eastAsia" w:asciiTheme="minorEastAsia" w:hAnsiTheme="minorEastAsia" w:eastAsiaTheme="minorEastAsia"/>
          <w:highlight w:val="none"/>
        </w:rPr>
        <w:t>(</w:t>
      </w:r>
      <w:r>
        <w:rPr>
          <w:rFonts w:cs="Times New Roman" w:eastAsiaTheme="minorEastAsia"/>
          <w:highlight w:val="none"/>
        </w:rPr>
        <w:t>HJ 610-2016</w:t>
      </w:r>
      <w:r>
        <w:rPr>
          <w:rFonts w:hint="eastAsia" w:asciiTheme="minorEastAsia" w:hAnsiTheme="minorEastAsia" w:eastAsiaTheme="minorEastAsia"/>
          <w:highlight w:val="none"/>
        </w:rPr>
        <w:t>)</w:t>
      </w:r>
      <w:r>
        <w:rPr>
          <w:rFonts w:hint="eastAsia"/>
          <w:highlight w:val="none"/>
        </w:rPr>
        <w:t>的原则进行。</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2、评价预测范围及预测内容</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highlight w:val="none"/>
        </w:rPr>
      </w:pPr>
      <w:r>
        <w:rPr>
          <w:rFonts w:hint="eastAsia"/>
          <w:highlight w:val="none"/>
        </w:rPr>
        <w:t>预测范围：根据项目场区所处的地理位置，从水文地质条件上分析，工程建设后会对附近地下水产生污染潜势，本次确定地下水环境影响预测范围与调查评价范围一致，即厂址周边6km</w:t>
      </w:r>
      <w:r>
        <w:rPr>
          <w:rFonts w:hint="eastAsia"/>
          <w:highlight w:val="none"/>
          <w:vertAlign w:val="superscript"/>
        </w:rPr>
        <w:t>2</w:t>
      </w:r>
      <w:r>
        <w:rPr>
          <w:rFonts w:hint="eastAsia"/>
          <w:highlight w:val="none"/>
        </w:rPr>
        <w:t>的区域。由于地表水和中深层含水层间无明显的水力联系，中深层含水层和深层含水层无明显的水力联系，因此本次预测层位定为预评价区域的潜水层。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预测内容：根据工程分析可知，本项目运行过程中无</w:t>
      </w:r>
      <w:r>
        <w:rPr>
          <w:rFonts w:hint="eastAsia"/>
          <w:highlight w:val="none"/>
          <w:lang w:eastAsia="zh-CN"/>
        </w:rPr>
        <w:t>废水</w:t>
      </w:r>
      <w:r>
        <w:rPr>
          <w:rFonts w:hint="eastAsia"/>
          <w:highlight w:val="none"/>
        </w:rPr>
        <w:t>外排，考虑厂区现有生产活动及设备设施中，对地下水污染影响最大的为污水收集池防渗层开裂的非正常排放，废水一旦穿过了表层的亚粘土、亚砂土，即可快速下渗，可能污染地下水。因此项目主要针对污水处理设施进行预测，主要的污染物为COD、氨氮、悬浮物等，鉴于不同污染因子与地质条件的关系存在差异，如吸附、降解、迁移速度的不同，按污染物在污水中含量大小和危害程度，本次选取COD</w:t>
      </w:r>
      <w:r>
        <w:rPr>
          <w:rFonts w:hint="eastAsia"/>
          <w:highlight w:val="none"/>
          <w:lang w:eastAsia="zh-CN"/>
        </w:rPr>
        <w:t>和</w:t>
      </w:r>
      <w:r>
        <w:rPr>
          <w:rFonts w:hint="eastAsia"/>
          <w:highlight w:val="none"/>
        </w:rPr>
        <w:t>氨氮作为预测因子。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hint="eastAsia"/>
          <w:highlight w:val="none"/>
        </w:rPr>
        <w:t>评价标准：</w:t>
      </w:r>
      <w:r>
        <w:rPr>
          <w:rFonts w:ascii="Times New Roman" w:hAnsi="Times New Roman"/>
          <w:color w:val="000000"/>
          <w:sz w:val="24"/>
          <w:szCs w:val="24"/>
          <w:highlight w:val="none"/>
        </w:rPr>
        <w:t>执行《地下水质量标准》（GB/T14848-2017）Ⅲ类。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3、评价预测时段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根据本建设项目的类型，结合《环境影响评价技术导则-地下水环境》(HJ 610-2016)的规定，拟建项目的评价预测时段可以分为以下三个关键时段：污染发生后100天、污染发生后1000天。</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4、评价预测方法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按《环境影响评价技术导则-地下水环境》(HJ 610-2016)的要求，结合场区水文地质条件，本次采用解析法对地下水环境影响进行预测。预测评价项目在建设、生产运行过程中对场址及附近地下水水质的影响。</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5、污染源概化</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从项目区的地质和水文地质条件上概化，由于地下水流向整体是由西向东方向，如果工程发生事故，污染总体上顺着地下水流向发生运移，污染物将会呈面状向四周扩散污染，相对于同一水文地质结构而言，本工程污染源可以概化为点状污染源。工程建设运行后，在易发生污染的下游地段布设监测点，对发现污染的地段及时查明原因，按事故应急预案进行及时处理，及时的切断污染源，因此污染源的排放规律可以概化为瞬时排放。</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6、观测模型的建立</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厂区废水</w:t>
      </w:r>
      <w:r>
        <w:rPr>
          <w:rFonts w:ascii="Times New Roman" w:hAnsi="Times New Roman" w:cs="Times New Roman"/>
          <w:bCs/>
          <w:color w:val="000000"/>
          <w:sz w:val="24"/>
          <w:szCs w:val="24"/>
          <w:highlight w:val="none"/>
        </w:rPr>
        <w:t>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沼气池进行处理，经过厌氧发酵的出水沼液在耕作施肥期用于配套消纳地进行综合利用，在非耕作期于场内沼液储存池中暂存，不外排。</w:t>
      </w:r>
      <w:r>
        <w:rPr>
          <w:rFonts w:hint="eastAsia"/>
          <w:highlight w:val="none"/>
        </w:rPr>
        <w:t>因此本次评价预测在厂区防渗措施破损的情况下，污水处理池发生大型泄漏事故时对地下水环境可能造成的影响。由于大型泄漏事故可以及时发现、及时解决，因此事故状态下污染物的运移可概化为示踪剂瞬时（事故时）注入的一维稳定流动二维水动力弥散问题。取平行地下水流动方向为x轴正方向，垂直于地下水流向为y轴，则求取污染物浓度分布模型公式如下：</w:t>
      </w:r>
    </w:p>
    <w:p>
      <w:pPr>
        <w:ind w:firstLine="480"/>
        <w:rPr>
          <w:highlight w:val="none"/>
        </w:rPr>
      </w:pPr>
      <w:r>
        <w:rPr>
          <w:rFonts w:hint="eastAsia"/>
          <w:highlight w:val="none"/>
        </w:rPr>
        <w:t>瞬时（事故时）注入示踪剂—平面瞬时点源</w:t>
      </w:r>
    </w:p>
    <w:p>
      <w:pPr>
        <w:ind w:firstLine="480"/>
        <w:rPr>
          <w:highlight w:val="none"/>
        </w:rPr>
      </w:pPr>
      <w:r>
        <w:rPr>
          <w:highlight w:val="none"/>
        </w:rPr>
        <w:drawing>
          <wp:inline distT="0" distB="0" distL="0" distR="0">
            <wp:extent cx="2324100" cy="542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324100" cy="542925"/>
                    </a:xfrm>
                    <a:prstGeom prst="rect">
                      <a:avLst/>
                    </a:prstGeom>
                    <a:noFill/>
                  </pic:spPr>
                </pic:pic>
              </a:graphicData>
            </a:graphic>
          </wp:inline>
        </w:drawing>
      </w:r>
    </w:p>
    <w:p>
      <w:pPr>
        <w:ind w:firstLine="480"/>
        <w:rPr>
          <w:highlight w:val="none"/>
        </w:rPr>
      </w:pPr>
      <w:r>
        <w:rPr>
          <w:rFonts w:hint="eastAsia"/>
          <w:highlight w:val="none"/>
        </w:rPr>
        <w:t>式中：</w:t>
      </w:r>
    </w:p>
    <w:p>
      <w:pPr>
        <w:ind w:firstLine="480"/>
        <w:rPr>
          <w:highlight w:val="none"/>
        </w:rPr>
      </w:pPr>
      <w:r>
        <w:rPr>
          <w:rFonts w:hint="eastAsia"/>
          <w:highlight w:val="none"/>
        </w:rPr>
        <w:t>x，y—计算点处的位置坐标；</w:t>
      </w:r>
    </w:p>
    <w:p>
      <w:pPr>
        <w:ind w:firstLine="480"/>
        <w:rPr>
          <w:highlight w:val="none"/>
        </w:rPr>
      </w:pPr>
      <w:r>
        <w:rPr>
          <w:rFonts w:hint="eastAsia"/>
          <w:highlight w:val="none"/>
        </w:rPr>
        <w:t>t—时间，d；</w:t>
      </w:r>
    </w:p>
    <w:p>
      <w:pPr>
        <w:ind w:firstLine="480"/>
        <w:rPr>
          <w:highlight w:val="none"/>
        </w:rPr>
      </w:pPr>
      <w:r>
        <w:rPr>
          <w:rFonts w:hint="eastAsia"/>
          <w:highlight w:val="none"/>
        </w:rPr>
        <w:t>C(x</w:t>
      </w:r>
      <w:r>
        <w:rPr>
          <w:rFonts w:hint="eastAsia"/>
          <w:highlight w:val="none"/>
          <w:lang w:eastAsia="zh-CN"/>
        </w:rPr>
        <w:t>，</w:t>
      </w:r>
      <w:r>
        <w:rPr>
          <w:rFonts w:hint="eastAsia"/>
          <w:highlight w:val="none"/>
        </w:rPr>
        <w:t>y</w:t>
      </w:r>
      <w:r>
        <w:rPr>
          <w:rFonts w:hint="eastAsia"/>
          <w:highlight w:val="none"/>
          <w:lang w:eastAsia="zh-CN"/>
        </w:rPr>
        <w:t>，</w:t>
      </w:r>
      <w:r>
        <w:rPr>
          <w:rFonts w:hint="eastAsia"/>
          <w:highlight w:val="none"/>
        </w:rPr>
        <w:t>t)—t时刻点x，y处的示踪剂浓度，mg/L；</w:t>
      </w:r>
    </w:p>
    <w:p>
      <w:pPr>
        <w:ind w:firstLine="480"/>
        <w:rPr>
          <w:highlight w:val="none"/>
        </w:rPr>
      </w:pPr>
      <w:r>
        <w:rPr>
          <w:rFonts w:hint="eastAsia"/>
          <w:highlight w:val="none"/>
        </w:rPr>
        <w:t>M—含水层的厚度，m；</w:t>
      </w:r>
    </w:p>
    <w:p>
      <w:pPr>
        <w:ind w:firstLine="480"/>
        <w:rPr>
          <w:highlight w:val="none"/>
        </w:rPr>
      </w:pPr>
      <w:r>
        <w:rPr>
          <w:highlight w:val="none"/>
        </w:rPr>
        <w:t>m</w:t>
      </w:r>
      <w:r>
        <w:rPr>
          <w:highlight w:val="none"/>
          <w:vertAlign w:val="subscript"/>
        </w:rPr>
        <w:t>M</w:t>
      </w:r>
      <w:r>
        <w:rPr>
          <w:rFonts w:hint="eastAsia"/>
          <w:highlight w:val="none"/>
        </w:rPr>
        <w:t>—长度为M的线源瞬时注入的示踪剂质量，g；</w:t>
      </w:r>
    </w:p>
    <w:p>
      <w:pPr>
        <w:ind w:firstLine="480"/>
        <w:rPr>
          <w:highlight w:val="none"/>
        </w:rPr>
      </w:pPr>
      <w:r>
        <w:rPr>
          <w:rFonts w:hint="eastAsia"/>
          <w:highlight w:val="none"/>
        </w:rPr>
        <w:t>u—水流速度，m/d；</w:t>
      </w:r>
    </w:p>
    <w:p>
      <w:pPr>
        <w:ind w:firstLine="480"/>
        <w:rPr>
          <w:highlight w:val="none"/>
        </w:rPr>
      </w:pPr>
      <w:r>
        <w:rPr>
          <w:rFonts w:hint="eastAsia"/>
          <w:highlight w:val="none"/>
        </w:rPr>
        <w:t>n—有效孔隙度，无量纲；</w:t>
      </w:r>
    </w:p>
    <w:p>
      <w:pPr>
        <w:ind w:firstLine="480"/>
        <w:rPr>
          <w:highlight w:val="none"/>
        </w:rPr>
      </w:pPr>
      <w:r>
        <w:rPr>
          <w:highlight w:val="none"/>
        </w:rPr>
        <w:t>D</w:t>
      </w:r>
      <w:r>
        <w:rPr>
          <w:highlight w:val="none"/>
          <w:vertAlign w:val="subscript"/>
        </w:rPr>
        <w:t>L</w:t>
      </w:r>
      <w:r>
        <w:rPr>
          <w:rFonts w:hint="eastAsia"/>
          <w:highlight w:val="none"/>
        </w:rPr>
        <w:t>—纵向弥散系数，m</w:t>
      </w:r>
      <w:r>
        <w:rPr>
          <w:rFonts w:hint="eastAsia"/>
          <w:highlight w:val="none"/>
          <w:vertAlign w:val="superscript"/>
        </w:rPr>
        <w:t>2</w:t>
      </w:r>
      <w:r>
        <w:rPr>
          <w:rFonts w:hint="eastAsia"/>
          <w:highlight w:val="none"/>
        </w:rPr>
        <w:t>/d；</w:t>
      </w:r>
    </w:p>
    <w:p>
      <w:pPr>
        <w:ind w:firstLine="480"/>
        <w:rPr>
          <w:highlight w:val="none"/>
        </w:rPr>
      </w:pPr>
      <w:r>
        <w:rPr>
          <w:highlight w:val="none"/>
        </w:rPr>
        <w:t>D</w:t>
      </w:r>
      <w:r>
        <w:rPr>
          <w:highlight w:val="none"/>
          <w:vertAlign w:val="subscript"/>
        </w:rPr>
        <w:t>T</w:t>
      </w:r>
      <w:r>
        <w:rPr>
          <w:rFonts w:hint="eastAsia"/>
          <w:highlight w:val="none"/>
        </w:rPr>
        <w:t>—横向y方向的弥散系数，m</w:t>
      </w:r>
      <w:r>
        <w:rPr>
          <w:rFonts w:hint="eastAsia"/>
          <w:highlight w:val="none"/>
          <w:vertAlign w:val="superscript"/>
        </w:rPr>
        <w:t>2</w:t>
      </w:r>
      <w:r>
        <w:rPr>
          <w:rFonts w:hint="eastAsia"/>
          <w:highlight w:val="none"/>
        </w:rPr>
        <w:t>/d；</w:t>
      </w:r>
    </w:p>
    <w:p>
      <w:pPr>
        <w:ind w:firstLine="480"/>
        <w:rPr>
          <w:highlight w:val="none"/>
        </w:rPr>
      </w:pPr>
      <w:r>
        <w:rPr>
          <w:highlight w:val="none"/>
        </w:rPr>
        <w:t>π</w:t>
      </w:r>
      <w:r>
        <w:rPr>
          <w:rFonts w:hint="eastAsia"/>
          <w:highlight w:val="none"/>
        </w:rPr>
        <w:t>—圆周率。</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7、模型参数的选取</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由上述模型可知，模型需要的参数有：注入的示踪剂质量m；含水层厚度M；有效孔隙度n；水流速度u；纵向弥散系数</w:t>
      </w:r>
      <w:r>
        <w:rPr>
          <w:highlight w:val="none"/>
        </w:rPr>
        <w:t>D</w:t>
      </w:r>
      <w:r>
        <w:rPr>
          <w:highlight w:val="none"/>
          <w:vertAlign w:val="subscript"/>
        </w:rPr>
        <w:t>L</w:t>
      </w:r>
      <w:r>
        <w:rPr>
          <w:rFonts w:hint="eastAsia"/>
          <w:highlight w:val="none"/>
        </w:rPr>
        <w:t>；横向弥散系数</w:t>
      </w:r>
      <w:r>
        <w:rPr>
          <w:highlight w:val="none"/>
        </w:rPr>
        <w:t>D</w:t>
      </w:r>
      <w:r>
        <w:rPr>
          <w:highlight w:val="none"/>
          <w:vertAlign w:val="subscript"/>
        </w:rPr>
        <w:t>T</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（1）注入的示踪剂质量</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lang w:eastAsia="zh-CN"/>
        </w:rPr>
        <w:t>养殖废水和</w:t>
      </w:r>
      <w:r>
        <w:rPr>
          <w:rFonts w:hint="eastAsia"/>
          <w:highlight w:val="none"/>
        </w:rPr>
        <w:t>生活污水</w:t>
      </w:r>
      <w:r>
        <w:rPr>
          <w:rFonts w:ascii="Times New Roman" w:hAnsi="Times New Roman" w:cs="Times New Roman"/>
          <w:bCs/>
          <w:color w:val="000000"/>
          <w:sz w:val="24"/>
          <w:szCs w:val="24"/>
          <w:highlight w:val="none"/>
        </w:rPr>
        <w:t>统一进入</w:t>
      </w:r>
      <w:r>
        <w:rPr>
          <w:rFonts w:hint="eastAsia" w:ascii="Times New Roman" w:hAnsi="Times New Roman" w:cs="Times New Roman"/>
          <w:bCs/>
          <w:color w:val="000000"/>
          <w:sz w:val="24"/>
          <w:szCs w:val="24"/>
          <w:highlight w:val="none"/>
          <w:lang w:eastAsia="zh-CN"/>
        </w:rPr>
        <w:t>黑膜</w:t>
      </w:r>
      <w:r>
        <w:rPr>
          <w:rFonts w:ascii="Times New Roman" w:hAnsi="Times New Roman" w:cs="Times New Roman"/>
          <w:bCs/>
          <w:color w:val="000000"/>
          <w:sz w:val="24"/>
          <w:szCs w:val="24"/>
          <w:highlight w:val="none"/>
        </w:rPr>
        <w:t>沼气池进行处理，经过厌氧发酵的出水沼液在耕作施肥期用于配套消纳地进行综合利用，在非耕作期于场内沼液储存池中暂存，不外排。</w:t>
      </w:r>
      <w:r>
        <w:rPr>
          <w:rFonts w:hint="eastAsia"/>
          <w:highlight w:val="none"/>
        </w:rPr>
        <w:t>本次预测污染物浓度预测值。污水处理池发生泄漏事故状态下，按照事故泄露持续2d，污水全部进入含水层，污染最大的情形进行预测，污水中污染物的质量m（氨氮）=</w:t>
      </w:r>
      <w:r>
        <w:rPr>
          <w:rFonts w:hint="eastAsia"/>
          <w:highlight w:val="none"/>
          <w:lang w:val="en-US" w:eastAsia="zh-CN"/>
        </w:rPr>
        <w:t>80k</w:t>
      </w:r>
      <w:r>
        <w:rPr>
          <w:rFonts w:hint="eastAsia"/>
          <w:highlight w:val="none"/>
        </w:rPr>
        <w:t>g</w:t>
      </w:r>
      <w:r>
        <w:rPr>
          <w:rFonts w:hint="eastAsia"/>
          <w:highlight w:val="none"/>
          <w:lang w:eastAsia="zh-CN"/>
        </w:rPr>
        <w:t>，</w:t>
      </w:r>
      <w:r>
        <w:rPr>
          <w:rFonts w:hint="eastAsia"/>
          <w:highlight w:val="none"/>
        </w:rPr>
        <w:t>m（</w:t>
      </w:r>
      <w:r>
        <w:rPr>
          <w:rFonts w:hint="eastAsia"/>
          <w:highlight w:val="none"/>
          <w:lang w:val="en-US" w:eastAsia="zh-CN"/>
        </w:rPr>
        <w:t>COD</w:t>
      </w:r>
      <w:r>
        <w:rPr>
          <w:rFonts w:hint="eastAsia"/>
          <w:highlight w:val="none"/>
        </w:rPr>
        <w:t>）=</w:t>
      </w:r>
      <w:r>
        <w:rPr>
          <w:rFonts w:hint="eastAsia"/>
          <w:highlight w:val="none"/>
          <w:lang w:val="en-US" w:eastAsia="zh-CN"/>
        </w:rPr>
        <w:t>1160k</w:t>
      </w:r>
      <w:r>
        <w:rPr>
          <w:rFonts w:hint="eastAsia"/>
          <w:highlight w:val="none"/>
        </w:rPr>
        <w:t>g。</w:t>
      </w:r>
    </w:p>
    <w:p>
      <w:pPr>
        <w:pStyle w:val="40"/>
        <w:rPr>
          <w:rFonts w:hint="eastAsia" w:cs="Times New Roman"/>
          <w:highlight w:val="none"/>
          <w:lang w:val="en-US" w:eastAsia="zh-CN"/>
        </w:rPr>
      </w:pPr>
      <w:r>
        <w:rPr>
          <w:rFonts w:hint="eastAsia" w:cs="Times New Roman"/>
          <w:highlight w:val="none"/>
          <w:lang w:val="en-US" w:eastAsia="zh-CN"/>
        </w:rPr>
        <w:t>表</w:t>
      </w:r>
      <w:r>
        <w:rPr>
          <w:rFonts w:hint="eastAsia" w:cs="Times New Roman"/>
          <w:highlight w:val="none"/>
          <w:lang w:val="en-US" w:eastAsia="zh-CN"/>
        </w:rPr>
        <w:fldChar w:fldCharType="begin"/>
      </w:r>
      <w:r>
        <w:rPr>
          <w:rFonts w:hint="eastAsia" w:cs="Times New Roman"/>
          <w:highlight w:val="none"/>
          <w:lang w:val="en-US" w:eastAsia="zh-CN"/>
        </w:rPr>
        <w:instrText xml:space="preserve"> STYLEREF 2 \s </w:instrText>
      </w:r>
      <w:r>
        <w:rPr>
          <w:rFonts w:hint="eastAsia" w:cs="Times New Roman"/>
          <w:highlight w:val="none"/>
          <w:lang w:val="en-US" w:eastAsia="zh-CN"/>
        </w:rPr>
        <w:fldChar w:fldCharType="separate"/>
      </w:r>
      <w:r>
        <w:rPr>
          <w:rFonts w:hint="eastAsia" w:cs="Times New Roman"/>
          <w:highlight w:val="none"/>
          <w:lang w:val="en-US" w:eastAsia="zh-CN"/>
        </w:rPr>
        <w:t>4.2</w:t>
      </w:r>
      <w:r>
        <w:rPr>
          <w:rFonts w:hint="eastAsia" w:cs="Times New Roman"/>
          <w:highlight w:val="none"/>
          <w:lang w:val="en-US" w:eastAsia="zh-CN"/>
        </w:rPr>
        <w:fldChar w:fldCharType="end"/>
      </w:r>
      <w:r>
        <w:rPr>
          <w:rFonts w:hint="eastAsia" w:cs="Times New Roman"/>
          <w:highlight w:val="none"/>
          <w:lang w:val="en-US" w:eastAsia="zh-CN"/>
        </w:rPr>
        <w:t>-24 泄漏污水中污染物质量计算结果</w:t>
      </w:r>
    </w:p>
    <w:tbl>
      <w:tblPr>
        <w:tblStyle w:val="24"/>
        <w:tblW w:w="83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606"/>
        <w:gridCol w:w="1797"/>
        <w:gridCol w:w="1536"/>
        <w:gridCol w:w="1789"/>
        <w:gridCol w:w="16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blHeader/>
          <w:jc w:val="center"/>
        </w:trPr>
        <w:tc>
          <w:tcPr>
            <w:tcW w:w="1606" w:type="dxa"/>
            <w:vMerge w:val="restart"/>
            <w:shd w:val="clear" w:color="auto" w:fill="auto"/>
            <w:vAlign w:val="center"/>
          </w:tcPr>
          <w:p>
            <w:pPr>
              <w:pStyle w:val="131"/>
              <w:jc w:val="center"/>
              <w:rPr>
                <w:b/>
                <w:sz w:val="21"/>
                <w:szCs w:val="21"/>
                <w:highlight w:val="none"/>
              </w:rPr>
            </w:pPr>
            <w:r>
              <w:rPr>
                <w:b/>
                <w:sz w:val="21"/>
                <w:szCs w:val="21"/>
                <w:highlight w:val="none"/>
              </w:rPr>
              <w:t>预测因子</w:t>
            </w:r>
          </w:p>
        </w:tc>
        <w:tc>
          <w:tcPr>
            <w:tcW w:w="1797" w:type="dxa"/>
            <w:shd w:val="clear" w:color="auto" w:fill="auto"/>
            <w:vAlign w:val="center"/>
          </w:tcPr>
          <w:p>
            <w:pPr>
              <w:pStyle w:val="131"/>
              <w:jc w:val="center"/>
              <w:rPr>
                <w:b/>
                <w:sz w:val="21"/>
                <w:szCs w:val="21"/>
                <w:highlight w:val="none"/>
              </w:rPr>
            </w:pPr>
            <w:r>
              <w:rPr>
                <w:b/>
                <w:sz w:val="21"/>
                <w:szCs w:val="21"/>
                <w:highlight w:val="none"/>
              </w:rPr>
              <w:t>全厂废水量</w:t>
            </w:r>
          </w:p>
        </w:tc>
        <w:tc>
          <w:tcPr>
            <w:tcW w:w="1536" w:type="dxa"/>
            <w:shd w:val="clear" w:color="auto" w:fill="auto"/>
            <w:vAlign w:val="center"/>
          </w:tcPr>
          <w:p>
            <w:pPr>
              <w:pStyle w:val="131"/>
              <w:jc w:val="center"/>
              <w:rPr>
                <w:b/>
                <w:sz w:val="21"/>
                <w:szCs w:val="21"/>
                <w:highlight w:val="none"/>
              </w:rPr>
            </w:pPr>
            <w:r>
              <w:rPr>
                <w:b/>
                <w:sz w:val="21"/>
                <w:szCs w:val="21"/>
                <w:highlight w:val="none"/>
              </w:rPr>
              <w:t>浓度</w:t>
            </w:r>
          </w:p>
        </w:tc>
        <w:tc>
          <w:tcPr>
            <w:tcW w:w="1789" w:type="dxa"/>
            <w:shd w:val="clear" w:color="auto" w:fill="auto"/>
            <w:vAlign w:val="center"/>
          </w:tcPr>
          <w:p>
            <w:pPr>
              <w:pStyle w:val="131"/>
              <w:jc w:val="center"/>
              <w:rPr>
                <w:b/>
                <w:sz w:val="21"/>
                <w:szCs w:val="21"/>
                <w:highlight w:val="none"/>
              </w:rPr>
            </w:pPr>
            <w:r>
              <w:rPr>
                <w:b/>
                <w:sz w:val="21"/>
                <w:szCs w:val="21"/>
                <w:highlight w:val="none"/>
              </w:rPr>
              <w:t>产生量</w:t>
            </w:r>
          </w:p>
        </w:tc>
        <w:tc>
          <w:tcPr>
            <w:tcW w:w="1630" w:type="dxa"/>
            <w:shd w:val="clear" w:color="auto" w:fill="auto"/>
            <w:vAlign w:val="center"/>
          </w:tcPr>
          <w:p>
            <w:pPr>
              <w:pStyle w:val="131"/>
              <w:jc w:val="center"/>
              <w:rPr>
                <w:b/>
                <w:sz w:val="21"/>
                <w:szCs w:val="21"/>
                <w:highlight w:val="none"/>
              </w:rPr>
            </w:pPr>
            <w:r>
              <w:rPr>
                <w:b/>
                <w:sz w:val="21"/>
                <w:szCs w:val="21"/>
                <w:highlight w:val="none"/>
              </w:rPr>
              <w:t>计算量2d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blHeader/>
          <w:jc w:val="center"/>
        </w:trPr>
        <w:tc>
          <w:tcPr>
            <w:tcW w:w="1606" w:type="dxa"/>
            <w:vMerge w:val="continue"/>
            <w:shd w:val="clear" w:color="auto" w:fill="auto"/>
            <w:vAlign w:val="center"/>
          </w:tcPr>
          <w:p>
            <w:pPr>
              <w:pStyle w:val="131"/>
              <w:ind w:firstLine="482"/>
              <w:jc w:val="center"/>
              <w:rPr>
                <w:b/>
                <w:sz w:val="21"/>
                <w:szCs w:val="21"/>
                <w:highlight w:val="none"/>
              </w:rPr>
            </w:pPr>
          </w:p>
        </w:tc>
        <w:tc>
          <w:tcPr>
            <w:tcW w:w="1797" w:type="dxa"/>
            <w:shd w:val="clear" w:color="auto" w:fill="auto"/>
            <w:vAlign w:val="center"/>
          </w:tcPr>
          <w:p>
            <w:pPr>
              <w:pStyle w:val="131"/>
              <w:jc w:val="center"/>
              <w:rPr>
                <w:b/>
                <w:sz w:val="21"/>
                <w:szCs w:val="21"/>
                <w:highlight w:val="none"/>
              </w:rPr>
            </w:pPr>
            <w:r>
              <w:rPr>
                <w:b/>
                <w:sz w:val="21"/>
                <w:szCs w:val="21"/>
                <w:highlight w:val="none"/>
              </w:rPr>
              <w:t>t/d</w:t>
            </w:r>
          </w:p>
        </w:tc>
        <w:tc>
          <w:tcPr>
            <w:tcW w:w="1536" w:type="dxa"/>
            <w:shd w:val="clear" w:color="auto" w:fill="auto"/>
            <w:vAlign w:val="center"/>
          </w:tcPr>
          <w:p>
            <w:pPr>
              <w:pStyle w:val="131"/>
              <w:jc w:val="center"/>
              <w:rPr>
                <w:b/>
                <w:sz w:val="21"/>
                <w:szCs w:val="21"/>
                <w:highlight w:val="none"/>
              </w:rPr>
            </w:pPr>
            <w:r>
              <w:rPr>
                <w:b/>
                <w:sz w:val="21"/>
                <w:szCs w:val="21"/>
                <w:highlight w:val="none"/>
              </w:rPr>
              <w:t>mg/L</w:t>
            </w:r>
          </w:p>
        </w:tc>
        <w:tc>
          <w:tcPr>
            <w:tcW w:w="1789" w:type="dxa"/>
            <w:shd w:val="clear" w:color="auto" w:fill="auto"/>
            <w:vAlign w:val="center"/>
          </w:tcPr>
          <w:p>
            <w:pPr>
              <w:pStyle w:val="131"/>
              <w:jc w:val="center"/>
              <w:rPr>
                <w:b/>
                <w:sz w:val="21"/>
                <w:szCs w:val="21"/>
                <w:highlight w:val="none"/>
              </w:rPr>
            </w:pPr>
            <w:r>
              <w:rPr>
                <w:rFonts w:hint="eastAsia"/>
                <w:b/>
                <w:sz w:val="21"/>
                <w:szCs w:val="21"/>
                <w:highlight w:val="none"/>
                <w:lang w:val="en-US" w:eastAsia="zh-CN"/>
              </w:rPr>
              <w:t>t</w:t>
            </w:r>
            <w:r>
              <w:rPr>
                <w:b/>
                <w:sz w:val="21"/>
                <w:szCs w:val="21"/>
                <w:highlight w:val="none"/>
              </w:rPr>
              <w:t>/d</w:t>
            </w:r>
          </w:p>
        </w:tc>
        <w:tc>
          <w:tcPr>
            <w:tcW w:w="1630" w:type="dxa"/>
            <w:shd w:val="clear" w:color="auto" w:fill="auto"/>
            <w:vAlign w:val="center"/>
          </w:tcPr>
          <w:p>
            <w:pPr>
              <w:pStyle w:val="131"/>
              <w:jc w:val="center"/>
              <w:rPr>
                <w:rFonts w:hint="eastAsia" w:eastAsia="宋体"/>
                <w:b/>
                <w:sz w:val="21"/>
                <w:szCs w:val="21"/>
                <w:highlight w:val="none"/>
                <w:lang w:eastAsia="zh-CN"/>
              </w:rPr>
            </w:pPr>
            <w:r>
              <w:rPr>
                <w:rFonts w:hint="eastAsia"/>
                <w:b/>
                <w:sz w:val="21"/>
                <w:szCs w:val="21"/>
                <w:highlight w:val="none"/>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jc w:val="center"/>
        </w:trPr>
        <w:tc>
          <w:tcPr>
            <w:tcW w:w="1606" w:type="dxa"/>
            <w:shd w:val="clear" w:color="auto" w:fill="auto"/>
            <w:vAlign w:val="center"/>
          </w:tcPr>
          <w:p>
            <w:pPr>
              <w:pStyle w:val="131"/>
              <w:jc w:val="center"/>
              <w:rPr>
                <w:sz w:val="21"/>
                <w:szCs w:val="21"/>
                <w:highlight w:val="none"/>
              </w:rPr>
            </w:pPr>
            <w:r>
              <w:rPr>
                <w:rFonts w:hint="eastAsia"/>
                <w:sz w:val="21"/>
                <w:szCs w:val="21"/>
                <w:highlight w:val="none"/>
                <w:lang w:val="en-US" w:eastAsia="zh-CN"/>
              </w:rPr>
              <w:t>COD</w:t>
            </w:r>
          </w:p>
        </w:tc>
        <w:tc>
          <w:tcPr>
            <w:tcW w:w="1797" w:type="dxa"/>
            <w:shd w:val="clear" w:color="auto" w:fill="auto"/>
            <w:vAlign w:val="center"/>
          </w:tcPr>
          <w:p>
            <w:pPr>
              <w:pStyle w:val="131"/>
              <w:jc w:val="center"/>
              <w:rPr>
                <w:rFonts w:hint="default" w:eastAsia="宋体"/>
                <w:sz w:val="21"/>
                <w:szCs w:val="21"/>
                <w:highlight w:val="none"/>
                <w:lang w:val="en-US" w:eastAsia="zh-CN"/>
              </w:rPr>
            </w:pPr>
            <w:r>
              <w:rPr>
                <w:rFonts w:hint="eastAsia"/>
                <w:sz w:val="21"/>
                <w:szCs w:val="21"/>
                <w:highlight w:val="none"/>
                <w:lang w:val="en-US" w:eastAsia="zh-CN"/>
              </w:rPr>
              <w:t>330.48</w:t>
            </w:r>
          </w:p>
        </w:tc>
        <w:tc>
          <w:tcPr>
            <w:tcW w:w="1536" w:type="dxa"/>
            <w:shd w:val="clear" w:color="auto" w:fill="auto"/>
            <w:vAlign w:val="center"/>
          </w:tcPr>
          <w:p>
            <w:pPr>
              <w:pStyle w:val="131"/>
              <w:jc w:val="center"/>
              <w:rPr>
                <w:sz w:val="21"/>
                <w:szCs w:val="21"/>
                <w:highlight w:val="none"/>
              </w:rPr>
            </w:pPr>
            <w:r>
              <w:rPr>
                <w:rFonts w:hint="eastAsia"/>
                <w:sz w:val="21"/>
                <w:szCs w:val="21"/>
                <w:highlight w:val="none"/>
              </w:rPr>
              <w:t>1763.01</w:t>
            </w:r>
          </w:p>
        </w:tc>
        <w:tc>
          <w:tcPr>
            <w:tcW w:w="1789" w:type="dxa"/>
            <w:shd w:val="clear" w:color="auto" w:fill="auto"/>
            <w:vAlign w:val="center"/>
          </w:tcPr>
          <w:p>
            <w:pPr>
              <w:pStyle w:val="131"/>
              <w:jc w:val="center"/>
              <w:rPr>
                <w:rFonts w:hint="eastAsia"/>
                <w:sz w:val="21"/>
                <w:szCs w:val="21"/>
                <w:highlight w:val="none"/>
              </w:rPr>
            </w:pPr>
            <w:r>
              <w:rPr>
                <w:rFonts w:hint="default"/>
                <w:sz w:val="21"/>
                <w:szCs w:val="21"/>
                <w:highlight w:val="none"/>
                <w:lang w:val="en-US" w:eastAsia="zh-CN"/>
              </w:rPr>
              <w:t>0.58</w:t>
            </w:r>
            <w:r>
              <w:rPr>
                <w:rFonts w:hint="eastAsia"/>
                <w:sz w:val="21"/>
                <w:szCs w:val="21"/>
                <w:highlight w:val="none"/>
                <w:lang w:val="en-US" w:eastAsia="zh-CN"/>
              </w:rPr>
              <w:t>3</w:t>
            </w:r>
          </w:p>
        </w:tc>
        <w:tc>
          <w:tcPr>
            <w:tcW w:w="1630" w:type="dxa"/>
            <w:shd w:val="clear" w:color="auto" w:fill="auto"/>
            <w:vAlign w:val="center"/>
          </w:tcPr>
          <w:p>
            <w:pPr>
              <w:pStyle w:val="131"/>
              <w:jc w:val="center"/>
              <w:rPr>
                <w:rFonts w:hint="default" w:eastAsia="宋体"/>
                <w:sz w:val="21"/>
                <w:szCs w:val="21"/>
                <w:highlight w:val="none"/>
                <w:lang w:val="en-US" w:eastAsia="zh-CN"/>
              </w:rPr>
            </w:pPr>
            <w:r>
              <w:rPr>
                <w:rFonts w:hint="eastAsia"/>
                <w:sz w:val="21"/>
                <w:szCs w:val="21"/>
                <w:highlight w:val="none"/>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jc w:val="center"/>
        </w:trPr>
        <w:tc>
          <w:tcPr>
            <w:tcW w:w="1606" w:type="dxa"/>
            <w:shd w:val="clear" w:color="auto" w:fill="auto"/>
            <w:vAlign w:val="center"/>
          </w:tcPr>
          <w:p>
            <w:pPr>
              <w:pStyle w:val="131"/>
              <w:jc w:val="center"/>
              <w:rPr>
                <w:rFonts w:hint="default" w:eastAsia="宋体"/>
                <w:sz w:val="21"/>
                <w:szCs w:val="21"/>
                <w:highlight w:val="none"/>
                <w:lang w:val="en-US" w:eastAsia="zh-CN"/>
              </w:rPr>
            </w:pPr>
            <w:r>
              <w:rPr>
                <w:sz w:val="21"/>
                <w:szCs w:val="21"/>
                <w:highlight w:val="none"/>
              </w:rPr>
              <w:t>氨氮</w:t>
            </w:r>
          </w:p>
        </w:tc>
        <w:tc>
          <w:tcPr>
            <w:tcW w:w="1797" w:type="dxa"/>
            <w:shd w:val="clear" w:color="auto" w:fill="auto"/>
            <w:vAlign w:val="center"/>
          </w:tcPr>
          <w:p>
            <w:pPr>
              <w:pStyle w:val="131"/>
              <w:jc w:val="center"/>
              <w:rPr>
                <w:rFonts w:hint="default" w:eastAsia="宋体"/>
                <w:sz w:val="21"/>
                <w:szCs w:val="21"/>
                <w:highlight w:val="none"/>
                <w:lang w:val="en-US" w:eastAsia="zh-CN"/>
              </w:rPr>
            </w:pPr>
            <w:r>
              <w:rPr>
                <w:rFonts w:hint="eastAsia"/>
                <w:sz w:val="21"/>
                <w:szCs w:val="21"/>
                <w:highlight w:val="none"/>
                <w:lang w:val="en-US" w:eastAsia="zh-CN"/>
              </w:rPr>
              <w:t>330.48</w:t>
            </w:r>
          </w:p>
        </w:tc>
        <w:tc>
          <w:tcPr>
            <w:tcW w:w="1536" w:type="dxa"/>
            <w:shd w:val="clear" w:color="auto" w:fill="auto"/>
            <w:vAlign w:val="center"/>
          </w:tcPr>
          <w:p>
            <w:pPr>
              <w:pStyle w:val="131"/>
              <w:jc w:val="center"/>
              <w:rPr>
                <w:rFonts w:hint="eastAsia"/>
                <w:sz w:val="21"/>
                <w:szCs w:val="21"/>
                <w:highlight w:val="none"/>
              </w:rPr>
            </w:pPr>
            <w:r>
              <w:rPr>
                <w:rFonts w:hint="default" w:ascii="Times New Roman" w:hAnsi="Times New Roman" w:cs="Times New Roman"/>
                <w:b w:val="0"/>
                <w:bCs/>
                <w:kern w:val="0"/>
                <w:sz w:val="21"/>
                <w:szCs w:val="21"/>
                <w:highlight w:val="none"/>
                <w:lang w:val="en-US" w:eastAsia="zh-CN"/>
              </w:rPr>
              <w:t>117.5</w:t>
            </w:r>
            <w:r>
              <w:rPr>
                <w:rFonts w:hint="eastAsia" w:cs="Times New Roman"/>
                <w:b w:val="0"/>
                <w:bCs/>
                <w:kern w:val="0"/>
                <w:sz w:val="21"/>
                <w:szCs w:val="21"/>
                <w:highlight w:val="none"/>
                <w:lang w:val="en-US" w:eastAsia="zh-CN"/>
              </w:rPr>
              <w:t>7</w:t>
            </w:r>
          </w:p>
        </w:tc>
        <w:tc>
          <w:tcPr>
            <w:tcW w:w="1789" w:type="dxa"/>
            <w:shd w:val="clear" w:color="auto" w:fill="auto"/>
            <w:vAlign w:val="center"/>
          </w:tcPr>
          <w:p>
            <w:pPr>
              <w:pStyle w:val="131"/>
              <w:jc w:val="center"/>
              <w:rPr>
                <w:rFonts w:hint="eastAsia"/>
                <w:sz w:val="21"/>
                <w:szCs w:val="21"/>
                <w:highlight w:val="none"/>
              </w:rPr>
            </w:pPr>
            <w:r>
              <w:rPr>
                <w:rFonts w:hint="default"/>
                <w:sz w:val="21"/>
                <w:szCs w:val="21"/>
                <w:highlight w:val="none"/>
                <w:lang w:val="en-US" w:eastAsia="zh-CN"/>
              </w:rPr>
              <w:t>0.03</w:t>
            </w:r>
            <w:r>
              <w:rPr>
                <w:rFonts w:hint="eastAsia"/>
                <w:sz w:val="21"/>
                <w:szCs w:val="21"/>
                <w:highlight w:val="none"/>
                <w:lang w:val="en-US" w:eastAsia="zh-CN"/>
              </w:rPr>
              <w:t>9</w:t>
            </w:r>
          </w:p>
        </w:tc>
        <w:tc>
          <w:tcPr>
            <w:tcW w:w="1630" w:type="dxa"/>
            <w:shd w:val="clear" w:color="auto" w:fill="auto"/>
            <w:vAlign w:val="center"/>
          </w:tcPr>
          <w:p>
            <w:pPr>
              <w:pStyle w:val="131"/>
              <w:jc w:val="center"/>
              <w:rPr>
                <w:rFonts w:hint="default" w:eastAsia="宋体"/>
                <w:sz w:val="21"/>
                <w:szCs w:val="21"/>
                <w:highlight w:val="none"/>
                <w:lang w:val="en-US" w:eastAsia="zh-CN"/>
              </w:rPr>
            </w:pPr>
            <w:r>
              <w:rPr>
                <w:rFonts w:hint="eastAsia"/>
                <w:sz w:val="21"/>
                <w:szCs w:val="21"/>
                <w:highlight w:val="none"/>
                <w:lang w:val="en-US" w:eastAsia="zh-CN"/>
              </w:rPr>
              <w:t>0.08</w:t>
            </w:r>
          </w:p>
        </w:tc>
      </w:tr>
    </w:tbl>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（2）含水层厚度</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根据项目的岩土工程勘察报告及收集当地资料可知，深层含水层</w:t>
      </w:r>
      <w:r>
        <w:rPr>
          <w:color w:val="000000"/>
          <w:sz w:val="24"/>
          <w:szCs w:val="22"/>
          <w:highlight w:val="none"/>
        </w:rPr>
        <w:t>（赋存承压水）</w:t>
      </w:r>
      <w:r>
        <w:rPr>
          <w:rFonts w:hint="eastAsia"/>
          <w:highlight w:val="none"/>
        </w:rPr>
        <w:t>厚度50～75m，单井涌水量100～3000m</w:t>
      </w:r>
      <w:r>
        <w:rPr>
          <w:rFonts w:hint="eastAsia"/>
          <w:highlight w:val="none"/>
          <w:vertAlign w:val="superscript"/>
        </w:rPr>
        <w:t>3</w:t>
      </w:r>
      <w:r>
        <w:rPr>
          <w:rFonts w:hint="eastAsia"/>
          <w:highlight w:val="none"/>
        </w:rPr>
        <w:t>/d，属富水区。</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（3）有效孔隙度</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根据</w:t>
      </w:r>
      <w:r>
        <w:rPr>
          <w:rFonts w:hint="eastAsia"/>
          <w:highlight w:val="none"/>
          <w:lang w:eastAsia="zh-CN"/>
        </w:rPr>
        <w:t>导则附录</w:t>
      </w:r>
      <w:r>
        <w:rPr>
          <w:rFonts w:hint="eastAsia"/>
          <w:highlight w:val="none"/>
          <w:lang w:val="en-US" w:eastAsia="zh-CN"/>
        </w:rPr>
        <w:t>B</w:t>
      </w:r>
      <w:r>
        <w:rPr>
          <w:rFonts w:hint="eastAsia"/>
          <w:highlight w:val="none"/>
        </w:rPr>
        <w:t>可知，</w:t>
      </w:r>
      <w:r>
        <w:rPr>
          <w:rFonts w:hint="eastAsia"/>
          <w:highlight w:val="none"/>
          <w:lang w:eastAsia="zh-CN"/>
        </w:rPr>
        <w:t>有效</w:t>
      </w:r>
      <w:r>
        <w:rPr>
          <w:rFonts w:hint="eastAsia"/>
          <w:highlight w:val="none"/>
        </w:rPr>
        <w:t>孔隙度</w:t>
      </w:r>
      <w:r>
        <w:rPr>
          <w:rFonts w:hint="eastAsia"/>
          <w:highlight w:val="none"/>
          <w:lang w:val="en-US" w:eastAsia="zh-CN"/>
        </w:rPr>
        <w:t>n取</w:t>
      </w:r>
      <w:r>
        <w:rPr>
          <w:rFonts w:hint="eastAsia"/>
          <w:highlight w:val="none"/>
        </w:rPr>
        <w:t>0.2</w:t>
      </w:r>
      <w:r>
        <w:rPr>
          <w:rFonts w:hint="eastAsia"/>
          <w:highlight w:val="none"/>
          <w:lang w:val="en-US" w:eastAsia="zh-CN"/>
        </w:rPr>
        <w:t>1</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（4）水流速度</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ascii="Times New Roman" w:hAnsi="Times New Roman"/>
          <w:color w:val="000000"/>
          <w:sz w:val="24"/>
          <w:szCs w:val="24"/>
          <w:highlight w:val="none"/>
        </w:rPr>
        <w:t>地下水防渗措施均为目前养殖行业普遍采用的成熟措施，沼液储存池在清场夯压的基础上铺设 HDPE膜防渗，渗透系数1.0×10</w:t>
      </w:r>
      <w:r>
        <w:rPr>
          <w:rFonts w:ascii="Times New Roman" w:hAnsi="Times New Roman"/>
          <w:color w:val="000000"/>
          <w:sz w:val="24"/>
          <w:szCs w:val="24"/>
          <w:highlight w:val="none"/>
          <w:vertAlign w:val="superscript"/>
        </w:rPr>
        <w:t>-10</w:t>
      </w:r>
      <w:r>
        <w:rPr>
          <w:rFonts w:ascii="Times New Roman" w:hAnsi="Times New Roman"/>
          <w:color w:val="000000"/>
          <w:sz w:val="24"/>
          <w:szCs w:val="24"/>
          <w:highlight w:val="none"/>
        </w:rPr>
        <w:t>cm/s</w:t>
      </w:r>
      <w:r>
        <w:rPr>
          <w:rFonts w:hint="eastAsia"/>
          <w:highlight w:val="none"/>
        </w:rPr>
        <w:t>（即</w:t>
      </w:r>
      <w:r>
        <w:rPr>
          <w:rFonts w:hint="eastAsia"/>
          <w:highlight w:val="none"/>
          <w:lang w:val="en-US" w:eastAsia="zh-CN"/>
        </w:rPr>
        <w:t>2.8</w:t>
      </w:r>
      <w:r>
        <w:rPr>
          <w:rFonts w:hint="eastAsia"/>
          <w:highlight w:val="none"/>
        </w:rPr>
        <w:t>m/d）。场区附近水力坡度约为</w:t>
      </w:r>
      <w:r>
        <w:rPr>
          <w:rFonts w:hint="eastAsia"/>
          <w:highlight w:val="none"/>
          <w:lang w:val="en-US" w:eastAsia="zh-CN"/>
        </w:rPr>
        <w:t>0.003</w:t>
      </w:r>
      <w:r>
        <w:rPr>
          <w:rFonts w:hint="eastAsia"/>
          <w:highlight w:val="none"/>
        </w:rPr>
        <w:t>，因此，地下水的渗透流速：V=KI=</w:t>
      </w:r>
      <w:r>
        <w:rPr>
          <w:rFonts w:hint="eastAsia"/>
          <w:highlight w:val="none"/>
          <w:lang w:val="en-US" w:eastAsia="zh-CN"/>
        </w:rPr>
        <w:t>2.8</w:t>
      </w:r>
      <w:r>
        <w:rPr>
          <w:rFonts w:hint="eastAsia"/>
          <w:highlight w:val="none"/>
        </w:rPr>
        <w:t>m/d×0.00</w:t>
      </w:r>
      <w:r>
        <w:rPr>
          <w:rFonts w:hint="eastAsia"/>
          <w:highlight w:val="none"/>
          <w:lang w:val="en-US" w:eastAsia="zh-CN"/>
        </w:rPr>
        <w:t>3</w:t>
      </w:r>
      <w:r>
        <w:rPr>
          <w:rFonts w:hint="eastAsia"/>
          <w:highlight w:val="none"/>
        </w:rPr>
        <w:t>=</w:t>
      </w:r>
      <w:r>
        <w:rPr>
          <w:rFonts w:hint="eastAsia"/>
          <w:highlight w:val="none"/>
          <w:lang w:val="en-US" w:eastAsia="zh-CN"/>
        </w:rPr>
        <w:t>0.84</w:t>
      </w:r>
      <w:r>
        <w:rPr>
          <w:rFonts w:hint="eastAsia"/>
          <w:highlight w:val="none"/>
        </w:rPr>
        <w:t>×10</w:t>
      </w:r>
      <w:r>
        <w:rPr>
          <w:rFonts w:hint="eastAsia"/>
          <w:highlight w:val="none"/>
          <w:vertAlign w:val="superscript"/>
        </w:rPr>
        <w:t>-</w:t>
      </w:r>
      <w:r>
        <w:rPr>
          <w:rFonts w:hint="eastAsia"/>
          <w:highlight w:val="none"/>
          <w:vertAlign w:val="superscript"/>
          <w:lang w:val="en-US" w:eastAsia="zh-CN"/>
        </w:rPr>
        <w:t>2</w:t>
      </w:r>
      <w:r>
        <w:rPr>
          <w:rFonts w:hint="eastAsia"/>
          <w:highlight w:val="none"/>
        </w:rPr>
        <w:t>m/d，平均实际流速：u=V/n=</w:t>
      </w:r>
      <w:r>
        <w:rPr>
          <w:rFonts w:hint="eastAsia"/>
          <w:highlight w:val="none"/>
          <w:lang w:val="en-US" w:eastAsia="zh-CN"/>
        </w:rPr>
        <w:t>0.04</w:t>
      </w:r>
      <w:r>
        <w:rPr>
          <w:rFonts w:hint="eastAsia"/>
          <w:highlight w:val="none"/>
        </w:rPr>
        <w:t>m/d。</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（5）弥散系数</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弥散度是地下水动力弥散理论中用来描述空隙介质弥散特征的一个重要参数，具有尺度效应性质，它反映了含水层介质空间结构的非均质性，本次充分收集了大量国内外在不同试验尺度下和实验条件下分别运用解析方法和数值方法所得的纵向弥散度资料，结合工作区的实际条件，考虑到局部规模与区域规模的差别，确定纵向弥散度（</w:t>
      </w:r>
      <w:r>
        <w:rPr>
          <w:highlight w:val="none"/>
        </w:rPr>
        <w:t>α</w:t>
      </w:r>
      <w:r>
        <w:rPr>
          <w:highlight w:val="none"/>
          <w:vertAlign w:val="subscript"/>
        </w:rPr>
        <w:t>L</w:t>
      </w:r>
      <w:r>
        <w:rPr>
          <w:rFonts w:hint="eastAsia"/>
          <w:highlight w:val="none"/>
        </w:rPr>
        <w:t>）为</w:t>
      </w:r>
      <w:r>
        <w:rPr>
          <w:rFonts w:hint="eastAsia"/>
          <w:highlight w:val="none"/>
          <w:lang w:val="en-US" w:eastAsia="zh-CN"/>
        </w:rPr>
        <w:t>1</w:t>
      </w:r>
      <w:r>
        <w:rPr>
          <w:rFonts w:hint="eastAsia"/>
          <w:highlight w:val="none"/>
        </w:rPr>
        <w:t>0.0m，横向弥散度（</w:t>
      </w:r>
      <w:r>
        <w:rPr>
          <w:highlight w:val="none"/>
        </w:rPr>
        <w:t>α</w:t>
      </w:r>
      <w:r>
        <w:rPr>
          <w:highlight w:val="none"/>
          <w:vertAlign w:val="subscript"/>
        </w:rPr>
        <w:t>T</w:t>
      </w:r>
      <w:r>
        <w:rPr>
          <w:rFonts w:hint="eastAsia"/>
          <w:highlight w:val="none"/>
        </w:rPr>
        <w:t>）为3.0m。由此计算得出：</w:t>
      </w:r>
    </w:p>
    <w:p>
      <w:pPr>
        <w:ind w:firstLine="480"/>
        <w:rPr>
          <w:highlight w:val="none"/>
        </w:rPr>
      </w:pPr>
      <w:r>
        <w:rPr>
          <w:highlight w:val="none"/>
        </w:rPr>
        <w:t>D</w:t>
      </w:r>
      <w:r>
        <w:rPr>
          <w:highlight w:val="none"/>
          <w:vertAlign w:val="subscript"/>
        </w:rPr>
        <w:t>L</w:t>
      </w:r>
      <w:r>
        <w:rPr>
          <w:highlight w:val="none"/>
        </w:rPr>
        <w:t xml:space="preserve"> =</w:t>
      </w:r>
      <w:r>
        <w:rPr>
          <w:highlight w:val="none"/>
        </w:rPr>
        <w:drawing>
          <wp:inline distT="0" distB="0" distL="0" distR="0">
            <wp:extent cx="4476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47675" cy="228600"/>
                    </a:xfrm>
                    <a:prstGeom prst="rect">
                      <a:avLst/>
                    </a:prstGeom>
                    <a:noFill/>
                    <a:ln>
                      <a:noFill/>
                    </a:ln>
                  </pic:spPr>
                </pic:pic>
              </a:graphicData>
            </a:graphic>
          </wp:inline>
        </w:drawing>
      </w:r>
      <w:r>
        <w:rPr>
          <w:highlight w:val="none"/>
        </w:rPr>
        <w:t>=</w:t>
      </w:r>
      <w:r>
        <w:rPr>
          <w:rFonts w:hint="eastAsia"/>
          <w:highlight w:val="none"/>
          <w:lang w:val="en-US" w:eastAsia="zh-CN"/>
        </w:rPr>
        <w:t>1</w:t>
      </w:r>
      <w:r>
        <w:rPr>
          <w:highlight w:val="none"/>
        </w:rPr>
        <w:t>0.0×</w:t>
      </w:r>
      <w:r>
        <w:rPr>
          <w:rFonts w:hint="eastAsia"/>
          <w:highlight w:val="none"/>
          <w:lang w:val="en-US" w:eastAsia="zh-CN"/>
        </w:rPr>
        <w:t>0.04</w:t>
      </w:r>
      <w:r>
        <w:rPr>
          <w:highlight w:val="none"/>
        </w:rPr>
        <w:t>m/d=</w:t>
      </w:r>
      <w:r>
        <w:rPr>
          <w:rFonts w:hint="eastAsia"/>
          <w:highlight w:val="none"/>
          <w:lang w:val="en-US" w:eastAsia="zh-CN"/>
        </w:rPr>
        <w:t>0.4</w:t>
      </w:r>
      <w:r>
        <w:rPr>
          <w:highlight w:val="none"/>
        </w:rPr>
        <w:t>m</w:t>
      </w:r>
      <w:r>
        <w:rPr>
          <w:highlight w:val="none"/>
          <w:vertAlign w:val="superscript"/>
        </w:rPr>
        <w:t>2</w:t>
      </w:r>
      <w:r>
        <w:rPr>
          <w:highlight w:val="none"/>
        </w:rPr>
        <w:t>/d，</w:t>
      </w:r>
    </w:p>
    <w:p>
      <w:pPr>
        <w:ind w:firstLine="480"/>
        <w:rPr>
          <w:highlight w:val="none"/>
        </w:rPr>
      </w:pPr>
      <w:r>
        <w:rPr>
          <w:highlight w:val="none"/>
        </w:rPr>
        <w:t>D</w:t>
      </w:r>
      <w:r>
        <w:rPr>
          <w:highlight w:val="none"/>
          <w:vertAlign w:val="subscript"/>
        </w:rPr>
        <w:t>T</w:t>
      </w:r>
      <w:r>
        <w:rPr>
          <w:highlight w:val="none"/>
        </w:rPr>
        <w:t xml:space="preserve"> =</w:t>
      </w:r>
      <w:r>
        <w:rPr>
          <w:highlight w:val="none"/>
        </w:rPr>
        <w:object>
          <v:shape id="_x0000_i1028" o:spt="75" type="#_x0000_t75" style="height:17pt;width:34pt;" o:ole="t" filled="f" o:preferrelative="t" stroked="f" coordsize="21600,21600">
            <v:path/>
            <v:fill on="f" focussize="0,0"/>
            <v:stroke on="f" joinstyle="miter"/>
            <v:imagedata r:id="rId48" o:title=""/>
            <o:lock v:ext="edit" aspectratio="t"/>
            <w10:wrap type="none"/>
            <w10:anchorlock/>
          </v:shape>
          <o:OLEObject Type="Embed" ProgID="Equation.3" ShapeID="_x0000_i1028" DrawAspect="Content" ObjectID="_1468075736" r:id="rId47">
            <o:LockedField>false</o:LockedField>
          </o:OLEObject>
        </w:object>
      </w:r>
      <w:r>
        <w:rPr>
          <w:highlight w:val="none"/>
        </w:rPr>
        <w:t>=3.0×</w:t>
      </w:r>
      <w:r>
        <w:rPr>
          <w:rFonts w:hint="eastAsia"/>
          <w:highlight w:val="none"/>
          <w:lang w:val="en-US" w:eastAsia="zh-CN"/>
        </w:rPr>
        <w:t>0.04</w:t>
      </w:r>
      <w:r>
        <w:rPr>
          <w:highlight w:val="none"/>
        </w:rPr>
        <w:t>m/d=</w:t>
      </w:r>
      <w:r>
        <w:rPr>
          <w:rFonts w:hint="eastAsia"/>
          <w:highlight w:val="none"/>
          <w:lang w:val="en-US" w:eastAsia="zh-CN"/>
        </w:rPr>
        <w:t>0.12</w:t>
      </w:r>
      <w:r>
        <w:rPr>
          <w:highlight w:val="none"/>
        </w:rPr>
        <w:t>m</w:t>
      </w:r>
      <w:r>
        <w:rPr>
          <w:highlight w:val="none"/>
          <w:vertAlign w:val="superscript"/>
        </w:rPr>
        <w:t>2</w:t>
      </w:r>
      <w:r>
        <w:rPr>
          <w:highlight w:val="none"/>
        </w:rPr>
        <w:t>/d。</w:t>
      </w:r>
    </w:p>
    <w:p>
      <w:pPr>
        <w:keepNext w:val="0"/>
        <w:keepLines w:val="0"/>
        <w:pageBreakBefore w:val="0"/>
        <w:widowControl/>
        <w:numPr>
          <w:ilvl w:val="0"/>
          <w:numId w:val="3"/>
        </w:numPr>
        <w:kinsoku/>
        <w:wordWrap/>
        <w:overflowPunct/>
        <w:topLinePunct w:val="0"/>
        <w:autoSpaceDE/>
        <w:autoSpaceDN/>
        <w:bidi w:val="0"/>
        <w:adjustRightInd/>
        <w:snapToGrid/>
        <w:ind w:left="0" w:leftChars="0" w:firstLine="480" w:firstLineChars="0"/>
        <w:textAlignment w:val="auto"/>
        <w:rPr>
          <w:rFonts w:hint="eastAsia"/>
          <w:highlight w:val="none"/>
        </w:rPr>
      </w:pPr>
      <w:r>
        <w:rPr>
          <w:rFonts w:hint="eastAsia"/>
          <w:highlight w:val="none"/>
        </w:rPr>
        <w:t>模型预测结果</w:t>
      </w:r>
    </w:p>
    <w:p>
      <w:pPr>
        <w:pStyle w:val="40"/>
        <w:rPr>
          <w:rFonts w:hint="eastAsia" w:cs="Times New Roman"/>
          <w:highlight w:val="none"/>
          <w:lang w:val="en-US" w:eastAsia="zh-CN"/>
        </w:rPr>
      </w:pPr>
      <w:r>
        <w:rPr>
          <w:rFonts w:hint="eastAsia" w:cs="Times New Roman"/>
          <w:highlight w:val="none"/>
          <w:lang w:val="en-US" w:eastAsia="zh-CN"/>
        </w:rPr>
        <w:t>表4.2-25 非正常状况下地下水影响预测结果一览表 单位：mg/L</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46"/>
        <w:gridCol w:w="780"/>
        <w:gridCol w:w="759"/>
        <w:gridCol w:w="759"/>
        <w:gridCol w:w="760"/>
        <w:gridCol w:w="760"/>
        <w:gridCol w:w="760"/>
        <w:gridCol w:w="760"/>
        <w:gridCol w:w="760"/>
        <w:gridCol w:w="760"/>
        <w:gridCol w:w="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restar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因子</w:t>
            </w:r>
          </w:p>
        </w:tc>
        <w:tc>
          <w:tcPr>
            <w:tcW w:w="472" w:type="pct"/>
            <w:vMerge w:val="restar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距离（m）</w:t>
            </w:r>
          </w:p>
        </w:tc>
        <w:tc>
          <w:tcPr>
            <w:tcW w:w="4136" w:type="pct"/>
            <w:gridSpan w:val="9"/>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时间（d）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10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100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300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500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1000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2000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3000</w:t>
            </w:r>
          </w:p>
        </w:tc>
        <w:tc>
          <w:tcPr>
            <w:tcW w:w="459"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4000</w:t>
            </w:r>
          </w:p>
        </w:tc>
        <w:tc>
          <w:tcPr>
            <w:tcW w:w="46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restar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COD</w:t>
            </w: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2.45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1196.32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2962.65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4006.34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5598.45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6572.08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6796.17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6858.99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6878.45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155.41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1560.08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2650.72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4761.70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6348.47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6732.86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6839.43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6872.08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12.94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621.45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1533.21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3786.38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6018.10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6634.97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6808.83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6862.05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0.21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235.72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715.29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2809.80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5566.87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6489.79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6762.30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6846.62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49.63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248.62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1937.41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4999.56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6283.90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6693.66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6823.45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6.91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93.96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1217.88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4343.25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6005.53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6595.42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6789.41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0.66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43.64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662.99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3641.58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5647.78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6459.20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6740.59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0.037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9.59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267.91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2942.14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5211.72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6276.55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6672.25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1.66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137.63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2284.90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4708.00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6040.09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6578.88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0.23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55.98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1696.66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4155.91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5745.15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6577.53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0.36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273.31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1492.04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3544.19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5202.14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9.60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349.12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1318.49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3073.35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0.074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28.23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381.11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1169.09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0.85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47.12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143.93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0.012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2.79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62.50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0.074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5.58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restar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lang w:val="en-US" w:eastAsia="zh-CN"/>
              </w:rPr>
              <w:t>氨氮</w:t>
            </w: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0.29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150.13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351.12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483.89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665.06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753.30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778.80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785.95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788.16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27.48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191.53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329.63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569.84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727.86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782.86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783.73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787.44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1.48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84.71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202.47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458.86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690.27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760.46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780.24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786.30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0.023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26.82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109.39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347.73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638.91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743.93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774.94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784.54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5.65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49.28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248.46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574.36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720.50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767.14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781.90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0.79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17.69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166.57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499.68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688.83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755.96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778.04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0.079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4.96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103.43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419.83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648.12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740.45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772.47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1.10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58.49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340.24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598.50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719.67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764.70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0.19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29.65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265.44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541.18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692.76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754.07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0.023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13.38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198.51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478.36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659.21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739.93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0.045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31.10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175.22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408.75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597.41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1.10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39.72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155.48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355.17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250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0.011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3.22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43.37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138.48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0.101 </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5.37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44.37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350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0.32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7.11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391" w:type="pct"/>
            <w:vMerge w:val="continue"/>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lang w:val="en-US" w:eastAsia="zh-CN"/>
              </w:rPr>
            </w:pPr>
          </w:p>
        </w:tc>
        <w:tc>
          <w:tcPr>
            <w:tcW w:w="472" w:type="pct"/>
            <w:tcBorders>
              <w:tl2br w:val="nil"/>
              <w:tr2bl w:val="nil"/>
            </w:tcBorders>
            <w:noWrap w:val="0"/>
            <w:tcMar>
              <w:top w:w="57" w:type="dxa"/>
              <w:left w:w="0" w:type="dxa"/>
              <w:bottom w:w="68"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400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0</w:t>
            </w:r>
          </w:p>
        </w:tc>
        <w:tc>
          <w:tcPr>
            <w:tcW w:w="459"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0.011 </w:t>
            </w:r>
          </w:p>
        </w:tc>
        <w:tc>
          <w:tcPr>
            <w:tcW w:w="462" w:type="pct"/>
            <w:tcBorders>
              <w:tl2br w:val="nil"/>
              <w:tr2bl w:val="nil"/>
            </w:tcBorders>
            <w:noWrap w:val="0"/>
            <w:tcMar>
              <w:top w:w="57" w:type="dxa"/>
              <w:left w:w="0" w:type="dxa"/>
              <w:bottom w:w="68" w:type="dxa"/>
              <w:right w:w="0" w:type="dxa"/>
            </w:tcMar>
            <w:vAlign w:val="bottom"/>
          </w:tcPr>
          <w:p>
            <w:pPr>
              <w:spacing w:line="240" w:lineRule="auto"/>
              <w:ind w:firstLine="0" w:firstLineChars="0"/>
              <w:jc w:val="center"/>
              <w:rPr>
                <w:rFonts w:cs="Times New Roman"/>
                <w:sz w:val="21"/>
                <w:szCs w:val="21"/>
                <w:highlight w:val="none"/>
              </w:rPr>
            </w:pPr>
            <w:r>
              <w:rPr>
                <w:rFonts w:cs="Times New Roman"/>
                <w:sz w:val="21"/>
                <w:szCs w:val="21"/>
                <w:highlight w:val="none"/>
              </w:rPr>
              <w:t xml:space="preserve">0.64 </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eastAsia="宋体"/>
          <w:highlight w:val="none"/>
          <w:lang w:val="en-US" w:eastAsia="zh-CN"/>
        </w:rPr>
      </w:pPr>
      <w:r>
        <w:rPr>
          <w:rFonts w:hint="eastAsia"/>
          <w:highlight w:val="none"/>
          <w:lang w:eastAsia="zh-CN"/>
        </w:rPr>
        <w:t>根据预测结果可知，在非正常状况下因收集池防渗层达不到设计的防渗效果，养殖废水未经处理而发生渗透，连续泄露5000d，COD影响到距离源强400m处，浓度为5.58mg/L；在连续渗漏5000d时，氨氮仅影响到距离污染源强400m处，浓度为0.64mg/L。COD、NH</w:t>
      </w:r>
      <w:r>
        <w:rPr>
          <w:rFonts w:hint="eastAsia"/>
          <w:highlight w:val="none"/>
          <w:vertAlign w:val="subscript"/>
          <w:lang w:eastAsia="zh-CN"/>
        </w:rPr>
        <w:t>3</w:t>
      </w:r>
      <w:r>
        <w:rPr>
          <w:rFonts w:hint="eastAsia"/>
          <w:highlight w:val="none"/>
          <w:lang w:eastAsia="zh-CN"/>
        </w:rPr>
        <w:t>-N预测值在400m以内不能满足《地下水质量标准》（GB/T14848-93）Ⅲ类要求。由于下游距离本次工程废水处理设施最近村庄为下游西侧230m处的黎刘庄，因此，在连续渗漏5000天的情况下，不会对周围环境敏感点地下水造成影响。</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（7）</w:t>
      </w:r>
      <w:bookmarkStart w:id="46" w:name="_Toc501092092"/>
      <w:r>
        <w:rPr>
          <w:rFonts w:hint="eastAsia"/>
          <w:highlight w:val="none"/>
        </w:rPr>
        <w:t>正常</w:t>
      </w:r>
      <w:r>
        <w:rPr>
          <w:highlight w:val="none"/>
        </w:rPr>
        <w:t>工况地下水环境影响分析</w:t>
      </w:r>
      <w:bookmarkEnd w:id="46"/>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本项目对地下水的影响主要停留在生产运行阶段，但影响不大；建设阶段对地下水的影响短暂，随施工的结束而停止；同时由于本项目废水污染物主要为非持久性污染物，故在服务期满后随地下水稀释、径流等作用，污染逐渐消失。</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highlight w:val="none"/>
        </w:rPr>
        <w:t>根据工程分析，项目可能对地下水造成污染的主要</w:t>
      </w:r>
      <w:r>
        <w:rPr>
          <w:rFonts w:hint="eastAsia"/>
          <w:highlight w:val="none"/>
        </w:rPr>
        <w:t>为</w:t>
      </w:r>
      <w:r>
        <w:rPr>
          <w:highlight w:val="none"/>
        </w:rPr>
        <w:t>：</w:t>
      </w:r>
      <w:r>
        <w:rPr>
          <w:rFonts w:hint="eastAsia"/>
          <w:highlight w:val="none"/>
        </w:rPr>
        <w:t>渗漏造成的地下水污染</w:t>
      </w:r>
      <w:r>
        <w:rPr>
          <w:highlight w:val="none"/>
        </w:rPr>
        <w:t>。</w:t>
      </w:r>
      <w:r>
        <w:rPr>
          <w:rFonts w:hint="eastAsia"/>
          <w:highlight w:val="none"/>
        </w:rPr>
        <w:t>项目场区划分为重点防渗区及一般防渗区，根据防渗级别采取不同的防渗材料，地下水防渗措施均为目前养殖行业普遍采用的成熟措施，沼液储存池在清场夯压的基础上铺设HDPE膜防渗，渗透系数1.0×10</w:t>
      </w:r>
      <w:r>
        <w:rPr>
          <w:rFonts w:hint="eastAsia"/>
          <w:highlight w:val="none"/>
          <w:vertAlign w:val="superscript"/>
        </w:rPr>
        <w:t>-10</w:t>
      </w:r>
      <w:r>
        <w:rPr>
          <w:rFonts w:hint="eastAsia"/>
          <w:highlight w:val="none"/>
        </w:rPr>
        <w:t>cm/s，符合（GB18597-2001）、（GB18599-2001） 的相关规定要求</w:t>
      </w:r>
      <w:r>
        <w:rPr>
          <w:rFonts w:hint="eastAsia"/>
          <w:highlight w:val="none"/>
          <w:lang w:eastAsia="zh-CN"/>
        </w:rPr>
        <w:t>。</w:t>
      </w:r>
      <w:r>
        <w:rPr>
          <w:rFonts w:ascii="Times New Roman" w:hAnsi="Times New Roman"/>
          <w:sz w:val="24"/>
          <w:highlight w:val="none"/>
        </w:rPr>
        <w:t>根据区域水文地质资料，项目区包气带中地下埋深10m处仍为粘土层，渗透系数低，可有效防止污水下渗的污染</w:t>
      </w:r>
      <w:r>
        <w:rPr>
          <w:rFonts w:hint="eastAsia"/>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（8）非正常工况地下水环境影响分析</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拟建项目厂内非正常工况主要是生产设施故障、废水收集或输送管道等出现问题，造成非正常排放。根据项目运营后可能发生的情况，确定地下水事故情景如下 ：</w:t>
      </w:r>
    </w:p>
    <w:p>
      <w:pPr>
        <w:ind w:firstLine="480"/>
        <w:rPr>
          <w:highlight w:val="none"/>
        </w:rPr>
      </w:pPr>
      <w:r>
        <w:rPr>
          <w:rFonts w:hint="eastAsia"/>
          <w:highlight w:val="none"/>
        </w:rPr>
        <w:t>（1）生产设施故障如故障，造成废水未收集，或者生产装置中所产生的“跑、冒、滴、漏”，污水下渗，成为造成地下水环境污染的主要途径。</w:t>
      </w:r>
    </w:p>
    <w:p>
      <w:pPr>
        <w:ind w:firstLine="480"/>
        <w:rPr>
          <w:highlight w:val="none"/>
        </w:rPr>
      </w:pPr>
      <w:r>
        <w:rPr>
          <w:rFonts w:hint="eastAsia"/>
          <w:highlight w:val="none"/>
        </w:rPr>
        <w:t>（2）拟建原料若未妥善储存，如被雨水淋溶和冲刷，进入地表水或下渗进入地下水含水层，会对地下水环境产生影响。</w:t>
      </w:r>
    </w:p>
    <w:p>
      <w:pPr>
        <w:ind w:firstLine="480"/>
        <w:rPr>
          <w:highlight w:val="none"/>
        </w:rPr>
      </w:pPr>
      <w:r>
        <w:rPr>
          <w:rFonts w:hint="eastAsia"/>
          <w:highlight w:val="none"/>
        </w:rPr>
        <w:t>（3）生活污水管线泄漏，造成大量废水直接通过地表进入地下水。</w:t>
      </w:r>
    </w:p>
    <w:p>
      <w:pPr>
        <w:ind w:firstLine="480"/>
        <w:rPr>
          <w:highlight w:val="none"/>
        </w:rPr>
      </w:pPr>
      <w:r>
        <w:rPr>
          <w:rFonts w:hint="eastAsia"/>
          <w:highlight w:val="none"/>
        </w:rPr>
        <w:t>（4）固体废弃物等若存放不当，降雨后雨水入渗将固体废弃物中的有毒有害物淋溶出来而渗入地下水，使地下水遭到污染。</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若有事故废水下渗，污染物对地下水的影响主要是污染物通过垂直渗透进入包气带，进入包气带的污染物在物理、化学和生物作用下经吸附、转化、迁移和分解后输入地下水。拟建项目产生的废水浓度较小，因此事故废水下渗后，在下渗过程中污染物可以通过土壤对污染物的阻隔、吸收和降解作用，污染物浓度会进一步降低。即使有微量废水渗入地下水，对地下水的水质影响也较微弱。</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sz w:val="24"/>
          <w:highlight w:val="none"/>
        </w:rPr>
      </w:pPr>
      <w:r>
        <w:rPr>
          <w:rFonts w:hint="eastAsia"/>
          <w:highlight w:val="none"/>
          <w:lang w:eastAsia="zh-CN"/>
        </w:rPr>
        <w:t>（</w:t>
      </w:r>
      <w:r>
        <w:rPr>
          <w:rFonts w:hint="eastAsia"/>
          <w:highlight w:val="none"/>
          <w:lang w:val="en-US" w:eastAsia="zh-CN"/>
        </w:rPr>
        <w:t>9</w:t>
      </w:r>
      <w:r>
        <w:rPr>
          <w:rFonts w:hint="eastAsia"/>
          <w:highlight w:val="none"/>
          <w:lang w:eastAsia="zh-CN"/>
        </w:rPr>
        <w:t>）</w:t>
      </w:r>
      <w:r>
        <w:rPr>
          <w:rFonts w:ascii="Times New Roman" w:hAnsi="Times New Roman"/>
          <w:kern w:val="0"/>
          <w:sz w:val="24"/>
          <w:highlight w:val="none"/>
        </w:rPr>
        <w:t>预防地下水污染的要求和管理建议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项目在施工和运营阶段，应充分做好排污管道的防渗处理，杜绝污水渗漏，确保污水收集处理系统衔接良好，严格用水管理，防止污水“跑、冒、滴、漏”现象的发生。营运期环境管理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heme="minorEastAsia" w:hAnsiTheme="minorEastAsia" w:eastAsiaTheme="minorEastAsia" w:cstheme="minorEastAsia"/>
          <w:kern w:val="0"/>
          <w:sz w:val="24"/>
          <w:highlight w:val="none"/>
        </w:rPr>
        <w:t>①</w:t>
      </w:r>
      <w:r>
        <w:rPr>
          <w:rFonts w:ascii="Times New Roman" w:hAnsi="Times New Roman"/>
          <w:kern w:val="0"/>
          <w:sz w:val="24"/>
          <w:highlight w:val="none"/>
        </w:rPr>
        <w:t>《畜禽养殖业污染防治技术规范》（HJ/T81－2001）规定，养殖场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②固粪处理区设置顶棚、地面防渗措施，防止粪便淋滤液污染地下水。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③本项目应在建设项目沼液消纳地上、下游各布设1个跟踪监测点，应明确各监测点的点位、井深、监测浅层地下水、监测因子及监测频次等参数，并明确各检测点的基本功能，本项目为背景值监测点和地下水环境影响跟踪监测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④企业应提高地下水风险防范意识，制定地下水风险事故应急措施，明确地下水污染情况下应采取的控制污染源、切断污染途径的封闭、截流措施等。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综上分析，严格落实各项地下水防治措施的前提下，项目建设对地下水的影响能得到有效控制。</w:t>
      </w:r>
    </w:p>
    <w:p>
      <w:pPr>
        <w:pStyle w:val="7"/>
        <w:spacing w:before="66"/>
        <w:ind w:firstLine="482"/>
        <w:rPr>
          <w:highlight w:val="none"/>
        </w:rPr>
      </w:pPr>
      <w:r>
        <w:rPr>
          <w:rFonts w:hint="eastAsia"/>
          <w:highlight w:val="none"/>
          <w:lang w:val="en-US" w:eastAsia="zh-CN"/>
        </w:rPr>
        <w:t>4</w:t>
      </w:r>
      <w:r>
        <w:rPr>
          <w:highlight w:val="none"/>
        </w:rPr>
        <w:t>.</w:t>
      </w:r>
      <w:r>
        <w:rPr>
          <w:rFonts w:hint="eastAsia"/>
          <w:highlight w:val="none"/>
        </w:rPr>
        <w:t>2.4</w:t>
      </w:r>
      <w:r>
        <w:rPr>
          <w:highlight w:val="none"/>
        </w:rPr>
        <w:t>噪声环境影响预测与评价</w:t>
      </w:r>
    </w:p>
    <w:p>
      <w:pPr>
        <w:pStyle w:val="8"/>
        <w:ind w:firstLine="482"/>
        <w:rPr>
          <w:highlight w:val="none"/>
        </w:rPr>
      </w:pPr>
      <w:r>
        <w:rPr>
          <w:rFonts w:hint="eastAsia"/>
          <w:highlight w:val="none"/>
          <w:lang w:val="en-US" w:eastAsia="zh-CN"/>
        </w:rPr>
        <w:t>4</w:t>
      </w:r>
      <w:r>
        <w:rPr>
          <w:highlight w:val="none"/>
        </w:rPr>
        <w:t>.</w:t>
      </w:r>
      <w:r>
        <w:rPr>
          <w:rFonts w:hint="eastAsia"/>
          <w:highlight w:val="none"/>
        </w:rPr>
        <w:t>2.4.1</w:t>
      </w:r>
      <w:r>
        <w:rPr>
          <w:highlight w:val="none"/>
        </w:rPr>
        <w:t>主要噪声源</w:t>
      </w:r>
      <w:r>
        <w:rPr>
          <w:rFonts w:hint="eastAsia"/>
          <w:highlight w:val="none"/>
        </w:rPr>
        <w:t>及防治措施</w:t>
      </w:r>
    </w:p>
    <w:p>
      <w:pPr>
        <w:ind w:firstLine="480"/>
        <w:rPr>
          <w:rFonts w:cs="Times New Roman"/>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w:t>
      </w:r>
      <w:r>
        <w:rPr>
          <w:rFonts w:ascii="Times New Roman" w:hAnsi="Times New Roman"/>
          <w:color w:val="auto"/>
          <w:sz w:val="24"/>
          <w:highlight w:val="none"/>
        </w:rPr>
        <w:t>、除尘器风机</w:t>
      </w:r>
      <w:r>
        <w:rPr>
          <w:rFonts w:ascii="Times New Roman" w:hAnsi="Times New Roman"/>
          <w:color w:val="auto"/>
          <w:sz w:val="24"/>
          <w:szCs w:val="24"/>
          <w:highlight w:val="none"/>
        </w:rPr>
        <w:t>等设备运行时产生的噪声，根据类比调查，其源强为70～90dB(A)</w:t>
      </w:r>
      <w:r>
        <w:rPr>
          <w:highlight w:val="none"/>
        </w:rPr>
        <w:t>。噪声在室外空间传播，由于受到遮挡物的隔阻，各种介质的吸收与反射，以及空气介质的吸收等物理作用而逐渐衰弱。</w:t>
      </w:r>
      <w:r>
        <w:rPr>
          <w:rFonts w:cs="Times New Roman"/>
          <w:highlight w:val="none"/>
        </w:rPr>
        <w:t>主要噪声源</w:t>
      </w:r>
      <w:r>
        <w:rPr>
          <w:rFonts w:hint="eastAsia" w:cs="Times New Roman"/>
          <w:highlight w:val="none"/>
        </w:rPr>
        <w:t>及其源强</w:t>
      </w:r>
      <w:r>
        <w:rPr>
          <w:rFonts w:cs="Times New Roman"/>
          <w:highlight w:val="none"/>
        </w:rPr>
        <w:t>见表</w:t>
      </w:r>
      <w:r>
        <w:rPr>
          <w:rFonts w:hint="eastAsia" w:cs="Times New Roman"/>
          <w:szCs w:val="18"/>
          <w:highlight w:val="none"/>
          <w:lang w:val="en-US" w:eastAsia="zh-CN"/>
        </w:rPr>
        <w:t>4</w:t>
      </w:r>
      <w:r>
        <w:rPr>
          <w:rFonts w:hint="eastAsia" w:cs="Times New Roman"/>
          <w:szCs w:val="18"/>
          <w:highlight w:val="none"/>
        </w:rPr>
        <w:t>.2-</w:t>
      </w:r>
      <w:r>
        <w:rPr>
          <w:rFonts w:hint="eastAsia" w:cs="Times New Roman"/>
          <w:szCs w:val="18"/>
          <w:highlight w:val="none"/>
          <w:lang w:val="en-US" w:eastAsia="zh-CN"/>
        </w:rPr>
        <w:t>26</w:t>
      </w:r>
      <w:r>
        <w:rPr>
          <w:rFonts w:cs="Times New Roman"/>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.2-</w:t>
      </w:r>
      <w:r>
        <w:rPr>
          <w:rFonts w:hint="eastAsia"/>
          <w:highlight w:val="none"/>
          <w:lang w:val="en-US" w:eastAsia="zh-CN"/>
        </w:rPr>
        <w:t xml:space="preserve">26 </w:t>
      </w:r>
      <w:r>
        <w:rPr>
          <w:rFonts w:hint="eastAsia"/>
          <w:highlight w:val="none"/>
        </w:rPr>
        <w:t>项目</w:t>
      </w:r>
      <w:r>
        <w:rPr>
          <w:rFonts w:hint="eastAsia"/>
          <w:highlight w:val="none"/>
          <w:lang w:eastAsia="zh-CN"/>
        </w:rPr>
        <w:t>主要</w:t>
      </w:r>
      <w:r>
        <w:rPr>
          <w:rFonts w:hint="eastAsia"/>
          <w:highlight w:val="none"/>
        </w:rPr>
        <w:t>噪声源声功率级及防治措施</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05"/>
        <w:gridCol w:w="1311"/>
        <w:gridCol w:w="975"/>
        <w:gridCol w:w="975"/>
        <w:gridCol w:w="2564"/>
        <w:gridCol w:w="10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治理措施</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lang w:val="en-US" w:eastAsia="zh-CN"/>
              </w:rPr>
            </w:pPr>
            <w:r>
              <w:rPr>
                <w:rFonts w:cs="Times New Roman"/>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85</w:t>
            </w:r>
          </w:p>
        </w:tc>
        <w:tc>
          <w:tcPr>
            <w:tcW w:w="153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厂房隔声、减振</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restar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饲料加工区</w:t>
            </w: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圆筒初清筛</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6</w:t>
            </w:r>
            <w:r>
              <w:rPr>
                <w:rFonts w:hint="eastAsia" w:cs="Times New Roman"/>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永磁筒</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锤片式粉碎机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8</w:t>
            </w:r>
            <w:r>
              <w:rPr>
                <w:rFonts w:hint="eastAsia" w:cs="Times New Roman"/>
                <w:sz w:val="21"/>
                <w:szCs w:val="21"/>
                <w:highlight w:val="none"/>
                <w:lang w:val="en-US" w:eastAsia="zh-CN"/>
              </w:rPr>
              <w:t>5</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单轴桨叶式混合机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8</w:t>
            </w:r>
            <w:r>
              <w:rPr>
                <w:rFonts w:hint="eastAsia" w:cs="Times New Roman"/>
                <w:sz w:val="21"/>
                <w:szCs w:val="21"/>
                <w:highlight w:val="none"/>
                <w:lang w:val="en-US" w:eastAsia="zh-CN"/>
              </w:rPr>
              <w:t>5</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自清式斗式提升机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80</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1" w:type="pct"/>
            <w:vMerge w:val="continue"/>
            <w:tcBorders>
              <w:tl2br w:val="nil"/>
              <w:tr2bl w:val="nil"/>
            </w:tcBorders>
            <w:noWrap w:val="0"/>
            <w:vAlign w:val="center"/>
          </w:tcPr>
          <w:p>
            <w:pPr>
              <w:spacing w:line="240" w:lineRule="auto"/>
              <w:ind w:firstLine="0" w:firstLineChars="0"/>
              <w:jc w:val="center"/>
              <w:rPr>
                <w:rFonts w:cs="Times New Roman"/>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制粒机</w:t>
            </w:r>
          </w:p>
        </w:tc>
        <w:tc>
          <w:tcPr>
            <w:tcW w:w="583" w:type="pct"/>
            <w:tcBorders>
              <w:tl2br w:val="nil"/>
              <w:tr2bl w:val="nil"/>
            </w:tcBorders>
            <w:noWrap w:val="0"/>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8</w:t>
            </w:r>
            <w:r>
              <w:rPr>
                <w:rFonts w:hint="eastAsia" w:cs="Times New Roman"/>
                <w:sz w:val="21"/>
                <w:szCs w:val="21"/>
                <w:highlight w:val="none"/>
                <w:lang w:val="en-US" w:eastAsia="zh-CN"/>
              </w:rPr>
              <w:t>5</w:t>
            </w:r>
          </w:p>
        </w:tc>
        <w:tc>
          <w:tcPr>
            <w:tcW w:w="1534" w:type="pct"/>
            <w:tcBorders>
              <w:tl2br w:val="nil"/>
              <w:tr2bl w:val="nil"/>
            </w:tcBorders>
            <w:noWrap w:val="0"/>
            <w:vAlign w:val="center"/>
          </w:tcPr>
          <w:p>
            <w:pPr>
              <w:spacing w:line="240" w:lineRule="auto"/>
              <w:ind w:firstLine="420" w:firstLineChars="200"/>
              <w:jc w:val="center"/>
              <w:rPr>
                <w:rFonts w:cs="Times New Roman"/>
                <w:sz w:val="21"/>
                <w:szCs w:val="21"/>
                <w:highlight w:val="none"/>
              </w:rPr>
            </w:pPr>
            <w:r>
              <w:rPr>
                <w:rFonts w:cs="Times New Roman"/>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65</w:t>
            </w:r>
          </w:p>
        </w:tc>
      </w:tr>
    </w:tbl>
    <w:p>
      <w:pPr>
        <w:pStyle w:val="8"/>
        <w:ind w:firstLine="482"/>
        <w:rPr>
          <w:highlight w:val="none"/>
        </w:rPr>
      </w:pPr>
      <w:r>
        <w:rPr>
          <w:rFonts w:hint="eastAsia"/>
          <w:highlight w:val="none"/>
          <w:lang w:val="en-US" w:eastAsia="zh-CN"/>
        </w:rPr>
        <w:t>4</w:t>
      </w:r>
      <w:r>
        <w:rPr>
          <w:highlight w:val="none"/>
        </w:rPr>
        <w:t>.</w:t>
      </w:r>
      <w:r>
        <w:rPr>
          <w:rFonts w:hint="eastAsia"/>
          <w:highlight w:val="none"/>
        </w:rPr>
        <w:t>2.4.2</w:t>
      </w:r>
      <w:r>
        <w:rPr>
          <w:highlight w:val="none"/>
        </w:rPr>
        <w:t>噪声影响预测模式</w:t>
      </w:r>
    </w:p>
    <w:p>
      <w:pPr>
        <w:ind w:firstLine="480"/>
        <w:rPr>
          <w:highlight w:val="none"/>
          <w:lang w:val="zh-CN"/>
        </w:rPr>
      </w:pPr>
      <w:r>
        <w:rPr>
          <w:highlight w:val="none"/>
          <w:lang w:val="zh-CN"/>
        </w:rPr>
        <w:t>采用《环境影响评价技术导则-声环境》</w:t>
      </w:r>
      <w:r>
        <w:rPr>
          <w:rFonts w:hint="eastAsia"/>
          <w:highlight w:val="none"/>
          <w:lang w:val="zh-CN"/>
        </w:rPr>
        <w:t>（</w:t>
      </w:r>
      <w:r>
        <w:rPr>
          <w:highlight w:val="none"/>
          <w:lang w:val="zh-CN"/>
        </w:rPr>
        <w:t>HJ2.4-2009</w:t>
      </w:r>
      <w:r>
        <w:rPr>
          <w:rFonts w:hint="eastAsia"/>
          <w:highlight w:val="none"/>
          <w:lang w:val="zh-CN"/>
        </w:rPr>
        <w:t>）</w:t>
      </w:r>
      <w:r>
        <w:rPr>
          <w:highlight w:val="none"/>
          <w:lang w:val="zh-CN"/>
        </w:rPr>
        <w:t>中的工业噪声预测模式。</w:t>
      </w:r>
    </w:p>
    <w:p>
      <w:pPr>
        <w:ind w:firstLine="480"/>
        <w:rPr>
          <w:highlight w:val="none"/>
          <w:lang w:val="zh-CN"/>
        </w:rPr>
      </w:pPr>
      <w:r>
        <w:rPr>
          <w:rFonts w:hint="eastAsia"/>
          <w:highlight w:val="none"/>
          <w:lang w:val="zh-CN"/>
        </w:rPr>
        <w:t>本项目以厂界为边界进行预测。</w:t>
      </w:r>
    </w:p>
    <w:p>
      <w:pPr>
        <w:ind w:firstLine="480"/>
        <w:rPr>
          <w:highlight w:val="none"/>
          <w:lang w:val="zh-CN"/>
        </w:rPr>
      </w:pPr>
      <w:r>
        <w:rPr>
          <w:rFonts w:hint="eastAsia"/>
          <w:highlight w:val="none"/>
          <w:lang w:val="zh-CN"/>
        </w:rPr>
        <w:t>点声源预测模式：</w:t>
      </w:r>
    </w:p>
    <w:p>
      <w:pPr>
        <w:ind w:firstLine="480"/>
        <w:rPr>
          <w:highlight w:val="none"/>
          <w:lang w:val="zh-CN"/>
        </w:rPr>
      </w:pPr>
      <w:r>
        <w:rPr>
          <w:rFonts w:hint="eastAsia"/>
          <w:highlight w:val="none"/>
          <w:lang w:val="zh-CN"/>
        </w:rPr>
        <w:t xml:space="preserve"> </w:t>
      </w:r>
      <w:r>
        <w:rPr>
          <w:rFonts w:hint="eastAsia"/>
          <w:highlight w:val="none"/>
          <w:lang w:val="zh-CN"/>
        </w:rPr>
        <w:object>
          <v:shape id="_x0000_i1029" o:spt="75" type="#_x0000_t75" style="height:18pt;width:148pt;" o:ole="t" filled="f" o:preferrelative="t" stroked="f" coordsize="21600,21600">
            <v:path/>
            <v:fill on="f" focussize="0,0"/>
            <v:stroke on="f" joinstyle="miter"/>
            <v:imagedata r:id="rId50" o:title=""/>
            <o:lock v:ext="edit" aspectratio="t"/>
            <w10:wrap type="none"/>
            <w10:anchorlock/>
          </v:shape>
          <o:OLEObject Type="Embed" ProgID="Equation.3" ShapeID="_x0000_i1029" DrawAspect="Content" ObjectID="_1468075737" r:id="rId49">
            <o:LockedField>false</o:LockedField>
          </o:OLEObject>
        </w:object>
      </w:r>
    </w:p>
    <w:p>
      <w:pPr>
        <w:ind w:firstLine="480"/>
        <w:jc w:val="left"/>
        <w:rPr>
          <w:highlight w:val="none"/>
          <w:lang w:val="zh-CN"/>
        </w:rPr>
      </w:pPr>
      <w:r>
        <w:rPr>
          <w:rFonts w:hint="eastAsia"/>
          <w:highlight w:val="none"/>
          <w:lang w:val="zh-CN"/>
        </w:rPr>
        <w:t>式中：L(r0)——距声源r0距离上的A声压级；</w:t>
      </w:r>
    </w:p>
    <w:p>
      <w:pPr>
        <w:ind w:firstLine="480"/>
        <w:jc w:val="left"/>
        <w:rPr>
          <w:highlight w:val="none"/>
          <w:lang w:val="zh-CN"/>
        </w:rPr>
      </w:pPr>
      <w:r>
        <w:rPr>
          <w:rFonts w:hint="eastAsia"/>
          <w:highlight w:val="none"/>
          <w:lang w:val="zh-CN"/>
        </w:rPr>
        <w:t>L(r)——距声源r距离上的A声压级；</w:t>
      </w:r>
    </w:p>
    <w:p>
      <w:pPr>
        <w:ind w:firstLine="480"/>
        <w:jc w:val="left"/>
        <w:rPr>
          <w:highlight w:val="none"/>
          <w:lang w:val="zh-CN"/>
        </w:rPr>
      </w:pPr>
      <w:r>
        <w:rPr>
          <w:rFonts w:hint="eastAsia"/>
          <w:highlight w:val="none"/>
          <w:lang w:val="zh-CN"/>
        </w:rPr>
        <w:t>ΔL——声屏障、遮挡物、空气吸收地面效应引起的衰减量，本项目厂房经设备减震、厂房隔音等措施，可实现20dB以上的隔音量；</w:t>
      </w:r>
    </w:p>
    <w:p>
      <w:pPr>
        <w:ind w:firstLine="480"/>
        <w:jc w:val="left"/>
        <w:rPr>
          <w:highlight w:val="none"/>
          <w:lang w:val="zh-CN"/>
        </w:rPr>
      </w:pPr>
      <w:r>
        <w:rPr>
          <w:rFonts w:hint="eastAsia"/>
          <w:highlight w:val="none"/>
          <w:lang w:val="zh-CN"/>
        </w:rPr>
        <w:t>r、r</w:t>
      </w:r>
      <w:r>
        <w:rPr>
          <w:rFonts w:hint="eastAsia"/>
          <w:highlight w:val="none"/>
          <w:vertAlign w:val="subscript"/>
          <w:lang w:val="zh-CN"/>
        </w:rPr>
        <w:t>0</w:t>
      </w:r>
      <w:r>
        <w:rPr>
          <w:rFonts w:hint="eastAsia"/>
          <w:highlight w:val="none"/>
          <w:lang w:val="zh-CN"/>
        </w:rPr>
        <w:t>——距声源距离（m）。</w:t>
      </w:r>
    </w:p>
    <w:p>
      <w:pPr>
        <w:ind w:firstLine="480"/>
        <w:rPr>
          <w:highlight w:val="none"/>
          <w:lang w:val="zh-CN"/>
        </w:rPr>
      </w:pPr>
      <w:r>
        <w:rPr>
          <w:rFonts w:hint="eastAsia"/>
          <w:highlight w:val="none"/>
          <w:lang w:val="zh-CN"/>
        </w:rPr>
        <w:t>多声源叠加模式：</w:t>
      </w:r>
    </w:p>
    <w:p>
      <w:pPr>
        <w:ind w:firstLine="480"/>
        <w:rPr>
          <w:highlight w:val="none"/>
          <w:lang w:val="zh-CN"/>
        </w:rPr>
      </w:pPr>
      <w:r>
        <w:rPr>
          <w:highlight w:val="none"/>
          <w:lang w:val="zh-CN"/>
        </w:rPr>
        <w:t xml:space="preserve"> </w:t>
      </w:r>
      <w:r>
        <w:rPr>
          <w:rFonts w:hint="eastAsia"/>
          <w:highlight w:val="none"/>
        </w:rPr>
        <w:drawing>
          <wp:inline distT="0" distB="0" distL="114300" distR="114300">
            <wp:extent cx="1858010" cy="436245"/>
            <wp:effectExtent l="0" t="0" r="8890" b="1905"/>
            <wp:docPr id="4" name="图片 10" descr="UJK[B6NWB06DW9D{4R4Q}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UJK[B6NWB06DW9D{4R4Q}I1"/>
                    <pic:cNvPicPr>
                      <a:picLocks noChangeAspect="1"/>
                    </pic:cNvPicPr>
                  </pic:nvPicPr>
                  <pic:blipFill>
                    <a:blip r:embed="rId51"/>
                    <a:stretch>
                      <a:fillRect/>
                    </a:stretch>
                  </pic:blipFill>
                  <pic:spPr>
                    <a:xfrm>
                      <a:off x="0" y="0"/>
                      <a:ext cx="1858010" cy="436245"/>
                    </a:xfrm>
                    <a:prstGeom prst="rect">
                      <a:avLst/>
                    </a:prstGeom>
                    <a:noFill/>
                    <a:ln w="9525">
                      <a:noFill/>
                    </a:ln>
                  </pic:spPr>
                </pic:pic>
              </a:graphicData>
            </a:graphic>
          </wp:inline>
        </w:drawing>
      </w:r>
    </w:p>
    <w:p>
      <w:pPr>
        <w:ind w:firstLine="480"/>
        <w:jc w:val="left"/>
        <w:rPr>
          <w:highlight w:val="none"/>
          <w:lang w:val="zh-CN"/>
        </w:rPr>
      </w:pPr>
      <w:r>
        <w:rPr>
          <w:rFonts w:hint="eastAsia"/>
          <w:highlight w:val="none"/>
          <w:lang w:val="zh-CN"/>
        </w:rPr>
        <w:t>式中：Li——声源对预测点的等效声级；</w:t>
      </w:r>
    </w:p>
    <w:p>
      <w:pPr>
        <w:ind w:firstLine="480"/>
        <w:jc w:val="left"/>
        <w:rPr>
          <w:highlight w:val="none"/>
          <w:lang w:val="zh-CN"/>
        </w:rPr>
      </w:pPr>
      <w:r>
        <w:rPr>
          <w:rFonts w:hint="eastAsia"/>
          <w:highlight w:val="none"/>
          <w:lang w:val="zh-CN"/>
        </w:rPr>
        <w:t>LAeq总——预测点总等效声级；</w:t>
      </w:r>
    </w:p>
    <w:p>
      <w:pPr>
        <w:tabs>
          <w:tab w:val="left" w:pos="1021"/>
        </w:tabs>
        <w:ind w:firstLine="480"/>
        <w:jc w:val="left"/>
        <w:rPr>
          <w:highlight w:val="none"/>
        </w:rPr>
      </w:pPr>
      <w:r>
        <w:rPr>
          <w:rFonts w:hint="eastAsia"/>
          <w:highlight w:val="none"/>
          <w:lang w:val="zh-CN"/>
        </w:rPr>
        <w:t>n——预测点受声源数量；</w:t>
      </w:r>
    </w:p>
    <w:p>
      <w:pPr>
        <w:pStyle w:val="8"/>
        <w:ind w:firstLine="482"/>
        <w:rPr>
          <w:highlight w:val="none"/>
        </w:rPr>
      </w:pPr>
      <w:r>
        <w:rPr>
          <w:rFonts w:hint="eastAsia"/>
          <w:highlight w:val="none"/>
          <w:lang w:val="en-US" w:eastAsia="zh-CN"/>
        </w:rPr>
        <w:t>4</w:t>
      </w:r>
      <w:r>
        <w:rPr>
          <w:highlight w:val="none"/>
        </w:rPr>
        <w:t>.</w:t>
      </w:r>
      <w:r>
        <w:rPr>
          <w:rFonts w:hint="eastAsia"/>
          <w:highlight w:val="none"/>
        </w:rPr>
        <w:t>2.4.3</w:t>
      </w:r>
      <w:r>
        <w:rPr>
          <w:highlight w:val="none"/>
        </w:rPr>
        <w:t>噪声影响预测结果</w:t>
      </w:r>
    </w:p>
    <w:p>
      <w:pPr>
        <w:ind w:firstLine="480"/>
        <w:rPr>
          <w:highlight w:val="none"/>
        </w:rPr>
      </w:pPr>
      <w:r>
        <w:rPr>
          <w:rFonts w:hint="eastAsia"/>
          <w:highlight w:val="none"/>
        </w:rPr>
        <w:t>厂界噪声排放值预测结果具体见下表</w:t>
      </w:r>
      <w:r>
        <w:rPr>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.2-</w:t>
      </w:r>
      <w:r>
        <w:rPr>
          <w:rFonts w:hint="eastAsia"/>
          <w:highlight w:val="none"/>
          <w:lang w:val="en-US" w:eastAsia="zh-CN"/>
        </w:rPr>
        <w:t xml:space="preserve">27 </w:t>
      </w:r>
      <w:r>
        <w:rPr>
          <w:rFonts w:hint="eastAsia"/>
          <w:highlight w:val="none"/>
        </w:rPr>
        <w:t>本项目运营后噪声预测结果单位：dB(A)</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746"/>
        <w:gridCol w:w="1929"/>
        <w:gridCol w:w="1545"/>
        <w:gridCol w:w="1752"/>
        <w:gridCol w:w="1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tblHeader/>
          <w:jc w:val="center"/>
        </w:trPr>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序号</w:t>
            </w:r>
          </w:p>
        </w:tc>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预测点</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噪声源</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厂界距离噪声源距离（m）</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对厂界噪声贡献值（dB(A)）</w:t>
            </w:r>
          </w:p>
        </w:tc>
        <w:tc>
          <w:tcPr>
            <w:tcW w:w="0" w:type="auto"/>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对厂界噪声贡献值叠加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1</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东场界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29</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56</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35</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287</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rPr>
              <w:t>2</w:t>
            </w:r>
            <w:r>
              <w:rPr>
                <w:rFonts w:hint="eastAsia" w:cs="Times New Roman"/>
                <w:snapToGrid w:val="0"/>
                <w:sz w:val="21"/>
                <w:szCs w:val="21"/>
                <w:highlight w:val="none"/>
                <w:lang w:val="en-US" w:eastAsia="zh-CN"/>
              </w:rPr>
              <w:t>0.8</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240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27.4</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295</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rPr>
              <w:t>2</w:t>
            </w:r>
            <w:r>
              <w:rPr>
                <w:rFonts w:hint="eastAsia" w:cs="Times New Roman"/>
                <w:snapToGrid w:val="0"/>
                <w:sz w:val="21"/>
                <w:szCs w:val="21"/>
                <w:highlight w:val="none"/>
                <w:lang w:val="en-US" w:eastAsia="zh-CN"/>
              </w:rPr>
              <w:t>5.6</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圆筒初清筛</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770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17.3</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永磁筒</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760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22.4</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锤片式粉碎机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753</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22.5</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单轴桨叶式混合机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742</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22.6</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自清式斗式提升机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735</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27.7</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制粒机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720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22.9</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西场界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130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22.7</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50</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36</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137</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42.3</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174</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rPr>
              <w:t>3</w:t>
            </w:r>
            <w:r>
              <w:rPr>
                <w:rFonts w:hint="eastAsia" w:cs="Times New Roman"/>
                <w:snapToGrid w:val="0"/>
                <w:sz w:val="21"/>
                <w:szCs w:val="21"/>
                <w:highlight w:val="none"/>
                <w:lang w:val="en-US" w:eastAsia="zh-CN"/>
              </w:rPr>
              <w:t>0.2</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114</w:t>
            </w:r>
          </w:p>
        </w:tc>
        <w:tc>
          <w:tcPr>
            <w:tcW w:w="1752" w:type="dxa"/>
            <w:noWrap w:val="0"/>
            <w:vAlign w:val="center"/>
          </w:tcPr>
          <w:p>
            <w:pPr>
              <w:spacing w:line="240" w:lineRule="auto"/>
              <w:ind w:firstLine="0" w:firstLineChars="0"/>
              <w:jc w:val="center"/>
              <w:rPr>
                <w:rFonts w:hint="eastAsia" w:eastAsia="宋体" w:cs="Times New Roman"/>
                <w:snapToGrid w:val="0"/>
                <w:sz w:val="21"/>
                <w:szCs w:val="21"/>
                <w:highlight w:val="none"/>
                <w:lang w:eastAsia="zh-CN"/>
              </w:rPr>
            </w:pPr>
            <w:r>
              <w:rPr>
                <w:rFonts w:hint="eastAsia" w:cs="Times New Roman"/>
                <w:snapToGrid w:val="0"/>
                <w:sz w:val="21"/>
                <w:szCs w:val="21"/>
                <w:highlight w:val="none"/>
              </w:rPr>
              <w:t>33.</w:t>
            </w:r>
            <w:r>
              <w:rPr>
                <w:rFonts w:hint="eastAsia" w:cs="Times New Roman"/>
                <w:snapToGrid w:val="0"/>
                <w:sz w:val="21"/>
                <w:szCs w:val="21"/>
                <w:highlight w:val="none"/>
                <w:lang w:val="en-US" w:eastAsia="zh-CN"/>
              </w:rPr>
              <w:t>9</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圆筒初清筛</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98</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35.2</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永磁筒</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92</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40.7</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锤片式粉碎机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94</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40.5</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单轴桨叶式混合机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91</w:t>
            </w:r>
          </w:p>
        </w:tc>
        <w:tc>
          <w:tcPr>
            <w:tcW w:w="1752"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40.8</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自清式斗式提升机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85</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41.4</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制粒机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80</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eastAsia="zh-CN"/>
              </w:rPr>
            </w:pPr>
            <w:r>
              <w:rPr>
                <w:rFonts w:hint="eastAsia" w:cs="Times New Roman"/>
                <w:snapToGrid w:val="0"/>
                <w:sz w:val="21"/>
                <w:szCs w:val="21"/>
                <w:highlight w:val="none"/>
                <w:lang w:val="en-US" w:eastAsia="zh-CN"/>
              </w:rPr>
              <w:t>41.9</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南场界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41.5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67</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33.5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214</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38.4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263</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26.6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273</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26.3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圆筒初清筛</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250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27.0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永磁筒</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225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33.0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锤片式粉碎机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196</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34.2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单轴桨叶式混合机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170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40.4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自清式斗式提升机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145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41.8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制粒机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120</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lang w:val="en-US" w:eastAsia="zh-CN"/>
              </w:rPr>
            </w:pPr>
            <w:r>
              <w:rPr>
                <w:rFonts w:hint="eastAsia" w:cs="Times New Roman"/>
                <w:snapToGrid w:val="0"/>
                <w:sz w:val="21"/>
                <w:szCs w:val="21"/>
                <w:highlight w:val="none"/>
                <w:lang w:val="en-US" w:eastAsia="zh-CN"/>
              </w:rPr>
              <w:t xml:space="preserve">38.4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4</w:t>
            </w:r>
          </w:p>
        </w:tc>
        <w:tc>
          <w:tcPr>
            <w:tcW w:w="0" w:type="auto"/>
            <w:vMerge w:val="restart"/>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北场界</w:t>
            </w: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31.9 </w:t>
            </w:r>
          </w:p>
        </w:tc>
        <w:tc>
          <w:tcPr>
            <w:tcW w:w="0" w:type="auto"/>
            <w:vMerge w:val="restart"/>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49.4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猪叫声</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35</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39.1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水泵</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328</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34.7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固液分离机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317</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25.0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翻抛机</w:t>
            </w:r>
          </w:p>
        </w:tc>
        <w:tc>
          <w:tcPr>
            <w:tcW w:w="1545"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rPr>
              <w:t>327</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24.7 </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圆筒初清筛</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75</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rPr>
            </w:pPr>
            <w:r>
              <w:rPr>
                <w:rFonts w:hint="eastAsia" w:cs="Times New Roman"/>
                <w:snapToGrid w:val="0"/>
                <w:sz w:val="21"/>
                <w:szCs w:val="21"/>
                <w:highlight w:val="none"/>
                <w:lang w:val="en-US" w:eastAsia="zh-CN"/>
              </w:rPr>
              <w:t>42.5</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永磁筒</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65</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rPr>
            </w:pPr>
            <w:r>
              <w:rPr>
                <w:rFonts w:hint="eastAsia" w:cs="Times New Roman"/>
                <w:snapToGrid w:val="0"/>
                <w:sz w:val="21"/>
                <w:szCs w:val="21"/>
                <w:highlight w:val="none"/>
                <w:lang w:val="en-US" w:eastAsia="zh-CN"/>
              </w:rPr>
              <w:t>43.7</w:t>
            </w:r>
          </w:p>
        </w:tc>
        <w:tc>
          <w:tcPr>
            <w:tcW w:w="0" w:type="auto"/>
            <w:vMerge w:val="continue"/>
            <w:noWrap w:val="0"/>
            <w:vAlign w:val="center"/>
          </w:tcPr>
          <w:p>
            <w:pPr>
              <w:spacing w:line="240" w:lineRule="auto"/>
              <w:ind w:firstLine="0" w:firstLineChars="0"/>
              <w:jc w:val="center"/>
              <w:rPr>
                <w:rFonts w:hint="eastAsia" w:cs="Times New Roman"/>
                <w:snapToGrid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exact"/>
              <w:rPr>
                <w:rFonts w:ascii="Times New Roman" w:hAnsi="Times New Roman"/>
                <w:bCs/>
                <w:sz w:val="21"/>
                <w:szCs w:val="21"/>
                <w:highlight w:val="none"/>
              </w:rPr>
            </w:pPr>
          </w:p>
        </w:tc>
        <w:tc>
          <w:tcPr>
            <w:tcW w:w="0" w:type="auto"/>
            <w:vMerge w:val="continue"/>
            <w:noWrap w:val="0"/>
            <w:vAlign w:val="center"/>
          </w:tcPr>
          <w:p>
            <w:pPr>
              <w:spacing w:line="240" w:lineRule="exact"/>
              <w:rPr>
                <w:rFonts w:ascii="Times New Roman" w:hAnsi="Times New Roman"/>
                <w:bCs/>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锤片式粉碎机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80</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rPr>
            </w:pPr>
            <w:r>
              <w:rPr>
                <w:rFonts w:hint="eastAsia" w:cs="Times New Roman"/>
                <w:snapToGrid w:val="0"/>
                <w:sz w:val="21"/>
                <w:szCs w:val="21"/>
                <w:highlight w:val="none"/>
                <w:lang w:val="en-US" w:eastAsia="zh-CN"/>
              </w:rPr>
              <w:t>41.9</w:t>
            </w:r>
          </w:p>
        </w:tc>
        <w:tc>
          <w:tcPr>
            <w:tcW w:w="0" w:type="auto"/>
            <w:vMerge w:val="continue"/>
            <w:noWrap w:val="0"/>
            <w:vAlign w:val="center"/>
          </w:tcPr>
          <w:p>
            <w:pPr>
              <w:spacing w:line="240" w:lineRule="exact"/>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exact"/>
              <w:rPr>
                <w:rFonts w:ascii="Times New Roman" w:hAnsi="Times New Roman"/>
                <w:bCs/>
                <w:sz w:val="21"/>
                <w:szCs w:val="21"/>
                <w:highlight w:val="none"/>
              </w:rPr>
            </w:pPr>
          </w:p>
        </w:tc>
        <w:tc>
          <w:tcPr>
            <w:tcW w:w="0" w:type="auto"/>
            <w:vMerge w:val="continue"/>
            <w:noWrap w:val="0"/>
            <w:vAlign w:val="center"/>
          </w:tcPr>
          <w:p>
            <w:pPr>
              <w:spacing w:line="240" w:lineRule="exact"/>
              <w:rPr>
                <w:rFonts w:ascii="Times New Roman" w:hAnsi="Times New Roman"/>
                <w:bCs/>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单轴桨叶式混合机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110</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rPr>
            </w:pPr>
            <w:r>
              <w:rPr>
                <w:rFonts w:hint="eastAsia" w:cs="Times New Roman"/>
                <w:snapToGrid w:val="0"/>
                <w:sz w:val="21"/>
                <w:szCs w:val="21"/>
                <w:highlight w:val="none"/>
                <w:lang w:val="en-US" w:eastAsia="zh-CN"/>
              </w:rPr>
              <w:t>39.2</w:t>
            </w:r>
          </w:p>
        </w:tc>
        <w:tc>
          <w:tcPr>
            <w:tcW w:w="0" w:type="auto"/>
            <w:vMerge w:val="continue"/>
            <w:noWrap w:val="0"/>
            <w:vAlign w:val="center"/>
          </w:tcPr>
          <w:p>
            <w:pPr>
              <w:spacing w:line="240" w:lineRule="exact"/>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exact"/>
              <w:rPr>
                <w:rFonts w:ascii="Times New Roman" w:hAnsi="Times New Roman"/>
                <w:bCs/>
                <w:sz w:val="21"/>
                <w:szCs w:val="21"/>
                <w:highlight w:val="none"/>
              </w:rPr>
            </w:pPr>
          </w:p>
        </w:tc>
        <w:tc>
          <w:tcPr>
            <w:tcW w:w="0" w:type="auto"/>
            <w:vMerge w:val="continue"/>
            <w:noWrap w:val="0"/>
            <w:vAlign w:val="center"/>
          </w:tcPr>
          <w:p>
            <w:pPr>
              <w:spacing w:line="240" w:lineRule="exact"/>
              <w:rPr>
                <w:rFonts w:ascii="Times New Roman" w:hAnsi="Times New Roman"/>
                <w:bCs/>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自清式斗式提升机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135</w:t>
            </w:r>
          </w:p>
        </w:tc>
        <w:tc>
          <w:tcPr>
            <w:tcW w:w="1752" w:type="dxa"/>
            <w:noWrap w:val="0"/>
            <w:vAlign w:val="center"/>
          </w:tcPr>
          <w:p>
            <w:pPr>
              <w:spacing w:line="240" w:lineRule="auto"/>
              <w:ind w:firstLine="0" w:firstLineChars="0"/>
              <w:jc w:val="center"/>
              <w:rPr>
                <w:rFonts w:hint="default" w:cs="Times New Roman"/>
                <w:snapToGrid w:val="0"/>
                <w:sz w:val="21"/>
                <w:szCs w:val="21"/>
                <w:highlight w:val="none"/>
                <w:lang w:val="en-US"/>
              </w:rPr>
            </w:pPr>
            <w:r>
              <w:rPr>
                <w:rFonts w:hint="eastAsia" w:cs="Times New Roman"/>
                <w:snapToGrid w:val="0"/>
                <w:sz w:val="21"/>
                <w:szCs w:val="21"/>
                <w:highlight w:val="none"/>
                <w:lang w:val="en-US" w:eastAsia="zh-CN"/>
              </w:rPr>
              <w:t>37.4</w:t>
            </w:r>
          </w:p>
        </w:tc>
        <w:tc>
          <w:tcPr>
            <w:tcW w:w="0" w:type="auto"/>
            <w:vMerge w:val="continue"/>
            <w:noWrap w:val="0"/>
            <w:vAlign w:val="center"/>
          </w:tcPr>
          <w:p>
            <w:pPr>
              <w:spacing w:line="240" w:lineRule="exact"/>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exact"/>
              <w:rPr>
                <w:rFonts w:ascii="Times New Roman" w:hAnsi="Times New Roman"/>
                <w:bCs/>
                <w:sz w:val="21"/>
                <w:szCs w:val="21"/>
                <w:highlight w:val="none"/>
              </w:rPr>
            </w:pPr>
          </w:p>
        </w:tc>
        <w:tc>
          <w:tcPr>
            <w:tcW w:w="0" w:type="auto"/>
            <w:vMerge w:val="continue"/>
            <w:noWrap w:val="0"/>
            <w:vAlign w:val="center"/>
          </w:tcPr>
          <w:p>
            <w:pPr>
              <w:spacing w:line="240" w:lineRule="exact"/>
              <w:rPr>
                <w:rFonts w:ascii="Times New Roman" w:hAnsi="Times New Roman"/>
                <w:bCs/>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z w:val="21"/>
                <w:szCs w:val="21"/>
                <w:highlight w:val="none"/>
                <w:lang w:val="en-US" w:eastAsia="zh-CN"/>
              </w:rPr>
              <w:t>制粒机</w:t>
            </w:r>
          </w:p>
        </w:tc>
        <w:tc>
          <w:tcPr>
            <w:tcW w:w="1545" w:type="dxa"/>
            <w:noWrap w:val="0"/>
            <w:vAlign w:val="center"/>
          </w:tcPr>
          <w:p>
            <w:pPr>
              <w:spacing w:line="240" w:lineRule="auto"/>
              <w:ind w:firstLine="0" w:firstLineChars="0"/>
              <w:jc w:val="center"/>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158</w:t>
            </w:r>
          </w:p>
        </w:tc>
        <w:tc>
          <w:tcPr>
            <w:tcW w:w="1752" w:type="dxa"/>
            <w:noWrap w:val="0"/>
            <w:vAlign w:val="center"/>
          </w:tcPr>
          <w:p>
            <w:pPr>
              <w:spacing w:line="240" w:lineRule="auto"/>
              <w:ind w:firstLine="0" w:firstLineChars="0"/>
              <w:jc w:val="center"/>
              <w:rPr>
                <w:rFonts w:hint="eastAsia" w:cs="Times New Roman"/>
                <w:snapToGrid w:val="0"/>
                <w:sz w:val="21"/>
                <w:szCs w:val="21"/>
                <w:highlight w:val="none"/>
              </w:rPr>
            </w:pPr>
            <w:r>
              <w:rPr>
                <w:rFonts w:hint="eastAsia" w:cs="Times New Roman"/>
                <w:snapToGrid w:val="0"/>
                <w:sz w:val="21"/>
                <w:szCs w:val="21"/>
                <w:highlight w:val="none"/>
                <w:lang w:val="en-US" w:eastAsia="zh-CN"/>
              </w:rPr>
              <w:t xml:space="preserve">36.0 </w:t>
            </w:r>
          </w:p>
        </w:tc>
        <w:tc>
          <w:tcPr>
            <w:tcW w:w="0" w:type="auto"/>
            <w:vMerge w:val="continue"/>
            <w:noWrap w:val="0"/>
            <w:vAlign w:val="center"/>
          </w:tcPr>
          <w:p>
            <w:pPr>
              <w:spacing w:line="240" w:lineRule="exact"/>
              <w:rPr>
                <w:rFonts w:ascii="Times New Roman" w:hAnsi="Times New Roman"/>
                <w:bCs/>
                <w:sz w:val="21"/>
                <w:szCs w:val="21"/>
                <w:highlight w:val="none"/>
              </w:rPr>
            </w:pPr>
          </w:p>
        </w:tc>
      </w:tr>
    </w:tbl>
    <w:p>
      <w:pPr>
        <w:ind w:firstLine="480"/>
        <w:rPr>
          <w:rFonts w:cs="Times New Roman"/>
          <w:highlight w:val="none"/>
        </w:rPr>
      </w:pPr>
      <w:r>
        <w:rPr>
          <w:rFonts w:cs="Times New Roman"/>
          <w:highlight w:val="none"/>
        </w:rPr>
        <w:t>由</w:t>
      </w:r>
      <w:r>
        <w:rPr>
          <w:rFonts w:hint="eastAsia" w:cs="Times New Roman"/>
          <w:highlight w:val="none"/>
        </w:rPr>
        <w:t>预测结果可知</w:t>
      </w:r>
      <w:r>
        <w:rPr>
          <w:rFonts w:cs="Times New Roman"/>
          <w:highlight w:val="none"/>
        </w:rPr>
        <w:t>可知，在采取</w:t>
      </w:r>
      <w:r>
        <w:rPr>
          <w:rFonts w:hint="eastAsia" w:cs="Times New Roman"/>
          <w:highlight w:val="none"/>
        </w:rPr>
        <w:t>防治</w:t>
      </w:r>
      <w:r>
        <w:rPr>
          <w:rFonts w:cs="Times New Roman"/>
          <w:highlight w:val="none"/>
        </w:rPr>
        <w:t>措施后，项目</w:t>
      </w:r>
      <w:r>
        <w:rPr>
          <w:highlight w:val="none"/>
        </w:rPr>
        <w:t>厂界噪声均能满足《工业企业厂界环境噪声排放标准》（GB12348-2008）</w:t>
      </w:r>
      <w:r>
        <w:rPr>
          <w:rFonts w:hint="eastAsia"/>
          <w:highlight w:val="none"/>
        </w:rPr>
        <w:t>中的</w:t>
      </w:r>
      <w:r>
        <w:rPr>
          <w:rFonts w:hint="eastAsia"/>
          <w:highlight w:val="none"/>
          <w:lang w:val="en-US" w:eastAsia="zh-CN"/>
        </w:rPr>
        <w:t>2</w:t>
      </w:r>
      <w:r>
        <w:rPr>
          <w:rFonts w:hint="eastAsia"/>
          <w:highlight w:val="none"/>
        </w:rPr>
        <w:t>类标准</w:t>
      </w:r>
      <w:r>
        <w:rPr>
          <w:highlight w:val="none"/>
        </w:rPr>
        <w:t>排放限值</w:t>
      </w:r>
      <w:r>
        <w:rPr>
          <w:rFonts w:cs="Times New Roman"/>
          <w:highlight w:val="none"/>
        </w:rPr>
        <w:t>。</w:t>
      </w:r>
    </w:p>
    <w:p>
      <w:pPr>
        <w:pStyle w:val="7"/>
        <w:spacing w:before="6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5固废环境影响分析与评价</w:t>
      </w:r>
    </w:p>
    <w:p>
      <w:pPr>
        <w:ind w:firstLine="480"/>
        <w:rPr>
          <w:rFonts w:cs="Times New Roman"/>
          <w:highlight w:val="none"/>
        </w:rPr>
      </w:pPr>
      <w:r>
        <w:rPr>
          <w:rFonts w:hint="eastAsia" w:cs="Times New Roman"/>
          <w:highlight w:val="none"/>
        </w:rPr>
        <w:t>本项目产生的固体废物主要包括猪粪固形物、厌氧发酵后的沼渣、疾病防疫产生的医疗废物、职工生活垃圾、废脱硫剂</w:t>
      </w:r>
      <w:r>
        <w:rPr>
          <w:rFonts w:hint="eastAsia" w:cs="Times New Roman"/>
          <w:highlight w:val="none"/>
          <w:lang w:eastAsia="zh-CN"/>
        </w:rPr>
        <w:t>、饲料加工过程产生的杂质、除尘器收集的粉尘、废离子交换树脂</w:t>
      </w:r>
      <w:r>
        <w:rPr>
          <w:rFonts w:hint="eastAsia" w:cs="Times New Roman"/>
          <w:highlight w:val="none"/>
        </w:rPr>
        <w:t>等</w:t>
      </w:r>
      <w:r>
        <w:rPr>
          <w:rFonts w:cs="Times New Roman"/>
          <w:highlight w:val="none"/>
        </w:rPr>
        <w:t>。</w:t>
      </w:r>
    </w:p>
    <w:p>
      <w:pPr>
        <w:ind w:firstLine="480"/>
        <w:rPr>
          <w:highlight w:val="none"/>
        </w:rPr>
      </w:pPr>
      <w:r>
        <w:rPr>
          <w:highlight w:val="none"/>
        </w:rPr>
        <w:t>具体固废产生及处置情况见表</w:t>
      </w:r>
      <w:r>
        <w:rPr>
          <w:rFonts w:hint="eastAsia"/>
          <w:highlight w:val="none"/>
          <w:lang w:val="en-US" w:eastAsia="zh-CN"/>
        </w:rPr>
        <w:t>4</w:t>
      </w:r>
      <w:r>
        <w:rPr>
          <w:rFonts w:hint="eastAsia"/>
          <w:highlight w:val="none"/>
        </w:rPr>
        <w:t>.2-</w:t>
      </w:r>
      <w:r>
        <w:rPr>
          <w:rFonts w:hint="eastAsia"/>
          <w:highlight w:val="none"/>
          <w:lang w:val="en-US" w:eastAsia="zh-CN"/>
        </w:rPr>
        <w:t>28</w:t>
      </w:r>
      <w:r>
        <w:rPr>
          <w:rFonts w:hint="eastAsia"/>
          <w:highlight w:val="none"/>
        </w:rPr>
        <w:t>。</w:t>
      </w:r>
    </w:p>
    <w:p>
      <w:pPr>
        <w:pStyle w:val="22"/>
        <w:rPr>
          <w:rFonts w:hint="eastAsia" w:cs="Times New Roman"/>
          <w:highlight w:val="none"/>
        </w:rPr>
      </w:pPr>
      <w:r>
        <w:rPr>
          <w:rFonts w:hint="eastAsia" w:ascii="Times New Roman" w:hAnsi="Times New Roman" w:eastAsia="宋体" w:cs="Times New Roman"/>
          <w:b/>
          <w:bCs w:val="0"/>
          <w:kern w:val="2"/>
          <w:sz w:val="21"/>
          <w:szCs w:val="24"/>
          <w:highlight w:val="none"/>
          <w:lang w:val="en-US" w:eastAsia="zh-CN" w:bidi="ar-SA"/>
        </w:rPr>
        <w:t>表4.2-2</w:t>
      </w:r>
      <w:r>
        <w:rPr>
          <w:rFonts w:hint="eastAsia" w:cs="Times New Roman"/>
          <w:b/>
          <w:bCs w:val="0"/>
          <w:kern w:val="2"/>
          <w:sz w:val="21"/>
          <w:szCs w:val="24"/>
          <w:highlight w:val="none"/>
          <w:lang w:val="en-US" w:eastAsia="zh-CN" w:bidi="ar-SA"/>
        </w:rPr>
        <w:t>8</w:t>
      </w:r>
      <w:r>
        <w:rPr>
          <w:rFonts w:hint="eastAsia" w:ascii="Times New Roman" w:hAnsi="Times New Roman" w:eastAsia="宋体" w:cs="Times New Roman"/>
          <w:b/>
          <w:bCs w:val="0"/>
          <w:kern w:val="2"/>
          <w:sz w:val="21"/>
          <w:szCs w:val="24"/>
          <w:highlight w:val="none"/>
          <w:lang w:val="en-US" w:eastAsia="zh-CN" w:bidi="ar-SA"/>
        </w:rPr>
        <w:t xml:space="preserve"> 本项目固体废物处理情况一览表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78"/>
        <w:gridCol w:w="484"/>
        <w:gridCol w:w="484"/>
        <w:gridCol w:w="484"/>
        <w:gridCol w:w="1057"/>
        <w:gridCol w:w="468"/>
        <w:gridCol w:w="776"/>
        <w:gridCol w:w="1196"/>
        <w:gridCol w:w="996"/>
        <w:gridCol w:w="14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40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286"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62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危险特性鉴别方法</w:t>
            </w:r>
          </w:p>
        </w:tc>
        <w:tc>
          <w:tcPr>
            <w:tcW w:w="27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危险特性</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废物类别</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废物代码</w:t>
            </w:r>
          </w:p>
        </w:tc>
        <w:tc>
          <w:tcPr>
            <w:tcW w:w="58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83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400"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286"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286"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restar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《国家 危险废 物名录》</w:t>
            </w:r>
          </w:p>
          <w:p>
            <w:pPr>
              <w:spacing w:line="240" w:lineRule="auto"/>
              <w:ind w:firstLine="0" w:firstLineChars="0"/>
              <w:jc w:val="center"/>
              <w:rPr>
                <w:rFonts w:cs="Times New Roman"/>
                <w:sz w:val="21"/>
                <w:szCs w:val="21"/>
                <w:highlight w:val="none"/>
              </w:rPr>
            </w:pPr>
            <w:r>
              <w:rPr>
                <w:rFonts w:hint="eastAsia" w:cs="Times New Roman"/>
                <w:sz w:val="21"/>
                <w:szCs w:val="21"/>
                <w:highlight w:val="none"/>
              </w:rPr>
              <w:t>（2016）</w:t>
            </w:r>
          </w:p>
        </w:tc>
        <w:tc>
          <w:tcPr>
            <w:tcW w:w="27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6099.49</w:t>
            </w:r>
          </w:p>
        </w:tc>
        <w:tc>
          <w:tcPr>
            <w:tcW w:w="83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00" w:type="pct"/>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286"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hint="eastAsia" w:cs="Times New Roman"/>
                <w:sz w:val="21"/>
                <w:szCs w:val="21"/>
                <w:highlight w:val="none"/>
              </w:rPr>
            </w:pPr>
          </w:p>
        </w:tc>
        <w:tc>
          <w:tcPr>
            <w:tcW w:w="27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4270.5</w:t>
            </w:r>
          </w:p>
        </w:tc>
        <w:tc>
          <w:tcPr>
            <w:tcW w:w="833"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400"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16.43</w:t>
            </w:r>
          </w:p>
        </w:tc>
        <w:tc>
          <w:tcPr>
            <w:tcW w:w="833"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400" w:type="pct"/>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28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0.2</w:t>
            </w:r>
          </w:p>
        </w:tc>
        <w:tc>
          <w:tcPr>
            <w:tcW w:w="833"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5</w:t>
            </w:r>
          </w:p>
        </w:tc>
        <w:tc>
          <w:tcPr>
            <w:tcW w:w="400" w:type="pct"/>
            <w:vAlign w:val="center"/>
          </w:tcPr>
          <w:p>
            <w:pPr>
              <w:spacing w:line="320" w:lineRule="exact"/>
              <w:ind w:left="0" w:leftChars="0" w:firstLine="0" w:firstLineChars="0"/>
              <w:jc w:val="both"/>
              <w:rPr>
                <w:rFonts w:hint="eastAsia" w:cs="Times New Roman"/>
                <w:sz w:val="21"/>
                <w:szCs w:val="21"/>
                <w:highlight w:val="none"/>
              </w:rPr>
            </w:pPr>
            <w:r>
              <w:rPr>
                <w:rFonts w:hint="eastAsia" w:ascii="Times New Roman" w:hAnsi="Times New Roman"/>
                <w:color w:val="000000"/>
                <w:sz w:val="21"/>
                <w:szCs w:val="21"/>
                <w:highlight w:val="none"/>
                <w:lang w:eastAsia="zh-CN"/>
              </w:rPr>
              <w:t>饲料加工</w:t>
            </w:r>
            <w:r>
              <w:rPr>
                <w:rFonts w:hint="eastAsia"/>
                <w:color w:val="000000"/>
                <w:sz w:val="21"/>
                <w:szCs w:val="21"/>
                <w:highlight w:val="none"/>
                <w:lang w:eastAsia="zh-CN"/>
              </w:rPr>
              <w:t>杂质</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饲料加工</w:t>
            </w:r>
          </w:p>
        </w:tc>
        <w:tc>
          <w:tcPr>
            <w:tcW w:w="28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24</w:t>
            </w:r>
          </w:p>
        </w:tc>
        <w:tc>
          <w:tcPr>
            <w:tcW w:w="833"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w:t>
            </w:r>
          </w:p>
        </w:tc>
        <w:tc>
          <w:tcPr>
            <w:tcW w:w="400" w:type="pct"/>
            <w:vAlign w:val="center"/>
          </w:tcPr>
          <w:p>
            <w:pPr>
              <w:spacing w:line="320" w:lineRule="exact"/>
              <w:ind w:left="0" w:leftChars="0" w:firstLine="0" w:firstLineChars="0"/>
              <w:jc w:val="both"/>
              <w:rPr>
                <w:rFonts w:hint="eastAsia" w:cs="Times New Roman"/>
                <w:sz w:val="21"/>
                <w:szCs w:val="21"/>
                <w:highlight w:val="none"/>
              </w:rPr>
            </w:pPr>
            <w:r>
              <w:rPr>
                <w:rFonts w:hint="eastAsia" w:ascii="Times New Roman" w:hAnsi="Times New Roman"/>
                <w:color w:val="000000"/>
                <w:sz w:val="21"/>
                <w:szCs w:val="21"/>
                <w:highlight w:val="none"/>
                <w:lang w:eastAsia="zh-CN"/>
              </w:rPr>
              <w:t>饲料加工</w:t>
            </w:r>
            <w:r>
              <w:rPr>
                <w:rFonts w:hint="eastAsia"/>
                <w:color w:val="000000"/>
                <w:sz w:val="21"/>
                <w:szCs w:val="21"/>
                <w:highlight w:val="none"/>
                <w:lang w:eastAsia="zh-CN"/>
              </w:rPr>
              <w:t>粉尘</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除尘器回收</w:t>
            </w:r>
          </w:p>
        </w:tc>
        <w:tc>
          <w:tcPr>
            <w:tcW w:w="28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4.43</w:t>
            </w:r>
          </w:p>
        </w:tc>
        <w:tc>
          <w:tcPr>
            <w:tcW w:w="833"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7</w:t>
            </w:r>
          </w:p>
        </w:tc>
        <w:tc>
          <w:tcPr>
            <w:tcW w:w="400"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21.76</w:t>
            </w:r>
          </w:p>
        </w:tc>
        <w:tc>
          <w:tcPr>
            <w:tcW w:w="833"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w:t>
            </w:r>
          </w:p>
        </w:tc>
        <w:tc>
          <w:tcPr>
            <w:tcW w:w="400"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母猪胎盘</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养殖</w:t>
            </w:r>
          </w:p>
        </w:tc>
        <w:tc>
          <w:tcPr>
            <w:tcW w:w="28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458"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w:t>
            </w:r>
          </w:p>
        </w:tc>
        <w:tc>
          <w:tcPr>
            <w:tcW w:w="70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w:t>
            </w:r>
          </w:p>
        </w:tc>
        <w:tc>
          <w:tcPr>
            <w:tcW w:w="58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9.888</w:t>
            </w:r>
          </w:p>
        </w:tc>
        <w:tc>
          <w:tcPr>
            <w:tcW w:w="833"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9</w:t>
            </w:r>
          </w:p>
        </w:tc>
        <w:tc>
          <w:tcPr>
            <w:tcW w:w="400"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286"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286"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28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27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In</w:t>
            </w:r>
          </w:p>
        </w:tc>
        <w:tc>
          <w:tcPr>
            <w:tcW w:w="45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HW</w:t>
            </w:r>
            <w:r>
              <w:rPr>
                <w:rFonts w:hint="eastAsia" w:cs="Times New Roman"/>
                <w:sz w:val="21"/>
                <w:szCs w:val="21"/>
                <w:highlight w:val="none"/>
                <w:lang w:val="en-US" w:eastAsia="zh-CN"/>
              </w:rPr>
              <w:t>01</w:t>
            </w:r>
          </w:p>
        </w:tc>
        <w:tc>
          <w:tcPr>
            <w:tcW w:w="706"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900-001-01</w:t>
            </w:r>
          </w:p>
        </w:tc>
        <w:tc>
          <w:tcPr>
            <w:tcW w:w="588"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75</w:t>
            </w:r>
          </w:p>
        </w:tc>
        <w:tc>
          <w:tcPr>
            <w:tcW w:w="833"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1"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w:t>
            </w:r>
          </w:p>
        </w:tc>
        <w:tc>
          <w:tcPr>
            <w:tcW w:w="400"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废离子交换树脂</w:t>
            </w:r>
          </w:p>
        </w:tc>
        <w:tc>
          <w:tcPr>
            <w:tcW w:w="286" w:type="pct"/>
            <w:vMerge w:val="continue"/>
            <w:vAlign w:val="center"/>
          </w:tcPr>
          <w:p>
            <w:pPr>
              <w:spacing w:line="240" w:lineRule="auto"/>
              <w:ind w:firstLine="0" w:firstLineChars="0"/>
              <w:jc w:val="center"/>
              <w:rPr>
                <w:rFonts w:cs="Times New Roman"/>
                <w:sz w:val="21"/>
                <w:szCs w:val="21"/>
                <w:highlight w:val="none"/>
              </w:rPr>
            </w:pPr>
          </w:p>
        </w:tc>
        <w:tc>
          <w:tcPr>
            <w:tcW w:w="286" w:type="pct"/>
            <w:vAlign w:val="center"/>
          </w:tcPr>
          <w:p>
            <w:pPr>
              <w:spacing w:line="240" w:lineRule="auto"/>
              <w:ind w:firstLine="0" w:firstLineChars="0"/>
              <w:jc w:val="center"/>
              <w:rPr>
                <w:rFonts w:hint="eastAsia" w:cs="Times New Roman"/>
                <w:sz w:val="21"/>
                <w:szCs w:val="21"/>
                <w:highlight w:val="none"/>
                <w:lang w:eastAsia="zh-CN"/>
              </w:rPr>
            </w:pPr>
            <w:r>
              <w:rPr>
                <w:rFonts w:hint="eastAsia" w:ascii="Times New Roman" w:hAnsi="Times New Roman"/>
                <w:color w:val="000000"/>
                <w:sz w:val="21"/>
                <w:szCs w:val="21"/>
                <w:highlight w:val="none"/>
              </w:rPr>
              <w:t>软水制备</w:t>
            </w:r>
          </w:p>
        </w:tc>
        <w:tc>
          <w:tcPr>
            <w:tcW w:w="286"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624" w:type="pct"/>
            <w:vMerge w:val="continue"/>
            <w:vAlign w:val="center"/>
          </w:tcPr>
          <w:p>
            <w:pPr>
              <w:spacing w:line="240" w:lineRule="auto"/>
              <w:ind w:firstLine="0" w:firstLineChars="0"/>
              <w:jc w:val="center"/>
              <w:rPr>
                <w:rFonts w:cs="Times New Roman"/>
                <w:sz w:val="21"/>
                <w:szCs w:val="21"/>
                <w:highlight w:val="none"/>
              </w:rPr>
            </w:pPr>
          </w:p>
        </w:tc>
        <w:tc>
          <w:tcPr>
            <w:tcW w:w="468" w:type="dxa"/>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T</w:t>
            </w:r>
          </w:p>
        </w:tc>
        <w:tc>
          <w:tcPr>
            <w:tcW w:w="776" w:type="dxa"/>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HW13</w:t>
            </w:r>
          </w:p>
        </w:tc>
        <w:tc>
          <w:tcPr>
            <w:tcW w:w="1196" w:type="dxa"/>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900-015-13</w:t>
            </w:r>
          </w:p>
        </w:tc>
        <w:tc>
          <w:tcPr>
            <w:tcW w:w="996" w:type="dxa"/>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0.2</w:t>
            </w:r>
          </w:p>
        </w:tc>
        <w:tc>
          <w:tcPr>
            <w:tcW w:w="833"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暂存于危废暂存间，定期交新蔡县中绿环保科技有限公司处置</w:t>
            </w:r>
          </w:p>
        </w:tc>
      </w:tr>
    </w:tbl>
    <w:p>
      <w:pPr>
        <w:keepNext w:val="0"/>
        <w:keepLines w:val="0"/>
        <w:pageBreakBefore w:val="0"/>
        <w:widowControl/>
        <w:kinsoku/>
        <w:wordWrap/>
        <w:overflowPunct/>
        <w:topLinePunct w:val="0"/>
        <w:autoSpaceDE/>
        <w:autoSpaceDN/>
        <w:bidi w:val="0"/>
        <w:adjustRightInd/>
        <w:snapToGrid/>
        <w:ind w:firstLine="480"/>
        <w:textAlignment w:val="auto"/>
        <w:rPr>
          <w:bCs/>
          <w:highlight w:val="none"/>
          <w:u w:val="none"/>
        </w:rPr>
      </w:pPr>
      <w:r>
        <w:rPr>
          <w:rFonts w:hint="eastAsia"/>
          <w:bCs/>
          <w:highlight w:val="none"/>
          <w:u w:val="none"/>
        </w:rPr>
        <w:t>（1）一般工业固体</w:t>
      </w:r>
      <w:r>
        <w:rPr>
          <w:bCs/>
          <w:highlight w:val="none"/>
          <w:u w:val="none"/>
        </w:rPr>
        <w:t>废物贮存场所（设施）环境影响分析</w:t>
      </w:r>
    </w:p>
    <w:p>
      <w:pPr>
        <w:keepNext w:val="0"/>
        <w:keepLines w:val="0"/>
        <w:pageBreakBefore w:val="0"/>
        <w:widowControl/>
        <w:kinsoku/>
        <w:wordWrap/>
        <w:overflowPunct/>
        <w:topLinePunct w:val="0"/>
        <w:autoSpaceDE/>
        <w:autoSpaceDN/>
        <w:bidi w:val="0"/>
        <w:adjustRightInd/>
        <w:snapToGrid/>
        <w:ind w:firstLine="480"/>
        <w:textAlignment w:val="auto"/>
        <w:rPr>
          <w:bCs/>
          <w:highlight w:val="none"/>
          <w:u w:val="none"/>
        </w:rPr>
      </w:pPr>
      <w:r>
        <w:rPr>
          <w:rFonts w:hint="eastAsia"/>
          <w:bCs/>
          <w:highlight w:val="none"/>
          <w:u w:val="none"/>
        </w:rPr>
        <w:t>建设单位必须按照《一般工业固体废物贮存、处置场污染控制标准（GB18599-2001）》的相关要求建立固体废物临时堆放场地，不得到处堆放。临时堆放场的地面与裙脚要用坚固、防渗的材料建造，基础必须防渗，应设计建造径流疏导系统，保证能防止暴雨不会流到临时堆放场。临时堆放场要防风、防雨、防晒，禁止危险废物和生活垃圾混入。</w:t>
      </w:r>
    </w:p>
    <w:p>
      <w:pPr>
        <w:ind w:firstLine="480"/>
        <w:rPr>
          <w:bCs/>
          <w:highlight w:val="none"/>
          <w:u w:val="none"/>
        </w:rPr>
      </w:pPr>
      <w:r>
        <w:rPr>
          <w:bCs/>
          <w:highlight w:val="none"/>
          <w:u w:val="none"/>
        </w:rPr>
        <w:t>（</w:t>
      </w:r>
      <w:r>
        <w:rPr>
          <w:rFonts w:hint="eastAsia"/>
          <w:bCs/>
          <w:highlight w:val="none"/>
          <w:u w:val="none"/>
        </w:rPr>
        <w:t>2</w:t>
      </w:r>
      <w:r>
        <w:rPr>
          <w:bCs/>
          <w:highlight w:val="none"/>
          <w:u w:val="none"/>
        </w:rPr>
        <w:t>）危险废物贮存场所（设施）环境影响分析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本项目危险废物在处置过程中应严格执行以下措施：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①认真落实申报登记制度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根据《中华人民共和国固体废物污染环境防治法》第三十二条、第五十三条的规定，产生危险废物、工业固体废物的单位必须向所在地县级以上人民政府环境保护行政主管部门如实、及时申报固体废物和危险废物的种类、数量、流向，以及贮存、处置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②建设单位必须建立健全台帐登记制度，如实记录危险废物产生、贮存、利用和处置等环节的情况。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③建设单位必须做好相应的防护措施（防渗漏、防雨淋等），达到《危险废物贮存污染控制标准》（GB18597-2001）的要求。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④建设单位必须在盛装危险废物的容器和包装物以及收集、贮存、运输、处置危险废物的设施、场所，设置危险废物标识。产生、贮存危险废物的单位及盛装危险废物的容器和包装物要按照《危险废物贮存污染控制标准》（GB18597-2001）附录A的规定设置危险废物标签；收集、运输、处置危险废物的设施、场所要按照《环境保护图形标志-固体废物贮存（处置）场》（GB15562.2-1995）要求，设置危险废物警告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⑤危险废物的转移、运输，必须严格按照《中华人民共和国固体废物污染环境防治法》和国家环境保护总局《危险废物转移联单管理办法》的规定，执行危险废物转移联单制度；任何单位和个人不得接受无转移联单的危险废物。危险废物的转移必须到环保部门办理交换转移审批手续，批准后方可实施，转进转出危险废物均应按照国家环保总局的《危险废物转移联单管理办法》要求填写转移联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⑥选择具有专业处置利用能力和《危险废物经营许可证》的单位，确保不造成新的环境污染。对危险废物必须分类收集处置，禁止将危险废物混入一般废物收集、贮存、运输和处置。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⑦本项目危废暂存间须满足《危险废物贮存污染控制标准》（GB18597-2001）及修改单，关于贮存设施和场所的管理要求。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危废暂存间应做到以下几点：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①贮存场所必须符合《危险废弃物贮存污染控制标准》（GB18597-2001）的规定，必须有符合要求的专用标志。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②贮存场所内一般废物和危险废物应分别存放。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③存场所应防风、防雨、防晒、防渗漏。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④贮存场所要有集排水和防渗设施，渗滤水收集入事故池。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⑤贮存场所符合消防要求，废物的贮存容器必须有明显标志，具有耐腐蚀、耐压、密封和不与所贮存的废物发生反应等特性。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⑥危废暂存场所采取防渗挡雨淋措施，地面铺设防渗膜，并对危险废物进行袋装后分类堆放。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⑦包装容器、包装方法、衬垫物应符合要求，经常检查包装、储存容器（罐、桶）是否完好，无破损，搬运危废桶、袋时要轻装轻卸，防止包装及容器损坏。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⑧根据危废的种类，危废收集后要及时综合利用或安全处置，尽量减少在厂内的暂存时间，以减少暂存风险。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本项目营运过程中产生的固体废物均得到妥善处置，处置率达到100%，并充分回收利用有价值的物质，做到减量化、无害化，对环境无影响。</w:t>
      </w:r>
    </w:p>
    <w:p>
      <w:pPr>
        <w:ind w:firstLine="480"/>
        <w:rPr>
          <w:bCs/>
          <w:highlight w:val="none"/>
        </w:rPr>
      </w:pPr>
      <w:r>
        <w:rPr>
          <w:rFonts w:hint="eastAsia"/>
          <w:bCs/>
          <w:highlight w:val="none"/>
        </w:rPr>
        <w:t>项目危险废物贮存场所（设施）基本情况详见表</w:t>
      </w:r>
      <w:r>
        <w:rPr>
          <w:rFonts w:hint="eastAsia"/>
          <w:bCs/>
          <w:highlight w:val="none"/>
          <w:lang w:val="en-US" w:eastAsia="zh-CN"/>
        </w:rPr>
        <w:t>4</w:t>
      </w:r>
      <w:r>
        <w:rPr>
          <w:rFonts w:hint="eastAsia"/>
          <w:bCs/>
          <w:highlight w:val="none"/>
        </w:rPr>
        <w:t>.2-</w:t>
      </w:r>
      <w:r>
        <w:rPr>
          <w:rFonts w:hint="eastAsia"/>
          <w:bCs/>
          <w:highlight w:val="none"/>
          <w:lang w:val="en-US" w:eastAsia="zh-CN"/>
        </w:rPr>
        <w:t>29</w:t>
      </w:r>
      <w:r>
        <w:rPr>
          <w:rFonts w:hint="eastAsia"/>
          <w:bCs/>
          <w:highlight w:val="none"/>
        </w:rPr>
        <w:t>。</w:t>
      </w:r>
    </w:p>
    <w:p>
      <w:pPr>
        <w:pStyle w:val="22"/>
        <w:rPr>
          <w:rFonts w:hint="eastAsia" w:ascii="Times New Roman" w:hAnsi="Times New Roman" w:eastAsia="宋体" w:cs="Times New Roman"/>
          <w:b/>
          <w:bCs w:val="0"/>
          <w:kern w:val="2"/>
          <w:sz w:val="21"/>
          <w:szCs w:val="24"/>
          <w:highlight w:val="none"/>
          <w:lang w:val="en-US" w:eastAsia="zh-CN" w:bidi="ar-SA"/>
        </w:rPr>
      </w:pPr>
      <w:r>
        <w:rPr>
          <w:rFonts w:hint="eastAsia" w:ascii="Times New Roman" w:hAnsi="Times New Roman" w:eastAsia="宋体" w:cs="Times New Roman"/>
          <w:b/>
          <w:bCs w:val="0"/>
          <w:kern w:val="2"/>
          <w:sz w:val="21"/>
          <w:szCs w:val="24"/>
          <w:highlight w:val="none"/>
          <w:lang w:val="en-US" w:eastAsia="zh-CN" w:bidi="ar-SA"/>
        </w:rPr>
        <w:t>表4.2-2</w:t>
      </w:r>
      <w:r>
        <w:rPr>
          <w:rFonts w:hint="eastAsia" w:cs="Times New Roman"/>
          <w:b/>
          <w:bCs w:val="0"/>
          <w:kern w:val="2"/>
          <w:sz w:val="21"/>
          <w:szCs w:val="24"/>
          <w:highlight w:val="none"/>
          <w:lang w:val="en-US" w:eastAsia="zh-CN" w:bidi="ar-SA"/>
        </w:rPr>
        <w:t>9</w:t>
      </w:r>
      <w:r>
        <w:rPr>
          <w:rFonts w:hint="eastAsia" w:ascii="Times New Roman" w:hAnsi="Times New Roman" w:eastAsia="宋体" w:cs="Times New Roman"/>
          <w:b/>
          <w:bCs w:val="0"/>
          <w:kern w:val="2"/>
          <w:sz w:val="21"/>
          <w:szCs w:val="24"/>
          <w:highlight w:val="none"/>
          <w:lang w:val="en-US" w:eastAsia="zh-CN" w:bidi="ar-SA"/>
        </w:rPr>
        <w:t xml:space="preserve"> 建设项目危险废物贮存场所（设施）基本情况表</w:t>
      </w:r>
    </w:p>
    <w:tbl>
      <w:tblPr>
        <w:tblStyle w:val="24"/>
        <w:tblW w:w="82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7"/>
        <w:gridCol w:w="493"/>
        <w:gridCol w:w="724"/>
        <w:gridCol w:w="1055"/>
        <w:gridCol w:w="671"/>
        <w:gridCol w:w="493"/>
        <w:gridCol w:w="349"/>
        <w:gridCol w:w="437"/>
        <w:gridCol w:w="439"/>
        <w:gridCol w:w="461"/>
        <w:gridCol w:w="476"/>
        <w:gridCol w:w="2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1" w:hRule="atLeast"/>
          <w:tblHeader/>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危险废物名称</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危险废物类别</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危险废物代码</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产生量（吨/年）</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产生工序及装置</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形态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主要</w:t>
            </w:r>
          </w:p>
          <w:p>
            <w:pPr>
              <w:spacing w:line="240" w:lineRule="auto"/>
              <w:ind w:firstLine="0" w:firstLineChars="0"/>
              <w:jc w:val="center"/>
              <w:rPr>
                <w:rFonts w:cs="Times New Roman"/>
                <w:sz w:val="21"/>
                <w:szCs w:val="21"/>
                <w:highlight w:val="none"/>
              </w:rPr>
            </w:pPr>
            <w:r>
              <w:rPr>
                <w:rFonts w:cs="Times New Roman"/>
                <w:sz w:val="21"/>
                <w:szCs w:val="21"/>
                <w:highlight w:val="none"/>
              </w:rPr>
              <w:t>成分</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有害</w:t>
            </w:r>
          </w:p>
          <w:p>
            <w:pPr>
              <w:spacing w:line="240" w:lineRule="auto"/>
              <w:ind w:firstLine="0" w:firstLineChars="0"/>
              <w:jc w:val="center"/>
              <w:rPr>
                <w:rFonts w:cs="Times New Roman"/>
                <w:sz w:val="21"/>
                <w:szCs w:val="21"/>
                <w:highlight w:val="none"/>
              </w:rPr>
            </w:pPr>
            <w:r>
              <w:rPr>
                <w:rFonts w:cs="Times New Roman"/>
                <w:sz w:val="21"/>
                <w:szCs w:val="21"/>
                <w:highlight w:val="none"/>
              </w:rPr>
              <w:t>成分</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产废周期</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危险</w:t>
            </w:r>
          </w:p>
          <w:p>
            <w:pPr>
              <w:spacing w:line="240" w:lineRule="auto"/>
              <w:ind w:firstLine="0" w:firstLineChars="0"/>
              <w:jc w:val="center"/>
              <w:rPr>
                <w:rFonts w:cs="Times New Roman"/>
                <w:sz w:val="21"/>
                <w:szCs w:val="21"/>
                <w:highlight w:val="none"/>
              </w:rPr>
            </w:pPr>
            <w:r>
              <w:rPr>
                <w:rFonts w:cs="Times New Roman"/>
                <w:sz w:val="21"/>
                <w:szCs w:val="21"/>
                <w:highlight w:val="none"/>
              </w:rPr>
              <w:t>特性</w:t>
            </w:r>
          </w:p>
        </w:tc>
        <w:tc>
          <w:tcPr>
            <w:tcW w:w="239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医疗废物</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HW01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900-001-01</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default" w:eastAsia="宋体" w:cs="Times New Roman"/>
                <w:sz w:val="21"/>
                <w:szCs w:val="21"/>
                <w:highlight w:val="none"/>
                <w:lang w:val="en-US" w:eastAsia="zh-CN"/>
              </w:rPr>
            </w:pPr>
            <w:r>
              <w:rPr>
                <w:rFonts w:cs="Times New Roman"/>
                <w:sz w:val="21"/>
                <w:szCs w:val="21"/>
                <w:highlight w:val="none"/>
              </w:rPr>
              <w:t>0.</w:t>
            </w:r>
            <w:r>
              <w:rPr>
                <w:rFonts w:hint="eastAsia" w:cs="Times New Roman"/>
                <w:sz w:val="21"/>
                <w:szCs w:val="21"/>
                <w:highlight w:val="none"/>
                <w:lang w:val="en-US" w:eastAsia="zh-CN"/>
              </w:rPr>
              <w:t>75</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动物防治过程</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固态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医疗物品</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医疗物品</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1月/次</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In</w:t>
            </w:r>
          </w:p>
        </w:tc>
        <w:tc>
          <w:tcPr>
            <w:tcW w:w="2399" w:type="dxa"/>
            <w:vMerge w:val="restart"/>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sz w:val="21"/>
                <w:szCs w:val="21"/>
                <w:highlight w:val="none"/>
              </w:rPr>
            </w:pPr>
            <w:r>
              <w:rPr>
                <w:rFonts w:cs="Times New Roman"/>
                <w:sz w:val="21"/>
                <w:szCs w:val="21"/>
                <w:highlight w:val="none"/>
              </w:rPr>
              <w:t>暂存于具有</w:t>
            </w:r>
            <w:r>
              <w:rPr>
                <w:rFonts w:hint="eastAsia" w:asciiTheme="minorEastAsia" w:hAnsiTheme="minorEastAsia" w:eastAsiaTheme="minorEastAsia" w:cstheme="minorEastAsia"/>
                <w:sz w:val="21"/>
                <w:szCs w:val="21"/>
                <w:highlight w:val="none"/>
              </w:rPr>
              <w:t>“防风、防</w:t>
            </w:r>
          </w:p>
          <w:p>
            <w:pPr>
              <w:spacing w:line="240" w:lineRule="auto"/>
              <w:ind w:firstLine="0" w:firstLineChars="0"/>
              <w:jc w:val="center"/>
              <w:rPr>
                <w:rFonts w:cs="Times New Roman"/>
                <w:sz w:val="21"/>
                <w:szCs w:val="21"/>
                <w:highlight w:val="none"/>
              </w:rPr>
            </w:pPr>
            <w:r>
              <w:rPr>
                <w:rFonts w:hint="eastAsia" w:asciiTheme="minorEastAsia" w:hAnsiTheme="minorEastAsia" w:eastAsiaTheme="minorEastAsia" w:cstheme="minorEastAsia"/>
                <w:sz w:val="21"/>
                <w:szCs w:val="21"/>
                <w:highlight w:val="none"/>
              </w:rPr>
              <w:t>雨、防晒、防渗”</w:t>
            </w:r>
            <w:r>
              <w:rPr>
                <w:rFonts w:cs="Times New Roman"/>
                <w:sz w:val="21"/>
                <w:szCs w:val="21"/>
                <w:highlight w:val="none"/>
              </w:rPr>
              <w:t>的危废暂存间暂存，定期送新蔡县中绿环保科技有限公司处置，危废暂存间最大储存能力2t，贮存周期不超过半年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val="en-US" w:eastAsia="zh-CN"/>
              </w:rPr>
              <w:t>废离子交换树脂</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HW13</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900-015-13</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软水制备</w:t>
            </w:r>
          </w:p>
        </w:tc>
        <w:tc>
          <w:tcPr>
            <w:tcW w:w="349"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固态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439"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1月/次</w:t>
            </w:r>
          </w:p>
        </w:tc>
        <w:tc>
          <w:tcPr>
            <w:tcW w:w="476"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T</w:t>
            </w:r>
          </w:p>
        </w:tc>
        <w:tc>
          <w:tcPr>
            <w:tcW w:w="2399" w:type="dxa"/>
            <w:vMerge w:val="continue"/>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sz w:val="21"/>
                <w:szCs w:val="21"/>
                <w:highlight w:val="none"/>
              </w:rPr>
            </w:pPr>
          </w:p>
        </w:tc>
      </w:tr>
    </w:tbl>
    <w:p>
      <w:pPr>
        <w:pStyle w:val="7"/>
        <w:spacing w:before="66"/>
        <w:ind w:firstLine="482"/>
        <w:rPr>
          <w:highlight w:val="none"/>
        </w:rPr>
      </w:pPr>
      <w:r>
        <w:rPr>
          <w:rFonts w:hint="eastAsia"/>
          <w:highlight w:val="none"/>
          <w:lang w:val="en-US" w:eastAsia="zh-CN"/>
        </w:rPr>
        <w:t>4</w:t>
      </w:r>
      <w:r>
        <w:rPr>
          <w:highlight w:val="none"/>
        </w:rPr>
        <w:t>.</w:t>
      </w:r>
      <w:r>
        <w:rPr>
          <w:rFonts w:hint="eastAsia"/>
          <w:highlight w:val="none"/>
        </w:rPr>
        <w:t>2.</w:t>
      </w:r>
      <w:r>
        <w:rPr>
          <w:highlight w:val="none"/>
        </w:rPr>
        <w:t>6</w:t>
      </w:r>
      <w:r>
        <w:rPr>
          <w:rFonts w:hint="eastAsia"/>
          <w:highlight w:val="none"/>
          <w:lang w:eastAsia="zh-CN"/>
        </w:rPr>
        <w:t>土壤</w:t>
      </w:r>
      <w:r>
        <w:rPr>
          <w:highlight w:val="none"/>
        </w:rPr>
        <w:t>环境影响分析与评价</w:t>
      </w:r>
    </w:p>
    <w:p>
      <w:pPr>
        <w:pStyle w:val="8"/>
        <w:ind w:firstLine="482"/>
        <w:rPr>
          <w:rFonts w:hint="eastAsia"/>
          <w:highlight w:val="none"/>
        </w:rPr>
      </w:pPr>
      <w:r>
        <w:rPr>
          <w:rFonts w:hint="eastAsia"/>
          <w:highlight w:val="none"/>
          <w:lang w:val="en-US" w:eastAsia="zh-CN"/>
        </w:rPr>
        <w:t>4.</w:t>
      </w:r>
      <w:r>
        <w:rPr>
          <w:rFonts w:hint="eastAsia"/>
          <w:highlight w:val="none"/>
        </w:rPr>
        <w:t>2.</w:t>
      </w:r>
      <w:r>
        <w:rPr>
          <w:rFonts w:hint="eastAsia"/>
          <w:highlight w:val="none"/>
          <w:lang w:val="en-US" w:eastAsia="zh-CN"/>
        </w:rPr>
        <w:t>6</w:t>
      </w:r>
      <w:r>
        <w:rPr>
          <w:rFonts w:hint="eastAsia"/>
          <w:highlight w:val="none"/>
        </w:rPr>
        <w:t>.1 区域土壤环境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驻马店市由于受生物气候、地形地貌、母质类型、河流水文和人为耕作活动的影响，致使土壤组合存在有分异，并呈现一定的规律性，以地带性黄棕壤土类为主，兼有区域性砂姜黑土、潮土、水稻土、紫色土等土类。从驻马店市的土壤类型来看，分布有黄褐土、砂姜黑土、潮土、粗骨土、黄棕壤、棕壤、水稻土、石质土、紫色土、红粘土10个土类，18个亚类，33个土属，93个土种。其中黄褐土土类面积最大，占总耕作土壤面积的一半以上地；其次是砂姜黑土土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（1）黄棕壤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黄棕壤为亚热带湿润的落叶、常绿阔叶林下的淋溶土壤，具有暗色有机质含量不高的腐殖质表层，亮棕色粘化B层，通体无石灰反应，pH为微酸性，土壤剖面构型为O-Ah-Bts-C，B层结构体外有明显的粘粒胶膜和铁锰斑纹。剖面形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O层：在自然植被下为残落物层，其厚度因植被类型而异。一般针叶林下较薄约1cm，混交林下较厚，灌丛草类下最厚，可达10~20cm。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Ah层：呈红棕色（5YR5/2），或亮棕色（7.5YR5/4）。质地多壤质土，粒状或团块状结构，疏松，根系多向下逐渐过渡。因利用情况不同，耕种黄棕壤则为耕作表层。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Bts层</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棕色（7.5YR4/6—10YR4/6）心土层是最醒目的，该层虽因母质不同而色泽不一，但一般棱块状块状结构，结构面上覆盖有棕色或暗棕色胶膜或有铁锰核，由于粘粒的聚集，质地一般较粘重，有的甚至形粘磐层。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C层：基岩上发育的黄棕壤，其母质仍带基岩本身的色泽，而下蜀黄土母质上 发育的土壤，则呈大块状结构，结构面上有铁锰胶膜，并有少量的灰白色 （2.5Y8/1）网纹。它是最接近中心概念的亚类，土体层次分异较明显，即 O-Ah-Bts-C的剖面构型</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PH5.5~6.0，盐基饱和度为30%~75%</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颗粒组成与主要水分物理特性。表层腐殖质有一定的积聚，有机质一般为30~50g/kg，松林、灌丛及旱地仅为15~20g/kg。质地多为壤土，较疏松，粒状块、结构。B层粉沙粘粒之比较A层小，质地偏粘，为粉沙粘壤土—粉沙质粘土，较紧实，核状、块状结构，有的土体胶膜、铁锰斑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2）主要化学性质。pH5.5~6.0，盐基饱和度为30%~75%，不含游离碳酸盐，含少量交换性铝。粘土矿物为水云母、蛭石、绿泥石和高岭石，也有少量蒙脱石。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（2）潮土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潮土是发育于富含碳酸盐或不含碳酸盐的河流冲积物土，受地下潜水作用，经过耕作熟化而形成的一种半水成土壤。土壤腐殖积累过程较弱。具有腐殖质层（耕作层）、氧化还原层及母质层等剖面层次，沉积层理明显。社旗县潮土分步属性特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1）有Apk－Ap2－BCk－Cgk 剖面构型。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2）富含碳酸钙，若其为粘质土则偏高，沙质土偏低，是中性至微碱性反应。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3）可溶性盐分含量&lt;1g/kg。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（3）砂姜黑土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砂姜黑土发育于河湖相沉积物上经脱沼泽作用而形成的半水成土，因而多分布于山前交接洼地、岗丘间洼地和河间洼地。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1）形态特征。砂姜黑土土体深厚，剖面自上而下有耕作层、亚耕层、残留黑土层、氧化还原过渡层及砂姜土层。上部50或</w:t>
      </w:r>
      <w:r>
        <w:rPr>
          <w:rFonts w:hint="eastAsia" w:ascii="Times New Roman" w:hAnsi="Times New Roman" w:cs="Times New Roman"/>
          <w:kern w:val="0"/>
          <w:sz w:val="24"/>
          <w:szCs w:val="22"/>
          <w:highlight w:val="none"/>
          <w:lang w:val="en-US" w:eastAsia="zh-CN"/>
        </w:rPr>
        <w:t>8</w:t>
      </w:r>
      <w:r>
        <w:rPr>
          <w:rFonts w:ascii="Times New Roman" w:hAnsi="Times New Roman" w:cs="Times New Roman"/>
          <w:kern w:val="0"/>
          <w:sz w:val="24"/>
          <w:szCs w:val="22"/>
          <w:highlight w:val="none"/>
        </w:rPr>
        <w:t>0厘米土体以暗灰黄，橄榄棕色为主，并有20-40厘米不等厚的棕黑色残留黑土层</w:t>
      </w:r>
      <w:r>
        <w:rPr>
          <w:rFonts w:hint="eastAsia" w:ascii="Times New Roman" w:hAnsi="Times New Roman" w:cs="Times New Roman"/>
          <w:kern w:val="0"/>
          <w:sz w:val="24"/>
          <w:szCs w:val="22"/>
          <w:highlight w:val="none"/>
          <w:lang w:eastAsia="zh-CN"/>
        </w:rPr>
        <w:t>；</w:t>
      </w:r>
      <w:r>
        <w:rPr>
          <w:rFonts w:ascii="Times New Roman" w:hAnsi="Times New Roman" w:cs="Times New Roman"/>
          <w:kern w:val="0"/>
          <w:sz w:val="24"/>
          <w:szCs w:val="22"/>
          <w:highlight w:val="none"/>
        </w:rPr>
        <w:t>心土层呈橄榄棕色为主，有较多黄棕色锈斑或铁锰斑、灰斑，其下为橄榄棕色砂姜土层，夹有少量锈斑，铁锰斑等新生体。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由于微地形的起伏或上部土层遭侵蚀，残留黑土层出现部位及其厚度不一，砂姜土层出现部位常随黑土层厚薄而深浅也不一。耕作层以下的土体呈棱块，棱柱状结构，中、小垂直裂隙发育，可见滑擦面及楔形结构体。据微形态观察，可见较多裂隙和裂纹，粗骨颗粒边缘和裂隙壁可见大量亮线状光性定向粘粒，基质有大量纤维状光性定向粘粒，常见铁质凝团或铁锰质浓聚物。</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一般理化性质。砂姜黑土有机质含量并不高，耕作层也不过10-15克每千克，黑土层仅10克每千克左右，往下层逐渐减少。除特殊情况外，剖面上部游离碳酸钙的含量甚低，一般在10克每千克以下，甚至小于5克每千克，剖面下部夹面砂姜的土层其含量可达40-70克每千克或更高；有硬砂姜的土层则可大于100克每千克。土壤交换量较高，一般为20-30me/100g，剖面上部土层高于下部土层，尤以黑土层为高。土体中粗砂含量甚少，粘粒含量多在30%以上，但也有20%左右的土层，前者常具有变性特征。土层质地以壤质粘土、粉砂质粘壤土及粘土为主，质地层次分异不明显。粘粒的硅铝铁率、硅铝率和硅铁率均较高，分别为3.0-3.3、3.8-4.3、13-16之间。粘粒的交换量高达55-60me/100g。K</w:t>
      </w:r>
      <w:r>
        <w:rPr>
          <w:rFonts w:ascii="Times New Roman" w:hAnsi="Times New Roman" w:cs="Times New Roman"/>
          <w:kern w:val="0"/>
          <w:sz w:val="24"/>
          <w:szCs w:val="22"/>
          <w:highlight w:val="none"/>
          <w:vertAlign w:val="subscript"/>
        </w:rPr>
        <w:t>2</w:t>
      </w:r>
      <w:r>
        <w:rPr>
          <w:rFonts w:ascii="Times New Roman" w:hAnsi="Times New Roman" w:cs="Times New Roman"/>
          <w:kern w:val="0"/>
          <w:sz w:val="24"/>
          <w:szCs w:val="22"/>
          <w:highlight w:val="none"/>
        </w:rPr>
        <w:t>O的含量多数在26%-30%。</w:t>
      </w:r>
    </w:p>
    <w:p>
      <w:pPr>
        <w:widowControl w:val="0"/>
        <w:ind w:firstLine="0" w:firstLineChars="0"/>
        <w:jc w:val="center"/>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drawing>
          <wp:inline distT="0" distB="0" distL="114300" distR="114300">
            <wp:extent cx="5540375" cy="3596640"/>
            <wp:effectExtent l="0" t="0" r="3175" b="3810"/>
            <wp:docPr id="58" name="图片 7" descr="1582875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1582875774(1)"/>
                    <pic:cNvPicPr>
                      <a:picLocks noChangeAspect="1"/>
                    </pic:cNvPicPr>
                  </pic:nvPicPr>
                  <pic:blipFill>
                    <a:blip r:embed="rId52"/>
                    <a:stretch>
                      <a:fillRect/>
                    </a:stretch>
                  </pic:blipFill>
                  <pic:spPr>
                    <a:xfrm>
                      <a:off x="0" y="0"/>
                      <a:ext cx="5540375" cy="3596640"/>
                    </a:xfrm>
                    <a:prstGeom prst="rect">
                      <a:avLst/>
                    </a:prstGeom>
                    <a:noFill/>
                    <a:ln>
                      <a:noFill/>
                    </a:ln>
                  </pic:spPr>
                </pic:pic>
              </a:graphicData>
            </a:graphic>
          </wp:inline>
        </w:drawing>
      </w:r>
    </w:p>
    <w:p>
      <w:pPr>
        <w:pStyle w:val="10"/>
        <w:jc w:val="center"/>
        <w:rPr>
          <w:rStyle w:val="43"/>
          <w:rFonts w:hint="eastAsia" w:ascii="Times New Roman" w:hAnsi="Times New Roman"/>
          <w:szCs w:val="22"/>
          <w:highlight w:val="none"/>
          <w:lang w:val="en-US" w:eastAsia="zh-CN"/>
        </w:rPr>
      </w:pPr>
      <w:r>
        <w:rPr>
          <w:rStyle w:val="43"/>
          <w:rFonts w:hint="eastAsia" w:ascii="Times New Roman" w:hAnsi="Times New Roman"/>
          <w:szCs w:val="22"/>
          <w:highlight w:val="none"/>
          <w:lang w:val="en-US" w:eastAsia="zh-CN"/>
        </w:rPr>
        <w:t>图4.2-2 区域土体构型图</w:t>
      </w:r>
    </w:p>
    <w:p>
      <w:pPr>
        <w:pStyle w:val="8"/>
        <w:ind w:firstLine="482"/>
        <w:rPr>
          <w:rFonts w:hint="eastAsia"/>
          <w:highlight w:val="none"/>
          <w:lang w:val="en-US" w:eastAsia="zh-CN"/>
        </w:rPr>
      </w:pPr>
      <w:r>
        <w:rPr>
          <w:rFonts w:hint="eastAsia"/>
          <w:highlight w:val="none"/>
          <w:lang w:val="en-US" w:eastAsia="zh-CN"/>
        </w:rPr>
        <w:t xml:space="preserve">4.2.6.2 区域土地利用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s="Times New Roman"/>
          <w:kern w:val="0"/>
          <w:sz w:val="24"/>
          <w:szCs w:val="22"/>
          <w:highlight w:val="none"/>
          <w:lang w:eastAsia="zh-CN"/>
        </w:rPr>
      </w:pPr>
      <w:r>
        <w:rPr>
          <w:rFonts w:hint="eastAsia" w:cs="Times New Roman"/>
          <w:kern w:val="0"/>
          <w:sz w:val="24"/>
          <w:szCs w:val="22"/>
          <w:highlight w:val="none"/>
          <w:lang w:eastAsia="zh-CN"/>
        </w:rPr>
        <w:t>正阳牧原农牧有限公司八场生猪养殖项目位于正阳县铜钟镇崔塘村</w:t>
      </w:r>
      <w:r>
        <w:rPr>
          <w:rFonts w:ascii="Times New Roman" w:hAnsi="Times New Roman" w:cs="Times New Roman"/>
          <w:kern w:val="0"/>
          <w:sz w:val="24"/>
          <w:szCs w:val="22"/>
          <w:highlight w:val="none"/>
        </w:rPr>
        <w:t>。</w:t>
      </w:r>
      <w:r>
        <w:rPr>
          <w:rFonts w:hint="eastAsia" w:cs="Times New Roman"/>
          <w:kern w:val="0"/>
          <w:sz w:val="24"/>
          <w:szCs w:val="22"/>
          <w:highlight w:val="none"/>
          <w:lang w:eastAsia="zh-CN"/>
        </w:rPr>
        <w:t>项目所在地土地性质为一般农田，未占用基本农田，详见附件三。根据《铜钟镇土地利用总体规划图》（</w:t>
      </w:r>
      <w:r>
        <w:rPr>
          <w:rFonts w:hint="eastAsia" w:cs="Times New Roman"/>
          <w:kern w:val="0"/>
          <w:sz w:val="24"/>
          <w:szCs w:val="22"/>
          <w:highlight w:val="none"/>
          <w:lang w:val="en-US" w:eastAsia="zh-CN"/>
        </w:rPr>
        <w:t>2010-2020年</w:t>
      </w:r>
      <w:r>
        <w:rPr>
          <w:rFonts w:hint="eastAsia" w:cs="Times New Roman"/>
          <w:kern w:val="0"/>
          <w:sz w:val="24"/>
          <w:szCs w:val="22"/>
          <w:highlight w:val="none"/>
          <w:lang w:eastAsia="zh-CN"/>
        </w:rPr>
        <w:t>），项目用地范围内现状为一般耕地。根据调查，项目用地地块作为一般耕地利用至今，用地地块上无建设项目占用。</w:t>
      </w:r>
    </w:p>
    <w:p>
      <w:pPr>
        <w:pStyle w:val="2"/>
        <w:rPr>
          <w:rFonts w:hint="eastAsia"/>
          <w:lang w:eastAsia="zh-CN"/>
        </w:rPr>
      </w:pPr>
      <w:r>
        <w:rPr>
          <w:sz w:val="24"/>
        </w:rPr>
        <mc:AlternateContent>
          <mc:Choice Requires="wps">
            <w:drawing>
              <wp:anchor distT="0" distB="0" distL="114300" distR="114300" simplePos="0" relativeHeight="254260224" behindDoc="0" locked="0" layoutInCell="1" allowOverlap="1">
                <wp:simplePos x="0" y="0"/>
                <wp:positionH relativeFrom="column">
                  <wp:posOffset>2166620</wp:posOffset>
                </wp:positionH>
                <wp:positionV relativeFrom="paragraph">
                  <wp:posOffset>711835</wp:posOffset>
                </wp:positionV>
                <wp:extent cx="1524000" cy="701675"/>
                <wp:effectExtent l="477520" t="6350" r="17780" b="796925"/>
                <wp:wrapNone/>
                <wp:docPr id="20" name="圆角矩形标注 20"/>
                <wp:cNvGraphicFramePr/>
                <a:graphic xmlns:a="http://schemas.openxmlformats.org/drawingml/2006/main">
                  <a:graphicData uri="http://schemas.microsoft.com/office/word/2010/wordprocessingShape">
                    <wps:wsp>
                      <wps:cNvSpPr/>
                      <wps:spPr>
                        <a:xfrm>
                          <a:off x="3502025" y="2033270"/>
                          <a:ext cx="1524000" cy="701675"/>
                        </a:xfrm>
                        <a:prstGeom prst="wedgeRoundRectCallout">
                          <a:avLst>
                            <a:gd name="adj1" fmla="val -78791"/>
                            <a:gd name="adj2" fmla="val 156244"/>
                            <a:gd name="adj3" fmla="val 16667"/>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eastAsia="宋体"/>
                                <w:color w:val="FF0000"/>
                                <w:lang w:eastAsia="zh-CN"/>
                              </w:rPr>
                            </w:pPr>
                            <w:r>
                              <w:rPr>
                                <w:rFonts w:hint="eastAsia"/>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0.6pt;margin-top:56.05pt;height:55.25pt;width:120pt;z-index:254260224;v-text-anchor:middle;mso-width-relative:page;mso-height-relative:page;" filled="f" stroked="t" coordsize="21600,21600" o:gfxdata="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4nZ60tYAAAALAQAADwAAAAAAAAABACAAAAAiAAAAZHJzL2Rvd25yZXYueG1sUEsB&#10;AhQAFAAAAAgAh07iQNV21z4UAwAAEgYAAA4AAAAAAAAAAQAgAAAAJQEAAGRycy9lMm9Eb2MueG1s&#10;UEsFBgAAAAAGAAYAWQEAAKsGAAAAAA==&#10;" adj="-6219,44549,14400">
                <v:fill on="f" focussize="0,0"/>
                <v:stroke weight="1pt" color="#FF0000 [3204]" miterlimit="8" joinstyle="miter"/>
                <v:imagedata o:title=""/>
                <o:lock v:ext="edit" aspectratio="f"/>
                <v:textbox>
                  <w:txbxContent>
                    <w:p>
                      <w:pPr>
                        <w:jc w:val="left"/>
                        <w:rPr>
                          <w:rFonts w:hint="eastAsia" w:eastAsia="宋体"/>
                          <w:color w:val="FF0000"/>
                          <w:lang w:eastAsia="zh-CN"/>
                        </w:rPr>
                      </w:pPr>
                      <w:r>
                        <w:rPr>
                          <w:rFonts w:hint="eastAsia"/>
                          <w:color w:val="FF0000"/>
                          <w:lang w:eastAsia="zh-CN"/>
                        </w:rPr>
                        <w:t>项目所在地</w:t>
                      </w:r>
                    </w:p>
                  </w:txbxContent>
                </v:textbox>
              </v:shape>
            </w:pict>
          </mc:Fallback>
        </mc:AlternateContent>
      </w:r>
      <w:r>
        <w:rPr>
          <w:sz w:val="24"/>
        </w:rPr>
        <mc:AlternateContent>
          <mc:Choice Requires="wps">
            <w:drawing>
              <wp:anchor distT="0" distB="0" distL="114300" distR="114300" simplePos="0" relativeHeight="254259200" behindDoc="0" locked="0" layoutInCell="1" allowOverlap="1">
                <wp:simplePos x="0" y="0"/>
                <wp:positionH relativeFrom="column">
                  <wp:posOffset>1698625</wp:posOffset>
                </wp:positionH>
                <wp:positionV relativeFrom="paragraph">
                  <wp:posOffset>2155190</wp:posOffset>
                </wp:positionV>
                <wp:extent cx="36195" cy="36195"/>
                <wp:effectExtent l="6350" t="6350" r="14605" b="14605"/>
                <wp:wrapNone/>
                <wp:docPr id="19" name="椭圆 19"/>
                <wp:cNvGraphicFramePr/>
                <a:graphic xmlns:a="http://schemas.openxmlformats.org/drawingml/2006/main">
                  <a:graphicData uri="http://schemas.microsoft.com/office/word/2010/wordprocessingShape">
                    <wps:wsp>
                      <wps:cNvSpPr/>
                      <wps:spPr>
                        <a:xfrm flipH="1">
                          <a:off x="2968625" y="3089910"/>
                          <a:ext cx="36195" cy="361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133.75pt;margin-top:169.7pt;height:2.85pt;width:2.85pt;z-index:254259200;v-text-anchor:middle;mso-width-relative:page;mso-height-relative:page;" fillcolor="#5B9BD5 [3204]" filled="t" stroked="t" coordsize="21600,21600" o:gfxdata="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FhTWNkAAAALAQAADwAAAAAAAAABACAAAAAiAAAA&#10;ZHJzL2Rvd25yZXYueG1sUEsBAhQAFAAAAAgAh07iQDAxq1p4AgAA3wQAAA4AAAAAAAAAAQAgAAAA&#10;KAEAAGRycy9lMm9Eb2MueG1sUEsFBgAAAAAGAAYAWQEAABIGAAAAAA==&#10;">
                <v:fill on="t" focussize="0,0"/>
                <v:stroke weight="1pt" color="#41719C [3204]" miterlimit="8" joinstyle="miter"/>
                <v:imagedata o:title=""/>
                <o:lock v:ext="edit" aspectratio="f"/>
              </v:shape>
            </w:pict>
          </mc:Fallback>
        </mc:AlternateContent>
      </w:r>
      <w:r>
        <w:rPr>
          <w:rFonts w:hint="eastAsia"/>
          <w:lang w:eastAsia="zh-CN"/>
        </w:rPr>
        <w:drawing>
          <wp:inline distT="0" distB="0" distL="114300" distR="114300">
            <wp:extent cx="4860290" cy="3945255"/>
            <wp:effectExtent l="0" t="0" r="16510" b="17145"/>
            <wp:docPr id="12" name="图片 12" descr="铜钟镇土地利用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铜钟镇土地利用规划"/>
                    <pic:cNvPicPr>
                      <a:picLocks noChangeAspect="1"/>
                    </pic:cNvPicPr>
                  </pic:nvPicPr>
                  <pic:blipFill>
                    <a:blip r:embed="rId53"/>
                    <a:stretch>
                      <a:fillRect/>
                    </a:stretch>
                  </pic:blipFill>
                  <pic:spPr>
                    <a:xfrm>
                      <a:off x="0" y="0"/>
                      <a:ext cx="4860290" cy="3945255"/>
                    </a:xfrm>
                    <a:prstGeom prst="rect">
                      <a:avLst/>
                    </a:prstGeom>
                  </pic:spPr>
                </pic:pic>
              </a:graphicData>
            </a:graphic>
          </wp:inline>
        </w:drawing>
      </w:r>
    </w:p>
    <w:p>
      <w:pPr>
        <w:pStyle w:val="8"/>
        <w:ind w:firstLine="482"/>
        <w:jc w:val="center"/>
        <w:rPr>
          <w:rFonts w:hint="eastAsia"/>
          <w:highlight w:val="none"/>
          <w:lang w:val="en-US" w:eastAsia="zh-CN"/>
        </w:rPr>
      </w:pPr>
      <w:r>
        <w:rPr>
          <w:rFonts w:hint="eastAsia"/>
          <w:highlight w:val="none"/>
          <w:lang w:val="en-US" w:eastAsia="zh-CN"/>
        </w:rPr>
        <w:t>图4.2-3 区域土体构型图</w:t>
      </w:r>
    </w:p>
    <w:p>
      <w:pPr>
        <w:pStyle w:val="8"/>
        <w:ind w:firstLine="482"/>
        <w:rPr>
          <w:rFonts w:hint="eastAsia"/>
          <w:highlight w:val="none"/>
          <w:lang w:val="en-US" w:eastAsia="zh-CN"/>
        </w:rPr>
      </w:pPr>
      <w:r>
        <w:rPr>
          <w:rFonts w:hint="eastAsia"/>
          <w:highlight w:val="none"/>
          <w:lang w:val="en-US" w:eastAsia="zh-CN"/>
        </w:rPr>
        <w:t xml:space="preserve">4.2.6.3 建设项目影响识别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本项目土壤影响为污染影响型，影响途径见下表。 </w:t>
      </w:r>
    </w:p>
    <w:p>
      <w:pPr>
        <w:pStyle w:val="40"/>
        <w:keepNext w:val="0"/>
        <w:keepLines w:val="0"/>
        <w:pageBreakBefore w:val="0"/>
        <w:widowControl/>
        <w:kinsoku/>
        <w:wordWrap/>
        <w:overflowPunct/>
        <w:topLinePunct w:val="0"/>
        <w:autoSpaceDE/>
        <w:autoSpaceDN/>
        <w:bidi w:val="0"/>
        <w:adjustRightInd/>
        <w:snapToGrid/>
        <w:textAlignment w:val="auto"/>
        <w:rPr>
          <w:rFonts w:hint="eastAsia" w:cs="Times New Roman"/>
          <w:highlight w:val="none"/>
          <w:lang w:val="en-US" w:eastAsia="zh-CN"/>
        </w:rPr>
      </w:pPr>
      <w:r>
        <w:rPr>
          <w:rFonts w:hint="eastAsia" w:cs="Times New Roman"/>
          <w:highlight w:val="none"/>
          <w:lang w:val="en-US" w:eastAsia="zh-CN"/>
        </w:rPr>
        <w:t>表4.2-30 项目土壤影响途径</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2"/>
        <w:gridCol w:w="1692"/>
        <w:gridCol w:w="1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00" w:type="pct"/>
            <w:vMerge w:val="restar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不同时期</w:t>
            </w:r>
          </w:p>
        </w:tc>
        <w:tc>
          <w:tcPr>
            <w:tcW w:w="4000" w:type="pct"/>
            <w:gridSpan w:val="4"/>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0" w:type="pct"/>
            <w:vMerge w:val="continue"/>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大气沉降</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地面漫流</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垂直渗入</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沼液消纳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运营期</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default" w:ascii="Arial" w:hAnsi="Arial" w:cs="Arial"/>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default" w:ascii="Arial" w:hAnsi="Arial" w:cs="Arial"/>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根据南阳市卧龙牧原养殖有限公司安皋分场年出栏20万头生猪养殖建设项目的沼液重金属含量检测数据（检测因子包括铜、锌、铬、镉、砷、汞、铅），其中铜的含量为1.87mg/L，其他因子均未检出，污染影响型建设项目土壤环境影响源及影响因子识别见下表。</w:t>
      </w:r>
    </w:p>
    <w:p>
      <w:pPr>
        <w:pStyle w:val="22"/>
        <w:rPr>
          <w:rFonts w:hint="eastAsia" w:cs="Times New Roman"/>
          <w:highlight w:val="none"/>
        </w:rPr>
      </w:pPr>
      <w:r>
        <w:rPr>
          <w:rFonts w:hint="eastAsia" w:ascii="Times New Roman" w:hAnsi="Times New Roman" w:eastAsia="宋体" w:cs="Times New Roman"/>
          <w:b/>
          <w:bCs w:val="0"/>
          <w:kern w:val="2"/>
          <w:sz w:val="21"/>
          <w:szCs w:val="24"/>
          <w:highlight w:val="none"/>
          <w:lang w:val="en-US" w:eastAsia="zh-CN" w:bidi="ar-SA"/>
        </w:rPr>
        <w:t>表4.2-3</w:t>
      </w:r>
      <w:r>
        <w:rPr>
          <w:rFonts w:hint="eastAsia" w:cs="Times New Roman"/>
          <w:b/>
          <w:bCs w:val="0"/>
          <w:kern w:val="2"/>
          <w:sz w:val="21"/>
          <w:szCs w:val="24"/>
          <w:highlight w:val="none"/>
          <w:lang w:val="en-US" w:eastAsia="zh-CN" w:bidi="ar-SA"/>
        </w:rPr>
        <w:t>1</w:t>
      </w:r>
      <w:r>
        <w:rPr>
          <w:rFonts w:hint="eastAsia" w:ascii="Times New Roman" w:hAnsi="Times New Roman" w:eastAsia="宋体" w:cs="Times New Roman"/>
          <w:b/>
          <w:bCs w:val="0"/>
          <w:kern w:val="2"/>
          <w:sz w:val="21"/>
          <w:szCs w:val="24"/>
          <w:highlight w:val="none"/>
          <w:lang w:val="en-US" w:eastAsia="zh-CN" w:bidi="ar-SA"/>
        </w:rPr>
        <w:t xml:space="preserve"> 污染影响型建设项目土壤环境影响源及影响因子识别</w:t>
      </w:r>
      <w:r>
        <w:rPr>
          <w:rFonts w:hint="eastAsia" w:cs="Times New Roman"/>
          <w:highlight w:val="none"/>
        </w:rPr>
        <w:t>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984"/>
        <w:gridCol w:w="985"/>
        <w:gridCol w:w="3137"/>
        <w:gridCol w:w="989"/>
        <w:gridCol w:w="1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污染源</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工艺流程</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污染途径</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全部污染物指标</w:t>
            </w:r>
          </w:p>
        </w:tc>
        <w:tc>
          <w:tcPr>
            <w:tcW w:w="0" w:type="auto"/>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特征因子</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消纳地</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农田</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沼液消纳</w:t>
            </w:r>
          </w:p>
        </w:tc>
        <w:tc>
          <w:tcPr>
            <w:tcW w:w="0" w:type="auto"/>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pH、COD、BOD5、氨氮、SS、Cu</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Cu</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连续，正常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沼液储存池</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储存池</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垂直入渗</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pH、COD、BOD5、氨氮、SS、Cu</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Cu</w:t>
            </w:r>
          </w:p>
        </w:tc>
        <w:tc>
          <w:tcPr>
            <w:tcW w:w="0" w:type="auto"/>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事故</w:t>
            </w:r>
          </w:p>
        </w:tc>
      </w:tr>
    </w:tbl>
    <w:p>
      <w:pPr>
        <w:pStyle w:val="8"/>
        <w:ind w:firstLine="482"/>
        <w:rPr>
          <w:rFonts w:hint="eastAsia"/>
          <w:highlight w:val="none"/>
          <w:lang w:val="en-US" w:eastAsia="zh-CN"/>
        </w:rPr>
      </w:pPr>
      <w:r>
        <w:rPr>
          <w:rFonts w:hint="eastAsia"/>
          <w:highlight w:val="none"/>
          <w:lang w:val="en-US" w:eastAsia="zh-CN"/>
        </w:rPr>
        <w:t xml:space="preserve">4.2.6.4 预测与评价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hint="eastAsia" w:ascii="Times New Roman" w:hAnsi="Times New Roman" w:cs="Times New Roman"/>
          <w:kern w:val="0"/>
          <w:sz w:val="24"/>
          <w:szCs w:val="22"/>
          <w:highlight w:val="none"/>
          <w:lang w:val="en-US" w:eastAsia="zh-CN"/>
        </w:rPr>
        <w:t>A、</w:t>
      </w:r>
      <w:r>
        <w:rPr>
          <w:rFonts w:ascii="Times New Roman" w:hAnsi="Times New Roman" w:cs="Times New Roman"/>
          <w:kern w:val="0"/>
          <w:sz w:val="24"/>
          <w:szCs w:val="22"/>
          <w:highlight w:val="none"/>
        </w:rPr>
        <w:t xml:space="preserve">沼液消纳影响分析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（1）预测评价范围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预测评价范围与现状调查范围一致，评价范围为项目区和周边沼液消纳地外延 200m。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（2）预测评价时段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重点预测时段为项目运营期，运营期设计为20年。项目运营期，沼液消纳灌溉对周围土壤环境的影响。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（3）预测情景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本次仅对营运期沼液消纳重金属累积效应对土壤的影响进行预测分析。沼液储存池事故状态下垂直入渗对土壤影响进行定性分析，对地下水影响见 地下水影响预测章节。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（4）预测评价因子及标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预测及评价因子：重金属Cu，标准值：50mg/kg（5.5＜pH≤6.5）、100mg/kg</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（6.5＜pH≤7.5）。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（5）预测评价方法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根据工程分析沼液产生量和沼液重金属含量检测数据，结合《环境影响评价技术导则 土壤环境（试行）》（HJ 964-2018）附录E推荐方法，计算土壤中污染物的增量和叠加现状量，进而分析周边农田沼液消纳负荷和能力。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（6）影响预测结果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根据《环境影响评价技术导则—土壤环境（试行）》（HJ 964-2018）附录 E推荐方法，计算公式如下：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a）单位质量土壤中某种物质的增量可用下式计算： </w:t>
      </w:r>
    </w:p>
    <w:p>
      <w:pPr>
        <w:widowControl w:val="0"/>
        <w:spacing w:line="520" w:lineRule="exact"/>
        <w:ind w:firstLine="480" w:firstLineChars="200"/>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∆S=n（IS-LS-RS）/（ρb×A×D）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式中：ΔS——单位质量表层土壤中某种物质的增量，g/kg；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IS——预测评价范围内单位年份表层土壤中某种物质的输入量，g；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LS——预测评价范围内单位年份表层土壤中某种物质经淋溶排出的量，g；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RS——预测评价范围内单位年份表层土壤中某种物质经径流排出的量，g；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ρb——表层土壤容重，kg/m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，按1400kg/m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A——预测评价范围，m</w:t>
      </w:r>
      <w:r>
        <w:rPr>
          <w:rFonts w:ascii="Times New Roman" w:hAnsi="Times New Roman" w:cs="Times New Roman"/>
          <w:kern w:val="0"/>
          <w:sz w:val="24"/>
          <w:szCs w:val="22"/>
          <w:highlight w:val="none"/>
          <w:vertAlign w:val="superscript"/>
        </w:rPr>
        <w:t>2</w:t>
      </w:r>
      <w:r>
        <w:rPr>
          <w:rFonts w:ascii="Times New Roman" w:hAnsi="Times New Roman" w:cs="Times New Roman"/>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D——表层土壤深度，一般取0.2m，可根据实际情况适当调整，本次取0.2m；</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n——持续年份，a，设计运行20a。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b）单位质量土壤中某种物质的预测值可根据其增量叠加现状值进行计算，如下式：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S= Sb+ΔS</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式中：Sb——单位质量土壤中某种物质的现状值，g/kg；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S——单位质量土壤中某种物质的预测值，g/kg。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本次重点评价沼液消纳区，面积取沼液消纳区面积</w:t>
      </w:r>
      <w:r>
        <w:rPr>
          <w:rFonts w:hint="eastAsia" w:cs="Times New Roman"/>
          <w:kern w:val="0"/>
          <w:sz w:val="24"/>
          <w:szCs w:val="22"/>
          <w:highlight w:val="none"/>
          <w:lang w:val="en-US" w:eastAsia="zh-CN"/>
        </w:rPr>
        <w:t>6000</w:t>
      </w:r>
      <w:r>
        <w:rPr>
          <w:rFonts w:ascii="Times New Roman" w:hAnsi="Times New Roman" w:cs="Times New Roman"/>
          <w:kern w:val="0"/>
          <w:sz w:val="24"/>
          <w:szCs w:val="22"/>
          <w:highlight w:val="none"/>
        </w:rPr>
        <w:t>亩，即</w:t>
      </w:r>
      <w:r>
        <w:rPr>
          <w:rFonts w:hint="eastAsia" w:cs="Times New Roman"/>
          <w:kern w:val="0"/>
          <w:sz w:val="24"/>
          <w:szCs w:val="22"/>
          <w:highlight w:val="none"/>
          <w:lang w:val="en-US" w:eastAsia="zh-CN"/>
        </w:rPr>
        <w:t>4000000</w:t>
      </w:r>
      <w:r>
        <w:rPr>
          <w:rFonts w:ascii="Times New Roman" w:hAnsi="Times New Roman" w:cs="Times New Roman"/>
          <w:kern w:val="0"/>
          <w:sz w:val="24"/>
          <w:szCs w:val="22"/>
          <w:highlight w:val="none"/>
        </w:rPr>
        <w:t>m</w:t>
      </w:r>
      <w:r>
        <w:rPr>
          <w:rFonts w:ascii="Times New Roman" w:hAnsi="Times New Roman" w:cs="Times New Roman"/>
          <w:kern w:val="0"/>
          <w:sz w:val="24"/>
          <w:szCs w:val="22"/>
          <w:highlight w:val="none"/>
          <w:vertAlign w:val="superscript"/>
        </w:rPr>
        <w:t>2</w:t>
      </w:r>
      <w:r>
        <w:rPr>
          <w:rFonts w:ascii="Times New Roman" w:hAnsi="Times New Roman" w:cs="Times New Roman"/>
          <w:kern w:val="0"/>
          <w:sz w:val="24"/>
          <w:szCs w:val="22"/>
          <w:highlight w:val="none"/>
        </w:rPr>
        <w:t>。本次预测不考虑淋溶或径流的情况下，项目重金属的增量最大，项目需土地消纳的沼液量为</w:t>
      </w:r>
      <w:r>
        <w:rPr>
          <w:rFonts w:hint="eastAsia" w:ascii="Times New Roman" w:hAnsi="Times New Roman" w:cs="Times New Roman"/>
          <w:kern w:val="0"/>
          <w:sz w:val="24"/>
          <w:szCs w:val="22"/>
          <w:highlight w:val="none"/>
        </w:rPr>
        <w:t>120624.57</w:t>
      </w:r>
      <w:r>
        <w:rPr>
          <w:rFonts w:ascii="Times New Roman" w:hAnsi="Times New Roman" w:cs="Times New Roman"/>
          <w:kern w:val="0"/>
          <w:sz w:val="24"/>
          <w:szCs w:val="22"/>
          <w:highlight w:val="none"/>
        </w:rPr>
        <w:t>m</w:t>
      </w:r>
      <w:r>
        <w:rPr>
          <w:rFonts w:ascii="Times New Roman" w:hAnsi="Times New Roman" w:cs="Times New Roman"/>
          <w:kern w:val="0"/>
          <w:sz w:val="24"/>
          <w:szCs w:val="22"/>
          <w:highlight w:val="none"/>
          <w:vertAlign w:val="superscript"/>
        </w:rPr>
        <w:t>3</w:t>
      </w:r>
      <w:r>
        <w:rPr>
          <w:rFonts w:ascii="Times New Roman" w:hAnsi="Times New Roman" w:cs="Times New Roman"/>
          <w:kern w:val="0"/>
          <w:sz w:val="24"/>
          <w:szCs w:val="22"/>
          <w:highlight w:val="none"/>
        </w:rPr>
        <w:t>/a，铜含量按1.87mg/L计算，计算可得施用沼液1年1kg土壤中铜的含量增加0.</w:t>
      </w:r>
      <w:r>
        <w:rPr>
          <w:rFonts w:hint="eastAsia" w:cs="Times New Roman"/>
          <w:kern w:val="0"/>
          <w:sz w:val="24"/>
          <w:szCs w:val="22"/>
          <w:highlight w:val="none"/>
          <w:lang w:val="en-US" w:eastAsia="zh-CN"/>
        </w:rPr>
        <w:t>23</w:t>
      </w:r>
      <w:r>
        <w:rPr>
          <w:rFonts w:ascii="Times New Roman" w:hAnsi="Times New Roman" w:cs="Times New Roman"/>
          <w:kern w:val="0"/>
          <w:sz w:val="24"/>
          <w:szCs w:val="22"/>
          <w:highlight w:val="none"/>
        </w:rPr>
        <w:t>mg、10年后增量2.</w:t>
      </w:r>
      <w:r>
        <w:rPr>
          <w:rFonts w:hint="eastAsia" w:cs="Times New Roman"/>
          <w:kern w:val="0"/>
          <w:sz w:val="24"/>
          <w:szCs w:val="22"/>
          <w:highlight w:val="none"/>
          <w:lang w:val="en-US" w:eastAsia="zh-CN"/>
        </w:rPr>
        <w:t>3</w:t>
      </w:r>
      <w:r>
        <w:rPr>
          <w:rFonts w:ascii="Times New Roman" w:hAnsi="Times New Roman" w:cs="Times New Roman"/>
          <w:kern w:val="0"/>
          <w:sz w:val="24"/>
          <w:szCs w:val="22"/>
          <w:highlight w:val="none"/>
        </w:rPr>
        <w:t>mg、20年后的增量5.</w:t>
      </w:r>
      <w:r>
        <w:rPr>
          <w:rFonts w:hint="eastAsia" w:cs="Times New Roman"/>
          <w:kern w:val="0"/>
          <w:sz w:val="24"/>
          <w:szCs w:val="22"/>
          <w:highlight w:val="none"/>
          <w:lang w:val="en-US" w:eastAsia="zh-CN"/>
        </w:rPr>
        <w:t>6</w:t>
      </w:r>
      <w:r>
        <w:rPr>
          <w:rFonts w:ascii="Times New Roman" w:hAnsi="Times New Roman" w:cs="Times New Roman"/>
          <w:kern w:val="0"/>
          <w:sz w:val="24"/>
          <w:szCs w:val="22"/>
          <w:highlight w:val="none"/>
        </w:rPr>
        <w:t xml:space="preserve">mg。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根据现状监测数据，项目配套</w:t>
      </w:r>
      <w:r>
        <w:rPr>
          <w:rFonts w:hint="eastAsia" w:cs="Times New Roman"/>
          <w:kern w:val="0"/>
          <w:sz w:val="24"/>
          <w:szCs w:val="22"/>
          <w:highlight w:val="none"/>
          <w:lang w:eastAsia="zh-CN"/>
        </w:rPr>
        <w:t>东侧</w:t>
      </w:r>
      <w:r>
        <w:rPr>
          <w:rFonts w:ascii="Times New Roman" w:hAnsi="Times New Roman" w:cs="Times New Roman"/>
          <w:kern w:val="0"/>
          <w:sz w:val="24"/>
          <w:szCs w:val="22"/>
          <w:highlight w:val="none"/>
        </w:rPr>
        <w:t>消纳地中土壤铜含量为</w:t>
      </w:r>
      <w:r>
        <w:rPr>
          <w:rFonts w:hint="eastAsia" w:ascii="Times New Roman" w:hAnsi="Times New Roman" w:cs="Times New Roman"/>
          <w:kern w:val="0"/>
          <w:sz w:val="24"/>
          <w:szCs w:val="22"/>
          <w:highlight w:val="none"/>
        </w:rPr>
        <w:t>2</w:t>
      </w:r>
      <w:r>
        <w:rPr>
          <w:rFonts w:hint="eastAsia" w:cs="Times New Roman"/>
          <w:kern w:val="0"/>
          <w:sz w:val="24"/>
          <w:szCs w:val="22"/>
          <w:highlight w:val="none"/>
          <w:lang w:val="en-US" w:eastAsia="zh-CN"/>
        </w:rPr>
        <w:t>5</w:t>
      </w:r>
      <w:r>
        <w:rPr>
          <w:rFonts w:ascii="Times New Roman" w:hAnsi="Times New Roman" w:cs="Times New Roman"/>
          <w:kern w:val="0"/>
          <w:sz w:val="24"/>
          <w:szCs w:val="22"/>
          <w:highlight w:val="none"/>
        </w:rPr>
        <w:t>mg/kg，配套西侧消纳地中土壤铜含量为</w:t>
      </w:r>
      <w:r>
        <w:rPr>
          <w:rFonts w:hint="eastAsia" w:ascii="Times New Roman" w:hAnsi="Times New Roman" w:cs="Times New Roman"/>
          <w:kern w:val="0"/>
          <w:sz w:val="24"/>
          <w:szCs w:val="22"/>
          <w:highlight w:val="none"/>
        </w:rPr>
        <w:t>2</w:t>
      </w:r>
      <w:r>
        <w:rPr>
          <w:rFonts w:hint="eastAsia" w:cs="Times New Roman"/>
          <w:kern w:val="0"/>
          <w:sz w:val="24"/>
          <w:szCs w:val="22"/>
          <w:highlight w:val="none"/>
          <w:lang w:val="en-US" w:eastAsia="zh-CN"/>
        </w:rPr>
        <w:t>4</w:t>
      </w:r>
      <w:r>
        <w:rPr>
          <w:rFonts w:ascii="Times New Roman" w:hAnsi="Times New Roman" w:cs="Times New Roman"/>
          <w:kern w:val="0"/>
          <w:sz w:val="24"/>
          <w:szCs w:val="22"/>
          <w:highlight w:val="none"/>
        </w:rPr>
        <w:t>mg/kg，营运期10年后土壤中铜预测值分别为</w:t>
      </w:r>
      <w:r>
        <w:rPr>
          <w:rFonts w:hint="eastAsia" w:cs="Times New Roman"/>
          <w:kern w:val="0"/>
          <w:sz w:val="24"/>
          <w:szCs w:val="22"/>
          <w:highlight w:val="none"/>
          <w:lang w:val="en-US" w:eastAsia="zh-CN"/>
        </w:rPr>
        <w:t>27.3</w:t>
      </w:r>
      <w:r>
        <w:rPr>
          <w:rFonts w:ascii="Times New Roman" w:hAnsi="Times New Roman" w:cs="Times New Roman"/>
          <w:kern w:val="0"/>
          <w:sz w:val="24"/>
          <w:szCs w:val="22"/>
          <w:highlight w:val="none"/>
        </w:rPr>
        <w:t>mg/kg、</w:t>
      </w:r>
      <w:r>
        <w:rPr>
          <w:rFonts w:hint="eastAsia" w:cs="Times New Roman"/>
          <w:kern w:val="0"/>
          <w:sz w:val="24"/>
          <w:szCs w:val="22"/>
          <w:highlight w:val="none"/>
          <w:lang w:val="en-US" w:eastAsia="zh-CN"/>
        </w:rPr>
        <w:t>26.3</w:t>
      </w:r>
      <w:r>
        <w:rPr>
          <w:rFonts w:ascii="Times New Roman" w:hAnsi="Times New Roman" w:cs="Times New Roman"/>
          <w:kern w:val="0"/>
          <w:sz w:val="24"/>
          <w:szCs w:val="22"/>
          <w:highlight w:val="none"/>
        </w:rPr>
        <w:t>mg/kg，20年后土壤中铜预测值分别为</w:t>
      </w:r>
      <w:r>
        <w:rPr>
          <w:rFonts w:hint="eastAsia" w:cs="Times New Roman"/>
          <w:kern w:val="0"/>
          <w:sz w:val="24"/>
          <w:szCs w:val="22"/>
          <w:highlight w:val="none"/>
          <w:lang w:val="en-US" w:eastAsia="zh-CN"/>
        </w:rPr>
        <w:t>30.6</w:t>
      </w:r>
      <w:r>
        <w:rPr>
          <w:rFonts w:ascii="Times New Roman" w:hAnsi="Times New Roman" w:cs="Times New Roman"/>
          <w:kern w:val="0"/>
          <w:sz w:val="24"/>
          <w:szCs w:val="22"/>
          <w:highlight w:val="none"/>
        </w:rPr>
        <w:t>mg/kg、</w:t>
      </w:r>
      <w:r>
        <w:rPr>
          <w:rFonts w:hint="eastAsia" w:cs="Times New Roman"/>
          <w:kern w:val="0"/>
          <w:sz w:val="24"/>
          <w:szCs w:val="22"/>
          <w:highlight w:val="none"/>
          <w:lang w:val="en-US" w:eastAsia="zh-CN"/>
        </w:rPr>
        <w:t>29.6</w:t>
      </w:r>
      <w:r>
        <w:rPr>
          <w:rFonts w:ascii="Times New Roman" w:hAnsi="Times New Roman" w:cs="Times New Roman"/>
          <w:kern w:val="0"/>
          <w:sz w:val="24"/>
          <w:szCs w:val="22"/>
          <w:highlight w:val="none"/>
        </w:rPr>
        <w:t xml:space="preserve">mg/kg。参照《土壤环境质量 农用地土壤污染风险管控标准（试行）》（GB 15618-2018），土壤 5.5＜pH≤6.5时，土壤中铜限量为50mg/kg，土壤6.5＜pH≤7.5 时，土壤中铜限量为100mg/kg，运行期沼液农灌对周边土壤造成的富集影响较小，可以满足土壤环境质量标准限值要求。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kern w:val="0"/>
          <w:sz w:val="24"/>
          <w:szCs w:val="22"/>
          <w:highlight w:val="none"/>
        </w:rPr>
      </w:pPr>
      <w:r>
        <w:rPr>
          <w:rFonts w:hint="eastAsia" w:ascii="Times New Roman" w:hAnsi="Times New Roman" w:cs="Times New Roman"/>
          <w:kern w:val="0"/>
          <w:sz w:val="24"/>
          <w:szCs w:val="22"/>
          <w:highlight w:val="none"/>
          <w:lang w:val="en-US" w:eastAsia="zh-CN"/>
        </w:rPr>
        <w:t>B、</w:t>
      </w:r>
      <w:r>
        <w:rPr>
          <w:rFonts w:ascii="Times New Roman" w:hAnsi="Times New Roman" w:cs="Times New Roman"/>
          <w:kern w:val="0"/>
          <w:sz w:val="24"/>
          <w:szCs w:val="22"/>
          <w:highlight w:val="none"/>
        </w:rPr>
        <w:t xml:space="preserve">垂直入渗影响分析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根据污染物在入渗过程中迁移转化的特征，包气带表层受蒸发和植物蒸腾作用影响，经常处于亏缺状态；其下部为天然持水稳定带；在潜水面之上，天然持水稳定带之下，是支持毛细水带。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当污染液进入包气带表层时，处于水分亏缺状态的土壤，在高水势梯度(大于 1.0cm/cm）作用下，迅速吸附入渗水。只有在满足其水分亏缺补给之后，入渗液才能向更深层位运移。因在水分亏缺带内深度愈浅，水分亏缺愈严重，故在入渗液水量充足前提下，当入渗液通过水分亏缺带之后，该带各层位土壤获取的溶液水量随深度增大而减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污染物在随入渗溶液下渗迁移过程中，其在土壤剖面上的含量分布与溶液入渗的方向性有关。沿着溶液运动方向，随着路径的增加，土壤中污染物含量降低。当入渗水量足够大时，不仅能完全满足水分亏缺带补给水分的需要，而且入渗液可达到潜水面。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因此沼液储存池一旦发生泄漏事故，在泄漏发生点周围泄漏溶液被土壤迅速吸附，随着泄漏，泄漏溶液向更远更深层位移动，沿着溶液运动方向，随着路径的增加，土壤中重金属污染物含量降低。当泄漏溶液量足够大时，污染可达到潜水面。 </w:t>
      </w:r>
    </w:p>
    <w:p>
      <w:pPr>
        <w:pStyle w:val="8"/>
        <w:ind w:firstLine="482"/>
        <w:rPr>
          <w:rFonts w:hint="eastAsia"/>
          <w:highlight w:val="none"/>
          <w:lang w:val="en-US" w:eastAsia="zh-CN"/>
        </w:rPr>
      </w:pPr>
      <w:r>
        <w:rPr>
          <w:rFonts w:hint="eastAsia"/>
          <w:highlight w:val="none"/>
          <w:lang w:val="en-US" w:eastAsia="zh-CN"/>
        </w:rPr>
        <w:t xml:space="preserve">4.2.6.5 防止土壤污染的措施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企业运营过程中，为防止事故状态对土壤的污染，应采取如下措施：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（1）医疗废物严格按要求进行处理处置，严禁随意倾倒、丢弃；企业应及时联系医疗废物处置单位回收，在处置单位未回收期间，应集中收集，专人管理，集中贮存， 厂内应建设医疗垃圾贮存设施，贮存场所要防风、防雨、防晒，贮存设施应避开易燃、易爆沼气贮存区，基础必须防渗。贮存设施应满足《危险废物贮存污染控制标准》及《关于发布&lt;一般工业固体废物贮存、处置场污染控制标准&gt;（GB18599-2001）等 3 项国家污染物控制标准修改单的公告》（环境保护部公告 2013 年第 36 号）的要求。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2）项目一旦发生粪污泄漏事故，公司应及时通知有关部门并采取必要的安全措施，减少事故损失，防止事故蔓延、扩大；因此必须建立严格的规章制度，保证粪污处理系统的正常运转，随时检查设备的运转情况，一旦有非正常情况发生，要立即对粪污处理设备进行维修，同时暂停贮粪池和收集池的粪污向粪污处理系统输送，待粪污处理系统正常运转后，再进行粪污输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3）为了防止项目对当地的土壤产生不利影响，建设单位采取防渗措施具体如下：对场区的道路、地面等进行硬化处理，防止粪污发生“跑、冒、滴、漏”现象时污染土壤和地下水环境；另外对于所有的粪污管道、粪污池等均采取了防渗措施，如对地面进行碾压、夯实，并在地下设置防渗膜等，管道材料使用防腐材料，防止具有腐蚀性的粪污泄露污染地下水，以保护土壤环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0"/>
          <w:sz w:val="24"/>
          <w:szCs w:val="22"/>
          <w:highlight w:val="none"/>
          <w:lang w:val="en-US" w:eastAsia="zh-CN" w:bidi="ar-SA"/>
        </w:rPr>
      </w:pPr>
      <w:r>
        <w:rPr>
          <w:rFonts w:ascii="Times New Roman" w:hAnsi="Times New Roman" w:eastAsia="宋体" w:cs="Times New Roman"/>
          <w:kern w:val="0"/>
          <w:sz w:val="24"/>
          <w:szCs w:val="22"/>
          <w:highlight w:val="none"/>
          <w:lang w:val="en-US" w:eastAsia="zh-CN" w:bidi="ar-SA"/>
        </w:rPr>
        <w:t>（4）项目运行过程中要严格管理，控制沼液还田利用过程中，要科学合理计算施肥量和施肥间隔期，避免出现过量施肥情况。同时采用科学合理的施肥方式，做到均匀施肥，避免出现局部过量的情况。同时企业运行过程中要经常对粪污管道进行检查检修， 出现破损现象要及时修补或更换，从而防止管道泄漏粪污对土壤尤其是农田的影响。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（5）制定土壤跟踪监测计划，根据项目所在区域地下水流向，在沼液消纳区农田的西北侧（上游）、场址处、东南侧（下游）设置土壤监测点位，每</w:t>
      </w:r>
      <w:r>
        <w:rPr>
          <w:rFonts w:hint="eastAsia" w:cs="Times New Roman"/>
          <w:kern w:val="0"/>
          <w:sz w:val="24"/>
          <w:szCs w:val="22"/>
          <w:highlight w:val="none"/>
          <w:lang w:eastAsia="zh-CN"/>
        </w:rPr>
        <w:t>隔</w:t>
      </w:r>
      <w:r>
        <w:rPr>
          <w:rFonts w:ascii="Times New Roman" w:hAnsi="Times New Roman" w:cs="Times New Roman"/>
          <w:kern w:val="0"/>
          <w:sz w:val="24"/>
          <w:szCs w:val="22"/>
          <w:highlight w:val="none"/>
        </w:rPr>
        <w:t>3~5年对配套的沼液消纳区农田进行土壤养分含量监测；每半年对配套农田的中重金属、抗生素进行监测，并保存监测记录，一旦发现土壤出现污染（如重金属、抗生素含量出现农用地风险筛选监控限值），立即停止使用沼液施肥，待该种污染消除后方可继续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2"/>
          <w:highlight w:val="none"/>
        </w:rPr>
      </w:pPr>
      <w:r>
        <w:rPr>
          <w:rFonts w:ascii="Times New Roman" w:hAnsi="Times New Roman" w:cs="Times New Roman"/>
          <w:kern w:val="0"/>
          <w:sz w:val="24"/>
          <w:szCs w:val="22"/>
          <w:highlight w:val="none"/>
        </w:rPr>
        <w:t xml:space="preserve">在采取以上各项措施后，本项目对场区及周围的土壤环境影响较小。 </w:t>
      </w:r>
    </w:p>
    <w:p>
      <w:pPr>
        <w:pStyle w:val="8"/>
        <w:ind w:firstLine="482"/>
        <w:rPr>
          <w:rFonts w:hint="eastAsia"/>
          <w:highlight w:val="none"/>
          <w:lang w:val="en-US" w:eastAsia="zh-CN"/>
        </w:rPr>
      </w:pPr>
      <w:r>
        <w:rPr>
          <w:rFonts w:hint="eastAsia"/>
          <w:highlight w:val="none"/>
          <w:lang w:val="en-US" w:eastAsia="zh-CN"/>
        </w:rPr>
        <w:t xml:space="preserve">4.2.6.6 评价结论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rPr>
      </w:pPr>
      <w:r>
        <w:rPr>
          <w:rFonts w:ascii="Times New Roman" w:hAnsi="Times New Roman" w:cs="Times New Roman"/>
          <w:kern w:val="0"/>
          <w:sz w:val="24"/>
          <w:szCs w:val="22"/>
          <w:highlight w:val="none"/>
        </w:rPr>
        <w:t>项目土壤影响途径主要为沼液消纳灌溉和垂直入渗。沼液消纳灌溉影响经预测，项目营运期运行20年，消纳地土壤满足《土壤环境质量 农用地土壤污染风险管控标准（试行）》（GB 15618-2018）表1筛选值</w:t>
      </w:r>
      <w:r>
        <w:rPr>
          <w:rFonts w:hint="eastAsia" w:cs="Times New Roman"/>
          <w:highlight w:val="none"/>
        </w:rPr>
        <w:t>。</w:t>
      </w:r>
    </w:p>
    <w:p>
      <w:pPr>
        <w:pStyle w:val="7"/>
        <w:spacing w:before="66"/>
        <w:ind w:firstLine="482"/>
        <w:rPr>
          <w:rFonts w:hint="eastAsia"/>
          <w:highlight w:val="none"/>
          <w:lang w:val="en-US" w:eastAsia="zh-CN"/>
        </w:rPr>
      </w:pPr>
      <w:r>
        <w:rPr>
          <w:rFonts w:hint="eastAsia"/>
          <w:highlight w:val="none"/>
          <w:lang w:val="en-US" w:eastAsia="zh-CN"/>
        </w:rPr>
        <w:t>4</w:t>
      </w:r>
      <w:r>
        <w:rPr>
          <w:highlight w:val="none"/>
        </w:rPr>
        <w:t>.</w:t>
      </w:r>
      <w:r>
        <w:rPr>
          <w:rFonts w:hint="eastAsia"/>
          <w:highlight w:val="none"/>
        </w:rPr>
        <w:t>2.</w:t>
      </w:r>
      <w:r>
        <w:rPr>
          <w:rFonts w:hint="eastAsia"/>
          <w:highlight w:val="none"/>
          <w:lang w:val="en-US" w:eastAsia="zh-CN"/>
        </w:rPr>
        <w:t>7环境风险评价</w:t>
      </w:r>
    </w:p>
    <w:p>
      <w:pPr>
        <w:ind w:firstLine="480"/>
        <w:rPr>
          <w:rFonts w:cs="Times New Roman"/>
          <w:highlight w:val="none"/>
        </w:rPr>
      </w:pPr>
      <w:r>
        <w:rPr>
          <w:rFonts w:cs="Times New Roman"/>
          <w:highlight w:val="none"/>
        </w:rPr>
        <w:t>环境风险是指的突发性事故造成的重大环境污染的风险，具有危害性大、影响范围广、处理难度大、发生概率难确定等特点，但一旦发生，其破坏性极强、污染极严重，不仅会影响企业的正常生产、生活秩序，还可能造成人员伤亡、生态环境的大范围破坏、国家财产遭受重大损失。</w:t>
      </w:r>
    </w:p>
    <w:p>
      <w:pPr>
        <w:pStyle w:val="8"/>
        <w:ind w:firstLine="482"/>
        <w:rPr>
          <w:rFonts w:hint="eastAsia"/>
          <w:highlight w:val="none"/>
          <w:lang w:val="en-US" w:eastAsia="zh-CN"/>
        </w:rPr>
      </w:pPr>
      <w:r>
        <w:rPr>
          <w:rFonts w:hint="eastAsia"/>
          <w:highlight w:val="none"/>
          <w:lang w:val="en-US" w:eastAsia="zh-CN"/>
        </w:rPr>
        <w:t>4.2.7.1风险识别</w:t>
      </w:r>
    </w:p>
    <w:p>
      <w:pPr>
        <w:pStyle w:val="112"/>
        <w:pageBreakBefore w:val="0"/>
        <w:widowControl/>
        <w:kinsoku/>
        <w:wordWrap/>
        <w:overflowPunct/>
        <w:topLinePunct w:val="0"/>
        <w:autoSpaceDE/>
        <w:autoSpaceDN/>
        <w:bidi w:val="0"/>
        <w:adjustRightInd/>
        <w:snapToGrid/>
        <w:ind w:firstLine="480"/>
        <w:textAlignment w:val="auto"/>
        <w:rPr>
          <w:highlight w:val="none"/>
        </w:rPr>
      </w:pPr>
      <w:r>
        <w:rPr>
          <w:highlight w:val="none"/>
        </w:rPr>
        <w:t>根据《</w:t>
      </w:r>
      <w:r>
        <w:rPr>
          <w:rFonts w:hint="eastAsia"/>
          <w:highlight w:val="none"/>
        </w:rPr>
        <w:t>建设项目环境风险评价技术导则》（HJ/T 169－2018）</w:t>
      </w:r>
      <w:r>
        <w:rPr>
          <w:highlight w:val="none"/>
        </w:rPr>
        <w:t>和项目的实际情况，本报告对本项目在实际生产运行过程中可能产生的环境风险进行分析。</w:t>
      </w:r>
    </w:p>
    <w:p>
      <w:pPr>
        <w:keepNext/>
        <w:keepLines/>
        <w:pageBreakBefore w:val="0"/>
        <w:widowControl/>
        <w:kinsoku/>
        <w:wordWrap/>
        <w:overflowPunct/>
        <w:topLinePunct w:val="0"/>
        <w:autoSpaceDE/>
        <w:autoSpaceDN/>
        <w:bidi w:val="0"/>
        <w:adjustRightInd/>
        <w:snapToGrid/>
        <w:spacing w:before="0" w:beforeLines="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①风险识别的范围和类型</w:t>
      </w:r>
    </w:p>
    <w:p>
      <w:pPr>
        <w:pStyle w:val="112"/>
        <w:pageBreakBefore w:val="0"/>
        <w:widowControl/>
        <w:kinsoku/>
        <w:wordWrap/>
        <w:overflowPunct/>
        <w:topLinePunct w:val="0"/>
        <w:autoSpaceDE/>
        <w:autoSpaceDN/>
        <w:bidi w:val="0"/>
        <w:adjustRightInd/>
        <w:snapToGrid/>
        <w:ind w:firstLine="480"/>
        <w:textAlignment w:val="auto"/>
        <w:rPr>
          <w:highlight w:val="none"/>
        </w:rPr>
      </w:pPr>
      <w:r>
        <w:rPr>
          <w:highlight w:val="none"/>
        </w:rPr>
        <w:t>1、风险识别范围</w:t>
      </w:r>
    </w:p>
    <w:p>
      <w:pPr>
        <w:pageBreakBefore w:val="0"/>
        <w:widowControl/>
        <w:kinsoku/>
        <w:wordWrap/>
        <w:overflowPunct/>
        <w:topLinePunct w:val="0"/>
        <w:autoSpaceDE/>
        <w:autoSpaceDN/>
        <w:bidi w:val="0"/>
        <w:adjustRightInd/>
        <w:snapToGrid/>
        <w:ind w:firstLine="480"/>
        <w:textAlignment w:val="auto"/>
        <w:rPr>
          <w:kern w:val="0"/>
          <w:highlight w:val="none"/>
        </w:rPr>
      </w:pPr>
      <w:r>
        <w:rPr>
          <w:kern w:val="0"/>
          <w:highlight w:val="none"/>
        </w:rPr>
        <w:t>环境风险识别范围包括生产设施风险识别和生产过程所涉及的物质风险识别。</w:t>
      </w:r>
    </w:p>
    <w:p>
      <w:pPr>
        <w:pageBreakBefore w:val="0"/>
        <w:widowControl/>
        <w:kinsoku/>
        <w:wordWrap/>
        <w:overflowPunct/>
        <w:topLinePunct w:val="0"/>
        <w:autoSpaceDE/>
        <w:autoSpaceDN/>
        <w:bidi w:val="0"/>
        <w:adjustRightInd/>
        <w:snapToGrid/>
        <w:ind w:firstLine="480"/>
        <w:textAlignment w:val="auto"/>
        <w:rPr>
          <w:highlight w:val="none"/>
        </w:rPr>
      </w:pPr>
      <w:r>
        <w:rPr>
          <w:highlight w:val="none"/>
        </w:rPr>
        <w:t>（1）本项目生产设施风险识别范围指厂区内部的主要生产装置、贮运系统、公用工程系统及辅助生产设施，主要有生产装置区、物料输送管线及设备、</w:t>
      </w:r>
      <w:r>
        <w:rPr>
          <w:rFonts w:hint="eastAsia"/>
          <w:highlight w:val="none"/>
        </w:rPr>
        <w:t>“</w:t>
      </w:r>
      <w:r>
        <w:rPr>
          <w:highlight w:val="none"/>
        </w:rPr>
        <w:t>三废</w:t>
      </w:r>
      <w:r>
        <w:rPr>
          <w:rFonts w:hint="eastAsia"/>
          <w:highlight w:val="none"/>
        </w:rPr>
        <w:t>”</w:t>
      </w:r>
      <w:r>
        <w:rPr>
          <w:highlight w:val="none"/>
        </w:rPr>
        <w:t>处理设施等。</w:t>
      </w:r>
    </w:p>
    <w:p>
      <w:pPr>
        <w:pageBreakBefore w:val="0"/>
        <w:widowControl/>
        <w:kinsoku/>
        <w:wordWrap/>
        <w:overflowPunct/>
        <w:topLinePunct w:val="0"/>
        <w:autoSpaceDE/>
        <w:autoSpaceDN/>
        <w:bidi w:val="0"/>
        <w:adjustRightInd/>
        <w:snapToGrid/>
        <w:ind w:firstLine="480"/>
        <w:textAlignment w:val="auto"/>
        <w:rPr>
          <w:highlight w:val="none"/>
        </w:rPr>
      </w:pPr>
      <w:r>
        <w:rPr>
          <w:highlight w:val="none"/>
        </w:rPr>
        <w:t>（2）物质危险性识别范围包括：项目使用的主要原辅料、燃料、中间产品、最终产品以及生产过程排放的</w:t>
      </w:r>
      <w:r>
        <w:rPr>
          <w:rFonts w:hint="eastAsia"/>
          <w:highlight w:val="none"/>
        </w:rPr>
        <w:t>“三废”</w:t>
      </w:r>
      <w:r>
        <w:rPr>
          <w:highlight w:val="none"/>
        </w:rPr>
        <w:t>污染物等。</w:t>
      </w:r>
    </w:p>
    <w:p>
      <w:pPr>
        <w:pageBreakBefore w:val="0"/>
        <w:widowControl/>
        <w:kinsoku/>
        <w:wordWrap/>
        <w:overflowPunct/>
        <w:topLinePunct w:val="0"/>
        <w:autoSpaceDE/>
        <w:autoSpaceDN/>
        <w:bidi w:val="0"/>
        <w:adjustRightInd/>
        <w:snapToGrid/>
        <w:ind w:firstLine="480"/>
        <w:textAlignment w:val="auto"/>
        <w:rPr>
          <w:highlight w:val="none"/>
        </w:rPr>
      </w:pPr>
      <w:r>
        <w:rPr>
          <w:highlight w:val="none"/>
        </w:rPr>
        <w:t>2、风险类型</w:t>
      </w:r>
    </w:p>
    <w:p>
      <w:pPr>
        <w:pageBreakBefore w:val="0"/>
        <w:widowControl/>
        <w:kinsoku/>
        <w:wordWrap/>
        <w:overflowPunct/>
        <w:topLinePunct w:val="0"/>
        <w:autoSpaceDE/>
        <w:autoSpaceDN/>
        <w:bidi w:val="0"/>
        <w:adjustRightInd/>
        <w:snapToGrid/>
        <w:ind w:firstLine="480"/>
        <w:textAlignment w:val="auto"/>
        <w:rPr>
          <w:highlight w:val="none"/>
        </w:rPr>
      </w:pPr>
      <w:r>
        <w:rPr>
          <w:highlight w:val="none"/>
        </w:rPr>
        <w:t>生产过程中可能发生的事故有机械破损、物体摔落、交通事故、有毒物质的泄露引起火灾、爆炸、有毒物质排放等。其中，后三种可以导致具有严重后果的危害。</w:t>
      </w:r>
    </w:p>
    <w:p>
      <w:pPr>
        <w:keepNext/>
        <w:keepLines/>
        <w:pageBreakBefore w:val="0"/>
        <w:widowControl/>
        <w:kinsoku/>
        <w:wordWrap/>
        <w:overflowPunct/>
        <w:topLinePunct w:val="0"/>
        <w:autoSpaceDE/>
        <w:autoSpaceDN/>
        <w:bidi w:val="0"/>
        <w:adjustRightInd/>
        <w:snapToGrid/>
        <w:spacing w:before="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②物质风险识别</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highlight w:val="none"/>
          <w:lang w:eastAsia="zh-CN"/>
        </w:rPr>
      </w:pPr>
      <w:r>
        <w:rPr>
          <w:rFonts w:hint="eastAsia"/>
          <w:highlight w:val="none"/>
        </w:rPr>
        <w:t>根据《建设项目环境风险评价技术导则》（HJ/T169-2018）附录 B，本项目涉及到的危险物质包括沼气（主要成分为甲烷）</w:t>
      </w:r>
      <w:r>
        <w:rPr>
          <w:rFonts w:hint="eastAsia"/>
          <w:highlight w:val="none"/>
          <w:lang w:eastAsia="zh-CN"/>
        </w:rPr>
        <w:t>、</w:t>
      </w:r>
      <w:r>
        <w:rPr>
          <w:rFonts w:hint="eastAsia"/>
          <w:highlight w:val="none"/>
        </w:rPr>
        <w:t>锅炉使用的LNG（主要成分为甲烷）</w:t>
      </w:r>
      <w:r>
        <w:rPr>
          <w:rFonts w:hint="eastAsia"/>
          <w:highlight w:val="none"/>
          <w:lang w:eastAsia="zh-CN"/>
        </w:rPr>
        <w:t>、</w:t>
      </w:r>
      <w:r>
        <w:rPr>
          <w:rFonts w:hint="eastAsia"/>
          <w:highlight w:val="none"/>
        </w:rPr>
        <w:t>高浓度有机废液及养殖过程中的硫化氢（H</w:t>
      </w:r>
      <w:r>
        <w:rPr>
          <w:rFonts w:hint="eastAsia"/>
          <w:highlight w:val="none"/>
          <w:vertAlign w:val="subscript"/>
        </w:rPr>
        <w:t>2</w:t>
      </w:r>
      <w:r>
        <w:rPr>
          <w:rFonts w:hint="eastAsia"/>
          <w:highlight w:val="none"/>
        </w:rPr>
        <w:t>S）和氨气（NH</w:t>
      </w:r>
      <w:r>
        <w:rPr>
          <w:rFonts w:hint="eastAsia"/>
          <w:highlight w:val="none"/>
          <w:vertAlign w:val="subscript"/>
        </w:rPr>
        <w:t>3</w:t>
      </w:r>
      <w:r>
        <w:rPr>
          <w:rFonts w:hint="eastAsia"/>
          <w:highlight w:val="none"/>
        </w:rPr>
        <w:t>）。根据工程分析，本项目养殖过程中NH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S的产生量很小，且项目配套有各项处理措施对其进行处理，项目厂区周边比较空旷，未被收集处理的NH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S将很快在大气中无组织扩散，对周边环境影响较小。因此，本项目重点关注的风险物质为沼气</w:t>
      </w:r>
      <w:r>
        <w:rPr>
          <w:rFonts w:hint="eastAsia"/>
          <w:highlight w:val="none"/>
          <w:lang w:eastAsia="zh-CN"/>
        </w:rPr>
        <w:t>和高浓度有机废液。沼气和LNG的主要成分均为甲烷，为易燃、易爆气体。在物质的运输（输送）、贮存和使用过程中，如管理操作不当或发生意外泄露，存在着污染周围环境空气、燃烧爆炸等事故风险。同时项目养殖过程中会产生高浓度有机废水，如果发生泄漏，对地表水和地下水也会产生一定的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本项目的主要环境风险过程主要是沼气存储、输送及使用过程和高难度有机废水存储和输送过程。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val="en-US" w:eastAsia="zh-CN"/>
        </w:rPr>
        <w:t>A、</w:t>
      </w:r>
      <w:r>
        <w:rPr>
          <w:rFonts w:hint="eastAsia"/>
          <w:highlight w:val="none"/>
          <w:lang w:eastAsia="zh-CN"/>
        </w:rPr>
        <w:t>沼气贮存、输送过程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养猪场沼气工程为黑膜沼气池，集发酵、贮气于一体，不需另外设置沼气贮存设施。沼气分别通过管道输送到食堂，故涉及的风险主要为黑膜沼气池中的沼气泄漏，从而污染环境空气、引发火灾、爆炸事故计事故次生废气污染。</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Ansi="宋体"/>
          <w:highlight w:val="none"/>
          <w:lang w:eastAsia="zh-CN"/>
        </w:rPr>
        <w:t>甲烷</w:t>
      </w:r>
      <w:r>
        <w:rPr>
          <w:rFonts w:hint="eastAsia" w:hAnsi="宋体"/>
          <w:highlight w:val="none"/>
        </w:rPr>
        <w:t>的理化性质、燃烧爆炸性、毒性见表</w:t>
      </w:r>
      <w:r>
        <w:rPr>
          <w:rFonts w:hint="eastAsia" w:hAnsi="宋体"/>
          <w:highlight w:val="none"/>
          <w:lang w:val="en-US" w:eastAsia="zh-CN"/>
        </w:rPr>
        <w:t>4</w:t>
      </w:r>
      <w:r>
        <w:rPr>
          <w:rFonts w:hint="eastAsia" w:hAnsi="宋体"/>
          <w:highlight w:val="none"/>
        </w:rPr>
        <w:t>.</w:t>
      </w:r>
      <w:r>
        <w:rPr>
          <w:rFonts w:hint="eastAsia" w:hAnsi="宋体"/>
          <w:highlight w:val="none"/>
          <w:lang w:val="en-US" w:eastAsia="zh-CN"/>
        </w:rPr>
        <w:t>2</w:t>
      </w:r>
      <w:r>
        <w:rPr>
          <w:rFonts w:hAnsi="宋体"/>
          <w:highlight w:val="none"/>
        </w:rPr>
        <w:t>-3</w:t>
      </w:r>
      <w:r>
        <w:rPr>
          <w:rFonts w:hint="eastAsia" w:hAnsi="宋体"/>
          <w:highlight w:val="none"/>
          <w:lang w:val="en-US" w:eastAsia="zh-CN"/>
        </w:rPr>
        <w:t>2</w:t>
      </w:r>
      <w:r>
        <w:rPr>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w:t>
      </w:r>
      <w:r>
        <w:rPr>
          <w:rFonts w:hint="eastAsia"/>
          <w:highlight w:val="none"/>
          <w:lang w:val="en-US" w:eastAsia="zh-CN"/>
        </w:rPr>
        <w:t>2</w:t>
      </w:r>
      <w:r>
        <w:rPr>
          <w:rFonts w:hint="eastAsia"/>
          <w:highlight w:val="none"/>
        </w:rPr>
        <w:t>-3</w:t>
      </w:r>
      <w:r>
        <w:rPr>
          <w:rFonts w:hint="eastAsia"/>
          <w:highlight w:val="none"/>
          <w:lang w:val="en-US" w:eastAsia="zh-CN"/>
        </w:rPr>
        <w:t>2</w:t>
      </w:r>
      <w:r>
        <w:rPr>
          <w:rFonts w:hint="eastAsia"/>
          <w:highlight w:val="none"/>
        </w:rPr>
        <w:t xml:space="preserve"> 毒性物质判别</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70"/>
        <w:gridCol w:w="269"/>
        <w:gridCol w:w="478"/>
        <w:gridCol w:w="1071"/>
        <w:gridCol w:w="900"/>
        <w:gridCol w:w="200"/>
        <w:gridCol w:w="932"/>
        <w:gridCol w:w="716"/>
        <w:gridCol w:w="314"/>
        <w:gridCol w:w="1059"/>
        <w:gridCol w:w="687"/>
        <w:gridCol w:w="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中文名称</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hint="eastAsia" w:cs="Times New Roman"/>
                <w:b w:val="0"/>
                <w:bCs/>
                <w:spacing w:val="2"/>
                <w:sz w:val="21"/>
                <w:highlight w:val="none"/>
              </w:rPr>
              <w:t>甲烷</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英文名称</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Naturalgasdehydration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外观与性状</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无色无味气体</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主要成分/分子式</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CH</w:t>
            </w:r>
            <w:r>
              <w:rPr>
                <w:rFonts w:cs="Times New Roman"/>
                <w:b w:val="0"/>
                <w:bCs/>
                <w:spacing w:val="2"/>
                <w:sz w:val="21"/>
                <w:highlight w:val="none"/>
                <w:vertAlign w:val="sub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CASNO.</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74-82-8</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UN编号：1971</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危险货物编号：21007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熔点（</w:t>
            </w:r>
            <w:r>
              <w:rPr>
                <w:rFonts w:hint="eastAsia" w:cs="Times New Roman"/>
                <w:b w:val="0"/>
                <w:bCs/>
                <w:spacing w:val="2"/>
                <w:sz w:val="21"/>
                <w:highlight w:val="none"/>
              </w:rPr>
              <w:t>℃</w:t>
            </w:r>
            <w:r>
              <w:rPr>
                <w:rFonts w:cs="Times New Roman"/>
                <w:b w:val="0"/>
                <w:bCs/>
                <w:spacing w:val="2"/>
                <w:sz w:val="21"/>
                <w:highlight w:val="none"/>
              </w:rPr>
              <w:t>）</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-182.5</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沸点（</w:t>
            </w:r>
            <w:r>
              <w:rPr>
                <w:rFonts w:hint="eastAsia" w:cs="Times New Roman"/>
                <w:b w:val="0"/>
                <w:bCs/>
                <w:spacing w:val="2"/>
                <w:sz w:val="21"/>
                <w:highlight w:val="none"/>
              </w:rPr>
              <w:t>℃</w:t>
            </w:r>
            <w:r>
              <w:rPr>
                <w:rFonts w:cs="Times New Roman"/>
                <w:b w:val="0"/>
                <w:bCs/>
                <w:spacing w:val="2"/>
                <w:sz w:val="21"/>
                <w:highlight w:val="none"/>
              </w:rPr>
              <w:t>）</w:t>
            </w:r>
          </w:p>
        </w:tc>
        <w:tc>
          <w:tcPr>
            <w:tcW w:w="544"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-161.5</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闪点（</w:t>
            </w:r>
            <w:r>
              <w:rPr>
                <w:rFonts w:hint="eastAsia" w:cs="Times New Roman"/>
                <w:b w:val="0"/>
                <w:bCs/>
                <w:spacing w:val="2"/>
                <w:sz w:val="21"/>
                <w:highlight w:val="none"/>
              </w:rPr>
              <w:t>℃</w:t>
            </w:r>
            <w:r>
              <w:rPr>
                <w:rFonts w:cs="Times New Roman"/>
                <w:b w:val="0"/>
                <w:bCs/>
                <w:spacing w:val="2"/>
                <w:sz w:val="21"/>
                <w:highlight w:val="none"/>
              </w:rPr>
              <w:t>）</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-188</w:t>
            </w:r>
          </w:p>
        </w:tc>
        <w:tc>
          <w:tcPr>
            <w:tcW w:w="640"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引燃温度（</w:t>
            </w:r>
            <w:r>
              <w:rPr>
                <w:rFonts w:hint="eastAsia" w:cs="Times New Roman"/>
                <w:b w:val="0"/>
                <w:bCs/>
                <w:spacing w:val="2"/>
                <w:sz w:val="21"/>
                <w:highlight w:val="none"/>
              </w:rPr>
              <w:t>℃</w:t>
            </w:r>
            <w:r>
              <w:rPr>
                <w:rFonts w:cs="Times New Roman"/>
                <w:b w:val="0"/>
                <w:bCs/>
                <w:spacing w:val="2"/>
                <w:sz w:val="21"/>
                <w:highlight w:val="none"/>
              </w:rPr>
              <w:t>）</w:t>
            </w:r>
          </w:p>
        </w:tc>
        <w:tc>
          <w:tcPr>
            <w:tcW w:w="84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相对密度</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水=1</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0.42（-164</w:t>
            </w:r>
            <w:r>
              <w:rPr>
                <w:rFonts w:hint="eastAsia" w:cs="Times New Roman"/>
                <w:b w:val="0"/>
                <w:bCs/>
                <w:spacing w:val="2"/>
                <w:sz w:val="21"/>
                <w:highlight w:val="none"/>
              </w:rPr>
              <w:t>℃</w:t>
            </w:r>
            <w:r>
              <w:rPr>
                <w:rFonts w:cs="Times New Roman"/>
                <w:b w:val="0"/>
                <w:bCs/>
                <w:spacing w:val="2"/>
                <w:sz w:val="21"/>
                <w:highlight w:val="none"/>
              </w:rPr>
              <w:t>）</w:t>
            </w:r>
          </w:p>
        </w:tc>
        <w:tc>
          <w:tcPr>
            <w:tcW w:w="544"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急性毒性</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LC50（mg/m3）</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无资料</w:t>
            </w:r>
          </w:p>
        </w:tc>
        <w:tc>
          <w:tcPr>
            <w:tcW w:w="640" w:type="pct"/>
            <w:vMerge w:val="restar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爆炸极限（V%）</w:t>
            </w:r>
          </w:p>
        </w:tc>
        <w:tc>
          <w:tcPr>
            <w:tcW w:w="41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上限</w:t>
            </w:r>
          </w:p>
        </w:tc>
        <w:tc>
          <w:tcPr>
            <w:tcW w:w="42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45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空气=1</w:t>
            </w:r>
          </w:p>
        </w:tc>
        <w:tc>
          <w:tcPr>
            <w:tcW w:w="627"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0.55</w:t>
            </w:r>
          </w:p>
        </w:tc>
        <w:tc>
          <w:tcPr>
            <w:tcW w:w="544"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685"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LD50（mg/kg）</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无资料</w:t>
            </w:r>
          </w:p>
        </w:tc>
        <w:tc>
          <w:tcPr>
            <w:tcW w:w="640" w:type="pct"/>
            <w:vMerge w:val="continue"/>
            <w:tcBorders>
              <w:tl2br w:val="nil"/>
              <w:tr2bl w:val="nil"/>
            </w:tcBorders>
            <w:vAlign w:val="center"/>
          </w:tcPr>
          <w:p>
            <w:pPr>
              <w:spacing w:line="240" w:lineRule="auto"/>
              <w:ind w:right="-20" w:firstLine="0" w:firstLineChars="0"/>
              <w:jc w:val="center"/>
              <w:rPr>
                <w:rFonts w:cs="Times New Roman"/>
                <w:b w:val="0"/>
                <w:bCs/>
                <w:spacing w:val="2"/>
                <w:sz w:val="21"/>
                <w:highlight w:val="none"/>
              </w:rPr>
            </w:pPr>
          </w:p>
        </w:tc>
        <w:tc>
          <w:tcPr>
            <w:tcW w:w="41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下限</w:t>
            </w:r>
          </w:p>
        </w:tc>
        <w:tc>
          <w:tcPr>
            <w:tcW w:w="425" w:type="pct"/>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侵入途径</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危险性类别</w:t>
            </w:r>
          </w:p>
        </w:tc>
        <w:tc>
          <w:tcPr>
            <w:tcW w:w="1583"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第2.1类易燃气体</w:t>
            </w:r>
          </w:p>
        </w:tc>
        <w:tc>
          <w:tcPr>
            <w:tcW w:w="996"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有害燃烧产物</w:t>
            </w:r>
          </w:p>
        </w:tc>
        <w:tc>
          <w:tcPr>
            <w:tcW w:w="1671" w:type="pct"/>
            <w:gridSpan w:val="4"/>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CO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燃爆危险</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易燃，与空气混合能形成爆炸性混合物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灭火方法</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切断气源。若不能立即切断气源，则不允许熄灭正在燃烧的气体。喷水冷却容器，可能的话将容器移至空旷处。灭火剂：雾状水、泡沫、二氧化碳、干粉。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健康危害</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空气中甲烷浓度过高，能使人窒息。当空气中甲烷达25%~30%时，可引起头痛、头晕、乏力、注意力不集中、呼吸和心跳加速、共济失调。若不及时脱离，可致窒息死亡。皮肤接触液化本品，可致冻伤。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急救措施</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吸入：迅速脱离现场至空气新鲜处，保持呼吸道通畅。如呼吸困难，给输氧。呼吸、心跳停止，立即进行心肺复苏术，就医。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泄漏应急处理</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迅速撤离泄漏污染区人员至上风处，并进行隔离，严格限制出入。切断火源。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操作注意事项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密闭操作，全面通风。操作人员必须经过专门培训，严格遵守操作规程。远离火种、热源，工作场所严禁吸烟。使用防爆型的通风系统和设备。防止气体泄漏到工作场所空气中。避免与氧化剂接触。在传送过程中，容器必须接地和跨接，防止产生静电。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储运注意事项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spacing w:val="2"/>
                <w:sz w:val="21"/>
                <w:highlight w:val="none"/>
              </w:rPr>
            </w:pPr>
            <w:r>
              <w:rPr>
                <w:rFonts w:cs="Times New Roman"/>
                <w:b w:val="0"/>
                <w:bCs/>
                <w:spacing w:val="2"/>
                <w:sz w:val="21"/>
                <w:highlight w:val="none"/>
              </w:rPr>
              <w:t>易燃压缩气体。储存于阴凉、干燥、通风良好的不燃库房。仓温不宜超过30</w:t>
            </w:r>
            <w:r>
              <w:rPr>
                <w:rFonts w:hint="eastAsia" w:cs="Times New Roman"/>
                <w:b w:val="0"/>
                <w:bCs/>
                <w:spacing w:val="2"/>
                <w:sz w:val="21"/>
                <w:highlight w:val="none"/>
              </w:rPr>
              <w:t>℃</w:t>
            </w:r>
            <w:r>
              <w:rPr>
                <w:rFonts w:cs="Times New Roman"/>
                <w:b w:val="0"/>
                <w:bCs/>
                <w:spacing w:val="2"/>
                <w:sz w:val="21"/>
                <w:highlight w:val="none"/>
              </w:rPr>
              <w:t>。远离火种、热源。防止阳光直射。应与氧气、压缩空气、卤素、氧化剂等分开存放。储存间内的照明、通风等设施应采用防爆型。禁止使用易产生火花的机械设备和共计。</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val="en-US" w:eastAsia="zh-CN"/>
        </w:rPr>
        <w:t>B、</w:t>
      </w:r>
      <w:r>
        <w:rPr>
          <w:rFonts w:hint="eastAsia"/>
          <w:highlight w:val="none"/>
          <w:lang w:eastAsia="zh-CN"/>
        </w:rPr>
        <w:t>高浓度有机废水</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lang w:eastAsia="zh-CN"/>
        </w:rPr>
      </w:pPr>
      <w:r>
        <w:rPr>
          <w:rFonts w:hint="eastAsia"/>
          <w:highlight w:val="none"/>
          <w:lang w:eastAsia="zh-CN"/>
        </w:rPr>
        <w:t>本项目猪舍收集的废水先进入收集池，收集池内废水COD浓度高达14616mg/L，废水经固液分离后液体经收集池进入沼气池，经沼气池发酵后废水浓度可降至3000mg/L以下，故本项目COD浓度大于10000mg/L 的废水仅存在于收集池内。因此废水风险单元主要为收集池。存在的风险主要为收集池发生泄漏，废水排出，污染地下水、土壤及地表水体。</w:t>
      </w:r>
    </w:p>
    <w:p>
      <w:pPr>
        <w:keepNext/>
        <w:keepLines/>
        <w:pageBreakBefore w:val="0"/>
        <w:widowControl/>
        <w:kinsoku/>
        <w:wordWrap/>
        <w:overflowPunct/>
        <w:topLinePunct w:val="0"/>
        <w:autoSpaceDE/>
        <w:autoSpaceDN/>
        <w:bidi w:val="0"/>
        <w:adjustRightInd/>
        <w:snapToGrid/>
        <w:spacing w:before="0" w:beforeLines="0"/>
        <w:ind w:firstLine="482"/>
        <w:textAlignment w:val="auto"/>
        <w:outlineLvl w:val="9"/>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highlight w:val="none"/>
        </w:rPr>
        <w:t>③储运过程中的危险识别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highlight w:val="none"/>
        </w:rPr>
        <w:t>储存：</w:t>
      </w:r>
      <w:r>
        <w:rPr>
          <w:rFonts w:hint="default" w:ascii="Times New Roman" w:hAnsi="Times New Roman" w:cs="Times New Roman"/>
          <w:color w:val="auto"/>
          <w:sz w:val="24"/>
          <w:szCs w:val="22"/>
          <w:highlight w:val="none"/>
        </w:rPr>
        <w:t>本项目共建有</w:t>
      </w:r>
      <w:r>
        <w:rPr>
          <w:rFonts w:hint="default" w:ascii="Times New Roman" w:hAnsi="Times New Roman" w:cs="Times New Roman"/>
          <w:color w:val="auto"/>
          <w:sz w:val="24"/>
          <w:szCs w:val="22"/>
          <w:highlight w:val="none"/>
          <w:lang w:val="en-US" w:eastAsia="zh-CN"/>
        </w:rPr>
        <w:t>1</w:t>
      </w:r>
      <w:r>
        <w:rPr>
          <w:rFonts w:hint="default" w:ascii="Times New Roman" w:hAnsi="Times New Roman" w:cs="Times New Roman"/>
          <w:color w:val="auto"/>
          <w:sz w:val="24"/>
          <w:szCs w:val="22"/>
          <w:highlight w:val="none"/>
        </w:rPr>
        <w:t>座</w:t>
      </w:r>
      <w:r>
        <w:rPr>
          <w:rFonts w:hint="eastAsia" w:ascii="Times New Roman" w:hAnsi="Times New Roman" w:cs="Times New Roman"/>
          <w:color w:val="auto"/>
          <w:sz w:val="24"/>
          <w:szCs w:val="22"/>
          <w:highlight w:val="none"/>
          <w:lang w:eastAsia="zh-CN"/>
        </w:rPr>
        <w:t>黑膜</w:t>
      </w:r>
      <w:r>
        <w:rPr>
          <w:rFonts w:hint="default" w:ascii="Times New Roman" w:hAnsi="Times New Roman" w:cs="Times New Roman"/>
          <w:color w:val="auto"/>
          <w:sz w:val="24"/>
          <w:szCs w:val="22"/>
          <w:highlight w:val="none"/>
        </w:rPr>
        <w:t>沼气池，总容积为</w:t>
      </w:r>
      <w:r>
        <w:rPr>
          <w:rFonts w:hint="default" w:ascii="Times New Roman" w:hAnsi="Times New Roman" w:cs="Times New Roman"/>
          <w:color w:val="auto"/>
          <w:sz w:val="24"/>
          <w:szCs w:val="22"/>
          <w:highlight w:val="none"/>
          <w:lang w:val="en-US" w:eastAsia="zh-CN"/>
        </w:rPr>
        <w:t>1</w:t>
      </w:r>
      <w:r>
        <w:rPr>
          <w:rFonts w:hint="eastAsia" w:ascii="Times New Roman" w:hAnsi="Times New Roman" w:cs="Times New Roman"/>
          <w:color w:val="auto"/>
          <w:sz w:val="24"/>
          <w:szCs w:val="22"/>
          <w:highlight w:val="none"/>
          <w:lang w:val="en-US" w:eastAsia="zh-CN"/>
        </w:rPr>
        <w:t>70</w:t>
      </w:r>
      <w:r>
        <w:rPr>
          <w:rFonts w:hint="default" w:ascii="Times New Roman" w:hAnsi="Times New Roman" w:cs="Times New Roman"/>
          <w:color w:val="auto"/>
          <w:sz w:val="24"/>
          <w:szCs w:val="22"/>
          <w:highlight w:val="none"/>
        </w:rPr>
        <w:t>00m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，沼液的厌氧发酵和沼气存储均在此完成，沼气日产量为</w:t>
      </w:r>
      <w:r>
        <w:rPr>
          <w:rFonts w:hint="eastAsia" w:ascii="Times New Roman" w:hAnsi="Times New Roman" w:cs="Times New Roman"/>
          <w:color w:val="auto"/>
          <w:sz w:val="24"/>
          <w:szCs w:val="22"/>
          <w:highlight w:val="none"/>
          <w:lang w:val="en-US" w:eastAsia="zh-CN"/>
        </w:rPr>
        <w:t>960</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，产生的沼气优先用作职工食堂炊事燃料</w:t>
      </w:r>
      <w:r>
        <w:rPr>
          <w:rFonts w:hint="default"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eastAsia="zh-CN"/>
        </w:rPr>
        <w:t>和饲料生产线</w:t>
      </w:r>
      <w:r>
        <w:rPr>
          <w:rFonts w:hint="default" w:ascii="Times New Roman" w:hAnsi="Times New Roman" w:cs="Times New Roman"/>
          <w:color w:val="auto"/>
          <w:sz w:val="24"/>
          <w:szCs w:val="22"/>
          <w:highlight w:val="none"/>
          <w:lang w:eastAsia="zh-CN"/>
        </w:rPr>
        <w:t>锅炉燃料。</w:t>
      </w:r>
      <w:r>
        <w:rPr>
          <w:rFonts w:hint="default" w:ascii="Times New Roman" w:hAnsi="Times New Roman" w:cs="Times New Roman"/>
          <w:color w:val="auto"/>
          <w:sz w:val="24"/>
          <w:szCs w:val="22"/>
          <w:highlight w:val="none"/>
        </w:rPr>
        <w:t>本次评价沼气存在量以单日沼气最大产生量的10倍进行计算，沼气组分中甲烷含量为60%，则沼气中甲烷最大储存量为</w:t>
      </w:r>
      <w:r>
        <w:rPr>
          <w:rFonts w:hint="eastAsia" w:ascii="Times New Roman" w:hAnsi="Times New Roman" w:cs="Times New Roman"/>
          <w:color w:val="auto"/>
          <w:sz w:val="24"/>
          <w:szCs w:val="22"/>
          <w:highlight w:val="none"/>
          <w:lang w:val="en-US" w:eastAsia="zh-CN"/>
        </w:rPr>
        <w:t>5760</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，甲烷密度为0.71kg/m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，则甲烷最大存在量</w:t>
      </w:r>
      <w:r>
        <w:rPr>
          <w:rFonts w:hint="eastAsia" w:ascii="Times New Roman" w:hAnsi="Times New Roman" w:cs="Times New Roman"/>
          <w:color w:val="auto"/>
          <w:sz w:val="24"/>
          <w:szCs w:val="22"/>
          <w:highlight w:val="none"/>
          <w:lang w:val="en-US" w:eastAsia="zh-CN"/>
        </w:rPr>
        <w:t>4.1</w:t>
      </w:r>
      <w:r>
        <w:rPr>
          <w:rFonts w:hint="default" w:ascii="Times New Roman" w:hAnsi="Times New Roman" w:cs="Times New Roman"/>
          <w:color w:val="auto"/>
          <w:sz w:val="24"/>
          <w:szCs w:val="22"/>
          <w:highlight w:val="none"/>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项目锅炉使用沼气作为燃料，在沼气不足时使用LNG作为燃料，项目场区设置1个</w:t>
      </w:r>
      <w:r>
        <w:rPr>
          <w:rFonts w:hint="default" w:ascii="Times New Roman" w:hAnsi="Times New Roman" w:cs="Times New Roman"/>
          <w:sz w:val="24"/>
          <w:szCs w:val="22"/>
          <w:highlight w:val="none"/>
          <w:lang w:val="en-US" w:eastAsia="zh-CN"/>
        </w:rPr>
        <w:t>3</w:t>
      </w:r>
      <w:r>
        <w:rPr>
          <w:rFonts w:hint="default" w:ascii="Times New Roman" w:hAnsi="Times New Roman" w:cs="Times New Roman"/>
          <w:sz w:val="24"/>
          <w:szCs w:val="22"/>
          <w:highlight w:val="none"/>
        </w:rPr>
        <w:t>0m</w:t>
      </w:r>
      <w:r>
        <w:rPr>
          <w:rFonts w:hint="default" w:ascii="Times New Roman" w:hAnsi="Times New Roman" w:cs="Times New Roman"/>
          <w:sz w:val="24"/>
          <w:szCs w:val="22"/>
          <w:highlight w:val="none"/>
          <w:vertAlign w:val="superscript"/>
        </w:rPr>
        <w:t>3</w:t>
      </w:r>
      <w:r>
        <w:rPr>
          <w:rFonts w:hint="default" w:ascii="Times New Roman" w:hAnsi="Times New Roman" w:cs="Times New Roman"/>
          <w:sz w:val="24"/>
          <w:szCs w:val="22"/>
          <w:highlight w:val="none"/>
        </w:rPr>
        <w:t>LNG储罐，LNG密度为470kg/m</w:t>
      </w:r>
      <w:r>
        <w:rPr>
          <w:rFonts w:hint="default" w:ascii="Times New Roman" w:hAnsi="Times New Roman" w:cs="Times New Roman"/>
          <w:sz w:val="24"/>
          <w:szCs w:val="22"/>
          <w:highlight w:val="none"/>
          <w:vertAlign w:val="superscript"/>
        </w:rPr>
        <w:t>3</w:t>
      </w:r>
      <w:r>
        <w:rPr>
          <w:rFonts w:hint="default" w:ascii="Times New Roman" w:hAnsi="Times New Roman" w:cs="Times New Roman"/>
          <w:sz w:val="24"/>
          <w:szCs w:val="22"/>
          <w:highlight w:val="none"/>
        </w:rPr>
        <w:t>，则LNG最大存在量</w:t>
      </w:r>
      <w:r>
        <w:rPr>
          <w:rFonts w:hint="default" w:ascii="Times New Roman" w:hAnsi="Times New Roman" w:cs="Times New Roman"/>
          <w:sz w:val="24"/>
          <w:szCs w:val="22"/>
          <w:highlight w:val="none"/>
          <w:lang w:val="en-US" w:eastAsia="zh-CN"/>
        </w:rPr>
        <w:t>14.1</w:t>
      </w:r>
      <w:r>
        <w:rPr>
          <w:rFonts w:hint="default" w:ascii="Times New Roman" w:hAnsi="Times New Roman" w:cs="Times New Roman"/>
          <w:sz w:val="24"/>
          <w:szCs w:val="22"/>
          <w:highlight w:val="none"/>
        </w:rPr>
        <w:t>t。</w:t>
      </w:r>
    </w:p>
    <w:p>
      <w:pPr>
        <w:pStyle w:val="2"/>
        <w:keepNext w:val="0"/>
        <w:keepLines w:val="0"/>
        <w:pageBreakBefore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项目养殖废水与生活污水混合后，废水总排水量为120624.57m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/a。项目废水经收集池中转后进入</w:t>
      </w:r>
      <w:r>
        <w:rPr>
          <w:rFonts w:hint="eastAsia" w:ascii="Times New Roman" w:hAnsi="Times New Roman" w:cs="Times New Roman"/>
          <w:color w:val="auto"/>
          <w:kern w:val="2"/>
          <w:sz w:val="24"/>
          <w:szCs w:val="22"/>
          <w:highlight w:val="none"/>
          <w:lang w:val="en-US" w:eastAsia="zh-CN" w:bidi="ar-SA"/>
        </w:rPr>
        <w:t>黑膜</w:t>
      </w:r>
      <w:r>
        <w:rPr>
          <w:rFonts w:hint="default" w:ascii="Times New Roman" w:hAnsi="Times New Roman" w:eastAsia="宋体" w:cs="Times New Roman"/>
          <w:color w:val="auto"/>
          <w:kern w:val="2"/>
          <w:sz w:val="24"/>
          <w:szCs w:val="22"/>
          <w:highlight w:val="none"/>
          <w:lang w:val="en-US" w:eastAsia="zh-CN" w:bidi="ar-SA"/>
        </w:rPr>
        <w:t>沼气池，项目共有1个收集池，收集池直径12m</w:t>
      </w:r>
      <w:r>
        <w:rPr>
          <w:rFonts w:hint="eastAsia" w:ascii="Times New Roman" w:hAnsi="Times New Roman"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深4m，收集池容积为452</w:t>
      </w:r>
      <w:r>
        <w:rPr>
          <w:rFonts w:hint="eastAsia" w:ascii="Times New Roman" w:hAnsi="Times New Roman" w:cs="Times New Roman"/>
          <w:color w:val="auto"/>
          <w:kern w:val="2"/>
          <w:sz w:val="24"/>
          <w:szCs w:val="22"/>
          <w:highlight w:val="none"/>
          <w:lang w:val="en-US" w:eastAsia="zh-CN" w:bidi="ar-SA"/>
        </w:rPr>
        <w:t>.6</w:t>
      </w:r>
      <w:r>
        <w:rPr>
          <w:rFonts w:hint="default" w:ascii="Times New Roman" w:hAnsi="Times New Roman" w:eastAsia="宋体" w:cs="Times New Roman"/>
          <w:color w:val="auto"/>
          <w:kern w:val="2"/>
          <w:sz w:val="24"/>
          <w:szCs w:val="22"/>
          <w:highlight w:val="none"/>
          <w:lang w:val="en-US" w:eastAsia="zh-CN" w:bidi="ar-SA"/>
        </w:rPr>
        <w:t xml:space="preserve"> 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。废水进入沼气池，经沼气池发酵后废水浓度可降至3000mg/L以下，故本项目COD浓度大于10000mg/L的废水仅存在于收集池内。属于环境风险位置的废水量最大为452</w:t>
      </w:r>
      <w:r>
        <w:rPr>
          <w:rFonts w:hint="eastAsia" w:ascii="Times New Roman" w:hAnsi="Times New Roman" w:cs="Times New Roman"/>
          <w:color w:val="auto"/>
          <w:kern w:val="2"/>
          <w:sz w:val="24"/>
          <w:szCs w:val="22"/>
          <w:highlight w:val="none"/>
          <w:lang w:val="en-US" w:eastAsia="zh-CN" w:bidi="ar-SA"/>
        </w:rPr>
        <w:t>.6</w:t>
      </w:r>
      <w:r>
        <w:rPr>
          <w:rFonts w:hint="default" w:ascii="Times New Roman" w:hAnsi="Times New Roman" w:eastAsia="宋体" w:cs="Times New Roman"/>
          <w:color w:val="auto"/>
          <w:kern w:val="2"/>
          <w:sz w:val="24"/>
          <w:szCs w:val="22"/>
          <w:highlight w:val="none"/>
          <w:lang w:val="en-US" w:eastAsia="zh-CN" w:bidi="ar-SA"/>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运输：本项目</w:t>
      </w:r>
      <w:r>
        <w:rPr>
          <w:rFonts w:hint="eastAsia"/>
          <w:highlight w:val="none"/>
          <w:lang w:eastAsia="zh-CN"/>
        </w:rPr>
        <w:t>所有物料</w:t>
      </w:r>
      <w:r>
        <w:rPr>
          <w:highlight w:val="none"/>
        </w:rPr>
        <w:t>运输委托社会有相关资质的车辆进行运输，一般发生事故的可能性很小，本评价不考虑运输导致的环境风险。</w:t>
      </w:r>
    </w:p>
    <w:p>
      <w:pPr>
        <w:keepNext/>
        <w:keepLines/>
        <w:pageBreakBefore w:val="0"/>
        <w:widowControl/>
        <w:kinsoku/>
        <w:wordWrap/>
        <w:overflowPunct/>
        <w:topLinePunct w:val="0"/>
        <w:autoSpaceDE/>
        <w:autoSpaceDN/>
        <w:bidi w:val="0"/>
        <w:adjustRightInd/>
        <w:snapToGrid/>
        <w:spacing w:before="0" w:beforeLines="0"/>
        <w:ind w:firstLine="482"/>
        <w:textAlignment w:val="auto"/>
        <w:outlineLvl w:val="9"/>
        <w:rPr>
          <w:rFonts w:hint="eastAsia" w:asciiTheme="minorEastAsia" w:hAnsiTheme="minorEastAsia" w:eastAsiaTheme="minorEastAsia" w:cstheme="minorEastAsia"/>
          <w:b w:val="0"/>
          <w:bCs/>
          <w:highlight w:val="none"/>
        </w:rPr>
      </w:pPr>
      <w:r>
        <w:rPr>
          <w:rFonts w:hint="eastAsia" w:ascii="宋体" w:hAnsi="宋体" w:eastAsia="宋体" w:cs="宋体"/>
          <w:b w:val="0"/>
          <w:bCs/>
          <w:highlight w:val="none"/>
        </w:rPr>
        <w:t>④</w:t>
      </w:r>
      <w:r>
        <w:rPr>
          <w:rFonts w:hint="eastAsia" w:asciiTheme="minorEastAsia" w:hAnsiTheme="minorEastAsia" w:eastAsiaTheme="minorEastAsia" w:cstheme="minorEastAsia"/>
          <w:b w:val="0"/>
          <w:bCs/>
          <w:highlight w:val="none"/>
        </w:rPr>
        <w:t>环境风险潜势初判</w:t>
      </w:r>
    </w:p>
    <w:p>
      <w:pPr>
        <w:numPr>
          <w:ilvl w:val="0"/>
          <w:numId w:val="15"/>
        </w:numPr>
        <w:ind w:firstLine="480"/>
        <w:rPr>
          <w:rFonts w:hint="eastAsia" w:hAnsi="宋体"/>
          <w:highlight w:val="none"/>
        </w:rPr>
      </w:pPr>
      <w:r>
        <w:rPr>
          <w:rFonts w:hint="eastAsia" w:hAnsi="宋体"/>
          <w:highlight w:val="none"/>
        </w:rPr>
        <w:t>危险物质及工艺系统危险性（P）</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（1）危险物质数量与临界量比值（Q）</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根据《建设项目环境风险评价技术导则》（HJ 169-2018），危险物质及工艺系统危害性（P）应根据危险物质数量与临界量的比值（Q）和行业及生产工艺（M）确定。根据《建设项目环境风险评价技术导则》（HJ 169-2018）附录C，Q值按照下式进行计算：</w:t>
      </w:r>
    </w:p>
    <w:p>
      <w:pPr>
        <w:rPr>
          <w:rFonts w:hint="eastAsia"/>
          <w:highlight w:val="none"/>
          <w:lang w:val="en-US" w:eastAsia="zh-CN"/>
        </w:rPr>
      </w:pPr>
      <w:r>
        <w:rPr>
          <w:rFonts w:hint="eastAsia"/>
          <w:highlight w:val="none"/>
          <w:lang w:val="en-US" w:eastAsia="zh-CN"/>
        </w:rPr>
        <w:t>Q=q1/Q1+q2/Q2+…qn/Qn</w:t>
      </w:r>
    </w:p>
    <w:p>
      <w:pPr>
        <w:rPr>
          <w:rFonts w:hint="eastAsia"/>
          <w:highlight w:val="none"/>
          <w:lang w:val="en-US" w:eastAsia="zh-CN"/>
        </w:rPr>
      </w:pPr>
      <w:r>
        <w:rPr>
          <w:rFonts w:hint="eastAsia"/>
          <w:highlight w:val="none"/>
          <w:lang w:val="en-US" w:eastAsia="zh-CN"/>
        </w:rPr>
        <w:t>式中：q1，q2……qn—每种危险物质的最大存在量，t；</w:t>
      </w:r>
    </w:p>
    <w:p>
      <w:pPr>
        <w:rPr>
          <w:rFonts w:hint="eastAsia"/>
          <w:highlight w:val="none"/>
          <w:lang w:val="en-US" w:eastAsia="zh-CN"/>
        </w:rPr>
      </w:pPr>
      <w:r>
        <w:rPr>
          <w:rFonts w:hint="eastAsia"/>
          <w:highlight w:val="none"/>
          <w:lang w:val="en-US" w:eastAsia="zh-CN"/>
        </w:rPr>
        <w:t>Q1，Q2…Qn—每种危险物质的临界量，t。</w:t>
      </w:r>
    </w:p>
    <w:p>
      <w:pPr>
        <w:rPr>
          <w:rFonts w:hint="eastAsia"/>
          <w:highlight w:val="none"/>
          <w:lang w:val="en-US" w:eastAsia="zh-CN"/>
        </w:rPr>
      </w:pPr>
      <w:r>
        <w:rPr>
          <w:rFonts w:hint="eastAsia"/>
          <w:highlight w:val="none"/>
          <w:lang w:val="en-US" w:eastAsia="zh-CN"/>
        </w:rPr>
        <w:t>当 Q＜1 时，该项目环境风险潜势为I。</w:t>
      </w:r>
    </w:p>
    <w:p>
      <w:pPr>
        <w:rPr>
          <w:rFonts w:hint="eastAsia"/>
          <w:highlight w:val="none"/>
          <w:lang w:val="en-US" w:eastAsia="zh-CN"/>
        </w:rPr>
      </w:pPr>
      <w:r>
        <w:rPr>
          <w:rFonts w:hint="eastAsia"/>
          <w:highlight w:val="none"/>
          <w:lang w:val="en-US" w:eastAsia="zh-CN"/>
        </w:rPr>
        <w:t>当 Q≥1 时，将Q 值划分为：（1）1≤Q＜10；（2）10≤Q＜100；（3）Q≥100。</w:t>
      </w:r>
    </w:p>
    <w:p>
      <w:pPr>
        <w:ind w:firstLine="480"/>
        <w:rPr>
          <w:highlight w:val="none"/>
        </w:rPr>
      </w:pPr>
      <w:r>
        <w:rPr>
          <w:rFonts w:hAnsi="宋体"/>
          <w:highlight w:val="none"/>
        </w:rPr>
        <w:t>本项目贮存单元涉及的危险物质最大贮存量及临界量见表</w:t>
      </w:r>
      <w:r>
        <w:rPr>
          <w:rFonts w:hint="eastAsia"/>
          <w:highlight w:val="none"/>
          <w:lang w:val="en-US" w:eastAsia="zh-CN"/>
        </w:rPr>
        <w:t>4</w:t>
      </w:r>
      <w:r>
        <w:rPr>
          <w:highlight w:val="none"/>
        </w:rPr>
        <w:t>.</w:t>
      </w:r>
      <w:r>
        <w:rPr>
          <w:rFonts w:hint="eastAsia"/>
          <w:highlight w:val="none"/>
          <w:lang w:val="en-US" w:eastAsia="zh-CN"/>
        </w:rPr>
        <w:t>2</w:t>
      </w:r>
      <w:r>
        <w:rPr>
          <w:highlight w:val="none"/>
        </w:rPr>
        <w:t>-</w:t>
      </w:r>
      <w:r>
        <w:rPr>
          <w:rFonts w:hint="eastAsia"/>
          <w:highlight w:val="none"/>
          <w:lang w:val="en-US" w:eastAsia="zh-CN"/>
        </w:rPr>
        <w:t>33</w:t>
      </w:r>
      <w:r>
        <w:rPr>
          <w:rFonts w:hAnsi="宋体"/>
          <w:highlight w:val="none"/>
        </w:rPr>
        <w:t>。</w:t>
      </w:r>
    </w:p>
    <w:p>
      <w:pPr>
        <w:pStyle w:val="40"/>
        <w:rPr>
          <w:rFonts w:hint="eastAsia"/>
          <w:highlight w:val="none"/>
        </w:rPr>
      </w:pPr>
      <w:r>
        <w:rPr>
          <w:rFonts w:hint="eastAsia"/>
          <w:highlight w:val="none"/>
        </w:rPr>
        <w:t>表</w:t>
      </w:r>
      <w:r>
        <w:rPr>
          <w:rFonts w:hint="eastAsia"/>
          <w:highlight w:val="none"/>
          <w:lang w:val="en-US" w:eastAsia="zh-CN"/>
        </w:rPr>
        <w:t>4</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33</w:t>
      </w:r>
      <w:r>
        <w:rPr>
          <w:rFonts w:hint="eastAsia"/>
          <w:highlight w:val="none"/>
        </w:rPr>
        <w:t xml:space="preserve"> 贮存单元危险物质最大贮存量及临界量</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22"/>
        <w:gridCol w:w="1440"/>
        <w:gridCol w:w="2615"/>
        <w:gridCol w:w="1507"/>
        <w:gridCol w:w="1507"/>
        <w:gridCol w:w="6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序号</w:t>
            </w:r>
          </w:p>
        </w:tc>
        <w:tc>
          <w:tcPr>
            <w:tcW w:w="851" w:type="pct"/>
            <w:tcBorders>
              <w:tl2br w:val="nil"/>
              <w:tr2bl w:val="nil"/>
            </w:tcBorders>
            <w:shd w:val="clear" w:color="auto" w:fill="FFFFFF"/>
            <w:tcMar>
              <w:left w:w="0" w:type="dxa"/>
              <w:right w:w="0" w:type="dxa"/>
            </w:tcMar>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车间名称</w:t>
            </w:r>
          </w:p>
        </w:tc>
        <w:tc>
          <w:tcPr>
            <w:tcW w:w="1546" w:type="pct"/>
            <w:tcBorders>
              <w:tl2br w:val="nil"/>
              <w:tr2bl w:val="nil"/>
            </w:tcBorders>
            <w:shd w:val="clear" w:color="auto" w:fill="FFFFFF"/>
            <w:tcMar>
              <w:left w:w="0" w:type="dxa"/>
              <w:right w:w="0" w:type="dxa"/>
            </w:tcMar>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原料名称</w:t>
            </w:r>
          </w:p>
        </w:tc>
        <w:tc>
          <w:tcPr>
            <w:tcW w:w="891"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贮存量（</w:t>
            </w:r>
            <w:r>
              <w:rPr>
                <w:b w:val="0"/>
                <w:bCs/>
                <w:szCs w:val="21"/>
                <w:highlight w:val="none"/>
              </w:rPr>
              <w:t>t</w:t>
            </w:r>
            <w:r>
              <w:rPr>
                <w:rFonts w:hAnsi="宋体"/>
                <w:b w:val="0"/>
                <w:bCs/>
                <w:szCs w:val="21"/>
                <w:highlight w:val="none"/>
              </w:rPr>
              <w:t>）</w:t>
            </w:r>
          </w:p>
        </w:tc>
        <w:tc>
          <w:tcPr>
            <w:tcW w:w="891"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rFonts w:hAnsi="宋体"/>
                <w:b w:val="0"/>
                <w:bCs/>
                <w:szCs w:val="21"/>
                <w:highlight w:val="none"/>
              </w:rPr>
              <w:t>临界量（</w:t>
            </w:r>
            <w:r>
              <w:rPr>
                <w:b w:val="0"/>
                <w:bCs/>
                <w:szCs w:val="21"/>
                <w:highlight w:val="none"/>
              </w:rPr>
              <w:t>t</w:t>
            </w:r>
            <w:r>
              <w:rPr>
                <w:rFonts w:hAnsi="宋体"/>
                <w:b w:val="0"/>
                <w:bCs/>
                <w:szCs w:val="21"/>
                <w:highlight w:val="none"/>
              </w:rPr>
              <w:t>）</w:t>
            </w:r>
          </w:p>
        </w:tc>
        <w:tc>
          <w:tcPr>
            <w:tcW w:w="392" w:type="pct"/>
            <w:tcBorders>
              <w:tl2br w:val="nil"/>
              <w:tr2bl w:val="nil"/>
            </w:tcBorders>
            <w:shd w:val="clear" w:color="auto" w:fill="FFFFFF"/>
            <w:vAlign w:val="center"/>
          </w:tcPr>
          <w:p>
            <w:pPr>
              <w:pStyle w:val="23"/>
              <w:spacing w:after="0" w:line="240" w:lineRule="auto"/>
              <w:ind w:firstLine="0" w:firstLineChars="0"/>
              <w:jc w:val="center"/>
              <w:rPr>
                <w:b w:val="0"/>
                <w:bCs/>
                <w:szCs w:val="21"/>
                <w:highlight w:val="none"/>
              </w:rPr>
            </w:pPr>
            <w:r>
              <w:rPr>
                <w:b w:val="0"/>
                <w:bCs/>
                <w:szCs w:val="21"/>
                <w:highlight w:val="none"/>
              </w:rPr>
              <w:t>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shd w:val="clear" w:color="auto" w:fill="FFFFFF"/>
            <w:vAlign w:val="center"/>
          </w:tcPr>
          <w:p>
            <w:pPr>
              <w:pStyle w:val="23"/>
              <w:spacing w:after="0" w:line="240" w:lineRule="auto"/>
              <w:ind w:firstLine="0" w:firstLineChars="0"/>
              <w:jc w:val="center"/>
              <w:rPr>
                <w:szCs w:val="21"/>
                <w:highlight w:val="none"/>
              </w:rPr>
            </w:pPr>
            <w:r>
              <w:rPr>
                <w:szCs w:val="21"/>
                <w:highlight w:val="none"/>
              </w:rPr>
              <w:t>1</w:t>
            </w:r>
          </w:p>
        </w:tc>
        <w:tc>
          <w:tcPr>
            <w:tcW w:w="851" w:type="pct"/>
            <w:tcBorders>
              <w:tl2br w:val="nil"/>
              <w:tr2bl w:val="nil"/>
            </w:tcBorders>
            <w:shd w:val="clear" w:color="auto" w:fill="FFFFFF"/>
            <w:vAlign w:val="center"/>
          </w:tcPr>
          <w:p>
            <w:pPr>
              <w:pStyle w:val="23"/>
              <w:spacing w:after="0" w:line="240" w:lineRule="auto"/>
              <w:ind w:firstLine="0" w:firstLineChars="0"/>
              <w:jc w:val="center"/>
              <w:rPr>
                <w:rFonts w:hint="eastAsia" w:eastAsia="宋体"/>
                <w:szCs w:val="21"/>
                <w:highlight w:val="none"/>
                <w:lang w:eastAsia="zh-CN"/>
              </w:rPr>
            </w:pPr>
            <w:r>
              <w:rPr>
                <w:rFonts w:hint="eastAsia" w:hAnsi="宋体"/>
                <w:szCs w:val="21"/>
                <w:highlight w:val="none"/>
                <w:lang w:eastAsia="zh-CN"/>
              </w:rPr>
              <w:t>黑膜沼气池</w:t>
            </w:r>
          </w:p>
        </w:tc>
        <w:tc>
          <w:tcPr>
            <w:tcW w:w="1546" w:type="pct"/>
            <w:tcBorders>
              <w:tl2br w:val="nil"/>
              <w:tr2bl w:val="nil"/>
            </w:tcBorders>
            <w:shd w:val="clear" w:color="auto" w:fill="FFFFFF"/>
            <w:vAlign w:val="center"/>
          </w:tcPr>
          <w:p>
            <w:pPr>
              <w:spacing w:line="240" w:lineRule="auto"/>
              <w:ind w:firstLine="0" w:firstLineChars="0"/>
              <w:jc w:val="center"/>
              <w:rPr>
                <w:rFonts w:hint="eastAsia" w:eastAsia="宋体"/>
                <w:sz w:val="21"/>
                <w:szCs w:val="21"/>
                <w:highlight w:val="none"/>
                <w:lang w:eastAsia="zh-CN"/>
              </w:rPr>
            </w:pPr>
            <w:r>
              <w:rPr>
                <w:rFonts w:hint="eastAsia" w:hAnsi="宋体"/>
                <w:sz w:val="21"/>
                <w:szCs w:val="21"/>
                <w:highlight w:val="none"/>
                <w:lang w:eastAsia="zh-CN"/>
              </w:rPr>
              <w:t>沼气（甲烷）</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4.1</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rPr>
              <w:t>0.</w:t>
            </w:r>
            <w:r>
              <w:rPr>
                <w:rFonts w:hint="eastAsia"/>
                <w:sz w:val="21"/>
                <w:szCs w:val="21"/>
                <w:highlight w:val="none"/>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shd w:val="clear" w:color="auto" w:fill="FFFFFF"/>
            <w:vAlign w:val="center"/>
          </w:tcPr>
          <w:p>
            <w:pPr>
              <w:pStyle w:val="23"/>
              <w:spacing w:after="0" w:line="240" w:lineRule="auto"/>
              <w:ind w:firstLine="0" w:firstLineChars="0"/>
              <w:jc w:val="center"/>
              <w:rPr>
                <w:rFonts w:hint="eastAsia" w:eastAsia="宋体"/>
                <w:szCs w:val="21"/>
                <w:highlight w:val="none"/>
                <w:lang w:val="en-US" w:eastAsia="zh-CN"/>
              </w:rPr>
            </w:pPr>
            <w:r>
              <w:rPr>
                <w:rFonts w:hint="eastAsia"/>
                <w:szCs w:val="21"/>
                <w:highlight w:val="none"/>
                <w:lang w:val="en-US" w:eastAsia="zh-CN"/>
              </w:rPr>
              <w:t>2</w:t>
            </w:r>
          </w:p>
        </w:tc>
        <w:tc>
          <w:tcPr>
            <w:tcW w:w="851" w:type="pct"/>
            <w:tcBorders>
              <w:tl2br w:val="nil"/>
              <w:tr2bl w:val="nil"/>
            </w:tcBorders>
            <w:shd w:val="clear" w:color="auto" w:fill="FFFFFF"/>
            <w:vAlign w:val="center"/>
          </w:tcPr>
          <w:p>
            <w:pPr>
              <w:pStyle w:val="23"/>
              <w:spacing w:after="0" w:line="240" w:lineRule="auto"/>
              <w:ind w:firstLine="0" w:firstLineChars="0"/>
              <w:jc w:val="center"/>
              <w:rPr>
                <w:rFonts w:hint="eastAsia" w:hAnsi="宋体"/>
                <w:szCs w:val="21"/>
                <w:highlight w:val="none"/>
                <w:lang w:eastAsia="zh-CN"/>
              </w:rPr>
            </w:pPr>
            <w:r>
              <w:rPr>
                <w:rFonts w:hint="eastAsia" w:hAnsi="宋体"/>
                <w:szCs w:val="21"/>
                <w:highlight w:val="none"/>
                <w:lang w:eastAsia="zh-CN"/>
              </w:rPr>
              <w:t>LNG储罐</w:t>
            </w:r>
          </w:p>
        </w:tc>
        <w:tc>
          <w:tcPr>
            <w:tcW w:w="1546" w:type="pct"/>
            <w:tcBorders>
              <w:tl2br w:val="nil"/>
              <w:tr2bl w:val="nil"/>
            </w:tcBorders>
            <w:shd w:val="clear" w:color="auto" w:fill="FFFFFF"/>
            <w:vAlign w:val="center"/>
          </w:tcPr>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LNG（甲烷）</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14.1</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shd w:val="clear" w:color="auto" w:fill="FFFFFF"/>
            <w:vAlign w:val="center"/>
          </w:tcPr>
          <w:p>
            <w:pPr>
              <w:pStyle w:val="23"/>
              <w:spacing w:after="0" w:line="240" w:lineRule="auto"/>
              <w:ind w:firstLine="0" w:firstLineChars="0"/>
              <w:jc w:val="center"/>
              <w:rPr>
                <w:rFonts w:hint="default"/>
                <w:szCs w:val="21"/>
                <w:highlight w:val="none"/>
                <w:lang w:val="en-US" w:eastAsia="zh-CN"/>
              </w:rPr>
            </w:pPr>
            <w:r>
              <w:rPr>
                <w:rFonts w:hint="eastAsia"/>
                <w:szCs w:val="21"/>
                <w:highlight w:val="none"/>
                <w:lang w:val="en-US" w:eastAsia="zh-CN"/>
              </w:rPr>
              <w:t>3</w:t>
            </w:r>
          </w:p>
        </w:tc>
        <w:tc>
          <w:tcPr>
            <w:tcW w:w="851" w:type="pct"/>
            <w:tcBorders>
              <w:tl2br w:val="nil"/>
              <w:tr2bl w:val="nil"/>
            </w:tcBorders>
            <w:shd w:val="clear" w:color="auto" w:fill="FFFFFF"/>
            <w:vAlign w:val="center"/>
          </w:tcPr>
          <w:p>
            <w:pPr>
              <w:pStyle w:val="23"/>
              <w:spacing w:after="0" w:line="240" w:lineRule="auto"/>
              <w:ind w:firstLine="0" w:firstLineChars="0"/>
              <w:jc w:val="center"/>
              <w:rPr>
                <w:rFonts w:hint="default" w:hAnsi="宋体"/>
                <w:szCs w:val="21"/>
                <w:highlight w:val="none"/>
                <w:lang w:val="en-US" w:eastAsia="zh-CN"/>
              </w:rPr>
            </w:pPr>
            <w:r>
              <w:rPr>
                <w:rFonts w:hint="eastAsia" w:hAnsi="宋体"/>
                <w:szCs w:val="21"/>
                <w:highlight w:val="none"/>
                <w:lang w:val="en-US" w:eastAsia="zh-CN"/>
              </w:rPr>
              <w:t>收集池</w:t>
            </w:r>
          </w:p>
        </w:tc>
        <w:tc>
          <w:tcPr>
            <w:tcW w:w="1546" w:type="pct"/>
            <w:tcBorders>
              <w:tl2br w:val="nil"/>
              <w:tr2bl w:val="nil"/>
            </w:tcBorders>
            <w:shd w:val="clear" w:color="auto" w:fill="FFFFFF"/>
            <w:vAlign w:val="center"/>
          </w:tcPr>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COD浓度大于</w:t>
            </w:r>
          </w:p>
          <w:p>
            <w:pPr>
              <w:spacing w:line="240" w:lineRule="auto"/>
              <w:ind w:firstLine="0" w:firstLineChars="0"/>
              <w:jc w:val="center"/>
              <w:rPr>
                <w:rFonts w:hint="eastAsia" w:hAnsi="宋体"/>
                <w:sz w:val="21"/>
                <w:szCs w:val="21"/>
                <w:highlight w:val="none"/>
                <w:lang w:eastAsia="zh-CN"/>
              </w:rPr>
            </w:pPr>
            <w:r>
              <w:rPr>
                <w:rFonts w:hint="eastAsia" w:hAnsi="宋体"/>
                <w:sz w:val="21"/>
                <w:szCs w:val="21"/>
                <w:highlight w:val="none"/>
                <w:lang w:eastAsia="zh-CN"/>
              </w:rPr>
              <w:t>10000mg/L的有机废液</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452.6</w:t>
            </w:r>
          </w:p>
        </w:tc>
        <w:tc>
          <w:tcPr>
            <w:tcW w:w="891"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45.2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highlight w:val="none"/>
        </w:rPr>
        <w:t>由上表可知，</w:t>
      </w:r>
      <w:r>
        <w:rPr>
          <w:rFonts w:hint="eastAsia" w:cs="Times New Roman"/>
          <w:sz w:val="24"/>
          <w:szCs w:val="24"/>
          <w:highlight w:val="none"/>
          <w:lang w:eastAsia="zh-CN"/>
        </w:rPr>
        <w:t>危险物质</w:t>
      </w:r>
      <w:r>
        <w:rPr>
          <w:rFonts w:ascii="Times New Roman" w:hAnsi="Times New Roman" w:eastAsia="宋体" w:cs="Times New Roman"/>
          <w:sz w:val="24"/>
          <w:szCs w:val="24"/>
          <w:highlight w:val="none"/>
        </w:rPr>
        <w:t>存储量和临界量的比值Q=</w:t>
      </w:r>
      <w:r>
        <w:rPr>
          <w:rFonts w:hint="eastAsia" w:cs="Times New Roman"/>
          <w:sz w:val="24"/>
          <w:szCs w:val="24"/>
          <w:highlight w:val="none"/>
          <w:lang w:val="en-US" w:eastAsia="zh-CN"/>
        </w:rPr>
        <w:t>47.02</w:t>
      </w:r>
      <w:r>
        <w:rPr>
          <w:rFonts w:hint="eastAsia" w:ascii="宋体" w:hAnsi="宋体" w:cs="宋体"/>
          <w:sz w:val="24"/>
          <w:szCs w:val="24"/>
          <w:highlight w:val="none"/>
          <w:lang w:eastAsia="zh-CN"/>
        </w:rPr>
        <w:t>，</w:t>
      </w:r>
      <w:r>
        <w:rPr>
          <w:rFonts w:hint="eastAsia"/>
          <w:highlight w:val="none"/>
          <w:lang w:val="en-US" w:eastAsia="zh-CN"/>
        </w:rPr>
        <w:t>10≤Q＜100</w:t>
      </w:r>
      <w:r>
        <w:rPr>
          <w:rFonts w:hint="eastAsia" w:ascii="Times New Roman" w:hAnsi="Times New Roman" w:eastAsia="宋体" w:cs="Times New Roman"/>
          <w:sz w:val="24"/>
          <w:szCs w:val="24"/>
          <w:highlight w:val="none"/>
          <w:lang w:val="en-US" w:eastAsia="zh-CN"/>
        </w:rPr>
        <w:t>Q</w:t>
      </w:r>
      <w:r>
        <w:rPr>
          <w:highlight w:val="none"/>
        </w:rPr>
        <w:t>。</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lang w:eastAsia="zh-CN"/>
        </w:rPr>
        <w:t>（</w:t>
      </w:r>
      <w:r>
        <w:rPr>
          <w:rFonts w:hint="eastAsia"/>
          <w:sz w:val="24"/>
          <w:highlight w:val="none"/>
          <w:lang w:val="en-US" w:eastAsia="zh-CN"/>
        </w:rPr>
        <w:t>2</w:t>
      </w:r>
      <w:r>
        <w:rPr>
          <w:rFonts w:hint="eastAsia"/>
          <w:sz w:val="24"/>
          <w:highlight w:val="none"/>
          <w:lang w:eastAsia="zh-CN"/>
        </w:rPr>
        <w:t>）</w:t>
      </w:r>
      <w:r>
        <w:rPr>
          <w:rFonts w:hint="eastAsia"/>
          <w:sz w:val="24"/>
          <w:highlight w:val="none"/>
        </w:rPr>
        <w:t>行业及生产工艺（M）</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sz w:val="24"/>
          <w:highlight w:val="none"/>
        </w:rPr>
      </w:pPr>
      <w:r>
        <w:rPr>
          <w:rFonts w:hint="eastAsia"/>
          <w:sz w:val="24"/>
          <w:highlight w:val="none"/>
        </w:rPr>
        <w:t>根据《建设项目环境风险评价技术导则》（HJ169-2018）附录C具有多套工艺单元的项目，需对每套生产工艺分别评分并求和，行业及生产工艺M划分依据见表4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4</w:t>
      </w:r>
      <w:r>
        <w:rPr>
          <w:rFonts w:hint="eastAsia"/>
          <w:sz w:val="24"/>
          <w:highlight w:val="none"/>
        </w:rPr>
        <w:t>。</w:t>
      </w:r>
    </w:p>
    <w:p>
      <w:pPr>
        <w:pStyle w:val="40"/>
        <w:rPr>
          <w:rFonts w:hint="eastAsia"/>
          <w:highlight w:val="none"/>
        </w:rPr>
      </w:pPr>
      <w:r>
        <w:rPr>
          <w:rFonts w:hint="eastAsia"/>
          <w:highlight w:val="none"/>
        </w:rPr>
        <w:t>表4</w:t>
      </w:r>
      <w:r>
        <w:rPr>
          <w:rFonts w:hint="eastAsia"/>
          <w:highlight w:val="none"/>
          <w:lang w:val="en-US" w:eastAsia="zh-CN"/>
        </w:rPr>
        <w:t>.2</w:t>
      </w:r>
      <w:r>
        <w:rPr>
          <w:rFonts w:hint="eastAsia"/>
          <w:highlight w:val="none"/>
        </w:rPr>
        <w:t>-3</w:t>
      </w:r>
      <w:r>
        <w:rPr>
          <w:rFonts w:hint="eastAsia"/>
          <w:highlight w:val="none"/>
          <w:lang w:val="en-US" w:eastAsia="zh-CN"/>
        </w:rPr>
        <w:t>4</w:t>
      </w:r>
      <w:r>
        <w:rPr>
          <w:rFonts w:hint="eastAsia"/>
          <w:highlight w:val="none"/>
        </w:rPr>
        <w:t xml:space="preserve"> 行业及生产工艺（M）</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6030"/>
        <w:gridCol w:w="1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73"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行业</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评估依据</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73" w:type="pct"/>
            <w:vMerge w:val="restar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石化、化工、医药、轻工、化纤、有色冶炼等</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10/套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3" w:type="pct"/>
            <w:vMerge w:val="continue"/>
            <w:noWrap w:val="0"/>
            <w:vAlign w:val="center"/>
          </w:tcPr>
          <w:p>
            <w:pPr>
              <w:pStyle w:val="23"/>
              <w:spacing w:after="0" w:line="240" w:lineRule="auto"/>
              <w:ind w:firstLine="0" w:firstLineChars="0"/>
              <w:jc w:val="center"/>
              <w:rPr>
                <w:rFonts w:hAnsi="宋体"/>
                <w:b w:val="0"/>
                <w:bCs/>
                <w:szCs w:val="21"/>
                <w:highlight w:val="none"/>
              </w:rPr>
            </w:pP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无机酸制酸工艺、焦化工艺</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5/套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73" w:type="pct"/>
            <w:vMerge w:val="continue"/>
            <w:noWrap w:val="0"/>
            <w:vAlign w:val="center"/>
          </w:tcPr>
          <w:p>
            <w:pPr>
              <w:pStyle w:val="23"/>
              <w:spacing w:after="0" w:line="240" w:lineRule="auto"/>
              <w:ind w:firstLine="0" w:firstLineChars="0"/>
              <w:jc w:val="center"/>
              <w:rPr>
                <w:rFonts w:hAnsi="宋体"/>
                <w:b w:val="0"/>
                <w:bCs/>
                <w:szCs w:val="21"/>
                <w:highlight w:val="none"/>
              </w:rPr>
            </w:pP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其他高温或高压，且涉及危险物质的工艺过程a、危险物质贮存罐区</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5/套（罐区）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管道、</w:t>
            </w:r>
          </w:p>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港口</w:t>
            </w:r>
            <w:r>
              <w:rPr>
                <w:rFonts w:hint="eastAsia" w:hAnsi="宋体"/>
                <w:b w:val="0"/>
                <w:bCs/>
                <w:szCs w:val="21"/>
                <w:highlight w:val="none"/>
                <w:lang w:val="en-US" w:eastAsia="zh-CN"/>
              </w:rPr>
              <w:t>/</w:t>
            </w:r>
            <w:r>
              <w:rPr>
                <w:rFonts w:hAnsi="宋体"/>
                <w:b w:val="0"/>
                <w:bCs/>
                <w:szCs w:val="21"/>
                <w:highlight w:val="none"/>
              </w:rPr>
              <w:t>码头</w:t>
            </w:r>
            <w:r>
              <w:rPr>
                <w:rFonts w:hint="eastAsia" w:hAnsi="宋体"/>
                <w:b w:val="0"/>
                <w:bCs/>
                <w:szCs w:val="21"/>
                <w:highlight w:val="none"/>
              </w:rPr>
              <w:t>等</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涉及危险物质管道运输项目、港口/码头等</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3"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石油天然气</w:t>
            </w:r>
          </w:p>
        </w:tc>
        <w:tc>
          <w:tcPr>
            <w:tcW w:w="3565"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石油、天然气、页岩气开采（含净化），气库（不含加气站的气库），油库（不含加气站的油库）、油气管线b（不含城镇燃气管线）</w:t>
            </w:r>
          </w:p>
        </w:tc>
        <w:tc>
          <w:tcPr>
            <w:tcW w:w="660" w:type="pct"/>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3" w:type="pct"/>
            <w:shd w:val="clear" w:color="auto" w:fill="auto"/>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其他</w:t>
            </w:r>
          </w:p>
        </w:tc>
        <w:tc>
          <w:tcPr>
            <w:tcW w:w="3565" w:type="pct"/>
            <w:shd w:val="clear" w:color="auto" w:fill="auto"/>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涉及危险物质使用、贮存的项目</w:t>
            </w:r>
          </w:p>
        </w:tc>
        <w:tc>
          <w:tcPr>
            <w:tcW w:w="660" w:type="pct"/>
            <w:shd w:val="clear" w:color="auto" w:fill="C3BD96"/>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5000" w:type="pct"/>
            <w:gridSpan w:val="3"/>
            <w:noWrap w:val="0"/>
            <w:vAlign w:val="center"/>
          </w:tcPr>
          <w:p>
            <w:pPr>
              <w:pStyle w:val="23"/>
              <w:spacing w:after="0" w:line="240" w:lineRule="auto"/>
              <w:ind w:firstLine="0" w:firstLineChars="0"/>
              <w:jc w:val="center"/>
              <w:rPr>
                <w:rFonts w:hAnsi="宋体"/>
                <w:b w:val="0"/>
                <w:bCs/>
                <w:szCs w:val="21"/>
                <w:highlight w:val="none"/>
              </w:rPr>
            </w:pPr>
            <w:r>
              <w:rPr>
                <w:rFonts w:hAnsi="宋体"/>
                <w:b w:val="0"/>
                <w:bCs/>
                <w:szCs w:val="21"/>
                <w:highlight w:val="none"/>
              </w:rPr>
              <w:t>a高温指工艺温度</w:t>
            </w:r>
            <w:r>
              <w:rPr>
                <w:rFonts w:hint="eastAsia" w:hAnsi="宋体"/>
                <w:b w:val="0"/>
                <w:bCs/>
                <w:szCs w:val="21"/>
                <w:highlight w:val="none"/>
              </w:rPr>
              <w:t>≥</w:t>
            </w:r>
            <w:r>
              <w:rPr>
                <w:rFonts w:hAnsi="宋体"/>
                <w:b w:val="0"/>
                <w:bCs/>
                <w:szCs w:val="21"/>
                <w:highlight w:val="none"/>
              </w:rPr>
              <w:t>300</w:t>
            </w:r>
            <w:r>
              <w:rPr>
                <w:rFonts w:hint="eastAsia" w:hAnsi="宋体"/>
                <w:b w:val="0"/>
                <w:bCs/>
                <w:szCs w:val="21"/>
                <w:highlight w:val="none"/>
              </w:rPr>
              <w:t>℃</w:t>
            </w:r>
            <w:r>
              <w:rPr>
                <w:rFonts w:hAnsi="宋体"/>
                <w:b w:val="0"/>
                <w:bCs/>
                <w:szCs w:val="21"/>
                <w:highlight w:val="none"/>
              </w:rPr>
              <w:t>，高压指压力容器的设计压力（P）</w:t>
            </w:r>
            <w:r>
              <w:rPr>
                <w:rFonts w:hint="eastAsia" w:hAnsi="宋体"/>
                <w:b w:val="0"/>
                <w:bCs/>
                <w:szCs w:val="21"/>
                <w:highlight w:val="none"/>
              </w:rPr>
              <w:t>≥</w:t>
            </w:r>
            <w:r>
              <w:rPr>
                <w:rFonts w:hAnsi="宋体"/>
                <w:b w:val="0"/>
                <w:bCs/>
                <w:szCs w:val="21"/>
                <w:highlight w:val="none"/>
              </w:rPr>
              <w:t>10.0Mpa；</w:t>
            </w:r>
          </w:p>
          <w:p>
            <w:pPr>
              <w:pStyle w:val="23"/>
              <w:spacing w:after="0" w:line="240" w:lineRule="auto"/>
              <w:ind w:firstLine="0" w:firstLineChars="0"/>
              <w:jc w:val="center"/>
              <w:rPr>
                <w:rFonts w:hAnsi="宋体"/>
                <w:b w:val="0"/>
                <w:bCs/>
                <w:szCs w:val="21"/>
                <w:highlight w:val="none"/>
              </w:rPr>
            </w:pPr>
            <w:r>
              <w:rPr>
                <w:rFonts w:hAnsi="宋体"/>
                <w:b w:val="0"/>
                <w:bCs/>
                <w:szCs w:val="21"/>
                <w:highlight w:val="none"/>
              </w:rPr>
              <w:t>b长输管道运输项目应按站场、管线分段进行评价</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其中：（1）M&gt;20；（2）10</w:t>
      </w:r>
      <w:r>
        <w:rPr>
          <w:sz w:val="24"/>
          <w:highlight w:val="none"/>
        </w:rPr>
        <w:t>&lt;</w:t>
      </w:r>
      <w:r>
        <w:rPr>
          <w:rFonts w:hint="eastAsia"/>
          <w:sz w:val="24"/>
          <w:highlight w:val="none"/>
        </w:rPr>
        <w:t>M≤20；（3）5</w:t>
      </w:r>
      <w:r>
        <w:rPr>
          <w:sz w:val="24"/>
          <w:highlight w:val="none"/>
        </w:rPr>
        <w:t>&lt;</w:t>
      </w:r>
      <w:r>
        <w:rPr>
          <w:rFonts w:hint="eastAsia"/>
          <w:sz w:val="24"/>
          <w:highlight w:val="none"/>
        </w:rPr>
        <w:t>M≤10；（4）M=5，分别以M1、M2、M3和M4表示。</w:t>
      </w:r>
    </w:p>
    <w:p>
      <w:pPr>
        <w:pStyle w:val="2"/>
        <w:keepNext w:val="0"/>
        <w:keepLines w:val="0"/>
        <w:pageBreakBefore w:val="0"/>
        <w:widowControl/>
        <w:kinsoku/>
        <w:wordWrap/>
        <w:overflowPunct/>
        <w:topLinePunct w:val="0"/>
        <w:autoSpaceDN/>
        <w:bidi w:val="0"/>
        <w:adjustRightInd/>
        <w:snapToGrid/>
        <w:spacing w:before="0" w:beforeLines="0" w:after="0" w:afterLines="0"/>
        <w:textAlignment w:val="auto"/>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eastAsia="宋体" w:cstheme="minorBidi"/>
          <w:kern w:val="2"/>
          <w:sz w:val="24"/>
          <w:szCs w:val="24"/>
          <w:highlight w:val="none"/>
          <w:lang w:val="en-US" w:eastAsia="zh-CN" w:bidi="ar-SA"/>
        </w:rPr>
        <w:t>本项目属于“其他”类，主要涉及的危险物质（甲烷、COD浓度大于10000mg/L的有机废液等）的使用、贮存，故M=5，以M4表示。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cstheme="minorBidi"/>
          <w:kern w:val="2"/>
          <w:sz w:val="24"/>
          <w:szCs w:val="24"/>
          <w:highlight w:val="none"/>
          <w:lang w:val="en-US" w:eastAsia="zh-CN" w:bidi="ar-SA"/>
        </w:rPr>
        <w:t>（3）</w:t>
      </w:r>
      <w:r>
        <w:rPr>
          <w:rFonts w:hint="eastAsia"/>
          <w:sz w:val="24"/>
          <w:highlight w:val="none"/>
        </w:rPr>
        <w:t>危险物质及工艺系统危险性（P）分级</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根据危险物质数量与临界量比值（Q）和行业及生产工艺（M），按照下表确定危险物质及工艺系统危险性等级（P），分别以P1、P2、P3、P4表示。</w:t>
      </w:r>
    </w:p>
    <w:p>
      <w:pPr>
        <w:pStyle w:val="40"/>
        <w:rPr>
          <w:rFonts w:hint="eastAsia"/>
          <w:highlight w:val="none"/>
          <w:lang w:val="en-US" w:eastAsia="zh-CN"/>
        </w:rPr>
      </w:pPr>
      <w:r>
        <w:rPr>
          <w:rFonts w:hint="eastAsia"/>
          <w:highlight w:val="none"/>
          <w:lang w:val="en-US" w:eastAsia="zh-CN"/>
        </w:rPr>
        <w:t>表4.2-35 危险物质及工艺系统危险性等级判断（P）</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961"/>
        <w:gridCol w:w="1306"/>
        <w:gridCol w:w="1174"/>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危险物质数量与临界量比值（Q）</w:t>
            </w:r>
          </w:p>
        </w:tc>
        <w:tc>
          <w:tcPr>
            <w:tcW w:w="3240" w:type="pct"/>
            <w:gridSpan w:val="4"/>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continue"/>
            <w:noWrap w:val="0"/>
            <w:vAlign w:val="center"/>
          </w:tcPr>
          <w:p>
            <w:pPr>
              <w:widowControl/>
              <w:spacing w:line="240" w:lineRule="auto"/>
              <w:ind w:firstLine="0" w:firstLineChars="0"/>
              <w:jc w:val="left"/>
              <w:rPr>
                <w:rFonts w:hint="default" w:ascii="Times New Roman" w:hAnsi="Times New Roman" w:cs="Times New Roman"/>
                <w:sz w:val="21"/>
                <w:szCs w:val="21"/>
                <w:highlight w:val="none"/>
              </w:rPr>
            </w:pP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M1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M2</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M3</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Q&gt;100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P1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P1</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10</w:t>
            </w:r>
            <w:r>
              <w:rPr>
                <w:rFonts w:hint="default" w:ascii="Times New Roman" w:hAnsi="Times New Roman" w:cs="Times New Roman"/>
                <w:sz w:val="21"/>
                <w:szCs w:val="21"/>
                <w:highlight w:val="none"/>
              </w:rPr>
              <w:t>≤</w:t>
            </w:r>
            <w:r>
              <w:rPr>
                <w:rFonts w:hint="default" w:ascii="Times New Roman" w:hAnsi="Times New Roman" w:cs="Times New Roman"/>
                <w:bCs/>
                <w:sz w:val="21"/>
                <w:szCs w:val="21"/>
                <w:highlight w:val="none"/>
              </w:rPr>
              <w:t>Q&lt;100</w:t>
            </w:r>
          </w:p>
        </w:tc>
        <w:tc>
          <w:tcPr>
            <w:tcW w:w="11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P1</w:t>
            </w:r>
          </w:p>
        </w:tc>
        <w:tc>
          <w:tcPr>
            <w:tcW w:w="772"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694"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c>
          <w:tcPr>
            <w:tcW w:w="614" w:type="pct"/>
            <w:shd w:val="clear" w:color="auto" w:fill="C4BC96"/>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1≤Q&lt;10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P2</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P3</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P4</w:t>
            </w:r>
          </w:p>
        </w:tc>
      </w:tr>
    </w:tbl>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sz w:val="24"/>
          <w:szCs w:val="22"/>
          <w:highlight w:val="none"/>
        </w:rPr>
      </w:pPr>
      <w:r>
        <w:rPr>
          <w:rFonts w:hint="eastAsia" w:ascii="Calibri" w:hAnsi="Calibri" w:cs="Times New Roman"/>
          <w:sz w:val="24"/>
          <w:szCs w:val="22"/>
          <w:highlight w:val="none"/>
        </w:rPr>
        <w:t>综上，本项目危险物质及工艺系统危险性</w:t>
      </w:r>
      <w:r>
        <w:rPr>
          <w:rFonts w:hint="default" w:ascii="Times New Roman" w:hAnsi="Times New Roman" w:cs="Times New Roman"/>
          <w:sz w:val="24"/>
          <w:szCs w:val="22"/>
          <w:highlight w:val="none"/>
        </w:rPr>
        <w:t>（P）分级为 P4。</w:t>
      </w:r>
    </w:p>
    <w:p>
      <w:pPr>
        <w:keepNext w:val="0"/>
        <w:keepLines w:val="0"/>
        <w:pageBreakBefore w:val="0"/>
        <w:widowControl/>
        <w:numPr>
          <w:ilvl w:val="0"/>
          <w:numId w:val="15"/>
        </w:numPr>
        <w:kinsoku/>
        <w:wordWrap/>
        <w:overflowPunct/>
        <w:topLinePunct w:val="0"/>
        <w:autoSpaceDN/>
        <w:bidi w:val="0"/>
        <w:adjustRightInd/>
        <w:snapToGrid/>
        <w:spacing w:line="360" w:lineRule="auto"/>
        <w:ind w:left="0" w:leftChars="0" w:firstLine="480" w:firstLineChars="200"/>
        <w:textAlignment w:val="auto"/>
        <w:rPr>
          <w:rFonts w:hint="eastAsia"/>
          <w:highlight w:val="none"/>
          <w:lang w:val="en-US" w:eastAsia="zh-CN"/>
        </w:rPr>
      </w:pPr>
      <w:r>
        <w:rPr>
          <w:rFonts w:hint="eastAsia"/>
          <w:highlight w:val="none"/>
          <w:lang w:val="en-US" w:eastAsia="zh-CN"/>
        </w:rPr>
        <w:t>环境敏感程度（E）的分级确定</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sz w:val="24"/>
          <w:highlight w:val="none"/>
        </w:rPr>
      </w:pPr>
      <w:r>
        <w:rPr>
          <w:rFonts w:hint="eastAsia"/>
          <w:sz w:val="24"/>
          <w:highlight w:val="none"/>
        </w:rPr>
        <w:t>按照《建设项目环境风险评价技术导则》（HJ169-2018）附录D，对建设项目各要素环境敏感程度（E）等级进行判断。</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（1）大气环境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依据环境敏感目标环境敏感性及人口密度划分环境风险受体的敏感性，共分为三种类型，E1为环境高度敏感区，E2为环境中度敏感区，E3为环境低度敏感区，分级原则见表4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6</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表4.2-36 大气环境敏感程度分级</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824"/>
        <w:gridCol w:w="6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分级</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大于5万人，或其他需要特殊保护区域；或周边500m范围内人口总数大于1000人；油气、化学品输送管线管段周边200m范围内，每千米管段人口数大于200 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周边5km范围内居住区、医疗卫生、文化教育、科研、行政办公等机构人口总数小于1万人；或周边500m范围内人口总数小于500人；油气、化学品输送管线管段周边200 m范围内，每千米管段人口数小于100人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lang w:eastAsia="zh-CN"/>
              </w:rPr>
            </w:pPr>
            <w:r>
              <w:rPr>
                <w:rFonts w:hint="eastAsia" w:ascii="Times New Roman" w:hAnsi="Times New Roman" w:cs="Times New Roman"/>
                <w:b/>
                <w:bCs/>
                <w:sz w:val="21"/>
                <w:szCs w:val="21"/>
                <w:highlight w:val="none"/>
                <w:lang w:eastAsia="zh-CN"/>
              </w:rPr>
              <w:t>本项目</w:t>
            </w:r>
          </w:p>
        </w:tc>
        <w:tc>
          <w:tcPr>
            <w:tcW w:w="48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E2</w:t>
            </w:r>
          </w:p>
        </w:tc>
        <w:tc>
          <w:tcPr>
            <w:tcW w:w="395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rPr>
            </w:pPr>
            <w:r>
              <w:rPr>
                <w:rFonts w:hint="eastAsia" w:ascii="Times New Roman" w:hAnsi="Times New Roman" w:cs="Times New Roman"/>
                <w:b/>
                <w:bCs/>
                <w:sz w:val="21"/>
                <w:szCs w:val="21"/>
                <w:highlight w:val="none"/>
              </w:rPr>
              <w:t>周边5</w:t>
            </w:r>
            <w:r>
              <w:rPr>
                <w:rFonts w:hint="eastAsia" w:ascii="Times New Roman" w:hAnsi="Times New Roman" w:cs="Times New Roman"/>
                <w:b/>
                <w:bCs/>
                <w:sz w:val="21"/>
                <w:szCs w:val="21"/>
                <w:highlight w:val="none"/>
                <w:lang w:val="en-US" w:eastAsia="zh-CN"/>
              </w:rPr>
              <w:t>k</w:t>
            </w:r>
            <w:r>
              <w:rPr>
                <w:rFonts w:hint="eastAsia" w:ascii="Times New Roman" w:hAnsi="Times New Roman" w:cs="Times New Roman"/>
                <w:b/>
                <w:bCs/>
                <w:sz w:val="21"/>
                <w:szCs w:val="21"/>
                <w:highlight w:val="none"/>
              </w:rPr>
              <w:t>m范围内人口</w:t>
            </w:r>
            <w:r>
              <w:rPr>
                <w:rFonts w:hint="eastAsia" w:ascii="Times New Roman" w:hAnsi="Times New Roman" w:cs="Times New Roman"/>
                <w:b/>
                <w:bCs/>
                <w:sz w:val="21"/>
                <w:szCs w:val="21"/>
                <w:highlight w:val="none"/>
                <w:lang w:eastAsia="zh-CN"/>
              </w:rPr>
              <w:t>总数大于</w:t>
            </w:r>
            <w:r>
              <w:rPr>
                <w:rFonts w:hint="eastAsia" w:ascii="Times New Roman" w:hAnsi="Times New Roman" w:cs="Times New Roman"/>
                <w:b/>
                <w:bCs/>
                <w:sz w:val="21"/>
                <w:szCs w:val="21"/>
                <w:highlight w:val="none"/>
                <w:lang w:val="en-US" w:eastAsia="zh-CN"/>
              </w:rPr>
              <w:t>1万人小于5万人</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sz w:val="24"/>
          <w:highlight w:val="none"/>
        </w:rPr>
      </w:pPr>
      <w:r>
        <w:rPr>
          <w:rFonts w:hint="eastAsia"/>
          <w:sz w:val="24"/>
          <w:highlight w:val="none"/>
        </w:rPr>
        <w:t>根据收集资料及现场调查，拟建设项目周边5</w:t>
      </w:r>
      <w:r>
        <w:rPr>
          <w:rFonts w:hint="eastAsia"/>
          <w:sz w:val="24"/>
          <w:highlight w:val="none"/>
          <w:lang w:val="en-US" w:eastAsia="zh-CN"/>
        </w:rPr>
        <w:t>k</w:t>
      </w:r>
      <w:r>
        <w:rPr>
          <w:rFonts w:hint="eastAsia"/>
          <w:sz w:val="24"/>
          <w:highlight w:val="none"/>
        </w:rPr>
        <w:t>m范围内涉及居住区、医疗卫生、文化教育、科研、行政办公等人口</w:t>
      </w:r>
      <w:r>
        <w:rPr>
          <w:rFonts w:hint="eastAsia"/>
          <w:sz w:val="24"/>
          <w:highlight w:val="none"/>
          <w:lang w:eastAsia="zh-CN"/>
        </w:rPr>
        <w:t>总数大于</w:t>
      </w:r>
      <w:r>
        <w:rPr>
          <w:rFonts w:hint="eastAsia"/>
          <w:sz w:val="24"/>
          <w:highlight w:val="none"/>
          <w:lang w:val="en-US" w:eastAsia="zh-CN"/>
        </w:rPr>
        <w:t>1万人小于5万人</w:t>
      </w:r>
      <w:r>
        <w:rPr>
          <w:rFonts w:hint="eastAsia"/>
          <w:sz w:val="24"/>
          <w:highlight w:val="none"/>
        </w:rPr>
        <w:t>，经对照大气</w:t>
      </w:r>
      <w:r>
        <w:rPr>
          <w:sz w:val="24"/>
          <w:highlight w:val="none"/>
        </w:rPr>
        <w:t>环境敏感程度分级，本项目属于</w:t>
      </w:r>
      <w:r>
        <w:rPr>
          <w:rFonts w:hint="eastAsia"/>
          <w:sz w:val="24"/>
          <w:highlight w:val="none"/>
        </w:rPr>
        <w:t>大气</w:t>
      </w:r>
      <w:r>
        <w:rPr>
          <w:sz w:val="24"/>
          <w:highlight w:val="none"/>
        </w:rPr>
        <w:t>环境敏感程度分级中的E</w:t>
      </w:r>
      <w:r>
        <w:rPr>
          <w:rFonts w:hint="eastAsia"/>
          <w:sz w:val="24"/>
          <w:highlight w:val="none"/>
        </w:rPr>
        <w:t>2（环境中度敏感区）。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（2）地表水环境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依据事故情况下危险物质泄漏到水体的排放点受纳地表水体功能敏感性，与下游环境敏感目标情况，共分为三种类型，E1为环境高度敏感区，E2为环境中度敏感区，E3为环境低度敏感区，分级原则见表4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7</w:t>
      </w:r>
      <w:r>
        <w:rPr>
          <w:rFonts w:hint="eastAsia"/>
          <w:sz w:val="24"/>
          <w:highlight w:val="none"/>
        </w:rPr>
        <w:t>。其中地表水功能敏感性分区和环境敏感目标分级分别见表4</w:t>
      </w:r>
      <w:r>
        <w:rPr>
          <w:rFonts w:hint="eastAsia"/>
          <w:sz w:val="24"/>
          <w:highlight w:val="none"/>
          <w:lang w:val="en-US" w:eastAsia="zh-CN"/>
        </w:rPr>
        <w:t>.2</w:t>
      </w:r>
      <w:r>
        <w:rPr>
          <w:rFonts w:hint="eastAsia"/>
          <w:sz w:val="24"/>
          <w:highlight w:val="none"/>
        </w:rPr>
        <w:t>-3</w:t>
      </w:r>
      <w:r>
        <w:rPr>
          <w:rFonts w:hint="eastAsia"/>
          <w:sz w:val="24"/>
          <w:highlight w:val="none"/>
          <w:lang w:val="en-US" w:eastAsia="zh-CN"/>
        </w:rPr>
        <w:t>8</w:t>
      </w:r>
      <w:r>
        <w:rPr>
          <w:rFonts w:hint="eastAsia"/>
          <w:sz w:val="24"/>
          <w:highlight w:val="none"/>
        </w:rPr>
        <w:t>和表4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39</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表4.2-37 地表水环境敏感程度分级</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环境敏感目标</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bl>
    <w:p>
      <w:pPr>
        <w:pStyle w:val="40"/>
        <w:rPr>
          <w:rFonts w:hint="eastAsia"/>
          <w:highlight w:val="none"/>
          <w:lang w:val="en-US" w:eastAsia="zh-CN"/>
        </w:rPr>
      </w:pPr>
      <w:r>
        <w:rPr>
          <w:rFonts w:hint="eastAsia"/>
          <w:highlight w:val="none"/>
          <w:lang w:val="en-US" w:eastAsia="zh-CN"/>
        </w:rPr>
        <w:t>表4.2-38 地表水功能敏感性分区</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895"/>
        <w:gridCol w:w="5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敏感性</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敏感F1</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排放点进入地表水水域环境功能为</w:t>
            </w:r>
            <w:r>
              <w:rPr>
                <w:rFonts w:hint="eastAsia" w:ascii="Times New Roman" w:hAnsi="Times New Roman" w:cs="Times New Roman"/>
                <w:sz w:val="21"/>
                <w:szCs w:val="21"/>
                <w:highlight w:val="none"/>
              </w:rPr>
              <w:t>Ⅱ</w:t>
            </w:r>
            <w:r>
              <w:rPr>
                <w:rFonts w:hint="default" w:ascii="Times New Roman" w:hAnsi="Times New Roman" w:cs="Times New Roman"/>
                <w:sz w:val="21"/>
                <w:szCs w:val="21"/>
                <w:highlight w:val="none"/>
              </w:rPr>
              <w:t>类及以上，或海水水质分类第一类；</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或以发生事故时，危险物质泄漏到水体的排放点算起，排放进入受纳河流最大流速时，24h流经范围内涉跨国界的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较敏感F2</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排放点进入地表水水域环境功能为</w:t>
            </w:r>
            <w:r>
              <w:rPr>
                <w:rFonts w:hint="eastAsia" w:ascii="Times New Roman" w:hAnsi="Times New Roman" w:cs="Times New Roman"/>
                <w:sz w:val="21"/>
                <w:szCs w:val="21"/>
                <w:highlight w:val="none"/>
              </w:rPr>
              <w:t>Ⅲ</w:t>
            </w:r>
            <w:r>
              <w:rPr>
                <w:rFonts w:hint="default" w:ascii="Times New Roman" w:hAnsi="Times New Roman" w:cs="Times New Roman"/>
                <w:sz w:val="21"/>
                <w:szCs w:val="21"/>
                <w:highlight w:val="none"/>
              </w:rPr>
              <w:t>类，或海水水质分类第二类；</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或以发生事故时，危险物质泄漏到水体的排放点算起，排放进入受纳河流最大流速时，24h流经范围内涉跨省界的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低敏感F3</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eastAsia" w:ascii="Times New Roman" w:hAnsi="Times New Roman" w:eastAsia="宋体" w:cs="Times New Roman"/>
                <w:b/>
                <w:bCs/>
                <w:sz w:val="21"/>
                <w:szCs w:val="21"/>
                <w:highlight w:val="none"/>
                <w:lang w:eastAsia="zh-CN"/>
              </w:rPr>
            </w:pPr>
            <w:r>
              <w:rPr>
                <w:rFonts w:hint="eastAsia" w:cs="Times New Roman"/>
                <w:b/>
                <w:bCs/>
                <w:sz w:val="21"/>
                <w:szCs w:val="21"/>
                <w:highlight w:val="none"/>
                <w:lang w:eastAsia="zh-CN"/>
              </w:rPr>
              <w:t>本项目</w:t>
            </w:r>
          </w:p>
        </w:tc>
        <w:tc>
          <w:tcPr>
            <w:tcW w:w="112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F2</w:t>
            </w:r>
          </w:p>
        </w:tc>
        <w:tc>
          <w:tcPr>
            <w:tcW w:w="304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排放点进入地表水水域环境功能为Ⅲ类</w:t>
            </w:r>
          </w:p>
        </w:tc>
      </w:tr>
    </w:tbl>
    <w:p>
      <w:pPr>
        <w:pStyle w:val="40"/>
        <w:rPr>
          <w:rFonts w:hint="eastAsia"/>
          <w:highlight w:val="none"/>
          <w:lang w:val="en-US" w:eastAsia="zh-CN"/>
        </w:rPr>
      </w:pPr>
      <w:r>
        <w:rPr>
          <w:rFonts w:hint="eastAsia"/>
          <w:highlight w:val="none"/>
          <w:lang w:val="en-US" w:eastAsia="zh-CN"/>
        </w:rPr>
        <w:t>表4.2-39 环境敏感目标分级</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135"/>
        <w:gridCol w:w="5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分级</w:t>
            </w:r>
          </w:p>
        </w:tc>
        <w:tc>
          <w:tcPr>
            <w:tcW w:w="4486"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S1</w:t>
            </w:r>
          </w:p>
        </w:tc>
        <w:tc>
          <w:tcPr>
            <w:tcW w:w="4486"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S2</w:t>
            </w:r>
          </w:p>
        </w:tc>
        <w:tc>
          <w:tcPr>
            <w:tcW w:w="4486"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S3</w:t>
            </w:r>
          </w:p>
        </w:tc>
        <w:tc>
          <w:tcPr>
            <w:tcW w:w="4486"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排放点下游（顺水流向）10 km范围、近岸海域一个潮周期水质点可能达到的最大水平距离的两倍范围内无上述类型1和类型2包括的敏感保护目标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cs="Times New Roman"/>
                <w:b/>
                <w:bCs/>
                <w:sz w:val="21"/>
                <w:szCs w:val="21"/>
                <w:highlight w:val="none"/>
                <w:lang w:eastAsia="zh-CN"/>
              </w:rPr>
              <w:t>本项目</w:t>
            </w:r>
          </w:p>
        </w:tc>
        <w:tc>
          <w:tcPr>
            <w:tcW w:w="126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rPr>
            </w:pPr>
            <w:r>
              <w:rPr>
                <w:rFonts w:hint="default" w:ascii="Times New Roman" w:hAnsi="Times New Roman" w:cs="Times New Roman"/>
                <w:b/>
                <w:bCs/>
                <w:sz w:val="21"/>
                <w:szCs w:val="21"/>
                <w:highlight w:val="none"/>
              </w:rPr>
              <w:t>S1</w:t>
            </w:r>
          </w:p>
        </w:tc>
        <w:tc>
          <w:tcPr>
            <w:tcW w:w="322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sz w:val="21"/>
                <w:szCs w:val="21"/>
                <w:highlight w:val="none"/>
              </w:rPr>
            </w:pPr>
            <w:r>
              <w:rPr>
                <w:rFonts w:hint="eastAsia" w:ascii="Times New Roman" w:hAnsi="Times New Roman" w:cs="Times New Roman"/>
                <w:b/>
                <w:bCs/>
                <w:sz w:val="21"/>
                <w:szCs w:val="21"/>
                <w:highlight w:val="none"/>
              </w:rPr>
              <w:t>排放点下游（顺水流向）10 km范围内</w:t>
            </w:r>
            <w:r>
              <w:rPr>
                <w:rFonts w:hint="eastAsia" w:cs="Times New Roman"/>
                <w:b/>
                <w:bCs/>
                <w:sz w:val="21"/>
                <w:szCs w:val="21"/>
                <w:highlight w:val="none"/>
                <w:lang w:eastAsia="zh-CN"/>
              </w:rPr>
              <w:t>有</w:t>
            </w:r>
            <w:r>
              <w:rPr>
                <w:rFonts w:hint="eastAsia" w:ascii="Times New Roman" w:hAnsi="Times New Roman" w:cs="Times New Roman"/>
                <w:b/>
                <w:bCs/>
                <w:sz w:val="21"/>
                <w:szCs w:val="21"/>
                <w:highlight w:val="none"/>
              </w:rPr>
              <w:t>农村及分散式饮用水水源保护区</w:t>
            </w:r>
          </w:p>
        </w:tc>
      </w:tr>
    </w:tbl>
    <w:p>
      <w:pPr>
        <w:spacing w:line="500" w:lineRule="exact"/>
        <w:ind w:firstLine="480" w:firstLineChars="200"/>
        <w:rPr>
          <w:sz w:val="24"/>
          <w:highlight w:val="none"/>
        </w:rPr>
      </w:pPr>
      <w:r>
        <w:rPr>
          <w:rFonts w:hint="eastAsia"/>
          <w:sz w:val="24"/>
          <w:highlight w:val="none"/>
        </w:rPr>
        <w:t>①拟建设项目废水收集池距离最近河流为</w:t>
      </w:r>
      <w:r>
        <w:rPr>
          <w:rFonts w:ascii="Times New Roman" w:hAnsi="Times New Roman"/>
          <w:bCs/>
          <w:sz w:val="24"/>
          <w:highlight w:val="none"/>
        </w:rPr>
        <w:t>项目</w:t>
      </w:r>
      <w:r>
        <w:rPr>
          <w:rFonts w:hint="eastAsia"/>
          <w:sz w:val="24"/>
          <w:szCs w:val="24"/>
          <w:highlight w:val="none"/>
          <w:lang w:eastAsia="zh-CN"/>
        </w:rPr>
        <w:t>北</w:t>
      </w:r>
      <w:r>
        <w:rPr>
          <w:rFonts w:ascii="Times New Roman" w:hAnsi="Times New Roman"/>
          <w:sz w:val="24"/>
          <w:szCs w:val="24"/>
          <w:highlight w:val="none"/>
        </w:rPr>
        <w:t>侧</w:t>
      </w:r>
      <w:r>
        <w:rPr>
          <w:rFonts w:hint="eastAsia"/>
          <w:sz w:val="24"/>
          <w:szCs w:val="24"/>
          <w:highlight w:val="none"/>
          <w:lang w:val="en-US" w:eastAsia="zh-CN"/>
        </w:rPr>
        <w:t>2850</w:t>
      </w:r>
      <w:r>
        <w:rPr>
          <w:rFonts w:ascii="Times New Roman" w:hAnsi="Times New Roman"/>
          <w:sz w:val="24"/>
          <w:szCs w:val="24"/>
          <w:highlight w:val="none"/>
        </w:rPr>
        <w:t>m的</w:t>
      </w:r>
      <w:r>
        <w:rPr>
          <w:rFonts w:hint="eastAsia" w:ascii="Times New Roman" w:hAnsi="Times New Roman"/>
          <w:sz w:val="24"/>
          <w:szCs w:val="24"/>
          <w:highlight w:val="none"/>
        </w:rPr>
        <w:t>清水河</w:t>
      </w:r>
      <w:r>
        <w:rPr>
          <w:rFonts w:ascii="Times New Roman" w:hAnsi="Times New Roman"/>
          <w:bCs/>
          <w:sz w:val="24"/>
          <w:szCs w:val="24"/>
          <w:highlight w:val="none"/>
        </w:rPr>
        <w:t>，</w:t>
      </w:r>
      <w:r>
        <w:rPr>
          <w:rFonts w:hint="eastAsia"/>
          <w:sz w:val="24"/>
          <w:highlight w:val="none"/>
        </w:rPr>
        <w:t>黄</w:t>
      </w:r>
      <w:r>
        <w:rPr>
          <w:rFonts w:hint="eastAsia" w:ascii="Times New Roman" w:hAnsi="Times New Roman"/>
          <w:sz w:val="24"/>
          <w:szCs w:val="24"/>
          <w:highlight w:val="none"/>
        </w:rPr>
        <w:t>清水河</w:t>
      </w:r>
      <w:r>
        <w:rPr>
          <w:sz w:val="24"/>
          <w:highlight w:val="none"/>
        </w:rPr>
        <w:t>执行《地表水环境质量标准》</w:t>
      </w:r>
      <w:r>
        <w:rPr>
          <w:rFonts w:hint="eastAsia"/>
          <w:sz w:val="24"/>
          <w:highlight w:val="none"/>
          <w:lang w:eastAsia="zh-CN"/>
        </w:rPr>
        <w:t>（</w:t>
      </w:r>
      <w:r>
        <w:rPr>
          <w:sz w:val="24"/>
          <w:highlight w:val="none"/>
        </w:rPr>
        <w:t>GB3838-2002</w:t>
      </w:r>
      <w:r>
        <w:rPr>
          <w:rFonts w:hint="eastAsia"/>
          <w:sz w:val="24"/>
          <w:highlight w:val="none"/>
          <w:lang w:eastAsia="zh-CN"/>
        </w:rPr>
        <w:t>）</w:t>
      </w:r>
      <w:r>
        <w:rPr>
          <w:rFonts w:ascii="Times New Roman" w:hAnsi="Times New Roman"/>
          <w:sz w:val="24"/>
          <w:szCs w:val="24"/>
          <w:highlight w:val="none"/>
          <w:shd w:val="clear" w:color="auto" w:fill="FFFFFF"/>
        </w:rPr>
        <w:t>Ⅲ</w:t>
      </w:r>
      <w:r>
        <w:rPr>
          <w:sz w:val="24"/>
          <w:highlight w:val="none"/>
        </w:rPr>
        <w:t>类标准，根据地表水</w:t>
      </w:r>
      <w:r>
        <w:rPr>
          <w:rFonts w:hint="eastAsia"/>
          <w:sz w:val="24"/>
          <w:highlight w:val="none"/>
        </w:rPr>
        <w:t>环境</w:t>
      </w:r>
      <w:r>
        <w:rPr>
          <w:sz w:val="24"/>
          <w:highlight w:val="none"/>
        </w:rPr>
        <w:t>敏感</w:t>
      </w:r>
      <w:r>
        <w:rPr>
          <w:rFonts w:hint="eastAsia"/>
          <w:sz w:val="24"/>
          <w:highlight w:val="none"/>
        </w:rPr>
        <w:t>程度分级</w:t>
      </w:r>
      <w:r>
        <w:rPr>
          <w:sz w:val="24"/>
          <w:highlight w:val="none"/>
        </w:rPr>
        <w:t>表，属于低敏感F</w:t>
      </w:r>
      <w:r>
        <w:rPr>
          <w:rFonts w:hint="eastAsia"/>
          <w:sz w:val="24"/>
          <w:highlight w:val="none"/>
        </w:rPr>
        <w:t>2</w:t>
      </w:r>
      <w:r>
        <w:rPr>
          <w:sz w:val="24"/>
          <w:highlight w:val="none"/>
        </w:rPr>
        <w:t>。</w:t>
      </w:r>
    </w:p>
    <w:p>
      <w:pPr>
        <w:autoSpaceDE w:val="0"/>
        <w:adjustRightInd w:val="0"/>
        <w:snapToGrid w:val="0"/>
        <w:spacing w:line="480" w:lineRule="exact"/>
        <w:ind w:firstLine="480" w:firstLineChars="200"/>
        <w:rPr>
          <w:rFonts w:hint="eastAsia"/>
          <w:sz w:val="24"/>
          <w:highlight w:val="none"/>
        </w:rPr>
      </w:pPr>
      <w:r>
        <w:rPr>
          <w:rFonts w:hint="eastAsia"/>
          <w:sz w:val="24"/>
          <w:highlight w:val="none"/>
        </w:rPr>
        <w:t>②本项目若发生危险物质泄露事故排放，危险物质泄漏到</w:t>
      </w:r>
      <w:r>
        <w:rPr>
          <w:rFonts w:hint="eastAsia" w:ascii="Times New Roman" w:hAnsi="Times New Roman"/>
          <w:sz w:val="24"/>
          <w:szCs w:val="24"/>
          <w:highlight w:val="none"/>
        </w:rPr>
        <w:t>清水河</w:t>
      </w:r>
      <w:r>
        <w:rPr>
          <w:rFonts w:hint="eastAsia"/>
          <w:sz w:val="24"/>
          <w:highlight w:val="none"/>
        </w:rPr>
        <w:t>的排放点下游10km范围内，存在正阳县铜钟镇地下水井，故本项目属于环境敏感目标分级表中的S</w:t>
      </w:r>
      <w:r>
        <w:rPr>
          <w:rFonts w:hint="eastAsia"/>
          <w:sz w:val="24"/>
          <w:highlight w:val="none"/>
          <w:lang w:val="en-US" w:eastAsia="zh-CN"/>
        </w:rPr>
        <w:t>1</w:t>
      </w:r>
      <w:r>
        <w:rPr>
          <w:rFonts w:hint="eastAsia"/>
          <w:sz w:val="24"/>
          <w:highlight w:val="none"/>
        </w:rPr>
        <w:t>。</w:t>
      </w:r>
    </w:p>
    <w:p>
      <w:pPr>
        <w:autoSpaceDE w:val="0"/>
        <w:adjustRightInd w:val="0"/>
        <w:snapToGrid w:val="0"/>
        <w:spacing w:line="480" w:lineRule="exact"/>
        <w:ind w:firstLine="480" w:firstLineChars="200"/>
        <w:rPr>
          <w:sz w:val="24"/>
          <w:highlight w:val="none"/>
        </w:rPr>
      </w:pPr>
      <w:r>
        <w:rPr>
          <w:rFonts w:hint="eastAsia"/>
          <w:sz w:val="24"/>
          <w:highlight w:val="none"/>
        </w:rPr>
        <w:t>综上，</w:t>
      </w:r>
      <w:r>
        <w:rPr>
          <w:sz w:val="24"/>
          <w:highlight w:val="none"/>
        </w:rPr>
        <w:t>根据地表水环境敏感程度分级，本项目属于地表水环境敏感程度分级中的E</w:t>
      </w:r>
      <w:r>
        <w:rPr>
          <w:rFonts w:hint="eastAsia"/>
          <w:sz w:val="24"/>
          <w:highlight w:val="none"/>
          <w:lang w:val="en-US" w:eastAsia="zh-CN"/>
        </w:rPr>
        <w:t>1</w:t>
      </w:r>
      <w:r>
        <w:rPr>
          <w:rFonts w:hint="eastAsia"/>
          <w:sz w:val="24"/>
          <w:highlight w:val="none"/>
        </w:rPr>
        <w:t>（环境</w:t>
      </w:r>
      <w:r>
        <w:rPr>
          <w:rFonts w:hint="eastAsia"/>
          <w:sz w:val="24"/>
          <w:highlight w:val="none"/>
          <w:lang w:eastAsia="zh-CN"/>
        </w:rPr>
        <w:t>高</w:t>
      </w:r>
      <w:r>
        <w:rPr>
          <w:rFonts w:hint="eastAsia"/>
          <w:sz w:val="24"/>
          <w:highlight w:val="none"/>
        </w:rPr>
        <w:t>度敏感区）。</w:t>
      </w:r>
    </w:p>
    <w:p>
      <w:pPr>
        <w:autoSpaceDE w:val="0"/>
        <w:adjustRightInd w:val="0"/>
        <w:snapToGrid w:val="0"/>
        <w:spacing w:line="480" w:lineRule="exact"/>
        <w:ind w:firstLine="480" w:firstLineChars="200"/>
        <w:rPr>
          <w:sz w:val="24"/>
          <w:highlight w:val="none"/>
        </w:rPr>
      </w:pPr>
      <w:r>
        <w:rPr>
          <w:rFonts w:hint="eastAsia"/>
          <w:sz w:val="24"/>
          <w:highlight w:val="none"/>
        </w:rPr>
        <w:t>（3）地下水环境</w:t>
      </w:r>
    </w:p>
    <w:p>
      <w:pPr>
        <w:autoSpaceDE w:val="0"/>
        <w:adjustRightInd w:val="0"/>
        <w:snapToGrid w:val="0"/>
        <w:spacing w:line="480" w:lineRule="exact"/>
        <w:ind w:firstLine="480" w:firstLineChars="200"/>
        <w:rPr>
          <w:rFonts w:hint="eastAsia"/>
          <w:sz w:val="24"/>
          <w:highlight w:val="none"/>
        </w:rPr>
      </w:pPr>
      <w:r>
        <w:rPr>
          <w:rFonts w:hint="eastAsia"/>
          <w:sz w:val="24"/>
          <w:highlight w:val="none"/>
        </w:rPr>
        <w:t>依据地下水功能敏感性与包气带防污性能，共分为三种类型，E1为环境高度敏感区，E2为环境中度敏感区，E3为环境低度敏感区，分级原则见表4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40</w:t>
      </w:r>
      <w:r>
        <w:rPr>
          <w:rFonts w:hint="eastAsia"/>
          <w:sz w:val="24"/>
          <w:highlight w:val="none"/>
        </w:rPr>
        <w:t>。其中地下水功能敏感性分区和包气带防污性能分级分别见表4</w:t>
      </w:r>
      <w:r>
        <w:rPr>
          <w:rFonts w:hint="eastAsia"/>
          <w:sz w:val="24"/>
          <w:highlight w:val="none"/>
          <w:lang w:val="en-US" w:eastAsia="zh-CN"/>
        </w:rPr>
        <w:t>.2</w:t>
      </w:r>
      <w:r>
        <w:rPr>
          <w:rFonts w:hint="eastAsia"/>
          <w:sz w:val="24"/>
          <w:highlight w:val="none"/>
        </w:rPr>
        <w:t>-4</w:t>
      </w:r>
      <w:r>
        <w:rPr>
          <w:rFonts w:hint="eastAsia"/>
          <w:sz w:val="24"/>
          <w:highlight w:val="none"/>
          <w:lang w:val="en-US" w:eastAsia="zh-CN"/>
        </w:rPr>
        <w:t>1</w:t>
      </w:r>
      <w:r>
        <w:rPr>
          <w:rFonts w:hint="eastAsia"/>
          <w:sz w:val="24"/>
          <w:highlight w:val="none"/>
        </w:rPr>
        <w:t>和表4</w:t>
      </w:r>
      <w:r>
        <w:rPr>
          <w:rFonts w:hint="eastAsia"/>
          <w:sz w:val="24"/>
          <w:highlight w:val="none"/>
          <w:lang w:val="en-US" w:eastAsia="zh-CN"/>
        </w:rPr>
        <w:t>.2</w:t>
      </w:r>
      <w:r>
        <w:rPr>
          <w:rFonts w:hint="eastAsia"/>
          <w:sz w:val="24"/>
          <w:highlight w:val="none"/>
        </w:rPr>
        <w:t>-4</w:t>
      </w:r>
      <w:r>
        <w:rPr>
          <w:rFonts w:hint="eastAsia"/>
          <w:sz w:val="24"/>
          <w:highlight w:val="none"/>
          <w:lang w:val="en-US" w:eastAsia="zh-CN"/>
        </w:rPr>
        <w:t>2</w:t>
      </w:r>
      <w:r>
        <w:rPr>
          <w:rFonts w:hint="eastAsia"/>
          <w:sz w:val="24"/>
          <w:highlight w:val="none"/>
        </w:rPr>
        <w:t>。当同一建设项目涉及两个G分区或D分级及以上时，取相对高值。</w:t>
      </w:r>
    </w:p>
    <w:p>
      <w:pPr>
        <w:pStyle w:val="40"/>
        <w:rPr>
          <w:rFonts w:hint="eastAsia"/>
          <w:highlight w:val="none"/>
          <w:lang w:val="en-US" w:eastAsia="zh-CN"/>
        </w:rPr>
      </w:pPr>
      <w:r>
        <w:rPr>
          <w:rFonts w:hint="eastAsia"/>
          <w:highlight w:val="none"/>
          <w:lang w:val="en-US" w:eastAsia="zh-CN"/>
        </w:rPr>
        <w:t>表4.2-40 地下水环境敏感程度分级</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包气带防污性能</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G</w:t>
            </w:r>
            <w:r>
              <w:rPr>
                <w:rFonts w:hint="default" w:ascii="Times New Roman" w:hAnsi="Times New Roman" w:cs="Times New Roman"/>
                <w:sz w:val="21"/>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D</w:t>
            </w:r>
            <w:r>
              <w:rPr>
                <w:rFonts w:hint="default" w:ascii="Times New Roman" w:hAnsi="Times New Roman" w:cs="Times New Roman"/>
                <w:sz w:val="21"/>
                <w:szCs w:val="21"/>
                <w:highlight w:val="none"/>
              </w:rPr>
              <w:t>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w:t>
            </w:r>
            <w:r>
              <w:rPr>
                <w:rFonts w:hint="eastAsia" w:ascii="Times New Roman" w:hAnsi="Times New Roman" w:cs="Times New Roman"/>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E3</w:t>
            </w:r>
          </w:p>
        </w:tc>
      </w:tr>
    </w:tbl>
    <w:p>
      <w:pPr>
        <w:pStyle w:val="40"/>
        <w:rPr>
          <w:rFonts w:hint="eastAsia"/>
          <w:highlight w:val="none"/>
          <w:lang w:val="en-US" w:eastAsia="zh-CN"/>
        </w:rPr>
      </w:pPr>
      <w:r>
        <w:rPr>
          <w:rFonts w:hint="eastAsia"/>
          <w:highlight w:val="none"/>
          <w:lang w:val="en-US" w:eastAsia="zh-CN"/>
        </w:rPr>
        <w:t>表4.2-41 地下水功能敏感性分区</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7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敏感性</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敏感 G1</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较敏感G2</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不敏感G3</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a “环境敏感区”是指《建设项目环境影响评价分类管理名录》中所界定的涉及地下水的环境敏感区</w:t>
            </w:r>
          </w:p>
        </w:tc>
      </w:tr>
    </w:tbl>
    <w:p>
      <w:pPr>
        <w:pStyle w:val="40"/>
        <w:rPr>
          <w:rFonts w:hint="eastAsia"/>
          <w:highlight w:val="none"/>
          <w:lang w:val="en-US" w:eastAsia="zh-CN"/>
        </w:rPr>
      </w:pPr>
      <w:r>
        <w:rPr>
          <w:rFonts w:hint="eastAsia"/>
          <w:highlight w:val="none"/>
          <w:lang w:val="en-US" w:eastAsia="zh-CN"/>
        </w:rPr>
        <w:t>表4.2-42 包气带防污性能分级</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分级</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D3</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Mb≥1.0m，K≤1.0×10</w:t>
            </w:r>
            <w:r>
              <w:rPr>
                <w:rFonts w:hint="eastAsia" w:ascii="Times New Roman" w:hAnsi="Times New Roman" w:cs="Times New Roman"/>
                <w:sz w:val="21"/>
                <w:szCs w:val="21"/>
                <w:highlight w:val="none"/>
                <w:vertAlign w:val="superscript"/>
              </w:rPr>
              <w:t>-6</w:t>
            </w:r>
            <w:r>
              <w:rPr>
                <w:rFonts w:hint="eastAsia" w:ascii="Times New Roman" w:hAnsi="Times New Roman" w:cs="Times New Roman"/>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D2</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0.5m≤Mb&lt;1.0m，K≤1.0×10</w:t>
            </w:r>
            <w:r>
              <w:rPr>
                <w:rFonts w:hint="eastAsia" w:ascii="Times New Roman" w:hAnsi="Times New Roman" w:cs="Times New Roman"/>
                <w:sz w:val="21"/>
                <w:szCs w:val="21"/>
                <w:highlight w:val="none"/>
                <w:vertAlign w:val="superscript"/>
              </w:rPr>
              <w:t>-6</w:t>
            </w:r>
            <w:r>
              <w:rPr>
                <w:rFonts w:hint="eastAsia" w:ascii="Times New Roman" w:hAnsi="Times New Roman" w:cs="Times New Roman"/>
                <w:sz w:val="21"/>
                <w:szCs w:val="21"/>
                <w:highlight w:val="none"/>
              </w:rPr>
              <w:t xml:space="preserve"> cm/s，且分布连续、稳定</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Mb≥1.0m，1.0×10</w:t>
            </w:r>
            <w:r>
              <w:rPr>
                <w:rFonts w:hint="eastAsia" w:ascii="Times New Roman" w:hAnsi="Times New Roman" w:cs="Times New Roman"/>
                <w:sz w:val="21"/>
                <w:szCs w:val="21"/>
                <w:highlight w:val="none"/>
                <w:vertAlign w:val="superscript"/>
              </w:rPr>
              <w:t xml:space="preserve"> -6</w:t>
            </w:r>
            <w:r>
              <w:rPr>
                <w:rFonts w:hint="eastAsia" w:ascii="Times New Roman" w:hAnsi="Times New Roman" w:cs="Times New Roman"/>
                <w:sz w:val="21"/>
                <w:szCs w:val="21"/>
                <w:highlight w:val="none"/>
              </w:rPr>
              <w:t xml:space="preserve"> cm/s＜K≤1.0×10</w:t>
            </w:r>
            <w:r>
              <w:rPr>
                <w:rFonts w:hint="eastAsia" w:ascii="Times New Roman" w:hAnsi="Times New Roman" w:cs="Times New Roman"/>
                <w:sz w:val="21"/>
                <w:szCs w:val="21"/>
                <w:highlight w:val="none"/>
                <w:vertAlign w:val="superscript"/>
              </w:rPr>
              <w:t>-4</w:t>
            </w:r>
            <w:r>
              <w:rPr>
                <w:rFonts w:hint="eastAsia" w:ascii="Times New Roman" w:hAnsi="Times New Roman" w:cs="Times New Roman"/>
                <w:sz w:val="21"/>
                <w:szCs w:val="21"/>
                <w:highlight w:val="none"/>
              </w:rPr>
              <w:t xml:space="preserve"> 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D1</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岩（土）层不满足上述“D2”和“D3”条件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Mb：岩土层单层厚度；K：渗透系数</w:t>
            </w:r>
          </w:p>
        </w:tc>
      </w:tr>
    </w:tbl>
    <w:p>
      <w:pPr>
        <w:autoSpaceDE w:val="0"/>
        <w:adjustRightInd w:val="0"/>
        <w:snapToGrid w:val="0"/>
        <w:spacing w:line="480" w:lineRule="exact"/>
        <w:ind w:firstLine="480" w:firstLineChars="200"/>
        <w:rPr>
          <w:rFonts w:ascii="Times New Roman" w:hAnsi="Times New Roman"/>
          <w:bCs/>
          <w:sz w:val="24"/>
          <w:szCs w:val="24"/>
          <w:highlight w:val="none"/>
        </w:rPr>
      </w:pPr>
      <w:r>
        <w:rPr>
          <w:rFonts w:hint="eastAsia" w:ascii="Times New Roman" w:hAnsi="Times New Roman"/>
          <w:bCs/>
          <w:sz w:val="24"/>
          <w:szCs w:val="24"/>
          <w:highlight w:val="none"/>
        </w:rPr>
        <w:t>地下水环境敏感性评价范围参照地下水</w:t>
      </w:r>
      <w:r>
        <w:rPr>
          <w:rFonts w:ascii="Times New Roman" w:hAnsi="Times New Roman"/>
          <w:bCs/>
          <w:sz w:val="24"/>
          <w:szCs w:val="24"/>
          <w:highlight w:val="none"/>
        </w:rPr>
        <w:t>评价范围：</w:t>
      </w:r>
      <w:r>
        <w:rPr>
          <w:rFonts w:hint="eastAsia" w:ascii="Times New Roman" w:hAnsi="Times New Roman"/>
          <w:bCs/>
          <w:sz w:val="24"/>
          <w:szCs w:val="24"/>
          <w:highlight w:val="none"/>
        </w:rPr>
        <w:t>项目所在区域≤6km</w:t>
      </w:r>
      <w:r>
        <w:rPr>
          <w:rFonts w:hint="eastAsia" w:ascii="Times New Roman" w:hAnsi="Times New Roman"/>
          <w:bCs/>
          <w:sz w:val="24"/>
          <w:szCs w:val="24"/>
          <w:highlight w:val="none"/>
          <w:vertAlign w:val="superscript"/>
        </w:rPr>
        <w:t>2</w:t>
      </w:r>
      <w:r>
        <w:rPr>
          <w:rFonts w:hint="eastAsia" w:ascii="Times New Roman" w:hAnsi="Times New Roman"/>
          <w:bCs/>
          <w:sz w:val="24"/>
          <w:szCs w:val="24"/>
          <w:highlight w:val="none"/>
        </w:rPr>
        <w:t>的范围</w:t>
      </w:r>
      <w:r>
        <w:rPr>
          <w:rFonts w:ascii="Times New Roman" w:hAnsi="Times New Roman"/>
          <w:bCs/>
          <w:sz w:val="24"/>
          <w:szCs w:val="24"/>
          <w:highlight w:val="none"/>
        </w:rPr>
        <w:t>。</w:t>
      </w:r>
    </w:p>
    <w:p>
      <w:pPr>
        <w:autoSpaceDE w:val="0"/>
        <w:adjustRightInd w:val="0"/>
        <w:snapToGrid w:val="0"/>
        <w:spacing w:line="480" w:lineRule="exact"/>
        <w:ind w:firstLine="480" w:firstLineChars="200"/>
        <w:rPr>
          <w:sz w:val="24"/>
          <w:highlight w:val="none"/>
        </w:rPr>
      </w:pPr>
      <w:r>
        <w:rPr>
          <w:rFonts w:hint="eastAsia"/>
          <w:sz w:val="24"/>
          <w:highlight w:val="none"/>
          <w:lang w:val="en-US" w:eastAsia="zh-CN"/>
        </w:rPr>
        <w:t>a</w:t>
      </w:r>
      <w:r>
        <w:rPr>
          <w:rFonts w:hint="eastAsia"/>
          <w:sz w:val="24"/>
          <w:highlight w:val="none"/>
        </w:rPr>
        <w:t>根据实地调查，本项目厂区</w:t>
      </w:r>
      <w:r>
        <w:rPr>
          <w:rFonts w:ascii="Times New Roman" w:hAnsi="Times New Roman"/>
          <w:bCs/>
          <w:sz w:val="24"/>
          <w:szCs w:val="24"/>
          <w:highlight w:val="none"/>
        </w:rPr>
        <w:t>距离</w:t>
      </w:r>
      <w:r>
        <w:rPr>
          <w:rFonts w:hint="eastAsia"/>
          <w:bCs/>
          <w:sz w:val="24"/>
          <w:szCs w:val="24"/>
          <w:highlight w:val="none"/>
          <w:lang w:eastAsia="zh-CN"/>
        </w:rPr>
        <w:t>铜钟镇</w:t>
      </w:r>
      <w:r>
        <w:rPr>
          <w:rFonts w:ascii="Times New Roman" w:hAnsi="Times New Roman"/>
          <w:bCs/>
          <w:sz w:val="24"/>
          <w:szCs w:val="24"/>
          <w:highlight w:val="none"/>
        </w:rPr>
        <w:t>集中式饮用水水源地一级保护区最近距离约为</w:t>
      </w:r>
      <w:r>
        <w:rPr>
          <w:rFonts w:hint="eastAsia"/>
          <w:bCs/>
          <w:sz w:val="24"/>
          <w:szCs w:val="24"/>
          <w:highlight w:val="none"/>
          <w:lang w:val="en-US" w:eastAsia="zh-CN"/>
        </w:rPr>
        <w:t>1.3</w:t>
      </w:r>
      <w:r>
        <w:rPr>
          <w:rFonts w:hint="eastAsia" w:ascii="Times New Roman" w:hAnsi="Times New Roman"/>
          <w:bCs/>
          <w:sz w:val="24"/>
          <w:szCs w:val="24"/>
          <w:highlight w:val="none"/>
        </w:rPr>
        <w:t>km</w:t>
      </w:r>
      <w:r>
        <w:rPr>
          <w:rFonts w:ascii="Times New Roman" w:hAnsi="Times New Roman"/>
          <w:bCs/>
          <w:sz w:val="24"/>
          <w:szCs w:val="24"/>
          <w:highlight w:val="none"/>
        </w:rPr>
        <w:t>，项目距离最近居民分散饮用水井</w:t>
      </w:r>
      <w:r>
        <w:rPr>
          <w:rFonts w:hint="eastAsia"/>
          <w:bCs/>
          <w:sz w:val="24"/>
          <w:szCs w:val="24"/>
          <w:highlight w:val="none"/>
          <w:lang w:val="en-US" w:eastAsia="zh-CN"/>
        </w:rPr>
        <w:t>250</w:t>
      </w:r>
      <w:r>
        <w:rPr>
          <w:rFonts w:ascii="Times New Roman" w:hAnsi="Times New Roman"/>
          <w:bCs/>
          <w:sz w:val="24"/>
          <w:szCs w:val="24"/>
          <w:highlight w:val="none"/>
        </w:rPr>
        <w:t>m，</w:t>
      </w:r>
      <w:r>
        <w:rPr>
          <w:rFonts w:hint="eastAsia"/>
          <w:sz w:val="24"/>
          <w:highlight w:val="none"/>
        </w:rPr>
        <w:t>分散饮水井未划定水源保护区。项目1km内无饮用水源保护区范围，项目属于未划定准保护区的集中式饮用水水源地保护区以外的补给径流区；本项目周围无国家和地方政府设定的与地下水环境相关的如热水、矿泉水、温泉等其他保护区。因此，本工程属于地下水环境较敏感地区。因此</w:t>
      </w:r>
      <w:r>
        <w:rPr>
          <w:sz w:val="24"/>
          <w:highlight w:val="none"/>
        </w:rPr>
        <w:t>本项目地下水环境敏感性属于</w:t>
      </w:r>
      <w:r>
        <w:rPr>
          <w:rFonts w:hint="eastAsia"/>
          <w:sz w:val="24"/>
          <w:highlight w:val="none"/>
        </w:rPr>
        <w:t>较</w:t>
      </w:r>
      <w:r>
        <w:rPr>
          <w:sz w:val="24"/>
          <w:highlight w:val="none"/>
        </w:rPr>
        <w:t>敏感G</w:t>
      </w:r>
      <w:r>
        <w:rPr>
          <w:rFonts w:hint="eastAsia"/>
          <w:sz w:val="24"/>
          <w:highlight w:val="none"/>
        </w:rPr>
        <w:t>2。</w:t>
      </w:r>
    </w:p>
    <w:p>
      <w:pPr>
        <w:autoSpaceDE w:val="0"/>
        <w:adjustRightInd w:val="0"/>
        <w:snapToGrid w:val="0"/>
        <w:spacing w:line="480" w:lineRule="exact"/>
        <w:ind w:firstLine="480" w:firstLineChars="200"/>
        <w:rPr>
          <w:rFonts w:hint="eastAsia"/>
          <w:sz w:val="24"/>
          <w:highlight w:val="none"/>
        </w:rPr>
      </w:pPr>
      <w:r>
        <w:rPr>
          <w:rFonts w:hint="eastAsia"/>
          <w:sz w:val="24"/>
          <w:highlight w:val="none"/>
          <w:lang w:val="en-US" w:eastAsia="zh-CN"/>
        </w:rPr>
        <w:t>b</w:t>
      </w:r>
      <w:r>
        <w:rPr>
          <w:rFonts w:hint="eastAsia"/>
          <w:sz w:val="24"/>
          <w:highlight w:val="none"/>
        </w:rPr>
        <w:t>据水文地质勘探成果和工程地质勘察结果可知，拟建项目区包气带主要由地层①</w:t>
      </w:r>
      <w:r>
        <w:rPr>
          <w:sz w:val="24"/>
          <w:highlight w:val="none"/>
        </w:rPr>
        <w:t>粉土</w:t>
      </w:r>
      <w:r>
        <w:rPr>
          <w:rFonts w:hint="eastAsia"/>
          <w:sz w:val="24"/>
          <w:highlight w:val="none"/>
        </w:rPr>
        <w:t>层，</w:t>
      </w:r>
      <w:r>
        <w:rPr>
          <w:sz w:val="24"/>
          <w:highlight w:val="none"/>
        </w:rPr>
        <w:t>厚度3.3～5.1m</w:t>
      </w:r>
      <w:r>
        <w:rPr>
          <w:rFonts w:hint="eastAsia"/>
          <w:sz w:val="24"/>
          <w:highlight w:val="none"/>
        </w:rPr>
        <w:t>②</w:t>
      </w:r>
      <w:r>
        <w:rPr>
          <w:sz w:val="24"/>
          <w:highlight w:val="none"/>
        </w:rPr>
        <w:t>粉质粘土</w:t>
      </w:r>
      <w:r>
        <w:rPr>
          <w:rFonts w:hint="eastAsia"/>
          <w:sz w:val="24"/>
          <w:highlight w:val="none"/>
        </w:rPr>
        <w:t>层，厚度</w:t>
      </w:r>
      <w:r>
        <w:rPr>
          <w:sz w:val="24"/>
          <w:highlight w:val="none"/>
        </w:rPr>
        <w:t>2.1～5.9m</w:t>
      </w:r>
      <w:r>
        <w:rPr>
          <w:rFonts w:hint="eastAsia"/>
          <w:sz w:val="24"/>
          <w:highlight w:val="none"/>
        </w:rPr>
        <w:t>③</w:t>
      </w:r>
      <w:r>
        <w:rPr>
          <w:sz w:val="24"/>
          <w:highlight w:val="none"/>
        </w:rPr>
        <w:t>粉砂</w:t>
      </w:r>
      <w:r>
        <w:rPr>
          <w:rFonts w:hint="eastAsia"/>
          <w:sz w:val="24"/>
          <w:highlight w:val="none"/>
        </w:rPr>
        <w:t>层，</w:t>
      </w:r>
      <w:r>
        <w:rPr>
          <w:sz w:val="24"/>
          <w:highlight w:val="none"/>
        </w:rPr>
        <w:t>层厚大于10m</w:t>
      </w:r>
      <w:r>
        <w:rPr>
          <w:rFonts w:hint="eastAsia"/>
          <w:sz w:val="24"/>
          <w:highlight w:val="none"/>
        </w:rPr>
        <w:t>组成。总厚度15.3~21m。根据渗透系数经验值表，渗透系数为</w:t>
      </w:r>
      <w:r>
        <w:rPr>
          <w:sz w:val="24"/>
          <w:highlight w:val="none"/>
        </w:rPr>
        <w:t>5.79×10</w:t>
      </w:r>
      <w:r>
        <w:rPr>
          <w:sz w:val="24"/>
          <w:highlight w:val="none"/>
          <w:vertAlign w:val="superscript"/>
        </w:rPr>
        <w:t>-4</w:t>
      </w:r>
      <w:r>
        <w:rPr>
          <w:sz w:val="24"/>
          <w:highlight w:val="none"/>
        </w:rPr>
        <w:t>～1.16×10</w:t>
      </w:r>
      <w:r>
        <w:rPr>
          <w:sz w:val="24"/>
          <w:highlight w:val="none"/>
          <w:vertAlign w:val="superscript"/>
        </w:rPr>
        <w:t>-3</w:t>
      </w:r>
      <w:r>
        <w:rPr>
          <w:sz w:val="24"/>
          <w:highlight w:val="none"/>
        </w:rPr>
        <w:t>cm/s</w:t>
      </w:r>
      <w:r>
        <w:rPr>
          <w:rFonts w:hint="eastAsia"/>
          <w:sz w:val="24"/>
          <w:highlight w:val="none"/>
        </w:rPr>
        <w:t>。因此，本项目</w:t>
      </w:r>
      <w:r>
        <w:rPr>
          <w:rFonts w:hint="eastAsia"/>
          <w:bCs/>
          <w:sz w:val="24"/>
          <w:highlight w:val="none"/>
        </w:rPr>
        <w:t>包气带防污性能分级为</w:t>
      </w:r>
      <w:r>
        <w:rPr>
          <w:bCs/>
          <w:sz w:val="24"/>
          <w:highlight w:val="none"/>
        </w:rPr>
        <w:t>D1</w:t>
      </w:r>
      <w:r>
        <w:rPr>
          <w:sz w:val="24"/>
          <w:highlight w:val="none"/>
        </w:rPr>
        <w:t>。</w:t>
      </w:r>
    </w:p>
    <w:p>
      <w:pPr>
        <w:autoSpaceDE w:val="0"/>
        <w:adjustRightInd w:val="0"/>
        <w:snapToGrid w:val="0"/>
        <w:spacing w:line="480" w:lineRule="exact"/>
        <w:ind w:firstLine="480" w:firstLineChars="200"/>
        <w:rPr>
          <w:rFonts w:hint="eastAsia"/>
          <w:sz w:val="24"/>
          <w:highlight w:val="none"/>
        </w:rPr>
      </w:pPr>
      <w:r>
        <w:rPr>
          <w:sz w:val="24"/>
          <w:highlight w:val="none"/>
        </w:rPr>
        <w:t xml:space="preserve"> </w:t>
      </w:r>
      <w:r>
        <w:rPr>
          <w:rFonts w:hint="eastAsia"/>
          <w:sz w:val="24"/>
          <w:highlight w:val="none"/>
        </w:rPr>
        <w:t>综上</w:t>
      </w:r>
      <w:r>
        <w:rPr>
          <w:sz w:val="24"/>
          <w:highlight w:val="none"/>
        </w:rPr>
        <w:t>，根据地</w:t>
      </w:r>
      <w:r>
        <w:rPr>
          <w:rFonts w:hint="eastAsia"/>
          <w:sz w:val="24"/>
          <w:highlight w:val="none"/>
        </w:rPr>
        <w:t>下</w:t>
      </w:r>
      <w:r>
        <w:rPr>
          <w:sz w:val="24"/>
          <w:highlight w:val="none"/>
        </w:rPr>
        <w:t>水环境敏感程度分级，本项目属于地</w:t>
      </w:r>
      <w:r>
        <w:rPr>
          <w:rFonts w:hint="eastAsia"/>
          <w:sz w:val="24"/>
          <w:highlight w:val="none"/>
        </w:rPr>
        <w:t>下</w:t>
      </w:r>
      <w:r>
        <w:rPr>
          <w:sz w:val="24"/>
          <w:highlight w:val="none"/>
        </w:rPr>
        <w:t>水环境敏感程度分级中的E</w:t>
      </w:r>
      <w:r>
        <w:rPr>
          <w:rFonts w:hint="eastAsia"/>
          <w:sz w:val="24"/>
          <w:highlight w:val="none"/>
        </w:rPr>
        <w:t>1（环境高度敏感区）。</w:t>
      </w:r>
    </w:p>
    <w:p>
      <w:pPr>
        <w:pStyle w:val="2"/>
        <w:keepNext w:val="0"/>
        <w:keepLines w:val="0"/>
        <w:pageBreakBefore w:val="0"/>
        <w:widowControl/>
        <w:numPr>
          <w:ilvl w:val="0"/>
          <w:numId w:val="15"/>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环境风险潜势判断</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结合以上分析结果，本项目危险物质及工艺系统危险性（P）分级为 P4，本项目大气环境敏感度为E2，地表水环境敏感度为E</w:t>
      </w:r>
      <w:r>
        <w:rPr>
          <w:rFonts w:hint="eastAsia" w:cs="Times New Roman"/>
          <w:sz w:val="24"/>
          <w:szCs w:val="22"/>
          <w:highlight w:val="none"/>
          <w:lang w:val="en-US" w:eastAsia="zh-CN"/>
        </w:rPr>
        <w:t>1</w:t>
      </w:r>
      <w:r>
        <w:rPr>
          <w:rFonts w:ascii="Times New Roman" w:hAnsi="Times New Roman" w:cs="Times New Roman"/>
          <w:sz w:val="24"/>
          <w:szCs w:val="22"/>
          <w:highlight w:val="none"/>
        </w:rPr>
        <w:t>，地下水环境敏感度为E1；根据表4</w:t>
      </w:r>
      <w:r>
        <w:rPr>
          <w:rFonts w:hint="eastAsia" w:cs="Times New Roman"/>
          <w:sz w:val="24"/>
          <w:szCs w:val="22"/>
          <w:highlight w:val="none"/>
          <w:lang w:val="en-US" w:eastAsia="zh-CN"/>
        </w:rPr>
        <w:t>.2</w:t>
      </w:r>
      <w:r>
        <w:rPr>
          <w:rFonts w:ascii="Times New Roman" w:hAnsi="Times New Roman" w:cs="Times New Roman"/>
          <w:sz w:val="24"/>
          <w:szCs w:val="22"/>
          <w:highlight w:val="none"/>
        </w:rPr>
        <w:t>-43建设项目环境风险潜势划分原则，确定本项目大气环境风险潜势为Ⅱ；地表水环境风险潜势为III；地下水环境风险潜势为III；按照建设项目环境风险潜势综合等级取各要素等级的相对较高值，因此本项目环境风险潜势为III。</w:t>
      </w:r>
    </w:p>
    <w:p>
      <w:pPr>
        <w:pStyle w:val="40"/>
        <w:rPr>
          <w:rFonts w:hint="eastAsia"/>
          <w:highlight w:val="none"/>
          <w:lang w:val="en-US" w:eastAsia="zh-CN"/>
        </w:rPr>
      </w:pPr>
      <w:r>
        <w:rPr>
          <w:rFonts w:hint="eastAsia"/>
          <w:highlight w:val="none"/>
          <w:lang w:val="en-US" w:eastAsia="zh-CN"/>
        </w:rPr>
        <w:t>表4.2-43 建设项目环境风险潜势划分</w:t>
      </w:r>
    </w:p>
    <w:tbl>
      <w:tblPr>
        <w:tblStyle w:val="24"/>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18"/>
        <w:gridCol w:w="1666"/>
        <w:gridCol w:w="1528"/>
        <w:gridCol w:w="1804"/>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restart"/>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环境敏感程度</w:t>
            </w:r>
          </w:p>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（E）</w:t>
            </w:r>
          </w:p>
        </w:tc>
        <w:tc>
          <w:tcPr>
            <w:tcW w:w="6622" w:type="dxa"/>
            <w:gridSpan w:val="4"/>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危险物质及工艺系统危害性（P）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continue"/>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rPr>
            </w:pP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极度危害（P1）</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高度危害（P2）</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中度危害（P3）</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环境高度敏感区（E1）</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环境中度敏感区（E2）</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环境低度敏感区（E3）</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Ⅱ</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740" w:type="dxa"/>
            <w:gridSpan w:val="5"/>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注：Ⅳ+为极高环境风险。</w:t>
            </w:r>
          </w:p>
        </w:tc>
      </w:tr>
    </w:tbl>
    <w:p>
      <w:pPr>
        <w:pStyle w:val="8"/>
        <w:ind w:firstLine="482"/>
        <w:rPr>
          <w:rFonts w:hint="eastAsia"/>
          <w:highlight w:val="none"/>
          <w:lang w:val="en-US" w:eastAsia="zh-CN"/>
        </w:rPr>
      </w:pPr>
      <w:r>
        <w:rPr>
          <w:rFonts w:hint="eastAsia"/>
          <w:highlight w:val="none"/>
          <w:lang w:val="en-US" w:eastAsia="zh-CN"/>
        </w:rPr>
        <w:t>4.2.7.2评价等级、评价范围及保护目标</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ascii="Times New Roman" w:hAnsi="Times New Roman" w:eastAsia="宋体" w:cs="Times New Roman"/>
          <w:b w:val="0"/>
          <w:kern w:val="2"/>
          <w:sz w:val="24"/>
          <w:szCs w:val="24"/>
          <w:highlight w:val="none"/>
          <w:lang w:val="en-US" w:eastAsia="zh-CN" w:bidi="ar-SA"/>
        </w:rPr>
      </w:pPr>
      <w:r>
        <w:rPr>
          <w:rFonts w:hint="eastAsia" w:cs="Times New Roman"/>
          <w:b w:val="0"/>
          <w:kern w:val="2"/>
          <w:sz w:val="24"/>
          <w:szCs w:val="24"/>
          <w:highlight w:val="none"/>
          <w:lang w:val="en-US" w:eastAsia="zh-CN" w:bidi="ar-SA"/>
        </w:rPr>
        <w:t>1、</w:t>
      </w:r>
      <w:r>
        <w:rPr>
          <w:rFonts w:hint="eastAsia" w:ascii="Times New Roman" w:hAnsi="Times New Roman" w:eastAsia="宋体" w:cs="Times New Roman"/>
          <w:b w:val="0"/>
          <w:kern w:val="2"/>
          <w:sz w:val="24"/>
          <w:szCs w:val="24"/>
          <w:highlight w:val="none"/>
          <w:lang w:val="en-US" w:eastAsia="zh-CN" w:bidi="ar-SA"/>
        </w:rPr>
        <w:t>评价等级的确定</w:t>
      </w:r>
    </w:p>
    <w:p>
      <w:pPr>
        <w:ind w:firstLine="480"/>
        <w:contextualSpacing/>
        <w:rPr>
          <w:rFonts w:cs="Times New Roman"/>
          <w:highlight w:val="none"/>
        </w:rPr>
      </w:pPr>
      <w:r>
        <w:rPr>
          <w:rFonts w:hint="eastAsia" w:cs="Times New Roman"/>
          <w:highlight w:val="none"/>
        </w:rPr>
        <w:t>根据《建设项目环境风险评价技术导则》（HJ/T169－2018）附录B及附录C，本项目大气环境风险潜势为Ⅱ；地表水环境风险潜势为III；地下水环境风险潜势为III。根据《建设项目环境风险评价技术导则》（HJ169-2018）评价工作等级划分表确定本项目大气环境风险评价等级为三级；地表水环境风险评价等级为</w:t>
      </w:r>
      <w:r>
        <w:rPr>
          <w:rFonts w:hint="eastAsia" w:cs="Times New Roman"/>
          <w:highlight w:val="none"/>
          <w:lang w:eastAsia="zh-CN"/>
        </w:rPr>
        <w:t>二</w:t>
      </w:r>
      <w:r>
        <w:rPr>
          <w:rFonts w:hint="eastAsia" w:cs="Times New Roman"/>
          <w:highlight w:val="none"/>
        </w:rPr>
        <w:t>级；地下水环境风险评价等级为二级。本项目环境风险评价等级为二级评价。</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hint="eastAsia" w:ascii="Times New Roman" w:hAnsi="Times New Roman" w:eastAsia="宋体" w:cs="Times New Roman"/>
          <w:b w:val="0"/>
          <w:kern w:val="2"/>
          <w:sz w:val="24"/>
          <w:szCs w:val="24"/>
          <w:highlight w:val="none"/>
          <w:lang w:val="en-US" w:eastAsia="zh-CN" w:bidi="ar-SA"/>
        </w:rPr>
      </w:pPr>
      <w:r>
        <w:rPr>
          <w:rFonts w:hint="eastAsia" w:cs="Times New Roman"/>
          <w:b w:val="0"/>
          <w:kern w:val="2"/>
          <w:sz w:val="24"/>
          <w:szCs w:val="24"/>
          <w:highlight w:val="none"/>
          <w:lang w:val="en-US" w:eastAsia="zh-CN" w:bidi="ar-SA"/>
        </w:rPr>
        <w:t>2、</w:t>
      </w:r>
      <w:r>
        <w:rPr>
          <w:rFonts w:hint="eastAsia" w:ascii="Times New Roman" w:hAnsi="Times New Roman" w:eastAsia="宋体" w:cs="Times New Roman"/>
          <w:b w:val="0"/>
          <w:kern w:val="2"/>
          <w:sz w:val="24"/>
          <w:szCs w:val="24"/>
          <w:highlight w:val="none"/>
          <w:lang w:val="en-US" w:eastAsia="zh-CN" w:bidi="ar-SA"/>
        </w:rPr>
        <w:t>评价范围及保护目标</w:t>
      </w:r>
    </w:p>
    <w:p>
      <w:pPr>
        <w:pStyle w:val="112"/>
        <w:pageBreakBefore w:val="0"/>
        <w:widowControl/>
        <w:kinsoku/>
        <w:wordWrap/>
        <w:overflowPunct/>
        <w:topLinePunct w:val="0"/>
        <w:autoSpaceDE/>
        <w:autoSpaceDN/>
        <w:bidi w:val="0"/>
        <w:adjustRightInd/>
        <w:snapToGrid/>
        <w:spacing w:line="360" w:lineRule="auto"/>
        <w:ind w:firstLine="480"/>
        <w:textAlignment w:val="auto"/>
        <w:outlineLvl w:val="9"/>
        <w:rPr>
          <w:highlight w:val="none"/>
        </w:rPr>
      </w:pPr>
      <w:r>
        <w:rPr>
          <w:rFonts w:hint="eastAsia"/>
          <w:highlight w:val="none"/>
        </w:rPr>
        <w:t>根据《建设项目环境风险评价技术导则》（HJ169-2018）要求</w:t>
      </w:r>
      <w:r>
        <w:rPr>
          <w:rFonts w:hint="eastAsia"/>
          <w:highlight w:val="none"/>
          <w:lang w:eastAsia="zh-CN"/>
        </w:rPr>
        <w:t>，环境风险评价范围为项目边界周边5km范围。</w:t>
      </w:r>
    </w:p>
    <w:p>
      <w:pPr>
        <w:pStyle w:val="112"/>
        <w:pageBreakBefore w:val="0"/>
        <w:widowControl/>
        <w:kinsoku/>
        <w:wordWrap/>
        <w:overflowPunct/>
        <w:topLinePunct w:val="0"/>
        <w:autoSpaceDE/>
        <w:autoSpaceDN/>
        <w:bidi w:val="0"/>
        <w:adjustRightInd/>
        <w:snapToGrid/>
        <w:spacing w:line="360" w:lineRule="auto"/>
        <w:ind w:firstLine="480"/>
        <w:textAlignment w:val="auto"/>
        <w:outlineLvl w:val="9"/>
        <w:rPr>
          <w:highlight w:val="none"/>
        </w:rPr>
      </w:pPr>
      <w:r>
        <w:rPr>
          <w:highlight w:val="none"/>
        </w:rPr>
        <w:t>评价对项目周围</w:t>
      </w:r>
      <w:r>
        <w:rPr>
          <w:rFonts w:hint="eastAsia"/>
          <w:highlight w:val="none"/>
          <w:lang w:val="en-US" w:eastAsia="zh-CN"/>
        </w:rPr>
        <w:t>5</w:t>
      </w:r>
      <w:r>
        <w:rPr>
          <w:highlight w:val="none"/>
        </w:rPr>
        <w:t>km内居民等环境敏感目标进行了现场调查，具体情况见下表。</w:t>
      </w:r>
    </w:p>
    <w:p>
      <w:pPr>
        <w:pStyle w:val="40"/>
        <w:rPr>
          <w:rFonts w:hint="eastAsia"/>
          <w:highlight w:val="none"/>
          <w:lang w:val="en-US" w:eastAsia="zh-CN"/>
        </w:rPr>
      </w:pPr>
      <w:r>
        <w:rPr>
          <w:rFonts w:hint="eastAsia"/>
          <w:highlight w:val="none"/>
          <w:lang w:val="en-US" w:eastAsia="zh-CN"/>
        </w:rPr>
        <w:t>4.2-44 厂区周围5km范围内环境保护敏感目标表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98"/>
        <w:gridCol w:w="1177"/>
        <w:gridCol w:w="1088"/>
        <w:gridCol w:w="1401"/>
        <w:gridCol w:w="1282"/>
        <w:gridCol w:w="760"/>
        <w:gridCol w:w="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名称</w:t>
            </w:r>
          </w:p>
        </w:tc>
        <w:tc>
          <w:tcPr>
            <w:tcW w:w="1404" w:type="pct"/>
            <w:gridSpan w:val="2"/>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坐标</w:t>
            </w:r>
          </w:p>
        </w:tc>
        <w:tc>
          <w:tcPr>
            <w:tcW w:w="643" w:type="pct"/>
            <w:vMerge w:val="restart"/>
            <w:vAlign w:val="center"/>
          </w:tcPr>
          <w:p>
            <w:pPr>
              <w:pStyle w:val="42"/>
              <w:spacing w:line="240" w:lineRule="auto"/>
              <w:ind w:left="0" w:leftChars="0" w:firstLine="0" w:firstLineChars="0"/>
              <w:jc w:val="center"/>
              <w:rPr>
                <w:kern w:val="2"/>
                <w:highlight w:val="none"/>
              </w:rPr>
            </w:pPr>
            <w:r>
              <w:rPr>
                <w:kern w:val="2"/>
                <w:highlight w:val="none"/>
              </w:rPr>
              <w:t>保护</w:t>
            </w:r>
            <w:r>
              <w:rPr>
                <w:rFonts w:hint="eastAsia"/>
                <w:kern w:val="2"/>
                <w:highlight w:val="none"/>
              </w:rPr>
              <w:t>对象</w:t>
            </w:r>
          </w:p>
        </w:tc>
        <w:tc>
          <w:tcPr>
            <w:tcW w:w="828"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保护内容</w:t>
            </w:r>
          </w:p>
        </w:tc>
        <w:tc>
          <w:tcPr>
            <w:tcW w:w="757"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环境功能区</w:t>
            </w:r>
          </w:p>
        </w:tc>
        <w:tc>
          <w:tcPr>
            <w:tcW w:w="449" w:type="pct"/>
            <w:vMerge w:val="restart"/>
            <w:vAlign w:val="center"/>
          </w:tcPr>
          <w:p>
            <w:pPr>
              <w:pStyle w:val="42"/>
              <w:spacing w:line="240" w:lineRule="auto"/>
              <w:ind w:left="0" w:leftChars="0" w:firstLine="0" w:firstLineChars="0"/>
              <w:jc w:val="center"/>
              <w:rPr>
                <w:kern w:val="2"/>
                <w:highlight w:val="none"/>
              </w:rPr>
            </w:pPr>
            <w:r>
              <w:rPr>
                <w:kern w:val="2"/>
                <w:highlight w:val="none"/>
              </w:rPr>
              <w:t>相对</w:t>
            </w:r>
            <w:r>
              <w:rPr>
                <w:rFonts w:hint="eastAsia"/>
                <w:kern w:val="2"/>
                <w:highlight w:val="none"/>
              </w:rPr>
              <w:t>厂址</w:t>
            </w:r>
            <w:r>
              <w:rPr>
                <w:kern w:val="2"/>
                <w:highlight w:val="none"/>
              </w:rPr>
              <w:t>方位</w:t>
            </w:r>
          </w:p>
        </w:tc>
        <w:tc>
          <w:tcPr>
            <w:tcW w:w="539"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8" w:type="pct"/>
            <w:vMerge w:val="continue"/>
            <w:vAlign w:val="center"/>
          </w:tcPr>
          <w:p>
            <w:pPr>
              <w:pStyle w:val="42"/>
              <w:spacing w:line="240" w:lineRule="auto"/>
              <w:ind w:left="0" w:leftChars="0" w:firstLine="0" w:firstLineChars="0"/>
              <w:jc w:val="center"/>
              <w:rPr>
                <w:highlight w:val="none"/>
              </w:rPr>
            </w:pPr>
          </w:p>
        </w:tc>
        <w:tc>
          <w:tcPr>
            <w:tcW w:w="708"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经度</w:t>
            </w:r>
          </w:p>
        </w:tc>
        <w:tc>
          <w:tcPr>
            <w:tcW w:w="695" w:type="pct"/>
            <w:vAlign w:val="center"/>
          </w:tcPr>
          <w:p>
            <w:pPr>
              <w:pStyle w:val="42"/>
              <w:spacing w:line="240" w:lineRule="auto"/>
              <w:ind w:left="0" w:leftChars="0" w:firstLine="0" w:firstLineChars="0"/>
              <w:jc w:val="center"/>
              <w:rPr>
                <w:rFonts w:hint="eastAsia" w:eastAsia="宋体"/>
                <w:kern w:val="2"/>
                <w:highlight w:val="none"/>
                <w:lang w:eastAsia="zh-CN"/>
              </w:rPr>
            </w:pPr>
            <w:r>
              <w:rPr>
                <w:rFonts w:hint="eastAsia"/>
                <w:kern w:val="2"/>
                <w:highlight w:val="none"/>
                <w:lang w:eastAsia="zh-CN"/>
              </w:rPr>
              <w:t>纬度</w:t>
            </w:r>
          </w:p>
        </w:tc>
        <w:tc>
          <w:tcPr>
            <w:tcW w:w="643" w:type="pct"/>
            <w:vMerge w:val="continue"/>
            <w:vAlign w:val="center"/>
          </w:tcPr>
          <w:p>
            <w:pPr>
              <w:pStyle w:val="42"/>
              <w:spacing w:line="240" w:lineRule="auto"/>
              <w:ind w:left="0" w:leftChars="0" w:firstLine="0" w:firstLineChars="0"/>
              <w:jc w:val="center"/>
              <w:rPr>
                <w:rFonts w:hint="eastAsia"/>
                <w:kern w:val="2"/>
                <w:highlight w:val="none"/>
              </w:rPr>
            </w:pPr>
          </w:p>
        </w:tc>
        <w:tc>
          <w:tcPr>
            <w:tcW w:w="828" w:type="pct"/>
            <w:vMerge w:val="continue"/>
            <w:vAlign w:val="center"/>
          </w:tcPr>
          <w:p>
            <w:pPr>
              <w:pStyle w:val="42"/>
              <w:spacing w:line="240" w:lineRule="auto"/>
              <w:ind w:left="0" w:leftChars="0" w:firstLine="0" w:firstLineChars="0"/>
              <w:jc w:val="center"/>
              <w:rPr>
                <w:rFonts w:hint="eastAsia"/>
                <w:kern w:val="2"/>
                <w:highlight w:val="none"/>
              </w:rPr>
            </w:pP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Merge w:val="continue"/>
            <w:vAlign w:val="center"/>
          </w:tcPr>
          <w:p>
            <w:pPr>
              <w:pStyle w:val="42"/>
              <w:spacing w:line="240" w:lineRule="auto"/>
              <w:ind w:left="0" w:leftChars="0" w:firstLine="0" w:firstLineChars="0"/>
              <w:jc w:val="center"/>
              <w:rPr>
                <w:rFonts w:hint="eastAsia"/>
                <w:kern w:val="2"/>
                <w:highlight w:val="none"/>
              </w:rPr>
            </w:pPr>
          </w:p>
        </w:tc>
        <w:tc>
          <w:tcPr>
            <w:tcW w:w="539" w:type="pct"/>
            <w:vMerge w:val="continue"/>
            <w:vAlign w:val="center"/>
          </w:tcPr>
          <w:p>
            <w:pPr>
              <w:pStyle w:val="42"/>
              <w:spacing w:line="240" w:lineRule="auto"/>
              <w:ind w:left="0" w:leftChars="0" w:firstLine="0" w:firstLineChars="0"/>
              <w:jc w:val="center"/>
              <w:rPr>
                <w:rFonts w:hint="eastAsia"/>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restart"/>
            <w:vAlign w:val="center"/>
          </w:tcPr>
          <w:p>
            <w:pPr>
              <w:pStyle w:val="42"/>
              <w:spacing w:line="240" w:lineRule="auto"/>
              <w:ind w:left="0" w:leftChars="0" w:firstLine="0" w:firstLineChars="0"/>
              <w:jc w:val="center"/>
              <w:rPr>
                <w:kern w:val="2"/>
                <w:highlight w:val="none"/>
              </w:rPr>
            </w:pPr>
            <w:r>
              <w:rPr>
                <w:kern w:val="2"/>
                <w:highlight w:val="none"/>
              </w:rPr>
              <w:t>空气</w:t>
            </w:r>
          </w:p>
          <w:p>
            <w:pPr>
              <w:pStyle w:val="42"/>
              <w:spacing w:line="240" w:lineRule="auto"/>
              <w:ind w:left="0" w:leftChars="0" w:firstLine="0" w:firstLineChars="0"/>
              <w:jc w:val="center"/>
              <w:rPr>
                <w:kern w:val="2"/>
                <w:highlight w:val="none"/>
              </w:rPr>
            </w:pPr>
            <w:r>
              <w:rPr>
                <w:kern w:val="2"/>
                <w:highlight w:val="none"/>
              </w:rPr>
              <w:t>环境</w:t>
            </w: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114.488826</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32.415038</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崔塘村</w:t>
            </w:r>
          </w:p>
        </w:tc>
        <w:tc>
          <w:tcPr>
            <w:tcW w:w="828"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757" w:type="pct"/>
            <w:vMerge w:val="restar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《环境空气质量标准》（GB3095-2012）</w:t>
            </w:r>
          </w:p>
          <w:p>
            <w:pPr>
              <w:pStyle w:val="42"/>
              <w:spacing w:line="240" w:lineRule="auto"/>
              <w:ind w:left="0" w:leftChars="0" w:firstLine="0" w:firstLineChars="0"/>
              <w:jc w:val="center"/>
              <w:rPr>
                <w:rFonts w:hint="eastAsia"/>
                <w:kern w:val="2"/>
                <w:highlight w:val="none"/>
              </w:rPr>
            </w:pPr>
            <w:r>
              <w:rPr>
                <w:rFonts w:hint="eastAsia"/>
                <w:kern w:val="2"/>
                <w:highlight w:val="none"/>
              </w:rPr>
              <w:t>二类功能区</w:t>
            </w: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rFonts w:hint="eastAsia"/>
                <w:kern w:val="2"/>
                <w:highlight w:val="none"/>
              </w:rPr>
            </w:pPr>
          </w:p>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kern w:val="2"/>
                <w:highlight w:val="none"/>
              </w:rPr>
            </w:pPr>
            <w:r>
              <w:rPr>
                <w:rFonts w:hint="eastAsia"/>
                <w:kern w:val="2"/>
                <w:highlight w:val="none"/>
              </w:rPr>
              <w:t>N</w:t>
            </w:r>
          </w:p>
        </w:tc>
        <w:tc>
          <w:tcPr>
            <w:tcW w:w="539" w:type="pct"/>
            <w:vAlign w:val="center"/>
          </w:tcPr>
          <w:p>
            <w:pPr>
              <w:pStyle w:val="42"/>
              <w:spacing w:line="240" w:lineRule="auto"/>
              <w:ind w:left="0" w:leftChars="0" w:firstLine="0" w:firstLineChars="0"/>
              <w:jc w:val="center"/>
              <w:rPr>
                <w:kern w:val="2"/>
                <w:highlight w:val="none"/>
              </w:rPr>
            </w:pPr>
            <w:r>
              <w:rPr>
                <w:rFonts w:hint="eastAsia"/>
                <w:kern w:val="2"/>
                <w:highlight w:val="none"/>
              </w:rPr>
              <w:t>2</w:t>
            </w:r>
            <w:r>
              <w:rPr>
                <w:rFonts w:hint="eastAsia"/>
                <w:kern w:val="2"/>
                <w:highlight w:val="none"/>
                <w:lang w:val="en-US" w:eastAsia="zh-CN"/>
              </w:rPr>
              <w:t>5</w:t>
            </w:r>
            <w:r>
              <w:rPr>
                <w:rFonts w:hint="eastAsia"/>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114.483653</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32.420829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小王庄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w:t>
            </w:r>
            <w:r>
              <w:rPr>
                <w:rFonts w:hint="eastAsia"/>
                <w:kern w:val="2"/>
                <w:highlight w:val="none"/>
                <w:lang w:val="en-US" w:eastAsia="zh-CN"/>
              </w:rPr>
              <w:t>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830m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114.482763</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32.432245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小汤庄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44户，</w:t>
            </w:r>
            <w:r>
              <w:rPr>
                <w:rFonts w:hint="eastAsia"/>
                <w:kern w:val="2"/>
                <w:highlight w:val="none"/>
              </w:rPr>
              <w:t>约</w:t>
            </w:r>
            <w:r>
              <w:rPr>
                <w:rFonts w:hint="eastAsia"/>
                <w:kern w:val="2"/>
                <w:highlight w:val="none"/>
                <w:lang w:val="en-US" w:eastAsia="zh-CN"/>
              </w:rPr>
              <w:t>220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1924m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114.465350</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32.420379</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小张庄</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70户，</w:t>
            </w:r>
            <w:r>
              <w:rPr>
                <w:rFonts w:hint="eastAsia"/>
                <w:kern w:val="2"/>
                <w:highlight w:val="none"/>
              </w:rPr>
              <w:t>约</w:t>
            </w:r>
            <w:r>
              <w:rPr>
                <w:rFonts w:hint="eastAsia"/>
                <w:kern w:val="2"/>
                <w:highlight w:val="none"/>
                <w:lang w:val="en-US" w:eastAsia="zh-CN"/>
              </w:rPr>
              <w:t>350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1522m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114.461938</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32.421430</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大李庄村</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1824m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114.473579</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32.429069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小万庄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1881m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114.474094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32.433146</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大昊庄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2311m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114.481659</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32.411161</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黎刘庄</w:t>
            </w:r>
          </w:p>
        </w:tc>
        <w:tc>
          <w:tcPr>
            <w:tcW w:w="828"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230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114.475694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32.411233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大汪庄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约1</w:t>
            </w:r>
            <w:r>
              <w:rPr>
                <w:rFonts w:hint="eastAsia"/>
                <w:kern w:val="2"/>
                <w:highlight w:val="none"/>
                <w:lang w:val="en-US" w:eastAsia="zh-CN"/>
              </w:rPr>
              <w:t>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818</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114.472046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32.410291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上张庄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10户，</w:t>
            </w:r>
            <w:r>
              <w:rPr>
                <w:rFonts w:hint="eastAsia"/>
                <w:kern w:val="2"/>
                <w:highlight w:val="none"/>
              </w:rPr>
              <w:t>约50人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w:t>
            </w:r>
            <w:r>
              <w:rPr>
                <w:rFonts w:hint="eastAsia"/>
                <w:kern w:val="2"/>
                <w:highlight w:val="none"/>
              </w:rPr>
              <w:t>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114.484234</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32.403625</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东侯庄</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S</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540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114.483857</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32.394914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小马庄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12户，</w:t>
            </w:r>
            <w:r>
              <w:rPr>
                <w:rFonts w:hint="eastAsia"/>
                <w:kern w:val="2"/>
                <w:highlight w:val="none"/>
              </w:rPr>
              <w:t>约</w:t>
            </w:r>
            <w:r>
              <w:rPr>
                <w:rFonts w:hint="eastAsia"/>
                <w:kern w:val="2"/>
                <w:highlight w:val="none"/>
                <w:lang w:val="en-US" w:eastAsia="zh-CN"/>
              </w:rPr>
              <w:t>60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1740m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114.485402</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32.392618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梁庄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14户，</w:t>
            </w:r>
            <w:r>
              <w:rPr>
                <w:rFonts w:hint="eastAsia"/>
                <w:kern w:val="2"/>
                <w:highlight w:val="none"/>
              </w:rPr>
              <w:t>约</w:t>
            </w:r>
            <w:r>
              <w:rPr>
                <w:rFonts w:hint="eastAsia"/>
                <w:kern w:val="2"/>
                <w:highlight w:val="none"/>
                <w:lang w:val="en-US" w:eastAsia="zh-CN"/>
              </w:rPr>
              <w:t>70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2023m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114.479716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32.399785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陶庄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20户，</w:t>
            </w:r>
            <w:r>
              <w:rPr>
                <w:rFonts w:hint="eastAsia"/>
                <w:kern w:val="2"/>
                <w:highlight w:val="none"/>
              </w:rPr>
              <w:t>约</w:t>
            </w:r>
            <w:r>
              <w:rPr>
                <w:rFonts w:hint="eastAsia"/>
                <w:kern w:val="2"/>
                <w:highlight w:val="none"/>
                <w:lang w:val="en-US" w:eastAsia="zh-CN"/>
              </w:rPr>
              <w:t>100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114.460887</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32.412139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汤陈庄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1687m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114.466294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32.404714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冯李庄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1421m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114.460500</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32.403770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王庄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1943m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114.494534</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32.406125</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刘小庄</w:t>
            </w:r>
          </w:p>
        </w:tc>
        <w:tc>
          <w:tcPr>
            <w:tcW w:w="82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居民，</w:t>
            </w:r>
            <w:r>
              <w:rPr>
                <w:rFonts w:hint="eastAsia"/>
                <w:kern w:val="2"/>
                <w:highlight w:val="none"/>
                <w:lang w:val="en-US" w:eastAsia="zh-CN"/>
              </w:rPr>
              <w:t>40户，</w:t>
            </w:r>
            <w:r>
              <w:rPr>
                <w:rFonts w:hint="eastAsia"/>
                <w:kern w:val="2"/>
                <w:highlight w:val="none"/>
              </w:rPr>
              <w:t>约1</w:t>
            </w:r>
            <w:r>
              <w:rPr>
                <w:rFonts w:hint="eastAsia"/>
                <w:kern w:val="2"/>
                <w:highlight w:val="none"/>
                <w:lang w:val="en-US" w:eastAsia="zh-CN"/>
              </w:rPr>
              <w:t>5</w:t>
            </w:r>
            <w:r>
              <w:rPr>
                <w:rFonts w:hint="eastAsia"/>
                <w:kern w:val="2"/>
                <w:highlight w:val="none"/>
              </w:rPr>
              <w:t>0人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rPr>
              <w:t>4</w:t>
            </w:r>
            <w:r>
              <w:rPr>
                <w:rFonts w:hint="eastAsia"/>
                <w:kern w:val="2"/>
                <w:highlight w:val="none"/>
                <w:lang w:val="en-US" w:eastAsia="zh-CN"/>
              </w:rPr>
              <w:t>00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114.498096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32.402538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西刘庄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15户，</w:t>
            </w:r>
            <w:r>
              <w:rPr>
                <w:rFonts w:hint="eastAsia"/>
                <w:kern w:val="2"/>
                <w:highlight w:val="none"/>
              </w:rPr>
              <w:t>约</w:t>
            </w:r>
            <w:r>
              <w:rPr>
                <w:rFonts w:hint="eastAsia"/>
                <w:kern w:val="2"/>
                <w:highlight w:val="none"/>
                <w:lang w:val="en-US" w:eastAsia="zh-CN"/>
              </w:rPr>
              <w:t>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945</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114.496421</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32.404645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小孙庄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30户，</w:t>
            </w:r>
            <w:r>
              <w:rPr>
                <w:rFonts w:hint="eastAsia"/>
                <w:kern w:val="2"/>
                <w:highlight w:val="none"/>
              </w:rPr>
              <w:t>约</w:t>
            </w:r>
            <w:r>
              <w:rPr>
                <w:rFonts w:hint="eastAsia"/>
                <w:kern w:val="2"/>
                <w:highlight w:val="none"/>
                <w:lang w:val="en-US" w:eastAsia="zh-CN"/>
              </w:rPr>
              <w:t>150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1124m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114.491314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32.398894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李杨庄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35户，</w:t>
            </w:r>
            <w:r>
              <w:rPr>
                <w:rFonts w:hint="eastAsia"/>
                <w:kern w:val="2"/>
                <w:highlight w:val="none"/>
              </w:rPr>
              <w:t>约</w:t>
            </w:r>
            <w:r>
              <w:rPr>
                <w:rFonts w:hint="eastAsia"/>
                <w:kern w:val="2"/>
                <w:highlight w:val="none"/>
                <w:lang w:val="en-US" w:eastAsia="zh-CN"/>
              </w:rPr>
              <w:t>175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1496m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114.501259</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32.405127</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北孙庄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23户，</w:t>
            </w:r>
            <w:r>
              <w:rPr>
                <w:rFonts w:hint="eastAsia"/>
                <w:kern w:val="2"/>
                <w:highlight w:val="none"/>
              </w:rPr>
              <w:t>约</w:t>
            </w:r>
            <w:r>
              <w:rPr>
                <w:rFonts w:hint="eastAsia"/>
                <w:kern w:val="2"/>
                <w:highlight w:val="none"/>
                <w:lang w:val="en-US" w:eastAsia="zh-CN"/>
              </w:rPr>
              <w:t>115</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1456m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114.500744</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32.396630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潘刘庄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2064m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114.509585</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32.401651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小李村</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70户，</w:t>
            </w:r>
            <w:r>
              <w:rPr>
                <w:rFonts w:hint="eastAsia"/>
                <w:kern w:val="2"/>
                <w:highlight w:val="none"/>
              </w:rPr>
              <w:t>约</w:t>
            </w:r>
            <w:r>
              <w:rPr>
                <w:rFonts w:hint="eastAsia"/>
                <w:kern w:val="2"/>
                <w:highlight w:val="none"/>
                <w:lang w:val="en-US" w:eastAsia="zh-CN"/>
              </w:rPr>
              <w:t>350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114.469041</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32.391668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柏王村</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50户，</w:t>
            </w:r>
            <w:r>
              <w:rPr>
                <w:rFonts w:hint="eastAsia"/>
                <w:kern w:val="2"/>
                <w:highlight w:val="none"/>
              </w:rPr>
              <w:t>约</w:t>
            </w:r>
            <w:r>
              <w:rPr>
                <w:rFonts w:hint="eastAsia"/>
                <w:kern w:val="2"/>
                <w:highlight w:val="none"/>
                <w:lang w:val="en-US" w:eastAsia="zh-CN"/>
              </w:rPr>
              <w:t>250</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rPr>
              <w:t>S</w:t>
            </w:r>
            <w:r>
              <w:rPr>
                <w:rFonts w:hint="eastAsia"/>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2336m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114.495606</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32.416450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任庄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32户，</w:t>
            </w:r>
            <w:r>
              <w:rPr>
                <w:rFonts w:hint="eastAsia"/>
                <w:kern w:val="2"/>
                <w:highlight w:val="none"/>
              </w:rPr>
              <w:t>约</w:t>
            </w:r>
            <w:r>
              <w:rPr>
                <w:rFonts w:hint="eastAsia"/>
                <w:kern w:val="2"/>
                <w:highlight w:val="none"/>
                <w:lang w:val="en-US" w:eastAsia="zh-CN"/>
              </w:rPr>
              <w:t>128</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427</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114.501399</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32.421902</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铜钟镇</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居民，</w:t>
            </w:r>
            <w:r>
              <w:rPr>
                <w:rFonts w:hint="eastAsia"/>
                <w:kern w:val="2"/>
                <w:highlight w:val="none"/>
                <w:lang w:val="en-US" w:eastAsia="zh-CN"/>
              </w:rPr>
              <w:t>2400户，</w:t>
            </w:r>
            <w:r>
              <w:rPr>
                <w:rFonts w:hint="eastAsia"/>
                <w:kern w:val="2"/>
                <w:highlight w:val="none"/>
              </w:rPr>
              <w:t>约</w:t>
            </w:r>
            <w:r>
              <w:rPr>
                <w:rFonts w:hint="eastAsia"/>
                <w:kern w:val="2"/>
                <w:highlight w:val="none"/>
                <w:lang w:val="en-US" w:eastAsia="zh-CN"/>
              </w:rPr>
              <w:t>1.2万</w:t>
            </w:r>
            <w:r>
              <w:rPr>
                <w:rFonts w:hint="eastAsia"/>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1510m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114.505390</w:t>
            </w:r>
          </w:p>
        </w:tc>
        <w:tc>
          <w:tcPr>
            <w:tcW w:w="695"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rPr>
              <w:t>32.421060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铜钟镇中心小学</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eastAsia="zh-CN"/>
              </w:rPr>
              <w:t>学校，</w:t>
            </w:r>
            <w:r>
              <w:rPr>
                <w:rFonts w:hint="eastAsia"/>
                <w:kern w:val="2"/>
                <w:highlight w:val="none"/>
              </w:rPr>
              <w:t>约</w:t>
            </w:r>
            <w:r>
              <w:rPr>
                <w:rFonts w:hint="eastAsia"/>
                <w:kern w:val="2"/>
                <w:highlight w:val="none"/>
                <w:lang w:val="en-US" w:eastAsia="zh-CN"/>
              </w:rPr>
              <w:t>3000</w:t>
            </w:r>
            <w:r>
              <w:rPr>
                <w:rFonts w:hint="eastAsia"/>
                <w:kern w:val="2"/>
                <w:highlight w:val="none"/>
              </w:rPr>
              <w:t>人</w:t>
            </w:r>
          </w:p>
        </w:tc>
        <w:tc>
          <w:tcPr>
            <w:tcW w:w="757"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kern w:val="2"/>
                <w:sz w:val="21"/>
                <w:szCs w:val="21"/>
                <w:highlight w:val="none"/>
                <w:lang w:val="en-US" w:eastAsia="zh-CN" w:bidi="ar-SA"/>
              </w:rPr>
            </w:pPr>
            <w:r>
              <w:rPr>
                <w:rFonts w:hint="eastAsia"/>
                <w:kern w:val="2"/>
                <w:highlight w:val="none"/>
                <w:lang w:val="en-US" w:eastAsia="zh-CN"/>
              </w:rPr>
              <w:t>1792m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地表水</w:t>
            </w:r>
            <w:r>
              <w:rPr>
                <w:kern w:val="2"/>
                <w:highlight w:val="none"/>
              </w:rPr>
              <w:t>环境</w:t>
            </w:r>
          </w:p>
        </w:tc>
        <w:tc>
          <w:tcPr>
            <w:tcW w:w="70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114.490542</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32.438511</w:t>
            </w:r>
          </w:p>
        </w:tc>
        <w:tc>
          <w:tcPr>
            <w:tcW w:w="643"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清水河</w:t>
            </w:r>
          </w:p>
        </w:tc>
        <w:tc>
          <w:tcPr>
            <w:tcW w:w="828" w:type="pct"/>
            <w:vAlign w:val="center"/>
          </w:tcPr>
          <w:p>
            <w:pPr>
              <w:pStyle w:val="42"/>
              <w:spacing w:line="240" w:lineRule="auto"/>
              <w:ind w:left="0" w:leftChars="0" w:firstLine="0" w:firstLineChars="0"/>
              <w:jc w:val="center"/>
              <w:rPr>
                <w:rFonts w:hint="eastAsia"/>
                <w:kern w:val="2"/>
                <w:highlight w:val="none"/>
              </w:rPr>
            </w:pPr>
            <w:r>
              <w:rPr>
                <w:kern w:val="2"/>
                <w:highlight w:val="none"/>
              </w:rPr>
              <w:t>小河</w:t>
            </w:r>
          </w:p>
        </w:tc>
        <w:tc>
          <w:tcPr>
            <w:tcW w:w="757" w:type="pct"/>
            <w:vAlign w:val="center"/>
          </w:tcPr>
          <w:p>
            <w:pPr>
              <w:pStyle w:val="42"/>
              <w:spacing w:line="240" w:lineRule="auto"/>
              <w:ind w:left="0" w:leftChars="0" w:firstLine="0" w:firstLineChars="0"/>
              <w:jc w:val="center"/>
              <w:rPr>
                <w:kern w:val="2"/>
                <w:highlight w:val="none"/>
              </w:rPr>
            </w:pPr>
            <w:r>
              <w:rPr>
                <w:rFonts w:hint="eastAsia"/>
                <w:kern w:val="2"/>
                <w:highlight w:val="none"/>
              </w:rPr>
              <w:t>《地表水环境质量标准》(GB3838-2002)Ⅲ类功能区</w:t>
            </w: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N</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285</w:t>
            </w:r>
            <w:r>
              <w:rPr>
                <w:rFonts w:hint="eastAsia"/>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rFonts w:hint="eastAsia"/>
                <w:kern w:val="2"/>
                <w:highlight w:val="none"/>
                <w:lang w:eastAsia="zh-CN"/>
              </w:rPr>
            </w:pPr>
            <w:r>
              <w:rPr>
                <w:rFonts w:hint="eastAsia"/>
                <w:kern w:val="2"/>
                <w:highlight w:val="none"/>
                <w:lang w:eastAsia="zh-CN"/>
              </w:rPr>
              <w:t>地下水环境</w:t>
            </w:r>
          </w:p>
        </w:tc>
        <w:tc>
          <w:tcPr>
            <w:tcW w:w="2875" w:type="pct"/>
            <w:gridSpan w:val="4"/>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场区下游村庄地下水、配套沼液消纳地附近村庄地下水</w:t>
            </w:r>
          </w:p>
        </w:tc>
        <w:tc>
          <w:tcPr>
            <w:tcW w:w="757" w:type="pct"/>
            <w:vAlign w:val="center"/>
          </w:tcPr>
          <w:p>
            <w:pPr>
              <w:pStyle w:val="42"/>
              <w:spacing w:line="240" w:lineRule="auto"/>
              <w:ind w:left="0" w:leftChars="0" w:firstLine="0" w:firstLineChars="0"/>
              <w:jc w:val="center"/>
              <w:rPr>
                <w:kern w:val="2"/>
                <w:highlight w:val="none"/>
              </w:rPr>
            </w:pPr>
            <w:r>
              <w:rPr>
                <w:rFonts w:hint="eastAsia"/>
                <w:kern w:val="2"/>
                <w:highlight w:val="none"/>
              </w:rPr>
              <w:t>《地下水质量标准》（GB/T 14848-2017）Ⅲ类功能区</w:t>
            </w: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378" w:type="pct"/>
            <w:vMerge w:val="restart"/>
            <w:vAlign w:val="center"/>
          </w:tcPr>
          <w:p>
            <w:pPr>
              <w:pStyle w:val="42"/>
              <w:spacing w:line="240" w:lineRule="auto"/>
              <w:ind w:left="0" w:leftChars="0" w:firstLine="0" w:firstLineChars="0"/>
              <w:jc w:val="center"/>
              <w:rPr>
                <w:kern w:val="2"/>
                <w:highlight w:val="none"/>
              </w:rPr>
            </w:pPr>
            <w:r>
              <w:rPr>
                <w:kern w:val="2"/>
                <w:highlight w:val="none"/>
              </w:rPr>
              <w:t>声环境</w:t>
            </w: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114.488826</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32.415038</w:t>
            </w:r>
          </w:p>
        </w:tc>
        <w:tc>
          <w:tcPr>
            <w:tcW w:w="643" w:type="pct"/>
            <w:vAlign w:val="center"/>
          </w:tcPr>
          <w:p>
            <w:pPr>
              <w:pStyle w:val="42"/>
              <w:spacing w:line="240" w:lineRule="auto"/>
              <w:ind w:left="0" w:leftChars="0" w:firstLine="0" w:firstLineChars="0"/>
              <w:jc w:val="center"/>
              <w:rPr>
                <w:kern w:val="2"/>
                <w:highlight w:val="none"/>
              </w:rPr>
            </w:pPr>
            <w:r>
              <w:rPr>
                <w:rFonts w:hint="eastAsia"/>
                <w:kern w:val="2"/>
                <w:highlight w:val="none"/>
                <w:lang w:eastAsia="zh-CN"/>
              </w:rPr>
              <w:t>崔塘村</w:t>
            </w:r>
          </w:p>
        </w:tc>
        <w:tc>
          <w:tcPr>
            <w:tcW w:w="828" w:type="pct"/>
            <w:vAlign w:val="center"/>
          </w:tcPr>
          <w:p>
            <w:pPr>
              <w:pStyle w:val="42"/>
              <w:spacing w:line="240" w:lineRule="auto"/>
              <w:ind w:left="0" w:leftChars="0" w:firstLine="0" w:firstLineChars="0"/>
              <w:jc w:val="center"/>
              <w:rPr>
                <w:kern w:val="2"/>
                <w:highlight w:val="none"/>
              </w:rPr>
            </w:pPr>
            <w:r>
              <w:rPr>
                <w:rFonts w:hint="eastAsia"/>
                <w:kern w:val="2"/>
                <w:highlight w:val="none"/>
              </w:rPr>
              <w:t>约</w:t>
            </w:r>
            <w:r>
              <w:rPr>
                <w:rFonts w:hint="eastAsia"/>
                <w:kern w:val="2"/>
                <w:highlight w:val="none"/>
                <w:lang w:val="en-US" w:eastAsia="zh-CN"/>
              </w:rPr>
              <w:t>120</w:t>
            </w:r>
            <w:r>
              <w:rPr>
                <w:rFonts w:hint="eastAsia"/>
                <w:kern w:val="2"/>
                <w:highlight w:val="none"/>
              </w:rPr>
              <w:t>人</w:t>
            </w:r>
          </w:p>
        </w:tc>
        <w:tc>
          <w:tcPr>
            <w:tcW w:w="757" w:type="pct"/>
            <w:vMerge w:val="restart"/>
            <w:vAlign w:val="center"/>
          </w:tcPr>
          <w:p>
            <w:pPr>
              <w:pStyle w:val="42"/>
              <w:spacing w:line="240" w:lineRule="auto"/>
              <w:ind w:left="0" w:leftChars="0" w:firstLine="0" w:firstLineChars="0"/>
              <w:jc w:val="center"/>
              <w:rPr>
                <w:kern w:val="2"/>
                <w:highlight w:val="none"/>
              </w:rPr>
            </w:pPr>
            <w:r>
              <w:rPr>
                <w:rFonts w:hint="eastAsia"/>
                <w:kern w:val="2"/>
                <w:highlight w:val="none"/>
                <w:lang w:val="en-US" w:eastAsia="zh-CN"/>
              </w:rPr>
              <w:t>《声环境质量标准》（GB3096-2008）2</w:t>
            </w:r>
            <w:r>
              <w:rPr>
                <w:kern w:val="2"/>
                <w:highlight w:val="none"/>
              </w:rPr>
              <w:t>类</w:t>
            </w:r>
            <w:r>
              <w:rPr>
                <w:rFonts w:hint="eastAsia"/>
                <w:kern w:val="2"/>
                <w:highlight w:val="none"/>
              </w:rPr>
              <w:t>功能区</w:t>
            </w:r>
          </w:p>
        </w:tc>
        <w:tc>
          <w:tcPr>
            <w:tcW w:w="449" w:type="pct"/>
            <w:vAlign w:val="center"/>
          </w:tcPr>
          <w:p>
            <w:pPr>
              <w:pStyle w:val="42"/>
              <w:spacing w:line="240" w:lineRule="auto"/>
              <w:ind w:left="0" w:leftChars="0" w:firstLine="0" w:firstLineChars="0"/>
              <w:jc w:val="center"/>
              <w:rPr>
                <w:kern w:val="2"/>
                <w:highlight w:val="none"/>
              </w:rPr>
            </w:pPr>
            <w:r>
              <w:rPr>
                <w:rFonts w:hint="eastAsia"/>
                <w:kern w:val="2"/>
                <w:highlight w:val="none"/>
              </w:rPr>
              <w:t>N</w:t>
            </w:r>
          </w:p>
        </w:tc>
        <w:tc>
          <w:tcPr>
            <w:tcW w:w="539" w:type="pct"/>
            <w:vAlign w:val="center"/>
          </w:tcPr>
          <w:p>
            <w:pPr>
              <w:pStyle w:val="42"/>
              <w:spacing w:line="240" w:lineRule="auto"/>
              <w:ind w:left="0" w:leftChars="0" w:firstLine="0" w:firstLineChars="0"/>
              <w:jc w:val="center"/>
              <w:rPr>
                <w:kern w:val="2"/>
                <w:highlight w:val="none"/>
              </w:rPr>
            </w:pPr>
            <w:r>
              <w:rPr>
                <w:rFonts w:hint="eastAsia"/>
                <w:kern w:val="2"/>
                <w:highlight w:val="none"/>
              </w:rPr>
              <w:t>2</w:t>
            </w:r>
            <w:r>
              <w:rPr>
                <w:rFonts w:hint="eastAsia"/>
                <w:kern w:val="2"/>
                <w:highlight w:val="none"/>
                <w:lang w:val="en-US" w:eastAsia="zh-CN"/>
              </w:rPr>
              <w:t>5</w:t>
            </w:r>
            <w:r>
              <w:rPr>
                <w:rFonts w:hint="eastAsia"/>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kern w:val="2"/>
                <w:highlight w:val="none"/>
              </w:rPr>
            </w:pPr>
          </w:p>
        </w:tc>
        <w:tc>
          <w:tcPr>
            <w:tcW w:w="708" w:type="pct"/>
            <w:vAlign w:val="center"/>
          </w:tcPr>
          <w:p>
            <w:pPr>
              <w:pStyle w:val="42"/>
              <w:spacing w:line="240" w:lineRule="auto"/>
              <w:ind w:left="0" w:leftChars="0" w:firstLine="0" w:firstLineChars="0"/>
              <w:jc w:val="center"/>
              <w:rPr>
                <w:kern w:val="2"/>
                <w:highlight w:val="none"/>
              </w:rPr>
            </w:pPr>
            <w:r>
              <w:rPr>
                <w:rFonts w:hint="eastAsia"/>
                <w:kern w:val="2"/>
                <w:highlight w:val="none"/>
              </w:rPr>
              <w:t>114.481659</w:t>
            </w:r>
          </w:p>
        </w:tc>
        <w:tc>
          <w:tcPr>
            <w:tcW w:w="695"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32.411161</w:t>
            </w:r>
          </w:p>
        </w:tc>
        <w:tc>
          <w:tcPr>
            <w:tcW w:w="643"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eastAsia="zh-CN"/>
              </w:rPr>
              <w:t>黎刘庄</w:t>
            </w:r>
          </w:p>
        </w:tc>
        <w:tc>
          <w:tcPr>
            <w:tcW w:w="828"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约100人</w:t>
            </w:r>
          </w:p>
        </w:tc>
        <w:tc>
          <w:tcPr>
            <w:tcW w:w="757" w:type="pct"/>
            <w:vMerge w:val="continue"/>
            <w:vAlign w:val="center"/>
          </w:tcPr>
          <w:p>
            <w:pPr>
              <w:pStyle w:val="42"/>
              <w:spacing w:line="240" w:lineRule="auto"/>
              <w:ind w:left="0" w:leftChars="0" w:firstLine="0" w:firstLineChars="0"/>
              <w:jc w:val="center"/>
              <w:rPr>
                <w:rFonts w:hint="eastAsia"/>
                <w:kern w:val="2"/>
                <w:highlight w:val="none"/>
              </w:rPr>
            </w:pPr>
          </w:p>
        </w:tc>
        <w:tc>
          <w:tcPr>
            <w:tcW w:w="44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lang w:val="en-US" w:eastAsia="zh-CN"/>
              </w:rPr>
              <w:t>230</w:t>
            </w:r>
            <w:r>
              <w:rPr>
                <w:rFonts w:hint="eastAsia"/>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rFonts w:hint="default"/>
                <w:kern w:val="2"/>
                <w:highlight w:val="none"/>
                <w:lang w:val="en-US" w:eastAsia="zh-CN"/>
              </w:rPr>
            </w:pPr>
            <w:r>
              <w:rPr>
                <w:rFonts w:hint="eastAsia"/>
                <w:kern w:val="2"/>
                <w:highlight w:val="none"/>
                <w:lang w:val="en-US" w:eastAsia="zh-CN"/>
              </w:rPr>
              <w:t>土壤</w:t>
            </w:r>
          </w:p>
        </w:tc>
        <w:tc>
          <w:tcPr>
            <w:tcW w:w="2875" w:type="pct"/>
            <w:gridSpan w:val="4"/>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配套沼液消纳地附近土壤环境</w:t>
            </w:r>
          </w:p>
        </w:tc>
        <w:tc>
          <w:tcPr>
            <w:tcW w:w="757" w:type="pct"/>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《土壤环境质量农用地土壤污染风险管控标准》（GB15618-2018）</w:t>
            </w:r>
          </w:p>
        </w:tc>
        <w:tc>
          <w:tcPr>
            <w:tcW w:w="44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c>
          <w:tcPr>
            <w:tcW w:w="539" w:type="pct"/>
            <w:vAlign w:val="center"/>
          </w:tcPr>
          <w:p>
            <w:pPr>
              <w:pStyle w:val="42"/>
              <w:spacing w:line="240" w:lineRule="auto"/>
              <w:ind w:left="0" w:leftChars="0" w:firstLine="0" w:firstLineChars="0"/>
              <w:jc w:val="center"/>
              <w:rPr>
                <w:rFonts w:hint="eastAsia"/>
                <w:kern w:val="2"/>
                <w:highlight w:val="none"/>
                <w:lang w:val="en-US" w:eastAsia="zh-CN"/>
              </w:rPr>
            </w:pPr>
            <w:r>
              <w:rPr>
                <w:rFonts w:hint="eastAsia"/>
                <w:kern w:val="2"/>
                <w:highlight w:val="none"/>
                <w:lang w:val="en-US" w:eastAsia="zh-CN"/>
              </w:rPr>
              <w:t>/</w:t>
            </w:r>
          </w:p>
        </w:tc>
      </w:tr>
    </w:tbl>
    <w:p>
      <w:pPr>
        <w:pStyle w:val="8"/>
        <w:ind w:firstLine="482"/>
        <w:rPr>
          <w:rFonts w:hint="eastAsia"/>
          <w:highlight w:val="none"/>
          <w:lang w:val="en-US" w:eastAsia="zh-CN"/>
        </w:rPr>
      </w:pPr>
      <w:r>
        <w:rPr>
          <w:rFonts w:hint="eastAsia"/>
          <w:highlight w:val="none"/>
          <w:lang w:val="en-US" w:eastAsia="zh-CN"/>
        </w:rPr>
        <w:t>4.2.7.3风险事故情形设定</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sz w:val="24"/>
          <w:szCs w:val="22"/>
          <w:highlight w:val="none"/>
        </w:rPr>
      </w:pPr>
      <w:r>
        <w:rPr>
          <w:rFonts w:hint="eastAsia" w:ascii="Calibri" w:hAnsi="Calibri" w:cs="Times New Roman"/>
          <w:sz w:val="24"/>
          <w:szCs w:val="22"/>
          <w:highlight w:val="none"/>
        </w:rPr>
        <w:t>（1）事故类型分析</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Calibri" w:hAnsi="Calibri" w:cs="Times New Roman"/>
          <w:sz w:val="24"/>
          <w:szCs w:val="22"/>
          <w:highlight w:val="none"/>
        </w:rPr>
      </w:pPr>
      <w:r>
        <w:rPr>
          <w:rFonts w:hint="eastAsia" w:ascii="Calibri" w:hAnsi="Calibri" w:cs="Times New Roman"/>
          <w:sz w:val="24"/>
          <w:szCs w:val="22"/>
          <w:highlight w:val="none"/>
        </w:rPr>
        <w:t>不同事故其引发因素、伤害机制、危害时间及空间尺度上有很大区别，并相互作用和影响。沼气事故案例统计详见</w:t>
      </w:r>
      <w:r>
        <w:rPr>
          <w:rFonts w:hint="default" w:ascii="Times New Roman" w:hAnsi="Times New Roman" w:cs="Times New Roman"/>
          <w:sz w:val="24"/>
          <w:szCs w:val="22"/>
          <w:highlight w:val="none"/>
        </w:rPr>
        <w:t>表4</w:t>
      </w:r>
      <w:r>
        <w:rPr>
          <w:rFonts w:hint="default"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rPr>
        <w:t>-</w:t>
      </w:r>
      <w:r>
        <w:rPr>
          <w:rFonts w:hint="default" w:ascii="Times New Roman" w:hAnsi="Times New Roman" w:cs="Times New Roman"/>
          <w:sz w:val="24"/>
          <w:szCs w:val="22"/>
          <w:highlight w:val="none"/>
          <w:lang w:val="en-US" w:eastAsia="zh-CN"/>
        </w:rPr>
        <w:t>4</w:t>
      </w:r>
      <w:r>
        <w:rPr>
          <w:rFonts w:hint="eastAsia" w:ascii="Times New Roman" w:hAnsi="Times New Roman" w:cs="Times New Roman"/>
          <w:sz w:val="24"/>
          <w:szCs w:val="22"/>
          <w:highlight w:val="none"/>
          <w:lang w:val="en-US" w:eastAsia="zh-CN"/>
        </w:rPr>
        <w:t>5</w:t>
      </w:r>
      <w:r>
        <w:rPr>
          <w:rFonts w:hint="default" w:ascii="Times New Roman" w:hAnsi="Times New Roman" w:cs="Times New Roman"/>
          <w:sz w:val="24"/>
          <w:szCs w:val="22"/>
          <w:highlight w:val="none"/>
        </w:rPr>
        <w:t>。</w:t>
      </w:r>
    </w:p>
    <w:p>
      <w:pPr>
        <w:pStyle w:val="40"/>
        <w:rPr>
          <w:rFonts w:hint="eastAsia"/>
          <w:highlight w:val="none"/>
          <w:lang w:val="en-US" w:eastAsia="zh-CN"/>
        </w:rPr>
      </w:pPr>
      <w:r>
        <w:rPr>
          <w:rFonts w:hint="eastAsia"/>
          <w:highlight w:val="none"/>
          <w:lang w:val="en-US" w:eastAsia="zh-CN"/>
        </w:rPr>
        <w:t>表4.2-45 沼气典型事故案例</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3"/>
        <w:gridCol w:w="1024"/>
        <w:gridCol w:w="4589"/>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序号</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时间</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事故经过</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1</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2004.6.26</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甘肃高崖金城水泥有限公司自营工程队 3 位民工在清理高崖生活福利区化粪池和下水主管道时，不幸</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因沼气中毒身亡</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49"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2006.5.7</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且末县供排水公司11名工作人员在检修且末县客运站至且末县玉石商贸城排水管沟时，1名职工下井作业长时间无回应，供排水公司随即组织井上 6名职工陆续下井营救，营救过程中，因井下沼气浓度过高，造成6人死亡，1人受伤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32"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3</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2009.6.24</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银川市西夏区海珑药业公司2名工人在没有 任何防护措施的情况下到污水井进行疏通作业，导致沼气中毒，随后被距离事故现场10m处的3名厂保安发现，教人心切的3名也在没有任何保护措施的情况下 员缺乏防范意识井救人，结果也中毒晕倒在井底。最终导致3人死亡，1人重伤，1人轻伤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4</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2011.8.31</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北京通州区沸县镇北提寺村东一养殖基地发生沼</w:t>
            </w:r>
          </w:p>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气中毒事故，5名中毒人员医治无效死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1"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5</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2014.7.29</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厦门一名男子下污水井清理污泥时，因沼气中毒晕倒，三名同伴接连下井救人，只有一人因戴着防毒面具成功逃离，最终三人死亡，一人受伤送医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sz w:val="21"/>
                <w:szCs w:val="21"/>
                <w:highlight w:val="none"/>
                <w:lang w:val="en-US" w:eastAsia="en-US"/>
              </w:rPr>
            </w:pPr>
            <w:r>
              <w:rPr>
                <w:rFonts w:hint="eastAsia" w:ascii="Times New Roman" w:hAnsi="Times New Roman" w:cs="Times New Roman"/>
                <w:sz w:val="21"/>
                <w:szCs w:val="21"/>
                <w:highlight w:val="none"/>
                <w:lang w:val="en-US" w:eastAsia="en-US"/>
              </w:rPr>
              <w:t>沼气具有隐蔽性和工作人员缺乏防范意识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Calibri" w:hAnsi="Calibri" w:cs="Times New Roman"/>
          <w:sz w:val="24"/>
          <w:szCs w:val="22"/>
          <w:highlight w:val="none"/>
        </w:rPr>
      </w:pPr>
      <w:r>
        <w:rPr>
          <w:rFonts w:ascii="Calibri" w:hAnsi="Calibri" w:cs="Times New Roman"/>
          <w:sz w:val="24"/>
          <w:szCs w:val="22"/>
          <w:highlight w:val="none"/>
        </w:rPr>
        <w:t>由上表可以看出，沼气发生的事故多为中毒事件，主要原因是由于人们对沼气缺乏足够的认识和重视，作业时没有采取相应的防范措施，违反操作规程造成事故的发生。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cs="Times New Roman"/>
          <w:b/>
          <w:bCs/>
          <w:sz w:val="24"/>
          <w:szCs w:val="22"/>
          <w:highlight w:val="none"/>
        </w:rPr>
      </w:pPr>
      <w:r>
        <w:rPr>
          <w:rFonts w:hint="eastAsia" w:ascii="Calibri" w:hAnsi="Calibri" w:cs="Times New Roman"/>
          <w:sz w:val="24"/>
          <w:szCs w:val="22"/>
          <w:highlight w:val="none"/>
        </w:rPr>
        <w:t>储罐及管道事故统计</w:t>
      </w:r>
      <w:r>
        <w:rPr>
          <w:rFonts w:hint="default" w:ascii="Times New Roman" w:hAnsi="Times New Roman" w:cs="Times New Roman"/>
          <w:sz w:val="24"/>
          <w:szCs w:val="22"/>
          <w:highlight w:val="none"/>
        </w:rPr>
        <w:t>分析见表4</w:t>
      </w:r>
      <w:r>
        <w:rPr>
          <w:rFonts w:hint="default"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rPr>
        <w:t>-</w:t>
      </w:r>
      <w:r>
        <w:rPr>
          <w:rFonts w:hint="default" w:ascii="Times New Roman" w:hAnsi="Times New Roman" w:cs="Times New Roman"/>
          <w:sz w:val="24"/>
          <w:szCs w:val="22"/>
          <w:highlight w:val="none"/>
          <w:lang w:val="en-US" w:eastAsia="zh-CN"/>
        </w:rPr>
        <w:t>4</w:t>
      </w:r>
      <w:r>
        <w:rPr>
          <w:rFonts w:hint="eastAsia" w:ascii="Times New Roman" w:hAnsi="Times New Roman" w:cs="Times New Roman"/>
          <w:sz w:val="24"/>
          <w:szCs w:val="22"/>
          <w:highlight w:val="none"/>
          <w:lang w:val="en-US" w:eastAsia="zh-CN"/>
        </w:rPr>
        <w:t>6</w:t>
      </w:r>
      <w:r>
        <w:rPr>
          <w:rFonts w:hint="default" w:ascii="Times New Roman" w:hAnsi="Times New Roman" w:cs="Times New Roman"/>
          <w:sz w:val="24"/>
          <w:szCs w:val="22"/>
          <w:highlight w:val="none"/>
        </w:rPr>
        <w:t>。</w:t>
      </w:r>
    </w:p>
    <w:p>
      <w:pPr>
        <w:pStyle w:val="40"/>
        <w:rPr>
          <w:rFonts w:hint="eastAsia"/>
          <w:highlight w:val="none"/>
          <w:lang w:val="en-US" w:eastAsia="zh-CN"/>
        </w:rPr>
      </w:pPr>
      <w:r>
        <w:rPr>
          <w:rFonts w:hint="eastAsia"/>
          <w:highlight w:val="none"/>
          <w:lang w:val="en-US" w:eastAsia="zh-CN"/>
        </w:rPr>
        <w:t>表 4.2-46 储罐管道事故统计分析一览表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77"/>
        <w:gridCol w:w="1371"/>
        <w:gridCol w:w="2110"/>
        <w:gridCol w:w="1306"/>
        <w:gridCol w:w="2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设备类型</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事故类型</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重大事故次数</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统计范围</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主要事故原因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储罐</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152</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违章作业、操作失误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管道</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33</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材料缺陷、腐蚀</w:t>
            </w:r>
          </w:p>
        </w:tc>
      </w:tr>
    </w:tbl>
    <w:p>
      <w:pPr>
        <w:widowControl w:val="0"/>
        <w:adjustRightInd w:val="0"/>
        <w:snapToGrid w:val="0"/>
        <w:spacing w:line="480" w:lineRule="exact"/>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根据 1949-1982年我国化工生产事故统计，出事故概率较大的为储罐泄漏，管道事故次之。</w:t>
      </w:r>
    </w:p>
    <w:p>
      <w:pPr>
        <w:widowControl w:val="0"/>
        <w:adjustRightInd w:val="0"/>
        <w:snapToGrid w:val="0"/>
        <w:spacing w:line="480" w:lineRule="exact"/>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本项目收集池设置于场区内部，采用钢筋混凝土结构，为半地上式。收集池周边地面进行硬化处理，收集池底层采用基础防渗层+混凝土硬化措施，项目收集池发生泄漏及可被发现，收集池液体大面积泄漏的可能性极小。</w:t>
      </w:r>
    </w:p>
    <w:p>
      <w:pPr>
        <w:ind w:firstLine="480"/>
        <w:rPr>
          <w:highlight w:val="none"/>
        </w:rPr>
      </w:pPr>
      <w:r>
        <w:rPr>
          <w:rFonts w:hint="eastAsia"/>
          <w:highlight w:val="none"/>
        </w:rPr>
        <w:t>（2）本项目最大可信事故</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最大可信事故是指在所有预测概率不为零的事散中，对环境(或健康)危害最严重的重大事故。项目收集池位于厂区内部，同外界有场墙间隔，同最近河流距离为</w:t>
      </w:r>
      <w:r>
        <w:rPr>
          <w:rFonts w:hint="eastAsia"/>
          <w:sz w:val="24"/>
          <w:highlight w:val="none"/>
          <w:lang w:val="en-US" w:eastAsia="zh-CN"/>
        </w:rPr>
        <w:t>2850</w:t>
      </w:r>
      <w:r>
        <w:rPr>
          <w:rFonts w:hint="eastAsia"/>
          <w:sz w:val="24"/>
          <w:highlight w:val="none"/>
        </w:rPr>
        <w:t>m，距离较远，泄漏进入河流的可能性较小。同时项目收集池内粪污水每天均需要进行清空，故如存在池底及池壁防渗层破裂，泄漏污染地下水的可能行也较小。综合确定本项目最大可信事故设定为沼气池沼气泄漏及收集池泄漏，引发环境事件。最大可信环境风险事故设定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47</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表4.2-47 项目最大可信事故设定表</w:t>
      </w:r>
    </w:p>
    <w:tbl>
      <w:tblPr>
        <w:tblStyle w:val="24"/>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3"/>
        <w:gridCol w:w="1280"/>
        <w:gridCol w:w="1416"/>
        <w:gridCol w:w="1559"/>
        <w:gridCol w:w="3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序号</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装置单元</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设备</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风险因子</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最大可信事故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1</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污水处理设施</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沼气池</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甲烷</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阀门或者输送管道破裂、气体泄漏，造成环境空气污染，引发中毒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污水处理设施</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收集池</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高浓度废水</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池体破裂、输送管道破损产生泄漏，造成地表水、地下水和土壤污染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713"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3</w:t>
            </w:r>
          </w:p>
        </w:tc>
        <w:tc>
          <w:tcPr>
            <w:tcW w:w="1280"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lang w:eastAsia="zh-CN"/>
              </w:rPr>
            </w:pPr>
            <w:r>
              <w:rPr>
                <w:rFonts w:hint="eastAsia" w:ascii="Times New Roman" w:hAnsi="Times New Roman" w:cs="Times New Roman"/>
                <w:kern w:val="0"/>
                <w:sz w:val="21"/>
                <w:szCs w:val="21"/>
                <w:highlight w:val="none"/>
                <w:lang w:eastAsia="zh-CN"/>
              </w:rPr>
              <w:t>饲料加工区</w:t>
            </w:r>
          </w:p>
        </w:tc>
        <w:tc>
          <w:tcPr>
            <w:tcW w:w="1416" w:type="dxa"/>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LNG储罐</w:t>
            </w:r>
          </w:p>
        </w:tc>
        <w:tc>
          <w:tcPr>
            <w:tcW w:w="1559"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lang w:eastAsia="zh-CN"/>
              </w:rPr>
            </w:pPr>
            <w:r>
              <w:rPr>
                <w:rFonts w:hint="eastAsia" w:cs="Times New Roman"/>
                <w:kern w:val="0"/>
                <w:sz w:val="21"/>
                <w:szCs w:val="21"/>
                <w:highlight w:val="none"/>
                <w:lang w:eastAsia="zh-CN"/>
              </w:rPr>
              <w:t>液化气</w:t>
            </w:r>
          </w:p>
        </w:tc>
        <w:tc>
          <w:tcPr>
            <w:tcW w:w="3772" w:type="dxa"/>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kern w:val="0"/>
                <w:sz w:val="21"/>
                <w:szCs w:val="21"/>
                <w:highlight w:val="none"/>
                <w:lang w:eastAsia="zh-CN"/>
              </w:rPr>
            </w:pPr>
            <w:r>
              <w:rPr>
                <w:rFonts w:hint="eastAsia" w:ascii="Times New Roman" w:hAnsi="Times New Roman" w:cs="Times New Roman"/>
                <w:kern w:val="0"/>
                <w:sz w:val="21"/>
                <w:szCs w:val="21"/>
                <w:highlight w:val="none"/>
              </w:rPr>
              <w:t>阀门或者输送管道破裂、气体泄漏，引发</w:t>
            </w:r>
            <w:r>
              <w:rPr>
                <w:rFonts w:hint="eastAsia" w:ascii="Times New Roman" w:hAnsi="Times New Roman" w:cs="Times New Roman"/>
                <w:kern w:val="0"/>
                <w:sz w:val="21"/>
                <w:szCs w:val="21"/>
                <w:highlight w:val="none"/>
                <w:lang w:eastAsia="zh-CN"/>
              </w:rPr>
              <w:t>人员窒息；遇明火燃烧、爆炸，对环境空气造成污染</w:t>
            </w:r>
          </w:p>
        </w:tc>
      </w:tr>
    </w:tbl>
    <w:p>
      <w:pPr>
        <w:adjustRightInd w:val="0"/>
        <w:snapToGrid w:val="0"/>
        <w:spacing w:line="480" w:lineRule="exact"/>
        <w:ind w:firstLine="480" w:firstLineChars="200"/>
        <w:rPr>
          <w:rFonts w:hint="eastAsia"/>
          <w:sz w:val="24"/>
          <w:highlight w:val="none"/>
        </w:rPr>
      </w:pPr>
      <w:r>
        <w:rPr>
          <w:rFonts w:hint="eastAsia"/>
          <w:sz w:val="24"/>
          <w:highlight w:val="none"/>
        </w:rPr>
        <w:t>根据《建设项目环境风险评价导则》（HJ169-2018）附录E。危险源定量风险评价的泄漏概率详见表4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48</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表4.2-48 泄漏频率表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21"/>
        <w:gridCol w:w="3085"/>
        <w:gridCol w:w="2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部件类型</w:t>
            </w:r>
          </w:p>
        </w:tc>
        <w:tc>
          <w:tcPr>
            <w:tcW w:w="1864" w:type="pct"/>
            <w:noWrap w:val="0"/>
            <w:vAlign w:val="center"/>
          </w:tcPr>
          <w:p>
            <w:pPr>
              <w:autoSpaceDE w:val="0"/>
              <w:autoSpaceDN w:val="0"/>
              <w:adjustRightInd w:val="0"/>
              <w:snapToGrid w:val="0"/>
              <w:spacing w:line="280" w:lineRule="exact"/>
              <w:jc w:val="center"/>
              <w:rPr>
                <w:rFonts w:ascii="Times New Roman" w:hAnsi="Times New Roman"/>
                <w:b/>
                <w:kern w:val="0"/>
                <w:sz w:val="21"/>
                <w:szCs w:val="21"/>
                <w:highlight w:val="none"/>
              </w:rPr>
            </w:pPr>
            <w:r>
              <w:rPr>
                <w:rFonts w:ascii="Times New Roman" w:hAnsi="Times New Roman"/>
                <w:kern w:val="0"/>
                <w:sz w:val="21"/>
                <w:szCs w:val="21"/>
                <w:highlight w:val="none"/>
              </w:rPr>
              <w:t>泄漏模式</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泄漏频率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restar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反应器/工艺储罐/气体储罐/塔器</w:t>
            </w: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泄漏孔径为10mm孔径</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1×10</w:t>
            </w:r>
            <w:r>
              <w:rPr>
                <w:rFonts w:ascii="Times New Roman" w:hAnsi="Times New Roman"/>
                <w:kern w:val="0"/>
                <w:sz w:val="21"/>
                <w:szCs w:val="21"/>
                <w:highlight w:val="none"/>
                <w:vertAlign w:val="superscript"/>
              </w:rPr>
              <w:t>-4</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10min内储罐泄漏完</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5×10</w:t>
            </w:r>
            <w:r>
              <w:rPr>
                <w:rFonts w:ascii="Times New Roman" w:hAnsi="Times New Roman"/>
                <w:kern w:val="0"/>
                <w:sz w:val="21"/>
                <w:szCs w:val="21"/>
                <w:highlight w:val="none"/>
                <w:vertAlign w:val="superscript"/>
              </w:rPr>
              <w:t>-6</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储罐全破裂</w:t>
            </w:r>
          </w:p>
        </w:tc>
        <w:tc>
          <w:tcPr>
            <w:tcW w:w="1429"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5×10</w:t>
            </w:r>
            <w:r>
              <w:rPr>
                <w:rFonts w:ascii="Times New Roman" w:hAnsi="Times New Roman"/>
                <w:kern w:val="0"/>
                <w:sz w:val="21"/>
                <w:szCs w:val="21"/>
                <w:highlight w:val="none"/>
                <w:vertAlign w:val="superscript"/>
              </w:rPr>
              <w:t>-6</w:t>
            </w:r>
            <w:r>
              <w:rPr>
                <w:rFonts w:ascii="Times New Roman" w:hAnsi="Times New Roman"/>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ascii="Times New Roman" w:hAnsi="Times New Roman"/>
                <w:kern w:val="0"/>
                <w:sz w:val="21"/>
                <w:szCs w:val="21"/>
                <w:highlight w:val="none"/>
              </w:rPr>
              <w:t>内径≦75mm的管道</w:t>
            </w:r>
          </w:p>
        </w:tc>
        <w:tc>
          <w:tcPr>
            <w:tcW w:w="1864" w:type="pct"/>
            <w:noWrap w:val="0"/>
            <w:vAlign w:val="center"/>
          </w:tcPr>
          <w:p>
            <w:pPr>
              <w:autoSpaceDE w:val="0"/>
              <w:autoSpaceDN w:val="0"/>
              <w:adjustRightInd w:val="0"/>
              <w:snapToGrid w:val="0"/>
              <w:spacing w:line="280" w:lineRule="exact"/>
              <w:ind w:left="0" w:leftChars="0" w:firstLine="0" w:firstLineChars="0"/>
              <w:jc w:val="center"/>
              <w:rPr>
                <w:sz w:val="21"/>
                <w:szCs w:val="21"/>
                <w:highlight w:val="none"/>
              </w:rPr>
            </w:pPr>
            <w:r>
              <w:rPr>
                <w:rFonts w:ascii="Times New Roman" w:hAnsi="Times New Roman"/>
                <w:sz w:val="21"/>
                <w:szCs w:val="21"/>
                <w:highlight w:val="none"/>
              </w:rPr>
              <w:t>泄漏孔径为10%孔径</w:t>
            </w:r>
            <w:r>
              <w:rPr>
                <w:kern w:val="0"/>
                <w:sz w:val="21"/>
                <w:szCs w:val="21"/>
                <w:highlight w:val="none"/>
              </w:rPr>
              <w:t>全管径泄漏</w:t>
            </w:r>
          </w:p>
        </w:tc>
        <w:tc>
          <w:tcPr>
            <w:tcW w:w="1429" w:type="pct"/>
            <w:noWrap w:val="0"/>
            <w:vAlign w:val="center"/>
          </w:tcPr>
          <w:p>
            <w:pPr>
              <w:autoSpaceDE w:val="0"/>
              <w:autoSpaceDN w:val="0"/>
              <w:adjustRightInd w:val="0"/>
              <w:snapToGrid w:val="0"/>
              <w:spacing w:line="280" w:lineRule="exact"/>
              <w:jc w:val="center"/>
              <w:rPr>
                <w:rFonts w:ascii="Times New Roman" w:hAnsi="Times New Roman"/>
                <w:sz w:val="21"/>
                <w:szCs w:val="21"/>
                <w:highlight w:val="none"/>
              </w:rPr>
            </w:pPr>
            <w:r>
              <w:rPr>
                <w:rFonts w:ascii="Times New Roman" w:hAnsi="Times New Roman"/>
                <w:sz w:val="21"/>
                <w:szCs w:val="21"/>
                <w:highlight w:val="none"/>
              </w:rPr>
              <w:t>5×10</w:t>
            </w:r>
            <w:r>
              <w:rPr>
                <w:rFonts w:ascii="Times New Roman" w:hAnsi="Times New Roman"/>
                <w:sz w:val="21"/>
                <w:szCs w:val="21"/>
                <w:highlight w:val="none"/>
                <w:vertAlign w:val="superscript"/>
              </w:rPr>
              <w:t>-6</w:t>
            </w:r>
            <w:r>
              <w:rPr>
                <w:rFonts w:ascii="Times New Roman" w:hAnsi="Times New Roman"/>
                <w:sz w:val="21"/>
                <w:szCs w:val="21"/>
                <w:highlight w:val="none"/>
              </w:rPr>
              <w:t>/（m·a）</w:t>
            </w:r>
          </w:p>
          <w:p>
            <w:pPr>
              <w:pStyle w:val="10"/>
              <w:jc w:val="center"/>
              <w:rPr>
                <w:highlight w:val="none"/>
              </w:rPr>
            </w:pPr>
            <w:r>
              <w:rPr>
                <w:kern w:val="0"/>
                <w:sz w:val="21"/>
                <w:szCs w:val="21"/>
                <w:highlight w:val="none"/>
              </w:rPr>
              <w:t>1×10</w:t>
            </w:r>
            <w:r>
              <w:rPr>
                <w:kern w:val="0"/>
                <w:sz w:val="21"/>
                <w:szCs w:val="21"/>
                <w:highlight w:val="none"/>
                <w:vertAlign w:val="superscript"/>
              </w:rPr>
              <w:t>-6</w:t>
            </w:r>
            <w:r>
              <w:rPr>
                <w:kern w:val="0"/>
                <w:sz w:val="21"/>
                <w:szCs w:val="21"/>
                <w:highlight w:val="none"/>
              </w:rPr>
              <w:t>/（m·a）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kern w:val="0"/>
                <w:sz w:val="21"/>
                <w:szCs w:val="21"/>
                <w:highlight w:val="none"/>
              </w:rPr>
            </w:pPr>
            <w:r>
              <w:rPr>
                <w:rFonts w:hint="eastAsia" w:ascii="Times New Roman" w:hAnsi="Times New Roman"/>
                <w:kern w:val="0"/>
                <w:sz w:val="21"/>
                <w:szCs w:val="21"/>
                <w:highlight w:val="none"/>
              </w:rPr>
              <w:t>75mm&lt;</w:t>
            </w:r>
            <w:r>
              <w:rPr>
                <w:rFonts w:ascii="Times New Roman" w:hAnsi="Times New Roman"/>
                <w:kern w:val="0"/>
                <w:sz w:val="21"/>
                <w:szCs w:val="21"/>
                <w:highlight w:val="none"/>
              </w:rPr>
              <w:t>内径≦</w:t>
            </w:r>
            <w:r>
              <w:rPr>
                <w:rFonts w:hint="eastAsia" w:ascii="Times New Roman" w:hAnsi="Times New Roman"/>
                <w:kern w:val="0"/>
                <w:sz w:val="21"/>
                <w:szCs w:val="21"/>
                <w:highlight w:val="none"/>
              </w:rPr>
              <w:t>150</w:t>
            </w:r>
            <w:r>
              <w:rPr>
                <w:rFonts w:ascii="Times New Roman" w:hAnsi="Times New Roman"/>
                <w:kern w:val="0"/>
                <w:sz w:val="21"/>
                <w:szCs w:val="21"/>
                <w:highlight w:val="none"/>
              </w:rPr>
              <w:t>mm的管道</w:t>
            </w:r>
          </w:p>
        </w:tc>
        <w:tc>
          <w:tcPr>
            <w:tcW w:w="1864" w:type="pct"/>
            <w:noWrap w:val="0"/>
            <w:vAlign w:val="center"/>
          </w:tcPr>
          <w:p>
            <w:pPr>
              <w:autoSpaceDE w:val="0"/>
              <w:autoSpaceDN w:val="0"/>
              <w:adjustRightInd w:val="0"/>
              <w:snapToGrid w:val="0"/>
              <w:spacing w:line="280" w:lineRule="exact"/>
              <w:ind w:left="0" w:leftChars="0" w:firstLine="0" w:firstLineChars="0"/>
              <w:jc w:val="center"/>
              <w:rPr>
                <w:sz w:val="21"/>
                <w:szCs w:val="21"/>
                <w:highlight w:val="none"/>
              </w:rPr>
            </w:pPr>
            <w:r>
              <w:rPr>
                <w:rFonts w:ascii="Times New Roman" w:hAnsi="Times New Roman"/>
                <w:sz w:val="21"/>
                <w:szCs w:val="21"/>
                <w:highlight w:val="none"/>
              </w:rPr>
              <w:t>泄漏孔径为10%孔径</w:t>
            </w:r>
            <w:r>
              <w:rPr>
                <w:kern w:val="0"/>
                <w:sz w:val="21"/>
                <w:szCs w:val="21"/>
                <w:highlight w:val="none"/>
              </w:rPr>
              <w:t>全管径泄漏</w:t>
            </w:r>
          </w:p>
        </w:tc>
        <w:tc>
          <w:tcPr>
            <w:tcW w:w="1429" w:type="pct"/>
            <w:noWrap w:val="0"/>
            <w:vAlign w:val="center"/>
          </w:tcPr>
          <w:p>
            <w:pPr>
              <w:autoSpaceDE w:val="0"/>
              <w:autoSpaceDN w:val="0"/>
              <w:adjustRightInd w:val="0"/>
              <w:snapToGrid w:val="0"/>
              <w:spacing w:line="280" w:lineRule="exact"/>
              <w:ind w:left="0" w:leftChars="0" w:firstLine="0" w:firstLineChars="0"/>
              <w:jc w:val="center"/>
              <w:rPr>
                <w:rFonts w:ascii="Times New Roman" w:hAnsi="Times New Roman"/>
                <w:sz w:val="21"/>
                <w:szCs w:val="21"/>
                <w:highlight w:val="none"/>
              </w:rPr>
            </w:pPr>
            <w:r>
              <w:rPr>
                <w:rFonts w:hint="eastAsia" w:ascii="Times New Roman" w:hAnsi="Times New Roman"/>
                <w:sz w:val="21"/>
                <w:szCs w:val="21"/>
                <w:highlight w:val="none"/>
              </w:rPr>
              <w:t>2</w:t>
            </w:r>
            <w:r>
              <w:rPr>
                <w:rFonts w:ascii="Times New Roman" w:hAnsi="Times New Roman"/>
                <w:sz w:val="21"/>
                <w:szCs w:val="21"/>
                <w:highlight w:val="none"/>
              </w:rPr>
              <w:t>×10</w:t>
            </w:r>
            <w:r>
              <w:rPr>
                <w:rFonts w:ascii="Times New Roman" w:hAnsi="Times New Roman"/>
                <w:sz w:val="21"/>
                <w:szCs w:val="21"/>
                <w:highlight w:val="none"/>
                <w:vertAlign w:val="superscript"/>
              </w:rPr>
              <w:t>-6</w:t>
            </w:r>
            <w:r>
              <w:rPr>
                <w:rFonts w:ascii="Times New Roman" w:hAnsi="Times New Roman"/>
                <w:sz w:val="21"/>
                <w:szCs w:val="21"/>
                <w:highlight w:val="none"/>
              </w:rPr>
              <w:t>/（m·a）</w:t>
            </w:r>
          </w:p>
          <w:p>
            <w:pPr>
              <w:pStyle w:val="10"/>
              <w:ind w:left="0" w:leftChars="0" w:firstLine="0" w:firstLineChars="0"/>
              <w:jc w:val="center"/>
              <w:rPr>
                <w:highlight w:val="none"/>
              </w:rPr>
            </w:pPr>
            <w:r>
              <w:rPr>
                <w:rFonts w:hint="eastAsia"/>
                <w:kern w:val="0"/>
                <w:sz w:val="21"/>
                <w:szCs w:val="21"/>
                <w:highlight w:val="none"/>
              </w:rPr>
              <w:t>3</w:t>
            </w:r>
            <w:r>
              <w:rPr>
                <w:kern w:val="0"/>
                <w:sz w:val="21"/>
                <w:szCs w:val="21"/>
                <w:highlight w:val="none"/>
              </w:rPr>
              <w:t>×10</w:t>
            </w:r>
            <w:r>
              <w:rPr>
                <w:kern w:val="0"/>
                <w:sz w:val="21"/>
                <w:szCs w:val="21"/>
                <w:highlight w:val="none"/>
                <w:vertAlign w:val="superscript"/>
              </w:rPr>
              <w:t>-</w:t>
            </w:r>
            <w:r>
              <w:rPr>
                <w:rFonts w:hint="eastAsia"/>
                <w:kern w:val="0"/>
                <w:sz w:val="21"/>
                <w:szCs w:val="21"/>
                <w:highlight w:val="none"/>
                <w:vertAlign w:val="superscript"/>
              </w:rPr>
              <w:t>7</w:t>
            </w:r>
            <w:r>
              <w:rPr>
                <w:kern w:val="0"/>
                <w:sz w:val="21"/>
                <w:szCs w:val="21"/>
                <w:highlight w:val="none"/>
              </w:rPr>
              <w:t>/（m·a）</w:t>
            </w:r>
          </w:p>
        </w:tc>
      </w:tr>
    </w:tbl>
    <w:p>
      <w:pPr>
        <w:adjustRightInd w:val="0"/>
        <w:snapToGrid w:val="0"/>
        <w:spacing w:line="480" w:lineRule="exact"/>
        <w:ind w:firstLine="480" w:firstLineChars="200"/>
        <w:rPr>
          <w:rFonts w:hint="default"/>
          <w:sz w:val="24"/>
          <w:highlight w:val="none"/>
        </w:rPr>
      </w:pPr>
      <w:r>
        <w:rPr>
          <w:rFonts w:hint="eastAsia"/>
          <w:sz w:val="24"/>
          <w:highlight w:val="none"/>
        </w:rPr>
        <w:t>由上表可知本项目沼气池</w:t>
      </w:r>
      <w:r>
        <w:rPr>
          <w:rFonts w:hint="eastAsia"/>
          <w:sz w:val="24"/>
          <w:highlight w:val="none"/>
          <w:lang w:eastAsia="zh-CN"/>
        </w:rPr>
        <w:t>、</w:t>
      </w:r>
      <w:r>
        <w:rPr>
          <w:rFonts w:hint="eastAsia"/>
          <w:sz w:val="24"/>
          <w:highlight w:val="none"/>
          <w:lang w:val="en-US" w:eastAsia="zh-CN"/>
        </w:rPr>
        <w:t>LNG储罐</w:t>
      </w:r>
      <w:r>
        <w:rPr>
          <w:rFonts w:hint="eastAsia"/>
          <w:sz w:val="24"/>
          <w:highlight w:val="none"/>
        </w:rPr>
        <w:t>泄漏最大风险概率为1×10</w:t>
      </w:r>
      <w:r>
        <w:rPr>
          <w:rFonts w:hint="eastAsia"/>
          <w:sz w:val="24"/>
          <w:highlight w:val="none"/>
          <w:vertAlign w:val="superscript"/>
        </w:rPr>
        <w:t>-4</w:t>
      </w:r>
      <w:r>
        <w:rPr>
          <w:rFonts w:hint="eastAsia"/>
          <w:sz w:val="24"/>
          <w:highlight w:val="none"/>
        </w:rPr>
        <w:t>/a，收集池破裂泄漏最大风险概率为1×10</w:t>
      </w:r>
      <w:r>
        <w:rPr>
          <w:rFonts w:hint="eastAsia"/>
          <w:sz w:val="24"/>
          <w:highlight w:val="none"/>
          <w:vertAlign w:val="superscript"/>
        </w:rPr>
        <w:t>-4</w:t>
      </w:r>
      <w:r>
        <w:rPr>
          <w:rFonts w:hint="eastAsia"/>
          <w:sz w:val="24"/>
          <w:highlight w:val="none"/>
        </w:rPr>
        <w:t>/a，收集池输送管道泄漏最大风险概率为5×10</w:t>
      </w:r>
      <w:r>
        <w:rPr>
          <w:rFonts w:hint="eastAsia"/>
          <w:sz w:val="24"/>
          <w:highlight w:val="none"/>
          <w:vertAlign w:val="superscript"/>
        </w:rPr>
        <w:t>-5</w:t>
      </w:r>
      <w:r>
        <w:rPr>
          <w:rFonts w:hint="eastAsia"/>
          <w:sz w:val="24"/>
          <w:highlight w:val="none"/>
        </w:rPr>
        <w:t>/a。</w:t>
      </w:r>
    </w:p>
    <w:p>
      <w:pPr>
        <w:pStyle w:val="8"/>
        <w:ind w:firstLine="482"/>
        <w:rPr>
          <w:rFonts w:hint="eastAsia"/>
          <w:highlight w:val="none"/>
          <w:lang w:val="en-US" w:eastAsia="zh-CN"/>
        </w:rPr>
      </w:pPr>
      <w:r>
        <w:rPr>
          <w:rFonts w:hint="eastAsia"/>
          <w:highlight w:val="none"/>
          <w:lang w:val="en-US" w:eastAsia="zh-CN"/>
        </w:rPr>
        <w:t>4.2.7.4源项分析</w:t>
      </w:r>
    </w:p>
    <w:p>
      <w:pPr>
        <w:adjustRightInd w:val="0"/>
        <w:snapToGrid w:val="0"/>
        <w:spacing w:line="500" w:lineRule="exact"/>
        <w:ind w:firstLine="480" w:firstLineChars="200"/>
        <w:rPr>
          <w:rFonts w:hint="eastAsia"/>
          <w:sz w:val="24"/>
          <w:highlight w:val="none"/>
        </w:rPr>
      </w:pPr>
      <w:r>
        <w:rPr>
          <w:rFonts w:hint="eastAsia"/>
          <w:sz w:val="24"/>
          <w:highlight w:val="none"/>
        </w:rPr>
        <w:t>1、沼气泄漏</w:t>
      </w:r>
    </w:p>
    <w:p>
      <w:pPr>
        <w:adjustRightInd w:val="0"/>
        <w:snapToGrid w:val="0"/>
        <w:spacing w:line="500" w:lineRule="exact"/>
        <w:ind w:firstLine="480" w:firstLineChars="200"/>
        <w:rPr>
          <w:rFonts w:hint="eastAsia"/>
          <w:sz w:val="24"/>
          <w:highlight w:val="none"/>
        </w:rPr>
      </w:pPr>
      <w:r>
        <w:rPr>
          <w:rFonts w:hint="eastAsia"/>
          <w:sz w:val="24"/>
          <w:highlight w:val="none"/>
        </w:rPr>
        <w:t>本项目可能会因管道、阀门破损致使沼气泄漏，使气体从破损处向外泄露。</w:t>
      </w:r>
    </w:p>
    <w:p>
      <w:pPr>
        <w:adjustRightInd w:val="0"/>
        <w:snapToGrid w:val="0"/>
        <w:spacing w:line="500" w:lineRule="exact"/>
        <w:ind w:firstLine="480" w:firstLineChars="200"/>
        <w:rPr>
          <w:rFonts w:hint="eastAsia"/>
          <w:sz w:val="24"/>
          <w:highlight w:val="none"/>
        </w:rPr>
      </w:pPr>
      <w:r>
        <w:rPr>
          <w:highlight w:val="none"/>
        </w:rPr>
        <w:drawing>
          <wp:anchor distT="0" distB="0" distL="114300" distR="114300" simplePos="0" relativeHeight="254261248" behindDoc="1" locked="0" layoutInCell="1" allowOverlap="1">
            <wp:simplePos x="0" y="0"/>
            <wp:positionH relativeFrom="column">
              <wp:posOffset>1687195</wp:posOffset>
            </wp:positionH>
            <wp:positionV relativeFrom="paragraph">
              <wp:posOffset>837565</wp:posOffset>
            </wp:positionV>
            <wp:extent cx="2628900" cy="561975"/>
            <wp:effectExtent l="0" t="0" r="0" b="9525"/>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54"/>
                    <a:stretch>
                      <a:fillRect/>
                    </a:stretch>
                  </pic:blipFill>
                  <pic:spPr>
                    <a:xfrm>
                      <a:off x="0" y="0"/>
                      <a:ext cx="2628900" cy="561975"/>
                    </a:xfrm>
                    <a:prstGeom prst="rect">
                      <a:avLst/>
                    </a:prstGeom>
                    <a:noFill/>
                    <a:ln>
                      <a:noFill/>
                    </a:ln>
                  </pic:spPr>
                </pic:pic>
              </a:graphicData>
            </a:graphic>
          </wp:anchor>
        </w:drawing>
      </w:r>
      <w:r>
        <w:rPr>
          <w:rFonts w:hint="eastAsia"/>
          <w:sz w:val="24"/>
          <w:highlight w:val="none"/>
        </w:rPr>
        <w:t>本项目气体泄漏量采用《建设项目环境风险评价技术导则》（HJ/T169-2018）附录 F事故源强计算方法，气体泄漏量计算公式如下（沼气按其主要成分甲烷进行计算）：</w:t>
      </w:r>
    </w:p>
    <w:p>
      <w:pPr>
        <w:widowControl/>
        <w:adjustRightInd w:val="0"/>
        <w:snapToGrid w:val="0"/>
        <w:spacing w:line="480" w:lineRule="exact"/>
        <w:ind w:firstLine="480" w:firstLineChars="200"/>
        <w:jc w:val="left"/>
        <w:rPr>
          <w:rFonts w:hint="eastAsia"/>
          <w:sz w:val="24"/>
          <w:highlight w:val="none"/>
        </w:rPr>
      </w:pPr>
    </w:p>
    <w:p>
      <w:pPr>
        <w:widowControl/>
        <w:adjustRightInd w:val="0"/>
        <w:snapToGrid w:val="0"/>
        <w:spacing w:line="480" w:lineRule="exact"/>
        <w:ind w:firstLine="480" w:firstLineChars="200"/>
        <w:jc w:val="left"/>
        <w:rPr>
          <w:rFonts w:hint="eastAsia"/>
          <w:sz w:val="24"/>
          <w:highlight w:val="none"/>
        </w:rPr>
      </w:pPr>
    </w:p>
    <w:p>
      <w:pPr>
        <w:autoSpaceDE w:val="0"/>
        <w:adjustRightInd w:val="0"/>
        <w:snapToGrid w:val="0"/>
        <w:spacing w:line="500" w:lineRule="exact"/>
        <w:rPr>
          <w:rFonts w:hint="eastAsia"/>
          <w:sz w:val="24"/>
          <w:highlight w:val="none"/>
        </w:rPr>
      </w:pPr>
      <w:r>
        <w:rPr>
          <w:rFonts w:hint="eastAsia"/>
          <w:sz w:val="24"/>
          <w:highlight w:val="none"/>
        </w:rPr>
        <w:t>式中，Q</w:t>
      </w:r>
      <w:r>
        <w:rPr>
          <w:rFonts w:hint="eastAsia"/>
          <w:sz w:val="24"/>
          <w:highlight w:val="none"/>
          <w:vertAlign w:val="subscript"/>
        </w:rPr>
        <w:t>C</w:t>
      </w:r>
      <w:r>
        <w:rPr>
          <w:rFonts w:hint="eastAsia"/>
          <w:sz w:val="24"/>
          <w:highlight w:val="none"/>
        </w:rPr>
        <w:t xml:space="preserve">—气体泄漏速度，kg/s；   </w:t>
      </w:r>
    </w:p>
    <w:p>
      <w:pPr>
        <w:autoSpaceDE w:val="0"/>
        <w:adjustRightInd w:val="0"/>
        <w:snapToGrid w:val="0"/>
        <w:spacing w:line="500" w:lineRule="exact"/>
        <w:rPr>
          <w:rFonts w:hint="eastAsia"/>
          <w:sz w:val="24"/>
          <w:highlight w:val="none"/>
        </w:rPr>
      </w:pPr>
      <w:r>
        <w:rPr>
          <w:rFonts w:hint="eastAsia"/>
          <w:sz w:val="24"/>
          <w:highlight w:val="none"/>
        </w:rPr>
        <w:t>P—容器压力，Pa；本项目沼气储气压力为</w:t>
      </w:r>
      <w:r>
        <w:rPr>
          <w:sz w:val="24"/>
          <w:highlight w:val="none"/>
        </w:rPr>
        <w:t>1.028×10</w:t>
      </w:r>
      <w:r>
        <w:rPr>
          <w:sz w:val="24"/>
          <w:highlight w:val="none"/>
          <w:vertAlign w:val="superscript"/>
        </w:rPr>
        <w:t xml:space="preserve"> 5</w:t>
      </w:r>
      <w:r>
        <w:rPr>
          <w:rFonts w:hint="eastAsia"/>
          <w:sz w:val="24"/>
          <w:highlight w:val="none"/>
        </w:rPr>
        <w:t>Pa；</w:t>
      </w:r>
    </w:p>
    <w:p>
      <w:pPr>
        <w:autoSpaceDE w:val="0"/>
        <w:adjustRightInd w:val="0"/>
        <w:snapToGrid w:val="0"/>
        <w:spacing w:line="500" w:lineRule="exact"/>
        <w:rPr>
          <w:rFonts w:hint="eastAsia"/>
          <w:sz w:val="24"/>
          <w:highlight w:val="none"/>
        </w:rPr>
      </w:pPr>
      <w:r>
        <w:rPr>
          <w:rFonts w:hint="eastAsia"/>
          <w:sz w:val="24"/>
          <w:highlight w:val="none"/>
        </w:rPr>
        <w:t>C</w:t>
      </w:r>
      <w:r>
        <w:rPr>
          <w:rFonts w:hint="eastAsia"/>
          <w:sz w:val="24"/>
          <w:highlight w:val="none"/>
          <w:vertAlign w:val="subscript"/>
        </w:rPr>
        <w:t>d</w:t>
      </w:r>
      <w:r>
        <w:rPr>
          <w:rFonts w:hint="eastAsia"/>
          <w:sz w:val="24"/>
          <w:highlight w:val="none"/>
        </w:rPr>
        <w:t xml:space="preserve">—气体泄漏系数；当裂口性状为圆形时取1.00，本次设定裂口性状为圆形；    </w:t>
      </w:r>
    </w:p>
    <w:p>
      <w:pPr>
        <w:autoSpaceDE w:val="0"/>
        <w:adjustRightInd w:val="0"/>
        <w:snapToGrid w:val="0"/>
        <w:spacing w:line="500" w:lineRule="exact"/>
        <w:rPr>
          <w:rFonts w:hint="eastAsia"/>
          <w:sz w:val="24"/>
          <w:highlight w:val="none"/>
        </w:rPr>
      </w:pPr>
      <w:r>
        <w:rPr>
          <w:rFonts w:hint="eastAsia"/>
          <w:sz w:val="24"/>
          <w:highlight w:val="none"/>
        </w:rPr>
        <w:t>A—裂口面积，m</w:t>
      </w:r>
      <w:r>
        <w:rPr>
          <w:rFonts w:hint="eastAsia"/>
          <w:sz w:val="24"/>
          <w:highlight w:val="none"/>
          <w:vertAlign w:val="superscript"/>
        </w:rPr>
        <w:t>2</w:t>
      </w:r>
      <w:r>
        <w:rPr>
          <w:rFonts w:hint="eastAsia"/>
          <w:sz w:val="24"/>
          <w:highlight w:val="none"/>
        </w:rPr>
        <w:t>；经计算，本项目为</w:t>
      </w:r>
      <w:r>
        <w:rPr>
          <w:sz w:val="24"/>
          <w:highlight w:val="none"/>
        </w:rPr>
        <w:t>3.14×10</w:t>
      </w:r>
      <w:r>
        <w:rPr>
          <w:sz w:val="24"/>
          <w:highlight w:val="none"/>
          <w:vertAlign w:val="superscript"/>
        </w:rPr>
        <w:t>-4</w:t>
      </w:r>
      <w:r>
        <w:rPr>
          <w:rFonts w:hint="eastAsia"/>
          <w:sz w:val="24"/>
          <w:highlight w:val="none"/>
        </w:rPr>
        <w:t xml:space="preserve"> m</w:t>
      </w:r>
      <w:r>
        <w:rPr>
          <w:rFonts w:hint="eastAsia"/>
          <w:sz w:val="24"/>
          <w:highlight w:val="none"/>
          <w:vertAlign w:val="superscript"/>
        </w:rPr>
        <w:t>2</w:t>
      </w:r>
      <w:r>
        <w:rPr>
          <w:rFonts w:hint="eastAsia"/>
          <w:sz w:val="24"/>
          <w:highlight w:val="none"/>
        </w:rPr>
        <w:t>；</w:t>
      </w:r>
    </w:p>
    <w:p>
      <w:pPr>
        <w:autoSpaceDE w:val="0"/>
        <w:adjustRightInd w:val="0"/>
        <w:snapToGrid w:val="0"/>
        <w:spacing w:line="500" w:lineRule="exact"/>
        <w:rPr>
          <w:rFonts w:hint="eastAsia"/>
          <w:sz w:val="24"/>
          <w:highlight w:val="none"/>
        </w:rPr>
      </w:pPr>
      <w:r>
        <w:rPr>
          <w:rFonts w:hint="eastAsia"/>
          <w:sz w:val="24"/>
          <w:highlight w:val="none"/>
        </w:rPr>
        <w:t xml:space="preserve">M—分子量；甲烷为16.04g/mol；     </w:t>
      </w:r>
    </w:p>
    <w:p>
      <w:pPr>
        <w:autoSpaceDE w:val="0"/>
        <w:adjustRightInd w:val="0"/>
        <w:snapToGrid w:val="0"/>
        <w:spacing w:line="500" w:lineRule="exact"/>
        <w:rPr>
          <w:rFonts w:hint="eastAsia"/>
          <w:sz w:val="24"/>
          <w:highlight w:val="none"/>
        </w:rPr>
      </w:pPr>
      <w:r>
        <w:rPr>
          <w:rFonts w:hint="eastAsia"/>
          <w:sz w:val="24"/>
          <w:highlight w:val="none"/>
        </w:rPr>
        <w:t>R—气体常数，8.315J/(mol·K)；</w:t>
      </w:r>
    </w:p>
    <w:p>
      <w:pPr>
        <w:autoSpaceDE w:val="0"/>
        <w:adjustRightInd w:val="0"/>
        <w:snapToGrid w:val="0"/>
        <w:spacing w:line="500" w:lineRule="exact"/>
        <w:rPr>
          <w:rFonts w:hint="eastAsia"/>
          <w:sz w:val="24"/>
          <w:highlight w:val="none"/>
        </w:rPr>
      </w:pPr>
      <w:r>
        <w:rPr>
          <w:rFonts w:hint="eastAsia"/>
          <w:sz w:val="24"/>
          <w:highlight w:val="none"/>
        </w:rPr>
        <w:t>T</w:t>
      </w:r>
      <w:r>
        <w:rPr>
          <w:rFonts w:hint="eastAsia"/>
          <w:sz w:val="24"/>
          <w:highlight w:val="none"/>
          <w:vertAlign w:val="subscript"/>
        </w:rPr>
        <w:t xml:space="preserve"> G</w:t>
      </w:r>
      <w:r>
        <w:rPr>
          <w:rFonts w:hint="eastAsia"/>
          <w:sz w:val="24"/>
          <w:highlight w:val="none"/>
        </w:rPr>
        <w:t>—气体温度，K，本项目为</w:t>
      </w:r>
      <w:r>
        <w:rPr>
          <w:sz w:val="24"/>
          <w:highlight w:val="none"/>
        </w:rPr>
        <w:t>（273+25）K</w:t>
      </w:r>
      <w:r>
        <w:rPr>
          <w:rFonts w:hint="eastAsia"/>
          <w:sz w:val="24"/>
          <w:highlight w:val="none"/>
        </w:rPr>
        <w:t xml:space="preserve">；     </w:t>
      </w:r>
    </w:p>
    <w:p>
      <w:pPr>
        <w:autoSpaceDE w:val="0"/>
        <w:adjustRightInd w:val="0"/>
        <w:snapToGrid w:val="0"/>
        <w:spacing w:line="500" w:lineRule="exact"/>
        <w:rPr>
          <w:rFonts w:hint="eastAsia"/>
          <w:sz w:val="24"/>
          <w:highlight w:val="none"/>
        </w:rPr>
      </w:pPr>
      <w:r>
        <w:rPr>
          <w:rFonts w:hint="eastAsia"/>
          <w:sz w:val="24"/>
          <w:highlight w:val="none"/>
        </w:rPr>
        <w:t>Y—流出系数，甲烷为0.757；</w:t>
      </w:r>
    </w:p>
    <w:p>
      <w:pPr>
        <w:autoSpaceDE w:val="0"/>
        <w:adjustRightInd w:val="0"/>
        <w:snapToGrid w:val="0"/>
        <w:spacing w:line="500" w:lineRule="exact"/>
        <w:rPr>
          <w:rFonts w:hint="eastAsia"/>
          <w:sz w:val="24"/>
          <w:highlight w:val="none"/>
        </w:rPr>
      </w:pPr>
      <w:r>
        <w:rPr>
          <w:rFonts w:hint="eastAsia"/>
          <w:sz w:val="24"/>
          <w:highlight w:val="none"/>
        </w:rPr>
        <w:t>K—气体的绝热指数（热容比），即定压热容CP与定容热容CV之比，甲烷为1.305。</w:t>
      </w:r>
    </w:p>
    <w:p>
      <w:pPr>
        <w:autoSpaceDE w:val="0"/>
        <w:adjustRightInd w:val="0"/>
        <w:snapToGrid w:val="0"/>
        <w:spacing w:line="500" w:lineRule="exact"/>
        <w:ind w:firstLine="480" w:firstLineChars="200"/>
        <w:rPr>
          <w:rFonts w:hint="eastAsia"/>
          <w:sz w:val="24"/>
          <w:highlight w:val="none"/>
        </w:rPr>
      </w:pPr>
      <w:r>
        <w:rPr>
          <w:rFonts w:hint="eastAsia"/>
          <w:sz w:val="24"/>
          <w:highlight w:val="none"/>
        </w:rPr>
        <w:t>拟建项目泄漏状况有项目事故防范设计措施以及建设方应急处理能力而定，通常情况下，气体发生泄漏后，通过堵漏处理，项目未设置紧急隔离系统，故泄漏事件设定为30min。气体泄漏主要在输送过程中由于阀门破裂而发生，阀门裂口按2cm计。经类比及估算得出本项目气体泄漏量，详见表4</w:t>
      </w:r>
      <w:r>
        <w:rPr>
          <w:rFonts w:hint="eastAsia"/>
          <w:sz w:val="24"/>
          <w:highlight w:val="none"/>
          <w:lang w:val="en-US" w:eastAsia="zh-CN"/>
        </w:rPr>
        <w:t>.2</w:t>
      </w:r>
      <w:r>
        <w:rPr>
          <w:rFonts w:hint="eastAsia"/>
          <w:sz w:val="24"/>
          <w:highlight w:val="none"/>
        </w:rPr>
        <w:t>-</w:t>
      </w:r>
      <w:r>
        <w:rPr>
          <w:rFonts w:hint="eastAsia"/>
          <w:sz w:val="24"/>
          <w:highlight w:val="none"/>
          <w:lang w:val="en-US" w:eastAsia="zh-CN"/>
        </w:rPr>
        <w:t>49</w:t>
      </w:r>
      <w:r>
        <w:rPr>
          <w:rFonts w:hint="eastAsia"/>
          <w:sz w:val="24"/>
          <w:highlight w:val="none"/>
        </w:rPr>
        <w:t>。</w:t>
      </w:r>
    </w:p>
    <w:p>
      <w:pPr>
        <w:pStyle w:val="40"/>
        <w:rPr>
          <w:rFonts w:hint="eastAsia"/>
          <w:highlight w:val="none"/>
          <w:lang w:val="en-US" w:eastAsia="zh-CN"/>
        </w:rPr>
      </w:pPr>
      <w:r>
        <w:rPr>
          <w:rFonts w:hint="eastAsia"/>
          <w:highlight w:val="none"/>
          <w:lang w:val="en-US" w:eastAsia="zh-CN"/>
        </w:rPr>
        <w:t>表4.2-49 项目沼气泄漏量</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2834"/>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kern w:val="0"/>
                <w:sz w:val="21"/>
                <w:szCs w:val="21"/>
                <w:highlight w:val="none"/>
              </w:rPr>
            </w:pPr>
            <w:r>
              <w:rPr>
                <w:kern w:val="0"/>
                <w:sz w:val="21"/>
                <w:szCs w:val="21"/>
                <w:highlight w:val="none"/>
              </w:rPr>
              <w:t>阀门裂口直径（cm）</w:t>
            </w:r>
          </w:p>
        </w:tc>
        <w:tc>
          <w:tcPr>
            <w:tcW w:w="1890" w:type="pct"/>
            <w:noWrap w:val="0"/>
            <w:vAlign w:val="center"/>
          </w:tcPr>
          <w:p>
            <w:pPr>
              <w:widowControl/>
              <w:jc w:val="center"/>
              <w:rPr>
                <w:kern w:val="0"/>
                <w:sz w:val="21"/>
                <w:szCs w:val="21"/>
                <w:highlight w:val="none"/>
              </w:rPr>
            </w:pPr>
            <w:r>
              <w:rPr>
                <w:kern w:val="0"/>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kern w:val="0"/>
                <w:sz w:val="21"/>
                <w:szCs w:val="21"/>
                <w:highlight w:val="none"/>
              </w:rPr>
            </w:pPr>
            <w:r>
              <w:rPr>
                <w:kern w:val="0"/>
                <w:sz w:val="21"/>
                <w:szCs w:val="21"/>
                <w:highlight w:val="none"/>
              </w:rPr>
              <w:t>泄漏时间（min）</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kern w:val="0"/>
                <w:sz w:val="21"/>
                <w:szCs w:val="21"/>
                <w:highlight w:val="none"/>
              </w:rPr>
            </w:pPr>
            <w:r>
              <w:rPr>
                <w:kern w:val="0"/>
                <w:sz w:val="21"/>
                <w:szCs w:val="21"/>
                <w:highlight w:val="none"/>
              </w:rPr>
              <w:t>泄漏速率（kg/s）</w:t>
            </w:r>
          </w:p>
        </w:tc>
        <w:tc>
          <w:tcPr>
            <w:tcW w:w="1675" w:type="pct"/>
            <w:noWrap w:val="0"/>
            <w:vAlign w:val="center"/>
          </w:tcPr>
          <w:p>
            <w:pPr>
              <w:widowControl/>
              <w:jc w:val="center"/>
              <w:rPr>
                <w:kern w:val="0"/>
                <w:sz w:val="21"/>
                <w:szCs w:val="21"/>
                <w:highlight w:val="none"/>
              </w:rPr>
            </w:pPr>
            <w:r>
              <w:rPr>
                <w:kern w:val="0"/>
                <w:sz w:val="21"/>
                <w:szCs w:val="21"/>
                <w:highlight w:val="none"/>
              </w:rPr>
              <w:t>沼气（以甲烷计）</w:t>
            </w:r>
          </w:p>
        </w:tc>
        <w:tc>
          <w:tcPr>
            <w:tcW w:w="1890" w:type="pct"/>
            <w:noWrap w:val="0"/>
            <w:vAlign w:val="center"/>
          </w:tcPr>
          <w:p>
            <w:pPr>
              <w:widowControl/>
              <w:jc w:val="center"/>
              <w:rPr>
                <w:kern w:val="0"/>
                <w:sz w:val="21"/>
                <w:szCs w:val="21"/>
                <w:highlight w:val="none"/>
              </w:rPr>
            </w:pPr>
            <w:r>
              <w:rPr>
                <w:kern w:val="0"/>
                <w:sz w:val="21"/>
                <w:szCs w:val="21"/>
                <w:highlight w:val="none"/>
              </w:rPr>
              <w:t>0.</w:t>
            </w:r>
            <w:r>
              <w:rPr>
                <w:rFonts w:hint="eastAsia"/>
                <w:kern w:val="0"/>
                <w:sz w:val="21"/>
                <w:szCs w:val="21"/>
                <w:highlight w:val="none"/>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kern w:val="0"/>
                <w:sz w:val="21"/>
                <w:szCs w:val="21"/>
                <w:highlight w:val="none"/>
              </w:rPr>
            </w:pPr>
            <w:r>
              <w:rPr>
                <w:rFonts w:hint="eastAsia"/>
                <w:kern w:val="0"/>
                <w:sz w:val="21"/>
                <w:szCs w:val="21"/>
                <w:highlight w:val="none"/>
              </w:rPr>
              <w:t>3</w:t>
            </w:r>
            <w:r>
              <w:rPr>
                <w:kern w:val="0"/>
                <w:sz w:val="21"/>
                <w:szCs w:val="21"/>
                <w:highlight w:val="none"/>
              </w:rPr>
              <w:t>0分钟泄漏量（kg）</w:t>
            </w:r>
          </w:p>
        </w:tc>
        <w:tc>
          <w:tcPr>
            <w:tcW w:w="1675" w:type="pct"/>
            <w:noWrap w:val="0"/>
            <w:vAlign w:val="center"/>
          </w:tcPr>
          <w:p>
            <w:pPr>
              <w:widowControl/>
              <w:jc w:val="center"/>
              <w:rPr>
                <w:kern w:val="0"/>
                <w:sz w:val="21"/>
                <w:szCs w:val="21"/>
                <w:highlight w:val="none"/>
              </w:rPr>
            </w:pPr>
            <w:r>
              <w:rPr>
                <w:kern w:val="0"/>
                <w:sz w:val="21"/>
                <w:szCs w:val="21"/>
                <w:highlight w:val="none"/>
              </w:rPr>
              <w:t>沼气（以甲烷计）</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25.2</w:t>
            </w:r>
          </w:p>
        </w:tc>
      </w:tr>
    </w:tbl>
    <w:p>
      <w:pPr>
        <w:numPr>
          <w:ilvl w:val="0"/>
          <w:numId w:val="16"/>
        </w:numPr>
        <w:autoSpaceDE w:val="0"/>
        <w:adjustRightInd w:val="0"/>
        <w:snapToGrid w:val="0"/>
        <w:spacing w:line="500" w:lineRule="exact"/>
        <w:ind w:firstLine="480" w:firstLineChars="200"/>
        <w:rPr>
          <w:rFonts w:hint="eastAsia"/>
          <w:sz w:val="24"/>
          <w:highlight w:val="none"/>
        </w:rPr>
      </w:pPr>
      <w:r>
        <w:rPr>
          <w:rFonts w:hint="eastAsia"/>
          <w:sz w:val="24"/>
          <w:highlight w:val="none"/>
          <w:lang w:val="en-US" w:eastAsia="zh-CN"/>
        </w:rPr>
        <w:t>LNG储罐泄漏情况估算</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20" w:lineRule="exact"/>
        <w:ind w:firstLine="480" w:firstLineChars="200"/>
        <w:textAlignment w:val="auto"/>
        <w:rPr>
          <w:rFonts w:hint="eastAsia"/>
          <w:sz w:val="24"/>
          <w:highlight w:val="none"/>
          <w:lang w:eastAsia="zh-CN"/>
        </w:rPr>
      </w:pPr>
      <w:r>
        <w:rPr>
          <w:rFonts w:hint="eastAsia"/>
          <w:sz w:val="24"/>
          <w:highlight w:val="none"/>
          <w:lang w:val="en-US" w:eastAsia="zh-CN"/>
        </w:rPr>
        <w:t>LNG储罐中液化天然气属于低温液体，泄漏时在没有遇到明火的环境中会形成液池，快速吸收周围的热量蒸发，蒸发量低于泄漏量但高于常温常压下的液体泄漏量。泄漏速度和泄漏时间决定泄漏后果的严重程度，根据</w:t>
      </w:r>
      <w:r>
        <w:rPr>
          <w:rFonts w:hint="eastAsia"/>
          <w:sz w:val="24"/>
          <w:highlight w:val="none"/>
        </w:rPr>
        <w:t>《建设项目环境风险评价技术导则》（HJ/T169-2018）附录F</w:t>
      </w:r>
      <w:r>
        <w:rPr>
          <w:rFonts w:hint="eastAsia"/>
          <w:sz w:val="24"/>
          <w:highlight w:val="none"/>
          <w:lang w:eastAsia="zh-CN"/>
        </w:rPr>
        <w:t>中计算公式，直接蒸发的液体分数为：</w:t>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Fv=C</w:t>
      </w:r>
      <w:r>
        <w:rPr>
          <w:rFonts w:hint="default" w:ascii="Times New Roman" w:hAnsi="Times New Roman" w:cs="Times New Roman"/>
          <w:sz w:val="24"/>
          <w:highlight w:val="none"/>
          <w:vertAlign w:val="subscript"/>
          <w:lang w:val="en-US" w:eastAsia="zh-CN"/>
        </w:rPr>
        <w:t>p</w:t>
      </w:r>
      <w:r>
        <w:rPr>
          <w:rFonts w:hint="default" w:ascii="Times New Roman" w:hAnsi="Times New Roman" w:cs="Times New Roman"/>
          <w:sz w:val="24"/>
          <w:highlight w:val="none"/>
          <w:lang w:val="en-US" w:eastAsia="zh-CN"/>
        </w:rPr>
        <w:t>×（T-T</w:t>
      </w:r>
      <w:r>
        <w:rPr>
          <w:rFonts w:hint="default" w:ascii="Times New Roman" w:hAnsi="Times New Roman" w:cs="Times New Roman"/>
          <w:sz w:val="24"/>
          <w:highlight w:val="none"/>
          <w:vertAlign w:val="subscript"/>
          <w:lang w:val="en-US" w:eastAsia="zh-CN"/>
        </w:rPr>
        <w:t>c</w:t>
      </w:r>
      <w:r>
        <w:rPr>
          <w:rFonts w:hint="default" w:ascii="Times New Roman" w:hAnsi="Times New Roman" w:cs="Times New Roman"/>
          <w:sz w:val="24"/>
          <w:highlight w:val="none"/>
          <w:lang w:val="en-US" w:eastAsia="zh-CN"/>
        </w:rPr>
        <w:t>）/H</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式中：Fv——泄漏液体的闪蒸比例；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C</w:t>
      </w:r>
      <w:r>
        <w:rPr>
          <w:rFonts w:hint="default" w:ascii="Times New Roman" w:hAnsi="Times New Roman" w:cs="Times New Roman"/>
          <w:sz w:val="24"/>
          <w:highlight w:val="none"/>
          <w:vertAlign w:val="subscript"/>
          <w:lang w:val="en-US" w:eastAsia="zh-CN"/>
        </w:rPr>
        <w:t>p</w:t>
      </w:r>
      <w:r>
        <w:rPr>
          <w:rFonts w:hint="default" w:ascii="Times New Roman" w:hAnsi="Times New Roman" w:cs="Times New Roman"/>
          <w:sz w:val="24"/>
          <w:highlight w:val="none"/>
          <w:vertAlign w:val="baseline"/>
          <w:lang w:val="en-US" w:eastAsia="zh-CN"/>
        </w:rPr>
        <w:t>——</w:t>
      </w:r>
      <w:r>
        <w:rPr>
          <w:rFonts w:hint="default" w:ascii="Times New Roman" w:hAnsi="Times New Roman" w:cs="Times New Roman"/>
          <w:sz w:val="24"/>
          <w:highlight w:val="none"/>
          <w:lang w:val="en-US" w:eastAsia="zh-CN"/>
        </w:rPr>
        <w:t>两相液体的定压比热，J/(kg·K)；</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T——泄漏前的液体温度，K；</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Tc——泄漏液体的沸点，K；</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H——泄漏液体的汽化热，J/kg；</w:t>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eastAsia"/>
          <w:b w:val="0"/>
          <w:bCs w:val="0"/>
          <w:sz w:val="24"/>
          <w:szCs w:val="21"/>
          <w:highlight w:val="none"/>
          <w:lang w:val="en-US" w:eastAsia="zh-CN"/>
        </w:rPr>
      </w:pPr>
      <w:r>
        <w:rPr>
          <w:rFonts w:hint="default"/>
          <w:b w:val="0"/>
          <w:bCs w:val="0"/>
          <w:sz w:val="24"/>
          <w:szCs w:val="21"/>
          <w:highlight w:val="none"/>
          <w:lang w:val="en-US" w:eastAsia="zh-CN"/>
        </w:rPr>
        <w:t>过热液体闪蒸蒸发速率可按下式估算</w:t>
      </w:r>
      <w:r>
        <w:rPr>
          <w:rFonts w:hint="eastAsia"/>
          <w:b w:val="0"/>
          <w:bCs w:val="0"/>
          <w:sz w:val="24"/>
          <w:szCs w:val="21"/>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default" w:ascii="Times New Roman" w:hAnsi="Times New Roman" w:cs="Times New Roman"/>
          <w:sz w:val="24"/>
          <w:szCs w:val="21"/>
          <w:highlight w:val="none"/>
          <w:lang w:val="en-US" w:eastAsia="zh-CN"/>
        </w:rPr>
      </w:pPr>
      <w:r>
        <w:rPr>
          <w:rFonts w:hint="default" w:ascii="Times New Roman" w:hAnsi="Times New Roman" w:cs="Times New Roman"/>
          <w:sz w:val="24"/>
          <w:highlight w:val="none"/>
          <w:lang w:val="en-US" w:eastAsia="zh-CN"/>
        </w:rPr>
        <w:t>Q</w:t>
      </w:r>
      <w:r>
        <w:rPr>
          <w:rFonts w:hint="default" w:ascii="Times New Roman" w:hAnsi="Times New Roman" w:cs="Times New Roman"/>
          <w:sz w:val="24"/>
          <w:highlight w:val="none"/>
          <w:vertAlign w:val="subscript"/>
          <w:lang w:val="en-US" w:eastAsia="zh-CN"/>
        </w:rPr>
        <w:t>1</w:t>
      </w:r>
      <w:r>
        <w:rPr>
          <w:rFonts w:hint="default" w:ascii="Times New Roman" w:hAnsi="Times New Roman" w:cs="Times New Roman"/>
          <w:sz w:val="24"/>
          <w:szCs w:val="21"/>
          <w:highlight w:val="none"/>
          <w:lang w:val="en-US" w:eastAsia="zh-CN"/>
        </w:rPr>
        <w:t>=</w:t>
      </w:r>
      <w:r>
        <w:rPr>
          <w:rFonts w:hint="default" w:ascii="Times New Roman" w:hAnsi="Times New Roman" w:cs="Times New Roman"/>
          <w:sz w:val="24"/>
          <w:highlight w:val="none"/>
          <w:lang w:val="en-US" w:eastAsia="zh-CN"/>
        </w:rPr>
        <w:t>Q</w:t>
      </w:r>
      <w:r>
        <w:rPr>
          <w:rFonts w:hint="default" w:ascii="Times New Roman" w:hAnsi="Times New Roman" w:cs="Times New Roman"/>
          <w:sz w:val="24"/>
          <w:highlight w:val="none"/>
          <w:vertAlign w:val="subscript"/>
          <w:lang w:val="en-US" w:eastAsia="zh-CN"/>
        </w:rPr>
        <w:t>L</w:t>
      </w:r>
      <w:r>
        <w:rPr>
          <w:rFonts w:hint="default" w:ascii="Times New Roman" w:hAnsi="Times New Roman" w:cs="Times New Roman"/>
          <w:sz w:val="24"/>
          <w:szCs w:val="21"/>
          <w:highlight w:val="none"/>
          <w:lang w:val="en-US" w:eastAsia="zh-CN"/>
        </w:rPr>
        <w:t>×</w:t>
      </w:r>
      <w:r>
        <w:rPr>
          <w:rFonts w:hint="default" w:ascii="Times New Roman" w:hAnsi="Times New Roman" w:cs="Times New Roman"/>
          <w:sz w:val="24"/>
          <w:highlight w:val="none"/>
          <w:lang w:val="en-US" w:eastAsia="zh-CN"/>
        </w:rPr>
        <w:t>F v</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Q</w:t>
      </w:r>
      <w:r>
        <w:rPr>
          <w:rFonts w:hint="default" w:ascii="Times New Roman" w:hAnsi="Times New Roman" w:cs="Times New Roman"/>
          <w:sz w:val="24"/>
          <w:highlight w:val="none"/>
          <w:vertAlign w:val="subscript"/>
          <w:lang w:val="en-US" w:eastAsia="zh-CN"/>
        </w:rPr>
        <w:t>1</w:t>
      </w:r>
      <w:r>
        <w:rPr>
          <w:rFonts w:hint="default" w:ascii="Times New Roman" w:hAnsi="Times New Roman" w:cs="Times New Roman"/>
          <w:sz w:val="24"/>
          <w:highlight w:val="none"/>
          <w:lang w:val="en-US" w:eastAsia="zh-CN"/>
        </w:rPr>
        <w:t>——过热液体闪蒸蒸发速率，kg/s；</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Q</w:t>
      </w:r>
      <w:r>
        <w:rPr>
          <w:rFonts w:hint="default" w:ascii="Times New Roman" w:hAnsi="Times New Roman" w:cs="Times New Roman"/>
          <w:sz w:val="24"/>
          <w:highlight w:val="none"/>
          <w:vertAlign w:val="subscript"/>
          <w:lang w:val="en-US" w:eastAsia="zh-CN"/>
        </w:rPr>
        <w:t>L</w:t>
      </w:r>
      <w:r>
        <w:rPr>
          <w:rFonts w:hint="default" w:ascii="Times New Roman" w:hAnsi="Times New Roman" w:cs="Times New Roman"/>
          <w:sz w:val="24"/>
          <w:highlight w:val="none"/>
          <w:lang w:val="en-US" w:eastAsia="zh-CN"/>
        </w:rPr>
        <w:t>——物质泄漏速率，kg/s。</w:t>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default" w:ascii="Times New Roman" w:hAnsi="Times New Roman" w:cs="Times New Roman"/>
          <w:sz w:val="24"/>
          <w:szCs w:val="21"/>
          <w:highlight w:val="none"/>
          <w:lang w:val="en-US" w:eastAsia="zh-CN"/>
        </w:rPr>
      </w:pPr>
      <w:r>
        <w:rPr>
          <w:rFonts w:hint="default" w:ascii="Times New Roman" w:hAnsi="Times New Roman" w:cs="Times New Roman"/>
          <w:sz w:val="24"/>
          <w:highlight w:val="none"/>
          <w:lang w:val="en-US" w:eastAsia="zh-CN"/>
        </w:rPr>
        <w:t>Fv</w:t>
      </w:r>
      <w:r>
        <w:rPr>
          <w:rFonts w:hint="default" w:ascii="Times New Roman" w:hAnsi="Times New Roman" w:cs="Times New Roman"/>
          <w:sz w:val="24"/>
          <w:szCs w:val="21"/>
          <w:highlight w:val="none"/>
          <w:lang w:val="en-US" w:eastAsia="zh-CN"/>
        </w:rPr>
        <w:t>=2070×（111.15-109.15）/122000=0.03</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textAlignment w:val="auto"/>
        <w:rPr>
          <w:rFonts w:hint="default" w:ascii="Times New Roman" w:hAnsi="Times New Roman" w:cs="Times New Roman"/>
          <w:sz w:val="24"/>
          <w:szCs w:val="21"/>
          <w:highlight w:val="none"/>
          <w:lang w:val="en-US" w:eastAsia="zh-CN"/>
        </w:rPr>
      </w:pPr>
      <w:r>
        <w:rPr>
          <w:rFonts w:hint="default" w:ascii="Times New Roman" w:hAnsi="Times New Roman" w:cs="Times New Roman"/>
          <w:sz w:val="24"/>
          <w:szCs w:val="21"/>
          <w:highlight w:val="none"/>
          <w:lang w:val="en-US" w:eastAsia="zh-CN"/>
        </w:rPr>
        <w:t>本次评价以LNG储罐全罐泄漏作为最大可信事故，泄漏时间为10min，30m</w:t>
      </w:r>
      <w:r>
        <w:rPr>
          <w:rFonts w:hint="default" w:ascii="Times New Roman" w:hAnsi="Times New Roman" w:cs="Times New Roman"/>
          <w:sz w:val="24"/>
          <w:szCs w:val="21"/>
          <w:highlight w:val="none"/>
          <w:vertAlign w:val="superscript"/>
          <w:lang w:val="en-US" w:eastAsia="zh-CN"/>
        </w:rPr>
        <w:t>3</w:t>
      </w:r>
      <w:r>
        <w:rPr>
          <w:rFonts w:hint="default" w:ascii="Times New Roman" w:hAnsi="Times New Roman" w:cs="Times New Roman"/>
          <w:sz w:val="24"/>
          <w:szCs w:val="21"/>
          <w:highlight w:val="none"/>
          <w:lang w:val="en-US" w:eastAsia="zh-CN"/>
        </w:rPr>
        <w:t>的LNG储罐储存量为14.1吨，全罐泄漏情况下平均泄漏速度为23.5kg/s。蒸发液体按0.03计算，则天然气的蒸发速度为0.705kg/s。</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textAlignment w:val="auto"/>
        <w:rPr>
          <w:rFonts w:hint="default" w:ascii="Times New Roman" w:hAnsi="Times New Roman" w:cs="Times New Roman"/>
          <w:sz w:val="24"/>
          <w:szCs w:val="21"/>
          <w:highlight w:val="none"/>
          <w:lang w:val="en-US" w:eastAsia="zh-CN"/>
        </w:rPr>
      </w:pPr>
      <w:r>
        <w:rPr>
          <w:rFonts w:hint="default" w:ascii="Times New Roman" w:hAnsi="Times New Roman" w:cs="Times New Roman"/>
          <w:sz w:val="24"/>
          <w:szCs w:val="21"/>
          <w:highlight w:val="none"/>
          <w:lang w:val="en-US" w:eastAsia="zh-CN"/>
        </w:rPr>
        <w:t>次生污染物一氧化碳产生量分析：正常情况下，参照《北京环境总体规划研究》（第二卷）中天然气燃烧产生CO的产生系数为0.35g/m</w:t>
      </w:r>
      <w:r>
        <w:rPr>
          <w:rFonts w:hint="default" w:ascii="Times New Roman" w:hAnsi="Times New Roman" w:cs="Times New Roman"/>
          <w:sz w:val="24"/>
          <w:szCs w:val="21"/>
          <w:highlight w:val="none"/>
          <w:vertAlign w:val="superscript"/>
          <w:lang w:val="en-US" w:eastAsia="zh-CN"/>
        </w:rPr>
        <w:t>3</w:t>
      </w:r>
      <w:r>
        <w:rPr>
          <w:rFonts w:hint="default" w:ascii="Times New Roman" w:hAnsi="Times New Roman" w:cs="Times New Roman"/>
          <w:sz w:val="24"/>
          <w:szCs w:val="21"/>
          <w:highlight w:val="none"/>
          <w:lang w:val="en-US" w:eastAsia="zh-CN"/>
        </w:rPr>
        <w:t>天然气。参考相关资料确定LNG燃烧速度为0.182kg/</w:t>
      </w:r>
      <w:r>
        <w:rPr>
          <w:rFonts w:hint="default" w:ascii="Times New Roman" w:hAnsi="Times New Roman" w:cs="Times New Roman"/>
          <w:sz w:val="24"/>
          <w:highlight w:val="none"/>
          <w:lang w:val="en-US" w:eastAsia="zh-CN"/>
        </w:rPr>
        <w:t>(m</w:t>
      </w:r>
      <w:r>
        <w:rPr>
          <w:rFonts w:hint="default" w:ascii="Times New Roman" w:hAnsi="Times New Roman" w:cs="Times New Roman"/>
          <w:sz w:val="24"/>
          <w:highlight w:val="none"/>
          <w:vertAlign w:val="superscript"/>
          <w:lang w:val="en-US" w:eastAsia="zh-CN"/>
        </w:rPr>
        <w:t>2</w:t>
      </w:r>
      <w:r>
        <w:rPr>
          <w:rFonts w:hint="default" w:ascii="Times New Roman" w:hAnsi="Times New Roman" w:cs="Times New Roman"/>
          <w:sz w:val="24"/>
          <w:highlight w:val="none"/>
          <w:lang w:val="en-US" w:eastAsia="zh-CN"/>
        </w:rPr>
        <w:t>·S)，</w:t>
      </w:r>
      <w:r>
        <w:rPr>
          <w:rFonts w:hint="default" w:ascii="Times New Roman" w:hAnsi="Times New Roman" w:cs="Times New Roman"/>
          <w:sz w:val="24"/>
          <w:szCs w:val="21"/>
          <w:highlight w:val="none"/>
          <w:lang w:val="en-US" w:eastAsia="zh-CN"/>
        </w:rPr>
        <w:t>LNG储罐围堰内最大面积为15m</w:t>
      </w:r>
      <w:r>
        <w:rPr>
          <w:rFonts w:hint="default" w:ascii="Times New Roman" w:hAnsi="Times New Roman" w:cs="Times New Roman"/>
          <w:sz w:val="24"/>
          <w:highlight w:val="none"/>
          <w:vertAlign w:val="superscript"/>
          <w:lang w:val="en-US" w:eastAsia="zh-CN"/>
        </w:rPr>
        <w:t>2</w:t>
      </w:r>
      <w:r>
        <w:rPr>
          <w:rFonts w:hint="default" w:ascii="Times New Roman" w:hAnsi="Times New Roman" w:cs="Times New Roman"/>
          <w:sz w:val="24"/>
          <w:szCs w:val="21"/>
          <w:highlight w:val="none"/>
          <w:lang w:val="en-US" w:eastAsia="zh-CN"/>
        </w:rPr>
        <w:t>，围堰内可燃烧的天然气量为2.73kg/s，大于天然气的蒸发速度。气化天然气假定全部燃烧，天然气密度为0.84kg/m</w:t>
      </w:r>
      <w:r>
        <w:rPr>
          <w:rFonts w:hint="default" w:ascii="Times New Roman" w:hAnsi="Times New Roman" w:cs="Times New Roman"/>
          <w:sz w:val="24"/>
          <w:szCs w:val="21"/>
          <w:highlight w:val="none"/>
          <w:vertAlign w:val="superscript"/>
          <w:lang w:val="en-US" w:eastAsia="zh-CN"/>
        </w:rPr>
        <w:t>3</w:t>
      </w:r>
      <w:r>
        <w:rPr>
          <w:rFonts w:hint="default" w:ascii="Times New Roman" w:hAnsi="Times New Roman" w:cs="Times New Roman"/>
          <w:sz w:val="24"/>
          <w:szCs w:val="21"/>
          <w:highlight w:val="none"/>
          <w:lang w:val="en-US" w:eastAsia="zh-CN"/>
        </w:rPr>
        <w:t>，气化天然气燃烧产生CO的产生量为0.705×0.84×0.35=0.2961kg/s；本次评价以全罐LNG全部燃烧作为最大可信事故，则CO的最大产生量为4.1454。</w:t>
      </w:r>
    </w:p>
    <w:p>
      <w:pPr>
        <w:rPr>
          <w:rFonts w:hint="default"/>
          <w:highlight w:val="none"/>
          <w:lang w:val="en-US" w:eastAsia="zh-CN"/>
        </w:rPr>
      </w:pPr>
      <w:r>
        <w:rPr>
          <w:rFonts w:hint="default"/>
          <w:highlight w:val="none"/>
          <w:lang w:val="en-US" w:eastAsia="zh-CN"/>
        </w:rPr>
        <w:t>3、废水泄漏情况估算</w:t>
      </w:r>
    </w:p>
    <w:p>
      <w:pPr>
        <w:rPr>
          <w:rFonts w:hint="default"/>
          <w:highlight w:val="none"/>
          <w:lang w:val="en-US" w:eastAsia="zh-CN"/>
        </w:rPr>
      </w:pPr>
      <w:r>
        <w:rPr>
          <w:rFonts w:hint="default"/>
          <w:highlight w:val="none"/>
          <w:lang w:val="en-US" w:eastAsia="zh-CN"/>
        </w:rPr>
        <w:t>项目可能因收集池池体破裂、输送管道破损等导致收集池内废水泄漏。本项目液体泄漏量采用《建设项目环境风险评价技术导则》（HJ/T169-2018）附录F事故源强计算方法，液体泄漏量计算公式如下</w:t>
      </w:r>
    </w:p>
    <w:p>
      <w:pPr>
        <w:rPr>
          <w:rFonts w:hint="default"/>
          <w:highlight w:val="none"/>
          <w:lang w:val="en-US" w:eastAsia="zh-CN"/>
        </w:rPr>
      </w:pPr>
      <w:r>
        <w:rPr>
          <w:rFonts w:hint="default"/>
          <w:highlight w:val="none"/>
          <w:lang w:val="en-US" w:eastAsia="zh-CN"/>
        </w:rPr>
        <w:t>式中：QL——液体泄漏速率，kg/s；</w:t>
      </w:r>
    </w:p>
    <w:p>
      <w:pPr>
        <w:rPr>
          <w:rFonts w:hint="default"/>
          <w:highlight w:val="none"/>
          <w:lang w:val="en-US" w:eastAsia="zh-CN"/>
        </w:rPr>
      </w:pPr>
      <w:r>
        <w:rPr>
          <w:rFonts w:hint="default"/>
          <w:highlight w:val="none"/>
          <w:lang w:val="en-US" w:eastAsia="zh-CN"/>
        </w:rPr>
        <w:t>P——容器内介质压力，Pa；</w:t>
      </w:r>
    </w:p>
    <w:p>
      <w:pPr>
        <w:rPr>
          <w:rFonts w:hint="default"/>
          <w:highlight w:val="none"/>
          <w:lang w:val="en-US" w:eastAsia="zh-CN"/>
        </w:rPr>
      </w:pPr>
      <w:r>
        <w:rPr>
          <w:rFonts w:hint="default"/>
          <w:highlight w:val="none"/>
          <w:lang w:val="en-US" w:eastAsia="zh-CN"/>
        </w:rPr>
        <w:t>P0——环境压力，Pa；</w:t>
      </w:r>
    </w:p>
    <w:p>
      <w:pPr>
        <w:rPr>
          <w:rFonts w:hint="default"/>
          <w:highlight w:val="none"/>
          <w:lang w:val="en-US" w:eastAsia="zh-CN"/>
        </w:rPr>
      </w:pPr>
      <w:r>
        <w:rPr>
          <w:rFonts w:hint="default"/>
          <w:highlight w:val="none"/>
          <w:lang w:val="en-US" w:eastAsia="zh-CN"/>
        </w:rPr>
        <w:t>ρ——泄漏液体密度，kg/m</w:t>
      </w:r>
      <w:r>
        <w:rPr>
          <w:rFonts w:hint="default"/>
          <w:highlight w:val="none"/>
          <w:vertAlign w:val="superscript"/>
          <w:lang w:val="en-US" w:eastAsia="zh-CN"/>
        </w:rPr>
        <w:t>3</w:t>
      </w:r>
      <w:r>
        <w:rPr>
          <w:rFonts w:hint="default"/>
          <w:highlight w:val="none"/>
          <w:lang w:val="en-US" w:eastAsia="zh-CN"/>
        </w:rPr>
        <w:t>；</w:t>
      </w:r>
    </w:p>
    <w:p>
      <w:pPr>
        <w:rPr>
          <w:rFonts w:hint="default"/>
          <w:highlight w:val="none"/>
          <w:lang w:val="en-US" w:eastAsia="zh-CN"/>
        </w:rPr>
      </w:pPr>
      <w:r>
        <w:rPr>
          <w:rFonts w:hint="default"/>
          <w:highlight w:val="none"/>
          <w:lang w:val="en-US" w:eastAsia="zh-CN"/>
        </w:rPr>
        <w:t>g ——重力加速度，9.81m/s</w:t>
      </w:r>
      <w:r>
        <w:rPr>
          <w:rFonts w:hint="default"/>
          <w:highlight w:val="none"/>
          <w:vertAlign w:val="superscript"/>
          <w:lang w:val="en-US" w:eastAsia="zh-CN"/>
        </w:rPr>
        <w:t>2</w:t>
      </w:r>
      <w:r>
        <w:rPr>
          <w:rFonts w:hint="default"/>
          <w:highlight w:val="none"/>
          <w:lang w:val="en-US" w:eastAsia="zh-CN"/>
        </w:rPr>
        <w:t>；</w:t>
      </w:r>
    </w:p>
    <w:p>
      <w:pPr>
        <w:rPr>
          <w:rFonts w:hint="default"/>
          <w:highlight w:val="none"/>
          <w:lang w:val="en-US" w:eastAsia="zh-CN"/>
        </w:rPr>
      </w:pPr>
      <w:r>
        <w:rPr>
          <w:rFonts w:hint="default"/>
          <w:highlight w:val="none"/>
          <w:lang w:val="en-US" w:eastAsia="zh-CN"/>
        </w:rPr>
        <w:t>h——裂口之上液位高度，m；</w:t>
      </w:r>
    </w:p>
    <w:p>
      <w:pPr>
        <w:rPr>
          <w:rFonts w:hint="default"/>
          <w:highlight w:val="none"/>
          <w:lang w:val="en-US" w:eastAsia="zh-CN"/>
        </w:rPr>
      </w:pPr>
      <w:r>
        <w:rPr>
          <w:rFonts w:hint="default"/>
          <w:highlight w:val="none"/>
          <w:lang w:val="en-US" w:eastAsia="zh-CN"/>
        </w:rPr>
        <w:t>Cd——液体泄漏系数，按表F.1选取；</w:t>
      </w:r>
    </w:p>
    <w:p>
      <w:pPr>
        <w:rPr>
          <w:rFonts w:hint="default"/>
          <w:highlight w:val="none"/>
          <w:lang w:val="en-US" w:eastAsia="zh-CN"/>
        </w:rPr>
      </w:pPr>
      <w:r>
        <w:rPr>
          <w:rFonts w:hint="default"/>
          <w:highlight w:val="none"/>
          <w:lang w:val="en-US" w:eastAsia="zh-CN"/>
        </w:rPr>
        <w:t>A——裂口面积，m</w:t>
      </w:r>
      <w:r>
        <w:rPr>
          <w:rFonts w:hint="default"/>
          <w:highlight w:val="none"/>
          <w:vertAlign w:val="superscript"/>
          <w:lang w:val="en-US" w:eastAsia="zh-CN"/>
        </w:rPr>
        <w:t>2</w:t>
      </w:r>
      <w:r>
        <w:rPr>
          <w:rFonts w:hint="default"/>
          <w:highlight w:val="none"/>
          <w:lang w:val="en-US" w:eastAsia="zh-CN"/>
        </w:rPr>
        <w:t>。</w:t>
      </w:r>
    </w:p>
    <w:p>
      <w:pPr>
        <w:pStyle w:val="40"/>
        <w:rPr>
          <w:rFonts w:hint="eastAsia"/>
          <w:highlight w:val="none"/>
          <w:lang w:val="en-US" w:eastAsia="zh-CN"/>
        </w:rPr>
      </w:pPr>
      <w:r>
        <w:rPr>
          <w:rFonts w:hint="eastAsia"/>
          <w:highlight w:val="none"/>
          <w:lang w:val="en-US" w:eastAsia="zh-CN"/>
        </w:rPr>
        <w:t>表4.2-50 液体泄漏系数（Cd）</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1359"/>
        <w:gridCol w:w="1369"/>
        <w:gridCol w:w="3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vMerge w:val="restar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雷诺数</w:t>
            </w:r>
            <w:r>
              <w:rPr>
                <w:rFonts w:hint="eastAsia" w:ascii="Times New Roman" w:hAnsi="Times New Roman"/>
                <w:kern w:val="0"/>
                <w:sz w:val="21"/>
                <w:szCs w:val="21"/>
                <w:highlight w:val="none"/>
                <w:lang w:val="en-US" w:eastAsia="zh-CN"/>
              </w:rPr>
              <w:t>Re</w:t>
            </w:r>
          </w:p>
        </w:tc>
        <w:tc>
          <w:tcPr>
            <w:tcW w:w="3503" w:type="pct"/>
            <w:gridSpan w:val="3"/>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裂口形状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vMerge w:val="continue"/>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eastAsia="zh-CN"/>
              </w:rPr>
            </w:pP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圆形（多边形）</w:t>
            </w:r>
          </w:p>
        </w:tc>
        <w:tc>
          <w:tcPr>
            <w:tcW w:w="809" w:type="pct"/>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三角形</w:t>
            </w:r>
          </w:p>
        </w:tc>
        <w:tc>
          <w:tcPr>
            <w:tcW w:w="1890" w:type="pct"/>
            <w:noWrap w:val="0"/>
            <w:vAlign w:val="center"/>
          </w:tcPr>
          <w:p>
            <w:pPr>
              <w:autoSpaceDE w:val="0"/>
              <w:autoSpaceDN w:val="0"/>
              <w:adjustRightInd w:val="0"/>
              <w:snapToGrid w:val="0"/>
              <w:spacing w:line="280" w:lineRule="exact"/>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eastAsia="zh-CN"/>
              </w:rPr>
              <w:t>长方形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rPr>
              <w:t>＞</w:t>
            </w:r>
            <w:r>
              <w:rPr>
                <w:rFonts w:hint="eastAsia" w:ascii="Times New Roman" w:hAnsi="Times New Roman"/>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0.65</w:t>
            </w:r>
          </w:p>
        </w:tc>
        <w:tc>
          <w:tcPr>
            <w:tcW w:w="809"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0.60</w:t>
            </w:r>
          </w:p>
        </w:tc>
        <w:tc>
          <w:tcPr>
            <w:tcW w:w="1890"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rPr>
              <w:t>≦</w:t>
            </w:r>
            <w:r>
              <w:rPr>
                <w:rFonts w:hint="eastAsia" w:ascii="Times New Roman" w:hAnsi="Times New Roman"/>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0.50</w:t>
            </w:r>
          </w:p>
        </w:tc>
        <w:tc>
          <w:tcPr>
            <w:tcW w:w="809"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0.45</w:t>
            </w:r>
          </w:p>
        </w:tc>
        <w:tc>
          <w:tcPr>
            <w:tcW w:w="1890" w:type="pct"/>
            <w:noWrap w:val="0"/>
            <w:vAlign w:val="center"/>
          </w:tcPr>
          <w:p>
            <w:pPr>
              <w:autoSpaceDE w:val="0"/>
              <w:autoSpaceDN w:val="0"/>
              <w:adjustRightInd w:val="0"/>
              <w:snapToGrid w:val="0"/>
              <w:spacing w:line="280" w:lineRule="exact"/>
              <w:jc w:val="center"/>
              <w:rPr>
                <w:rFonts w:hint="default"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t>0.40</w:t>
            </w:r>
          </w:p>
        </w:tc>
      </w:tr>
    </w:tbl>
    <w:p>
      <w:pPr>
        <w:pStyle w:val="40"/>
        <w:rPr>
          <w:rFonts w:hint="eastAsia"/>
          <w:highlight w:val="none"/>
          <w:lang w:val="en-US" w:eastAsia="zh-CN"/>
        </w:rPr>
      </w:pPr>
      <w:r>
        <w:rPr>
          <w:rFonts w:hint="eastAsia"/>
          <w:highlight w:val="none"/>
          <w:lang w:val="en-US" w:eastAsia="zh-CN"/>
        </w:rPr>
        <w:t>表4.2-51 项目收集池废水泄漏量估算</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60"/>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kern w:val="0"/>
                <w:sz w:val="21"/>
                <w:szCs w:val="21"/>
                <w:highlight w:val="none"/>
              </w:rPr>
            </w:pPr>
            <w:r>
              <w:rPr>
                <w:kern w:val="0"/>
                <w:sz w:val="21"/>
                <w:szCs w:val="21"/>
                <w:highlight w:val="none"/>
              </w:rPr>
              <w:t>阀门裂口直径（cm）</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裂口形状</w:t>
            </w:r>
          </w:p>
        </w:tc>
        <w:tc>
          <w:tcPr>
            <w:tcW w:w="1890" w:type="pct"/>
            <w:noWrap w:val="0"/>
            <w:vAlign w:val="center"/>
          </w:tcPr>
          <w:p>
            <w:pPr>
              <w:widowControl/>
              <w:jc w:val="center"/>
              <w:rPr>
                <w:rFonts w:hint="eastAsia"/>
                <w:kern w:val="0"/>
                <w:sz w:val="21"/>
                <w:szCs w:val="21"/>
                <w:highlight w:val="none"/>
              </w:rPr>
            </w:pPr>
            <w:r>
              <w:rPr>
                <w:rFonts w:hint="eastAsia"/>
                <w:kern w:val="0"/>
                <w:sz w:val="21"/>
                <w:szCs w:val="21"/>
                <w:highlight w:val="none"/>
              </w:rPr>
              <w:t>三角形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kern w:val="0"/>
                <w:sz w:val="21"/>
                <w:szCs w:val="21"/>
                <w:highlight w:val="none"/>
              </w:rPr>
            </w:pPr>
            <w:r>
              <w:rPr>
                <w:rFonts w:hint="eastAsia"/>
                <w:kern w:val="0"/>
                <w:sz w:val="21"/>
                <w:szCs w:val="21"/>
                <w:highlight w:val="none"/>
              </w:rPr>
              <w:t>液体泄漏系数C</w:t>
            </w:r>
            <w:r>
              <w:rPr>
                <w:rFonts w:hint="eastAsia"/>
                <w:kern w:val="0"/>
                <w:sz w:val="21"/>
                <w:szCs w:val="21"/>
                <w:highlight w:val="none"/>
                <w:vertAlign w:val="subscript"/>
              </w:rPr>
              <w:t>d</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裂口之上液位高度m</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kern w:val="0"/>
                <w:sz w:val="21"/>
                <w:szCs w:val="21"/>
                <w:highlight w:val="none"/>
              </w:rPr>
            </w:pPr>
            <w:r>
              <w:rPr>
                <w:rFonts w:hint="eastAsia"/>
                <w:kern w:val="0"/>
                <w:sz w:val="21"/>
                <w:szCs w:val="21"/>
                <w:highlight w:val="none"/>
              </w:rPr>
              <w:t>废水</w:t>
            </w:r>
            <w:r>
              <w:rPr>
                <w:kern w:val="0"/>
                <w:sz w:val="21"/>
                <w:szCs w:val="21"/>
                <w:highlight w:val="none"/>
              </w:rPr>
              <w:t>泄漏速率（kg/s）</w:t>
            </w:r>
          </w:p>
        </w:tc>
        <w:tc>
          <w:tcPr>
            <w:tcW w:w="1890" w:type="pct"/>
            <w:noWrap w:val="0"/>
            <w:vAlign w:val="center"/>
          </w:tcPr>
          <w:p>
            <w:pPr>
              <w:widowControl/>
              <w:jc w:val="center"/>
              <w:rPr>
                <w:kern w:val="0"/>
                <w:sz w:val="21"/>
                <w:szCs w:val="21"/>
                <w:highlight w:val="none"/>
              </w:rPr>
            </w:pPr>
            <w:r>
              <w:rPr>
                <w:rFonts w:hint="eastAsia"/>
                <w:kern w:val="0"/>
                <w:sz w:val="21"/>
                <w:szCs w:val="21"/>
                <w:highlight w:val="none"/>
              </w:rPr>
              <w:t>0.48</w:t>
            </w:r>
          </w:p>
        </w:tc>
      </w:tr>
    </w:tbl>
    <w:p>
      <w:pPr>
        <w:pStyle w:val="8"/>
        <w:ind w:firstLine="482"/>
        <w:rPr>
          <w:rFonts w:hint="eastAsia"/>
          <w:highlight w:val="none"/>
          <w:lang w:val="en-US" w:eastAsia="zh-CN"/>
        </w:rPr>
      </w:pPr>
      <w:r>
        <w:rPr>
          <w:rFonts w:hint="eastAsia"/>
          <w:highlight w:val="none"/>
          <w:lang w:val="en-US" w:eastAsia="zh-CN"/>
        </w:rPr>
        <w:t>4.2.7.5风险评价</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（1）气体泄漏事故影响后果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沼气或LNG主要成分均为甲烷，发生泄漏，使局部区域空气中甲烷浓度升高，被区域内人员过量吸入会引起中毒事件，如遇明火，会发生火灾和爆炸事故。项目周边</w:t>
      </w:r>
      <w:r>
        <w:rPr>
          <w:rFonts w:hint="eastAsia"/>
          <w:sz w:val="24"/>
          <w:highlight w:val="none"/>
          <w:lang w:val="en-US" w:eastAsia="zh-CN"/>
        </w:rPr>
        <w:t>2</w:t>
      </w:r>
      <w:r>
        <w:rPr>
          <w:rFonts w:hint="eastAsia"/>
          <w:sz w:val="24"/>
          <w:highlight w:val="none"/>
        </w:rPr>
        <w:t>00m范围内无村庄故项目气体如发生泄漏，最可能影响的人群为养殖场内的工人。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（2）爆炸事故影响后果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沼气主要成分均为甲烷。如发生泄漏，甲烷爆炸燃烧产生的物质为CO</w:t>
      </w:r>
      <w:r>
        <w:rPr>
          <w:rFonts w:hint="eastAsia"/>
          <w:sz w:val="24"/>
          <w:highlight w:val="none"/>
          <w:vertAlign w:val="subscript"/>
        </w:rPr>
        <w:t>2</w:t>
      </w:r>
      <w:r>
        <w:rPr>
          <w:rFonts w:hint="eastAsia"/>
          <w:sz w:val="24"/>
          <w:highlight w:val="none"/>
        </w:rPr>
        <w:t>和H</w:t>
      </w:r>
      <w:r>
        <w:rPr>
          <w:rFonts w:hint="eastAsia"/>
          <w:sz w:val="24"/>
          <w:highlight w:val="none"/>
          <w:vertAlign w:val="subscript"/>
        </w:rPr>
        <w:t>2</w:t>
      </w:r>
      <w:r>
        <w:rPr>
          <w:rFonts w:hint="eastAsia"/>
          <w:sz w:val="24"/>
          <w:highlight w:val="none"/>
        </w:rPr>
        <w:t>O。如果发生沼气及天然气爆炸燃烧会造成爆炸周边局部地区空气中CO</w:t>
      </w:r>
      <w:r>
        <w:rPr>
          <w:rFonts w:hint="eastAsia"/>
          <w:sz w:val="24"/>
          <w:highlight w:val="none"/>
          <w:vertAlign w:val="subscript"/>
        </w:rPr>
        <w:t>2</w:t>
      </w:r>
      <w:r>
        <w:rPr>
          <w:rFonts w:hint="eastAsia"/>
          <w:sz w:val="24"/>
          <w:highlight w:val="none"/>
        </w:rPr>
        <w:t>浓度过高，如过量吸入</w:t>
      </w:r>
      <w:r>
        <w:rPr>
          <w:rFonts w:hint="eastAsia"/>
          <w:sz w:val="24"/>
          <w:highlight w:val="none"/>
          <w:lang w:val="en-US" w:eastAsia="zh-CN"/>
        </w:rPr>
        <w:t>CO、</w:t>
      </w:r>
      <w:r>
        <w:rPr>
          <w:rFonts w:hint="eastAsia"/>
          <w:sz w:val="24"/>
          <w:highlight w:val="none"/>
        </w:rPr>
        <w:t>CO</w:t>
      </w:r>
      <w:r>
        <w:rPr>
          <w:rFonts w:hint="eastAsia"/>
          <w:sz w:val="24"/>
          <w:highlight w:val="none"/>
          <w:vertAlign w:val="subscript"/>
        </w:rPr>
        <w:t>2</w:t>
      </w:r>
      <w:r>
        <w:rPr>
          <w:rFonts w:hint="eastAsia"/>
          <w:sz w:val="24"/>
          <w:highlight w:val="none"/>
        </w:rPr>
        <w:t>会造成人员窒息。项目周边</w:t>
      </w:r>
      <w:r>
        <w:rPr>
          <w:rFonts w:hint="eastAsia"/>
          <w:sz w:val="24"/>
          <w:highlight w:val="none"/>
          <w:lang w:val="en-US" w:eastAsia="zh-CN"/>
        </w:rPr>
        <w:t>2</w:t>
      </w:r>
      <w:r>
        <w:rPr>
          <w:rFonts w:hint="eastAsia"/>
          <w:sz w:val="24"/>
          <w:highlight w:val="none"/>
        </w:rPr>
        <w:t>00m范围内无村庄，故项目储罐如发生爆炸，最可能影响的人群为养殖场内的工人。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（3）收集池废水泄漏事故影响后果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如果发生收集池高浓度有机废水泄漏，废水可能通过地表沟渠进入地表水体，引起河流污染；可能通过渗透进入地下水层，会引起场区及下游地下水污染、土壤污染。</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Calibri"/>
          <w:sz w:val="24"/>
          <w:highlight w:val="none"/>
        </w:rPr>
      </w:pPr>
      <w:r>
        <w:rPr>
          <w:rFonts w:cs="Calibri"/>
          <w:sz w:val="24"/>
          <w:highlight w:val="none"/>
        </w:rPr>
        <w:t>①</w:t>
      </w:r>
      <w:r>
        <w:rPr>
          <w:rFonts w:hint="eastAsia" w:cs="Calibri"/>
          <w:sz w:val="24"/>
          <w:highlight w:val="none"/>
        </w:rPr>
        <w:t>废水泄漏对地表水影响后果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cs="Calibri"/>
          <w:sz w:val="24"/>
          <w:highlight w:val="none"/>
        </w:rPr>
      </w:pPr>
      <w:r>
        <w:rPr>
          <w:rFonts w:hint="eastAsia" w:cs="Calibri"/>
          <w:sz w:val="24"/>
          <w:highlight w:val="none"/>
        </w:rPr>
        <w:t>养殖废水的收集池可能会出现破损导致高浓度养殖废水泄漏，通过雨水管网和沟渠进入周边河流</w:t>
      </w:r>
      <w:r>
        <w:rPr>
          <w:rFonts w:hint="eastAsia" w:cs="Calibri"/>
          <w:sz w:val="24"/>
          <w:highlight w:val="none"/>
          <w:lang w:eastAsia="zh-CN"/>
        </w:rPr>
        <w:t>清水河</w:t>
      </w:r>
      <w:r>
        <w:rPr>
          <w:rFonts w:hint="eastAsia" w:cs="Calibri"/>
          <w:sz w:val="24"/>
          <w:highlight w:val="none"/>
        </w:rPr>
        <w:t>，对</w:t>
      </w:r>
      <w:r>
        <w:rPr>
          <w:rFonts w:hint="eastAsia" w:cs="Calibri"/>
          <w:sz w:val="24"/>
          <w:highlight w:val="none"/>
          <w:lang w:eastAsia="zh-CN"/>
        </w:rPr>
        <w:t>清水河</w:t>
      </w:r>
      <w:r>
        <w:rPr>
          <w:rFonts w:hint="eastAsia" w:cs="Calibri"/>
          <w:sz w:val="24"/>
          <w:highlight w:val="none"/>
        </w:rPr>
        <w:t>水质造成污染。因此建设单位应加强对收集池的防控和管理，在日常运行过程中收集池出现渗漏等事故工况下，应立即全量转移高浓度废水进入沼气池，并保证沼气池正常运行，将收集的废水送入沼气池，将废水泄漏的影响范围控制在厂区内。</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sz w:val="24"/>
          <w:highlight w:val="none"/>
        </w:rPr>
      </w:pPr>
      <w:r>
        <w:rPr>
          <w:rFonts w:cs="Calibri"/>
          <w:sz w:val="24"/>
          <w:highlight w:val="none"/>
        </w:rPr>
        <w:t>②</w:t>
      </w:r>
      <w:r>
        <w:rPr>
          <w:rFonts w:hint="eastAsia" w:cs="Calibri"/>
          <w:sz w:val="24"/>
          <w:highlight w:val="none"/>
        </w:rPr>
        <w:t>泄漏</w:t>
      </w:r>
      <w:r>
        <w:rPr>
          <w:rFonts w:hint="eastAsia"/>
          <w:sz w:val="24"/>
          <w:highlight w:val="none"/>
        </w:rPr>
        <w:t>事故对土壤的影响后果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养殖废水在收集池泄漏时会给土壤和农作物的生长造成不良的影响，如引起作物徒长、返青、倒伏，使产量大大降低，推迟成熟期，影响后续作物的生产等。养殖废水中的大量有机物质在土壤中不断累积，虽然可为土壤中栖居的小动物、昆虫、真菌、细菌等提供营养物质和适宜的环境，但也可导致一些病原菌大量孳生引起病虫害的发生；此外，大量有机物的积累也会使土壤呈强还原性，而强还原性的条件不仅影响作物的根系生长，而且易使土壤中原本处于惰性状态的有害元素得到还原而释放；大量无机盐在土壤中的积聚则会引起作物的盐害。</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cs="Calibri"/>
          <w:sz w:val="24"/>
          <w:highlight w:val="none"/>
        </w:rPr>
        <w:t>③</w:t>
      </w:r>
      <w:r>
        <w:rPr>
          <w:rFonts w:hint="eastAsia" w:cs="Calibri"/>
          <w:sz w:val="24"/>
          <w:highlight w:val="none"/>
        </w:rPr>
        <w:t>泄漏</w:t>
      </w:r>
      <w:r>
        <w:rPr>
          <w:rFonts w:hint="eastAsia"/>
          <w:sz w:val="24"/>
          <w:highlight w:val="none"/>
        </w:rPr>
        <w:t>事故对地下水的影响后果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本项目产生的废水主要为养殖废水，不含重金属污染物，主要污染物为COD、氨氮，地下水污染及迁移是一个极其缓慢的过程。</w:t>
      </w:r>
    </w:p>
    <w:p>
      <w:pPr>
        <w:keepNext w:val="0"/>
        <w:keepLines w:val="0"/>
        <w:pageBreakBefore w:val="0"/>
        <w:widowControl/>
        <w:kinsoku/>
        <w:wordWrap/>
        <w:overflowPunct/>
        <w:topLinePunct w:val="0"/>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lang w:eastAsia="zh-CN"/>
        </w:rPr>
      </w:pPr>
      <w:r>
        <w:rPr>
          <w:rFonts w:ascii="Times New Roman" w:hAnsi="Times New Roman"/>
          <w:sz w:val="24"/>
          <w:szCs w:val="24"/>
          <w:highlight w:val="none"/>
        </w:rPr>
        <w:t>本次</w:t>
      </w:r>
      <w:r>
        <w:rPr>
          <w:rFonts w:hint="eastAsia" w:ascii="Times New Roman" w:hAnsi="Times New Roman"/>
          <w:sz w:val="24"/>
          <w:szCs w:val="24"/>
          <w:highlight w:val="none"/>
        </w:rPr>
        <w:t>地下水风险评价参考地下水影响分析内容，</w:t>
      </w:r>
      <w:r>
        <w:rPr>
          <w:rFonts w:ascii="Times New Roman" w:hAnsi="Times New Roman"/>
          <w:sz w:val="24"/>
          <w:szCs w:val="24"/>
          <w:highlight w:val="none"/>
        </w:rPr>
        <w:t>评价考虑养殖废水未经处理直接在</w:t>
      </w:r>
      <w:r>
        <w:rPr>
          <w:rFonts w:hint="eastAsia" w:ascii="Times New Roman" w:hAnsi="Times New Roman"/>
          <w:sz w:val="24"/>
          <w:szCs w:val="24"/>
          <w:highlight w:val="none"/>
        </w:rPr>
        <w:t>收集池</w:t>
      </w:r>
      <w:r>
        <w:rPr>
          <w:rFonts w:ascii="Times New Roman" w:hAnsi="Times New Roman"/>
          <w:sz w:val="24"/>
          <w:szCs w:val="24"/>
          <w:highlight w:val="none"/>
        </w:rPr>
        <w:t>渗入地下水，</w:t>
      </w:r>
      <w:r>
        <w:rPr>
          <w:rFonts w:hint="eastAsia" w:ascii="Times New Roman" w:hAnsi="Times New Roman"/>
          <w:sz w:val="24"/>
          <w:szCs w:val="24"/>
          <w:highlight w:val="none"/>
        </w:rPr>
        <w:t>养殖废水</w:t>
      </w:r>
      <w:r>
        <w:rPr>
          <w:rFonts w:ascii="Times New Roman" w:hAnsi="Times New Roman"/>
          <w:sz w:val="24"/>
          <w:szCs w:val="24"/>
          <w:highlight w:val="none"/>
        </w:rPr>
        <w:t>浓度为（COD</w:t>
      </w:r>
      <w:r>
        <w:rPr>
          <w:rFonts w:hint="eastAsia" w:ascii="Times New Roman" w:hAnsi="Times New Roman"/>
          <w:sz w:val="24"/>
          <w:szCs w:val="24"/>
          <w:highlight w:val="none"/>
        </w:rPr>
        <w:t>146</w:t>
      </w:r>
      <w:r>
        <w:rPr>
          <w:rFonts w:hint="eastAsia"/>
          <w:sz w:val="24"/>
          <w:szCs w:val="24"/>
          <w:highlight w:val="none"/>
          <w:lang w:val="en-US" w:eastAsia="zh-CN"/>
        </w:rPr>
        <w:t>16</w:t>
      </w:r>
      <w:r>
        <w:rPr>
          <w:rFonts w:ascii="Times New Roman" w:hAnsi="Times New Roman"/>
          <w:sz w:val="24"/>
          <w:szCs w:val="24"/>
          <w:highlight w:val="none"/>
        </w:rPr>
        <w:t>mg/L、NH</w:t>
      </w:r>
      <w:r>
        <w:rPr>
          <w:rFonts w:ascii="Times New Roman" w:hAnsi="Times New Roman"/>
          <w:sz w:val="24"/>
          <w:szCs w:val="24"/>
          <w:highlight w:val="none"/>
          <w:vertAlign w:val="subscript"/>
        </w:rPr>
        <w:t>3</w:t>
      </w:r>
      <w:r>
        <w:rPr>
          <w:rFonts w:ascii="Times New Roman" w:hAnsi="Times New Roman"/>
          <w:sz w:val="24"/>
          <w:szCs w:val="24"/>
          <w:highlight w:val="none"/>
        </w:rPr>
        <w:t>-N</w:t>
      </w:r>
      <w:r>
        <w:rPr>
          <w:rFonts w:hint="eastAsia"/>
          <w:sz w:val="24"/>
          <w:szCs w:val="24"/>
          <w:highlight w:val="none"/>
          <w:lang w:val="en-US" w:eastAsia="zh-CN"/>
        </w:rPr>
        <w:t>975</w:t>
      </w:r>
      <w:r>
        <w:rPr>
          <w:rFonts w:ascii="Times New Roman" w:hAnsi="Times New Roman"/>
          <w:sz w:val="24"/>
          <w:szCs w:val="24"/>
          <w:highlight w:val="none"/>
        </w:rPr>
        <w:t>mg/L）</w:t>
      </w:r>
      <w:r>
        <w:rPr>
          <w:rFonts w:hint="eastAsia"/>
          <w:sz w:val="24"/>
          <w:szCs w:val="24"/>
          <w:highlight w:val="none"/>
          <w:lang w:eastAsia="zh-CN"/>
        </w:rPr>
        <w:t>。</w:t>
      </w:r>
    </w:p>
    <w:p>
      <w:pPr>
        <w:pStyle w:val="8"/>
        <w:ind w:firstLine="482"/>
        <w:rPr>
          <w:rFonts w:hint="eastAsia"/>
          <w:highlight w:val="none"/>
          <w:lang w:val="en-US" w:eastAsia="zh-CN"/>
        </w:rPr>
      </w:pPr>
      <w:r>
        <w:rPr>
          <w:rFonts w:hint="eastAsia"/>
          <w:highlight w:val="none"/>
          <w:lang w:val="en-US" w:eastAsia="zh-CN"/>
        </w:rPr>
        <w:t>4.2.7.6风险防范措施</w:t>
      </w:r>
    </w:p>
    <w:p>
      <w:pPr>
        <w:ind w:firstLine="480"/>
        <w:rPr>
          <w:highlight w:val="none"/>
        </w:rPr>
      </w:pPr>
      <w:r>
        <w:rPr>
          <w:rFonts w:hint="eastAsia"/>
          <w:highlight w:val="none"/>
        </w:rPr>
        <w:t>我国在安全生产上一贯坚持“预防为主、安全第一”的方针，工作重点应放在预防上。落实有效的风险防范将会减少事故发生的机率，将事故可能造成的危害减小到最低程度，减轻突发性事故对大气、水环境和生态环境的影响。要从日常管理上实行严格的环境安全管理，同时准备周密的事故应急对策，以便在万一发生的事故时快速应对，有序撤离人员和投入应急监测和救援。</w:t>
      </w:r>
    </w:p>
    <w:p>
      <w:pPr>
        <w:keepNext w:val="0"/>
        <w:keepLines w:val="0"/>
        <w:pageBreakBefore w:val="0"/>
        <w:widowControl/>
        <w:kinsoku/>
        <w:wordWrap/>
        <w:overflowPunct/>
        <w:topLinePunct w:val="0"/>
        <w:autoSpaceDN/>
        <w:bidi w:val="0"/>
        <w:adjustRightInd/>
        <w:snapToGrid/>
        <w:spacing w:before="0"/>
        <w:ind w:firstLine="482"/>
        <w:textAlignment w:val="auto"/>
        <w:outlineLvl w:val="9"/>
        <w:rPr>
          <w:rFonts w:hint="eastAsia" w:ascii="Times New Roman" w:hAnsi="Times New Roman" w:eastAsia="宋体" w:cstheme="minorBidi"/>
          <w:b w:val="0"/>
          <w:kern w:val="2"/>
          <w:sz w:val="24"/>
          <w:szCs w:val="24"/>
          <w:highlight w:val="none"/>
          <w:lang w:val="zh-CN" w:eastAsia="zh-CN" w:bidi="ar-SA"/>
        </w:rPr>
      </w:pPr>
      <w:bookmarkStart w:id="47" w:name="_Toc399314520"/>
      <w:bookmarkStart w:id="48" w:name="_Toc392268502"/>
      <w:bookmarkStart w:id="49" w:name="_Toc391994054"/>
      <w:r>
        <w:rPr>
          <w:rFonts w:hint="eastAsia" w:ascii="Times New Roman" w:hAnsi="Times New Roman" w:eastAsia="宋体" w:cstheme="minorBidi"/>
          <w:b w:val="0"/>
          <w:kern w:val="2"/>
          <w:sz w:val="24"/>
          <w:szCs w:val="24"/>
          <w:highlight w:val="none"/>
          <w:lang w:val="en-US" w:eastAsia="zh-CN" w:bidi="ar-SA"/>
        </w:rPr>
        <w:t>1、</w:t>
      </w:r>
      <w:bookmarkEnd w:id="47"/>
      <w:bookmarkEnd w:id="48"/>
      <w:bookmarkEnd w:id="49"/>
      <w:r>
        <w:rPr>
          <w:rFonts w:hint="eastAsia" w:ascii="Times New Roman" w:hAnsi="Times New Roman" w:eastAsia="宋体" w:cstheme="minorBidi"/>
          <w:b w:val="0"/>
          <w:kern w:val="2"/>
          <w:sz w:val="24"/>
          <w:szCs w:val="24"/>
          <w:highlight w:val="none"/>
          <w:lang w:val="en-US" w:eastAsia="zh-CN" w:bidi="ar-SA"/>
        </w:rPr>
        <w:t>沼气泄漏预防</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（1）黑膜沼气池、管线进行适当的整体试验、外观检查或非破坏性的测厚检查、射线探伤，检查记录应存档备查。定期对黑膜沼气池外部检查，及时发现破损和漏处。</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2）黑膜沼气池施工阶段确保四周粘严，同时黑膜沼气池四周设置防护网。经常检查管道，若地下管道应采用防腐蚀材料，并在埋设的地面作标记，以防开挖时破坏管道，地上管道应防止汽车碰撞，并控制管道支撑的磨损。定期系统试压、定期检漏。管道施工应按规范要求进行。</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（3）定期对设备进行安全检测，检测内容、时间、人员应有记录保存，安全检测应根据设备的安全性、危险性设定检测频次。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（4）严控火源</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a、严禁火源进入治污区，对明火严格控制，在黑膜沼气池附近20m内不准有明火；</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c、在黑膜沼气池上设置永久性接地装置；</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d、在装置区内的所有设备，电气装置都应满足防爆防火的要求。</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（6）人员的管理</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a、加强沼气安全知识的宣传，加强对有关人员的培训教育和考核；</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zh-CN"/>
        </w:rPr>
      </w:pPr>
      <w:r>
        <w:rPr>
          <w:rFonts w:hint="eastAsia" w:cs="Times New Roman"/>
          <w:highlight w:val="none"/>
          <w:lang w:val="zh-CN"/>
        </w:rPr>
        <w:t>b、严格规章制度和安全操作规程，强化安全监督检查和管理；</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zh-CN"/>
        </w:rPr>
      </w:pPr>
      <w:r>
        <w:rPr>
          <w:rFonts w:hint="eastAsia" w:cs="Times New Roman"/>
          <w:highlight w:val="none"/>
          <w:lang w:val="zh-CN"/>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highlight w:val="none"/>
          <w:lang w:val="en-US" w:eastAsia="zh-CN"/>
        </w:rPr>
      </w:pPr>
      <w:r>
        <w:rPr>
          <w:rFonts w:hint="eastAsia" w:cs="Times New Roman"/>
          <w:highlight w:val="none"/>
          <w:lang w:val="en-US" w:eastAsia="zh-CN"/>
        </w:rPr>
        <w:t>2、LNG储罐及管线风险防范措施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（1）严格按照《城镇燃气设计规范》（GB50028-2006）、《建筑设计防火规》（GB 50016-2014）等相关规范以及国家制定的相关最新规范进行设计建设和运行管理，并采用技术先进、安全可靠的设备，从而提高工程的建设质量和本质安全。</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严格按各规范设计要求落实工程防雷、防电、消防、通风、天然气泄漏报警装置、安全防散系统等安全措施，科学布局，确保项目LNG储罐与站内站外重要公共建筑物、明火或散发火花地点、重要民用建筑等建构筑物的安全防护距离以及站内设施之间的防火距离。</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加强LNG储罐日常安全操作与安全管理，增压系统、设备控制系统，都是支持储气装置稳定运行的附属设备，这些岗位具有较高的技术含量，操作人员必须进行岗前专业技能和安全培训，做到懂得本岗位的消防措施，掌握本岗位的操作步骤，明确本岗位的安全职责和事故应急处置方法对策。同时应加强对设备设施的日常维护和检修，及时排查事故安全隐患。</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（4）制定完善定期检测制度。</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（5）设置LNG储罐围堰，容积不得小于储罐容积。</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（6）设置安全放散系统，该装置高于周围12m内建筑物2m。</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按照《建筑灭火器配制设计规范》（GB50140-2005），对LNG储罐及场区内可能发生火灾的各类场所，根据火灾危险性、区域大小等实际情况，分别配置一定数量不同类型、不同规格的移动式灭火器材，以便及时扑救初始零星火灾。</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（8）提高员工素质，增强安全意识。建立严格安全管理制度，杜绝违章动火、吸烟等现象，按规定配备劳动防护用品，经常向职工进行安全和健康防护方面教育。</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（9）LNG储罐周围设环形消防车道。</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（10）严禁烟火，设明显警示牌；禁止使用手机、塑料桶等易产生。</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highlight w:val="none"/>
          <w:lang w:val="zh-CN"/>
        </w:rPr>
      </w:pPr>
      <w:r>
        <w:rPr>
          <w:rFonts w:hint="eastAsia" w:cs="Times New Roman"/>
          <w:highlight w:val="none"/>
          <w:lang w:val="en-US" w:eastAsia="zh-CN"/>
        </w:rPr>
        <w:t>3、</w:t>
      </w:r>
      <w:r>
        <w:rPr>
          <w:rFonts w:hint="eastAsia" w:cs="Times New Roman"/>
          <w:highlight w:val="none"/>
          <w:lang w:val="zh-CN"/>
        </w:rPr>
        <w:t>火灾和爆炸的预防</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①沼气在生产过程要密闭化、自动化，严防跑冒滴漏。</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②设备的安全管理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③火源管理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a、严禁火源进入治污区，对明火严格控制，在</w:t>
      </w:r>
      <w:r>
        <w:rPr>
          <w:rFonts w:hint="eastAsia" w:hAnsi="宋体"/>
          <w:highlight w:val="none"/>
          <w:lang w:eastAsia="zh-CN"/>
        </w:rPr>
        <w:t>黑膜</w:t>
      </w:r>
      <w:r>
        <w:rPr>
          <w:rFonts w:hint="eastAsia" w:hAnsi="宋体"/>
          <w:highlight w:val="none"/>
        </w:rPr>
        <w:t>沼气池附近20m内不准有明火；</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c、在</w:t>
      </w:r>
      <w:r>
        <w:rPr>
          <w:rFonts w:hint="eastAsia" w:hAnsi="宋体"/>
          <w:highlight w:val="none"/>
          <w:lang w:eastAsia="zh-CN"/>
        </w:rPr>
        <w:t>黑膜</w:t>
      </w:r>
      <w:r>
        <w:rPr>
          <w:rFonts w:hint="eastAsia" w:hAnsi="宋体"/>
          <w:highlight w:val="none"/>
        </w:rPr>
        <w:t>沼气池上设置永久性接地装置；</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d、在装置区内的所有设备，电气装置都应满足防爆防火的要求。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④人员的管理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a、加强沼气安全知识的宣传，加强对有关人员的培训教育和考核；</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highlight w:val="none"/>
        </w:rPr>
      </w:pPr>
      <w:r>
        <w:rPr>
          <w:rFonts w:hint="eastAsia" w:hAnsi="宋体"/>
          <w:highlight w:val="none"/>
        </w:rPr>
        <w:t>b、严格规章制度和安全操作规程，强化安全监督检查和管理；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Ansi="宋体"/>
          <w:highlight w:val="none"/>
        </w:rPr>
      </w:pPr>
      <w:r>
        <w:rPr>
          <w:rFonts w:hint="eastAsia" w:hAnsi="宋体"/>
          <w:highlight w:val="none"/>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highlight w:val="none"/>
          <w:lang w:val="zh-CN"/>
        </w:rPr>
      </w:pPr>
      <w:r>
        <w:rPr>
          <w:rFonts w:hint="eastAsia" w:cs="Times New Roman"/>
          <w:highlight w:val="none"/>
          <w:lang w:val="en-US" w:eastAsia="zh-CN"/>
        </w:rPr>
        <w:t>4、</w:t>
      </w:r>
      <w:r>
        <w:rPr>
          <w:rFonts w:hint="eastAsia" w:cs="Times New Roman"/>
          <w:highlight w:val="none"/>
          <w:lang w:val="zh-CN"/>
        </w:rPr>
        <w:t>动物疫情风险防范措施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饲养管理的动物卫生要求：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①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 </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②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③根据《中华人民共和国动物防疫法》及其配套法规的要求，结合当地实际情况，选择合适的疫苗、免疫程序和免疫方法定期给猪只注射疫苗，兽用药品剂疫苗应统一购进和使用；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④养殖区内做好环境卫生和猪舍卫生的清洁工作，及时清扫粪便，其无害化处理应符合《畜禽养殖业污染排放标准》（GB18596-2001)；</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⑤养殖区做好防鸟、杀虫、灭鼠工作，根据当地寄生虫、细菌性疾病的发生和危害情况，选择高效、低毒、无残留的药物，定期对养殖区进行驱虫和治疗，防止害虫孽生传播动物疫病。</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项目区防疫制度：</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①根据国家要求制定适合本项目的卫生防疫制度及应急响应预案；</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②养殖场将生产区和生活区分开，生产区门口设置消毒池，各养殖区设置消毒池及消毒室；</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③禁止无关人员进入生产区，确因工作需要必须进入场区的人员、车辆均进行严格的消毒；</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④实行全进全出或实行分单元全进全出的饲养管理制度，一栋猪舍一个批次，每批猪只出栏后，圈舍应进行彻底的清洗、消毒，灭杀病原、防止连续感染和交叉感染；</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⑤患病猪只应及时送入隔离舍进行隔离诊治或投入焚烧炉焚烧；对易感染的动物进行监测，并根据需要实施紧急免疫接种。</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如发生重大动物疫情应报县级以上人民政府处理，并积极配合政府工作。</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个人防护措施：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 ①管理传染源：加强畜类疫情监测，对感染动物应立即销毁，对疫源地进行封锁，侧地消毒，患者应立即隔离治疗，运转时应佩戴口罩；</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ighlight w:val="none"/>
        </w:rPr>
      </w:pPr>
      <w:r>
        <w:rPr>
          <w:rFonts w:hint="eastAsia"/>
          <w:highlight w:val="none"/>
        </w:rPr>
        <w:t xml:space="preserve"> ②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pPr>
        <w:keepNext w:val="0"/>
        <w:keepLines w:val="0"/>
        <w:pageBreakBefore w:val="0"/>
        <w:widowControl/>
        <w:kinsoku/>
        <w:wordWrap/>
        <w:overflowPunct/>
        <w:topLinePunct w:val="0"/>
        <w:autoSpaceDE/>
        <w:autoSpaceDN/>
        <w:bidi w:val="0"/>
        <w:adjustRightInd/>
        <w:snapToGrid/>
        <w:ind w:firstLine="480"/>
        <w:textAlignment w:val="auto"/>
        <w:outlineLvl w:val="9"/>
        <w:rPr>
          <w:highlight w:val="none"/>
        </w:rPr>
      </w:pPr>
      <w:r>
        <w:rPr>
          <w:rFonts w:hint="eastAsia"/>
          <w:highlight w:val="none"/>
        </w:rPr>
        <w:t xml:space="preserve"> ③日常防护：工人进入养殖场之前和之后，都应该换洗衣裳、洗澡、消毒搞好个人防护。</w:t>
      </w:r>
    </w:p>
    <w:p>
      <w:pPr>
        <w:keepNext w:val="0"/>
        <w:keepLines w:val="0"/>
        <w:pageBreakBefore w:val="0"/>
        <w:widowControl/>
        <w:kinsoku/>
        <w:wordWrap/>
        <w:overflowPunct/>
        <w:topLinePunct w:val="0"/>
        <w:autoSpaceDE/>
        <w:autoSpaceDN/>
        <w:bidi w:val="0"/>
        <w:adjustRightInd/>
        <w:snapToGrid/>
        <w:ind w:firstLine="482"/>
        <w:textAlignment w:val="auto"/>
        <w:outlineLvl w:val="9"/>
        <w:rPr>
          <w:rFonts w:hint="default" w:ascii="Times New Roman" w:hAnsi="Times New Roman" w:cs="Times New Roman"/>
          <w:highlight w:val="none"/>
          <w:lang w:val="zh-CN"/>
        </w:rPr>
      </w:pPr>
      <w:r>
        <w:rPr>
          <w:rFonts w:hint="default" w:ascii="Times New Roman" w:hAnsi="Times New Roman" w:cs="Times New Roman"/>
          <w:highlight w:val="none"/>
          <w:lang w:val="en-US" w:eastAsia="zh-CN"/>
        </w:rPr>
        <w:t>5、</w:t>
      </w:r>
      <w:r>
        <w:rPr>
          <w:rFonts w:hint="default" w:ascii="Times New Roman" w:hAnsi="Times New Roman" w:cs="Times New Roman"/>
          <w:highlight w:val="none"/>
          <w:lang w:val="zh-CN"/>
        </w:rPr>
        <w:t>安全管理措施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highlight w:val="none"/>
        </w:rPr>
      </w:pPr>
      <w:r>
        <w:rPr>
          <w:rFonts w:hint="default" w:ascii="Times New Roman" w:hAnsi="Times New Roman" w:cs="Times New Roman"/>
          <w:highlight w:val="none"/>
        </w:rPr>
        <w:t>（1）加强安全生产教育。安全生产教育包括特殊工种安全教育、日常安全教育以及外来人员安全教育等。</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highlight w:val="none"/>
        </w:rPr>
      </w:pPr>
      <w:r>
        <w:rPr>
          <w:rFonts w:hint="default" w:ascii="Times New Roman" w:hAnsi="Times New Roman" w:cs="Times New Roman"/>
          <w:highlight w:val="none"/>
        </w:rPr>
        <w:t>（2）加强设备、管道、阀门等密封检查与维护，发现问题及时解决，在对设备进行大修时，严格检查，特别是泵等关键设备的检查，及时更换不宜再继续使用的配件。检修结束后和生产前组织技术人员对各设备、各工序进行认真仔细检查，发现问题及时解决。</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3）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6、收集池泄漏预防措施</w:t>
      </w:r>
    </w:p>
    <w:p>
      <w:pPr>
        <w:rPr>
          <w:rFonts w:hint="default"/>
          <w:highlight w:val="none"/>
          <w:lang w:val="en-US" w:eastAsia="zh-CN"/>
        </w:rPr>
      </w:pPr>
      <w:r>
        <w:rPr>
          <w:rFonts w:hint="default"/>
          <w:highlight w:val="none"/>
          <w:lang w:val="en-US" w:eastAsia="zh-CN"/>
        </w:rPr>
        <w:t>（1）定期对收集池池壁及池底进行检查，发现防渗层破裂及时修补；</w:t>
      </w:r>
    </w:p>
    <w:p>
      <w:pPr>
        <w:rPr>
          <w:rFonts w:hint="default"/>
          <w:highlight w:val="none"/>
          <w:lang w:val="en-US" w:eastAsia="zh-CN"/>
        </w:rPr>
      </w:pPr>
      <w:r>
        <w:rPr>
          <w:rFonts w:hint="default"/>
          <w:highlight w:val="none"/>
          <w:lang w:val="en-US" w:eastAsia="zh-CN"/>
        </w:rPr>
        <w:t>（2）对管道及阀门进行保养及维护，预防跑冒滴漏现象的发生；</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（3）治污区设置值班人员，如发现设备运行故障及时停产检修；</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（4）定期对废水处理设施下游设置的监测井取水进行监测。</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7、沼液输送管道风险防范措施</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为了防止沼液输送过程中管道破裂而污染土壤和浅层地下水，评价提出如下建议措施：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（1）合理设置管道阀门，在出现破裂时，能及时通过阀门控制泄漏量。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（2）选用优质管材，减少管道破裂的几率。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（3）加强管理，做好管道的维护工作，发现破裂时能及时做应急处理。</w:t>
      </w:r>
    </w:p>
    <w:p>
      <w:pPr>
        <w:pStyle w:val="2"/>
        <w:keepNext w:val="0"/>
        <w:keepLines w:val="0"/>
        <w:pageBreakBefore w:val="0"/>
        <w:widowControl/>
        <w:kinsoku/>
        <w:wordWrap/>
        <w:overflowPunct/>
        <w:topLinePunct w:val="0"/>
        <w:autoSpaceDE/>
        <w:autoSpaceDN/>
        <w:bidi w:val="0"/>
        <w:adjustRightInd/>
        <w:snapToGrid/>
        <w:spacing w:before="0" w:beforeLines="0" w:after="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评价认为采取以上措施后可有效降低沼液输送过程中发生风险的几率。</w:t>
      </w:r>
    </w:p>
    <w:p>
      <w:pPr>
        <w:pStyle w:val="2"/>
        <w:keepNext w:val="0"/>
        <w:keepLines w:val="0"/>
        <w:pageBreakBefore w:val="0"/>
        <w:widowControl/>
        <w:numPr>
          <w:ilvl w:val="0"/>
          <w:numId w:val="17"/>
        </w:numPr>
        <w:kinsoku/>
        <w:wordWrap/>
        <w:overflowPunct/>
        <w:topLinePunct w:val="0"/>
        <w:autoSpaceDE/>
        <w:autoSpaceDN/>
        <w:bidi w:val="0"/>
        <w:adjustRightInd/>
        <w:snapToGrid/>
        <w:spacing w:before="0" w:beforeLines="0" w:after="0" w:afterLines="0"/>
        <w:ind w:firstLine="480" w:firstLineChars="20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沼液贮存风险防范措施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根据《畜禽养殖业污染防治技术规范》（HJ/T81-2001）规定：①养殖场的排水系统应实行雨水和污水收集输送系统分离，在场区内设置的污水收集输送系统，不得采取明沟布设；②贮存设施应采取有效的防渗处理工艺，防止畜禽粪便污染地下水； ③贮存设施应采取设置顶盖及围堰等防止雨水进入的措施。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highlight w:val="none"/>
          <w:lang w:val="en-US" w:eastAsia="zh-CN"/>
        </w:rPr>
      </w:pPr>
      <w:r>
        <w:rPr>
          <w:rFonts w:hint="default"/>
          <w:highlight w:val="none"/>
          <w:lang w:val="en-US" w:eastAsia="zh-CN"/>
        </w:rPr>
        <w:t>本项目污水处理站沼气池、沼液存储池均采用黑膜密闭，可避免雨水进入。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项目沼液储存池池壁在清场夯压的基础上采用铺设1.5mmHDPE防渗膜进行防渗，黑膜沼气池采用素土夯实+HDPE防渗膜进行防渗， 收集池为砖混结构并做相应的耐酸、碱表面处理。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9、</w:t>
      </w:r>
      <w:r>
        <w:rPr>
          <w:rFonts w:hint="default" w:ascii="Times New Roman" w:hAnsi="Times New Roman" w:cs="Times New Roman"/>
          <w:b w:val="0"/>
          <w:bCs w:val="0"/>
          <w:sz w:val="24"/>
          <w:highlight w:val="none"/>
        </w:rPr>
        <w:t>场区雨污水漏入附近河流风险防范措施</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项目建成后养殖废水经污水处理系统处理后，暂存于沼液储存池， 施肥季节，通过管网输送到沼液消纳地。因沼液输送管道破裂等情况发生泄漏，可能导致沼液流入附近河流，距离项目最近的河流为黄庄河，为地上水渠，整个渠体为封闭式结构，项目沼液泄漏排入的可能性极小。但沼液大量泄漏对区域土壤可能会受到影响 ， 评价要求沼液输送过程中应做好防渗、防漏等措施，杜绝沼液事故排放状况的发生。</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本项目在场区内铺设有雨水、污水、粪便的输送管线， 企业应加强管理，定期维护，避免管线出现故障导致污水乱流未经处理排出场区，项目初期雨水中污染物主要为场区地面上可能沾有的猪粪，通过调节阀门，使初期雨水入污水站处理，后期干净雨水才可排出场外。</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eastAsia" w:ascii="Times New Roman" w:hAnsi="Times New Roman" w:cs="Times New Roman"/>
          <w:b w:val="0"/>
          <w:bCs w:val="0"/>
          <w:highlight w:val="none"/>
          <w:lang w:val="en-US" w:eastAsia="zh-CN"/>
        </w:rPr>
        <w:t>10、臭气污染风险防范措施</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eastAsia" w:ascii="Times New Roman" w:hAnsi="Times New Roman" w:cs="Times New Roman"/>
          <w:b w:val="0"/>
          <w:bCs w:val="0"/>
          <w:highlight w:val="none"/>
          <w:lang w:val="en-US" w:eastAsia="zh-CN"/>
        </w:rPr>
      </w:pPr>
      <w:r>
        <w:rPr>
          <w:rFonts w:hint="default"/>
          <w:highlight w:val="none"/>
          <w:lang w:val="en-US" w:eastAsia="zh-CN"/>
        </w:rPr>
        <w:t>本项目产生臭气的主要单元为猪舍、粪污处理区、污水处理区， 其主要通过喷洒除臭剂，进行密闭、安装除臭装置等措施进行除臭。如发生除臭装置停止运行、密闭措施破裂等情况将产生臭气大量排出，污染周围环境的风险，评价提出对于病死猪处理机如臭气治理措施故障不能正常运行，应立即停止设备的运行，将未处理完成的病死猪从设备内取出，用密闭的容器承装，避免恶臭气体排出， 对设备维修后在正常运行。对于猪舍区、污水处理区通过喷洒除臭剂进行除臭的区域 ， 要加强制度的建设和人员的管理，建立岗位责任制，每天由专人定期、定量进行除臭剂的喷洒，并安排专人进行检查，起到督促监督作用。如发现沼气池及存储池上黑膜破裂，恶臭气体排出，应立即安排人员先用</w:t>
      </w:r>
      <w:r>
        <w:rPr>
          <w:rFonts w:hint="default" w:ascii="Times New Roman" w:hAnsi="Times New Roman" w:cs="Times New Roman"/>
          <w:b w:val="0"/>
          <w:bCs w:val="0"/>
          <w:highlight w:val="none"/>
          <w:lang w:val="en-US" w:eastAsia="zh-CN"/>
        </w:rPr>
        <w:t>胶布临时封堵破裂口，然后进行黑膜的修复工作</w:t>
      </w:r>
      <w:r>
        <w:rPr>
          <w:rFonts w:hint="eastAsia" w:ascii="Times New Roman" w:hAnsi="Times New Roman" w:cs="Times New Roman"/>
          <w:b w:val="0"/>
          <w:bCs w:val="0"/>
          <w:highlight w:val="none"/>
          <w:lang w:val="en-US" w:eastAsia="zh-CN"/>
        </w:rPr>
        <w:t>。</w:t>
      </w:r>
    </w:p>
    <w:p>
      <w:pPr>
        <w:pStyle w:val="2"/>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11、猪舍防疫措施</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（1）科学的饲养管理是种猪、仔猪疾病防疫基础良好的饲养管理是防疫基础。从猪舍内部具体布局到饲料供给、温度、光照、通风等环境条件的调控，管理的好坏直接关系到猪的健康。</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（2）执行严格的猪舍卫生消毒制度</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消毒能够有效地消灭散播于环境、猪体表面及工具上的病原体，切断传播途径。消毒制度化，经常化，这对环境的净化和疫情的防治有重要作用。常用消毒剂包括：</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①氢氧化钠：含94%氢氧化钠的块状或片状固体，配成2～3%溶液，用于运动场猪舍消毒。②甲醛溶液：含煤酚 50%的溶液，配成1～2%，用于手、器械消毒，配成 3～5%用于用具，栏圈消毒。③酒精：含乙醇95%的溶液，配成70～75%，用于擦拭消毒注射部位。④碘酒：碘的酒精溶液，配成2%，用于皮肤消毒。⑤百毒杀：50%或10%溶液，配成0.1%，用于饮水，带猪消毒。⑥安唯消：10%溶液，配成1：5000，带猪消毒。</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（3）建立科学的免疫接种程序</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免疫接种是预防疾病的重要手段。要达到预期的免疫效果，疫苗的种类、疫苗的质量、免疫时间、免疫方法等都很关键。猪舍应根据当地猪病流行情况及严重程度、母源抗体水平、疫苗的种类、性质、免疫途径等情况制定适合本厂实际情况的免疫程序。针对猪群常见的几种疾病，分别采取相应的免疫接种措施，主要如下：</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①猪瘟防疫方法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种猪每年定期进行4次猪瘟免疫弱毒苗接种。没有猪瘟流行地区的哺乳仔猪，在出生后25～30天接种，60～70天再接种一次，每次接种的猪均实行打耳标记，防治漏接种，对漏接种的猪要及时补针。</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②猪丹毒防疫方法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预防猪丹病重要的是定期进行预防接种，使用猪丹毒氢氧化铝甲醛苗注射， 断奶以后的猪每头注射5mL。</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③猪肺疫防疫办法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预防猪肺疫，用猪肺疫氢氧化铝甲醛苗或B型苗注射。</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④仔猪黄痢防疫办法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黄连20～30g加水1000ml，煎成500ml，发病仔猪灌服5～7ml，每天三次连服两天，若在仔猪刚产下未吃初乳前每头灌服2～3ml，两天后重复用药一次，则有较好的预防作用。</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⑤仔猪白痢防疫方法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要改进母猪的饲养管理，防止母猪过肥过瘦，怀孕期及产后饲料应含有丰富的维生素及矿物质，做好产前产后母猪管理，注意搞好猪舍卫生，防寒保暖工作。在仔猪未吃第一次奶之前喂给0.1%的高锰酸钾溶液2～3ml，以后每隔五天让其自饮。</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⑥口蹄疫防疫方法</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每年定期4次对种猪注射疫苗，仔猪要进行2次疫苗注射。</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（4）做好猪的检疫净化工作</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猪感染某些疾病后症状不明显，有时治愈后还长期带菌，不仅严重影响猪自身的生产能力，而且威胁整个猪群，因此要对这些病进行检疫。</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（5）杀虫、灭鼠、控制夜野鸟</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许多昆虫、鼠类和飞鸟是猪舍传播媒介的传播源，猪舍必须杀虫、灭鼠和控制飞鸟。</w:t>
      </w:r>
    </w:p>
    <w:p>
      <w:pPr>
        <w:pStyle w:val="2"/>
        <w:keepNext w:val="0"/>
        <w:keepLines w:val="0"/>
        <w:pageBreakBefore w:val="0"/>
        <w:widowControl/>
        <w:kinsoku/>
        <w:wordWrap/>
        <w:overflowPunct/>
        <w:topLinePunct w:val="0"/>
        <w:autoSpaceDE/>
        <w:autoSpaceDN/>
        <w:bidi w:val="0"/>
        <w:adjustRightInd/>
        <w:snapToGrid/>
        <w:spacing w:before="0" w:beforeLines="0" w:after="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12、猪舍发生疫情的应急措施</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针对不同疾病，猪舍管理者应在及时采取不同的防疫措施，以避免或控制疫情发展，主要防范措施如下：</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（1）猪出现疫情时应立即组成防疫小组，尽快做出确切诊断，迅速向有关上级部门报告疫情。</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（2）隔离：当猪舍发生传染病或疑似传染病时，应立即隔离，指派专人饲养管理。在隔离的同时要尽快诊断，经诊断属于烈性传染病时要报告当地政府和兽医防疫部门，必要时采取封锁措施。</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消毒：隔离的同时立即严格消毒猪舍环境和所有器具，彻底打扫垫草和粪便。病死猪要进行无害化处理，在最后一只病猪治愈或处理 2 周后在进行一次全面的大消毒才能解除隔离或封锁。</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紧急免疫接种：为了迅速控制疫病流行， 要对疫区受威胁的猪群进行紧急接种。可以用免疫血清，但目前主要是使用疫苗。实践证明在疫区内使用疫苗对所有的猪只紧急接种，不但可以预防疫病向周围地区蔓延，而且对某些疾病还可以较少发病猪群的死亡损失。但对正处在潜伏期尚未明显发病的猪只，有可能促进死亡，经过一段时间后，发病及死亡就会迅速下降，使疫情得到控制。</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紧急药物治疗：对病猪和疑似病猪要进行治疗，对假定健康群要进行预防性治疗。治疗要在诊确的基础上尽早实施，控制疾病蔓延和防止继发感染。</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（3）病死猪尸体要严格按照防疫条例进行处置。</w:t>
      </w:r>
    </w:p>
    <w:p>
      <w:pPr>
        <w:pStyle w:val="2"/>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（4）出现重大疫情时必须严格执行《重大动物疫情应急条例》中相关规定。</w:t>
      </w:r>
    </w:p>
    <w:p>
      <w:pPr>
        <w:pStyle w:val="8"/>
        <w:ind w:firstLine="482"/>
        <w:rPr>
          <w:rFonts w:hint="eastAsia"/>
          <w:highlight w:val="none"/>
          <w:lang w:val="en-US" w:eastAsia="zh-CN"/>
        </w:rPr>
      </w:pPr>
      <w:r>
        <w:rPr>
          <w:rFonts w:hint="eastAsia"/>
          <w:highlight w:val="none"/>
          <w:lang w:val="en-US" w:eastAsia="zh-CN"/>
        </w:rPr>
        <w:t>4.2.7.7风险应急预案</w:t>
      </w:r>
    </w:p>
    <w:p>
      <w:pPr>
        <w:ind w:firstLine="480"/>
        <w:rPr>
          <w:highlight w:val="none"/>
        </w:rPr>
      </w:pPr>
      <w:r>
        <w:rPr>
          <w:rFonts w:hint="eastAsia"/>
          <w:highlight w:val="none"/>
        </w:rPr>
        <w:t>（1）对火灾的应急处理</w:t>
      </w:r>
    </w:p>
    <w:p>
      <w:pPr>
        <w:ind w:firstLine="480"/>
        <w:rPr>
          <w:highlight w:val="none"/>
        </w:rPr>
      </w:pPr>
      <w:r>
        <w:rPr>
          <w:rFonts w:hint="eastAsia"/>
          <w:highlight w:val="none"/>
        </w:rPr>
        <w:t>厂区</w:t>
      </w:r>
      <w:r>
        <w:rPr>
          <w:highlight w:val="none"/>
        </w:rPr>
        <w:t>一旦发生火灾，应采取以下应急措施：</w:t>
      </w:r>
    </w:p>
    <w:p>
      <w:pPr>
        <w:ind w:firstLine="480"/>
        <w:rPr>
          <w:highlight w:val="none"/>
        </w:rPr>
      </w:pPr>
      <w:r>
        <w:rPr>
          <w:highlight w:val="none"/>
        </w:rPr>
        <w:t>一旦发生火情，全体工作人员立即进入灭火状态，及时通知消防部门，派专人上路迎接消防车辆到来。防火责任人立即敢赴现场、坚决采取果断措施，防止火患扩大。当消防车赶到现场时，要积极做好配合、提供现场情况资料，以最快速度扑灭大火。</w:t>
      </w:r>
    </w:p>
    <w:p>
      <w:pPr>
        <w:ind w:firstLine="480"/>
        <w:rPr>
          <w:highlight w:val="none"/>
        </w:rPr>
      </w:pPr>
      <w:r>
        <w:rPr>
          <w:highlight w:val="none"/>
        </w:rPr>
        <w:t>迅速转移员工到安全地带，设立警戒线，非消防人员不得进入；在安全的情况下，转移火源附近的易燃易爆物品；关闭雨水排入口，防止消防废水排入城市排水系统</w:t>
      </w:r>
      <w:r>
        <w:rPr>
          <w:rFonts w:hint="eastAsia"/>
          <w:highlight w:val="none"/>
        </w:rPr>
        <w:t>。</w:t>
      </w:r>
    </w:p>
    <w:p>
      <w:pPr>
        <w:ind w:firstLine="480"/>
        <w:rPr>
          <w:highlight w:val="none"/>
        </w:rPr>
      </w:pPr>
      <w:r>
        <w:rPr>
          <w:rFonts w:hint="eastAsia"/>
          <w:highlight w:val="none"/>
        </w:rPr>
        <w:t>（2）应急响应方案</w:t>
      </w:r>
    </w:p>
    <w:p>
      <w:pPr>
        <w:ind w:firstLine="480"/>
        <w:rPr>
          <w:highlight w:val="none"/>
        </w:rPr>
      </w:pPr>
      <w:r>
        <w:rPr>
          <w:highlight w:val="none"/>
        </w:rPr>
        <w:t xml:space="preserve">对于项目主要风险（主要是火灾事故），制定应急响应方案，建立应急反应体系，当事件一旦发生时可迅速加以控制，使危害和损失降低到尽可能低的程度。 </w:t>
      </w:r>
    </w:p>
    <w:p>
      <w:pPr>
        <w:ind w:firstLine="480"/>
        <w:rPr>
          <w:highlight w:val="none"/>
        </w:rPr>
      </w:pPr>
      <w:r>
        <w:rPr>
          <w:highlight w:val="none"/>
        </w:rPr>
        <w:t>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建设单位应根据本项目实际情况，结合相关规范制定应急预案，具体内容见表</w:t>
      </w:r>
      <w:r>
        <w:rPr>
          <w:rFonts w:hint="eastAsia"/>
          <w:highlight w:val="none"/>
          <w:lang w:val="en-US" w:eastAsia="zh-CN"/>
        </w:rPr>
        <w:t>4</w:t>
      </w:r>
      <w:r>
        <w:rPr>
          <w:rFonts w:hint="eastAsia"/>
          <w:highlight w:val="none"/>
        </w:rPr>
        <w:t>.</w:t>
      </w:r>
      <w:r>
        <w:rPr>
          <w:rFonts w:hint="eastAsia"/>
          <w:highlight w:val="none"/>
          <w:lang w:val="en-US" w:eastAsia="zh-CN"/>
        </w:rPr>
        <w:t>2</w:t>
      </w:r>
      <w:r>
        <w:rPr>
          <w:highlight w:val="none"/>
        </w:rPr>
        <w:t>-</w:t>
      </w:r>
      <w:r>
        <w:rPr>
          <w:rFonts w:hint="eastAsia"/>
          <w:highlight w:val="none"/>
          <w:lang w:val="en-US" w:eastAsia="zh-CN"/>
        </w:rPr>
        <w:t>52</w:t>
      </w:r>
      <w:r>
        <w:rPr>
          <w:highlight w:val="none"/>
        </w:rPr>
        <w:t xml:space="preserve">。 </w:t>
      </w:r>
    </w:p>
    <w:p>
      <w:pPr>
        <w:pStyle w:val="40"/>
        <w:rPr>
          <w:rFonts w:hint="eastAsia" w:cs="Times New Roman"/>
          <w:highlight w:val="none"/>
          <w:lang w:val="en-US" w:eastAsia="zh-CN"/>
        </w:rPr>
      </w:pPr>
      <w:r>
        <w:rPr>
          <w:rFonts w:hint="eastAsia" w:cs="Times New Roman"/>
          <w:highlight w:val="none"/>
          <w:lang w:val="en-US" w:eastAsia="zh-CN"/>
        </w:rPr>
        <w:t xml:space="preserve">表4.2-52 环境风险应急预案内容一览表 </w:t>
      </w:r>
    </w:p>
    <w:tbl>
      <w:tblPr>
        <w:tblStyle w:val="24"/>
        <w:tblW w:w="83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3"/>
        <w:gridCol w:w="1800"/>
        <w:gridCol w:w="5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 w:val="0"/>
                <w:bCs/>
                <w:sz w:val="21"/>
                <w:szCs w:val="21"/>
                <w:highlight w:val="none"/>
              </w:rPr>
            </w:pPr>
            <w:r>
              <w:rPr>
                <w:b w:val="0"/>
                <w:bCs/>
                <w:sz w:val="21"/>
                <w:szCs w:val="21"/>
                <w:highlight w:val="none"/>
              </w:rPr>
              <w:t>序号</w:t>
            </w:r>
          </w:p>
        </w:tc>
        <w:tc>
          <w:tcPr>
            <w:tcW w:w="1800" w:type="dxa"/>
            <w:tcBorders>
              <w:tl2br w:val="nil"/>
              <w:tr2bl w:val="nil"/>
            </w:tcBorders>
            <w:vAlign w:val="center"/>
          </w:tcPr>
          <w:p>
            <w:pPr>
              <w:pStyle w:val="10"/>
              <w:ind w:firstLine="0" w:firstLineChars="0"/>
              <w:jc w:val="center"/>
              <w:rPr>
                <w:b w:val="0"/>
                <w:bCs/>
                <w:sz w:val="21"/>
                <w:szCs w:val="21"/>
                <w:highlight w:val="none"/>
              </w:rPr>
            </w:pPr>
            <w:r>
              <w:rPr>
                <w:b w:val="0"/>
                <w:bCs/>
                <w:sz w:val="21"/>
                <w:szCs w:val="21"/>
                <w:highlight w:val="none"/>
              </w:rPr>
              <w:t>项目</w:t>
            </w:r>
          </w:p>
        </w:tc>
        <w:tc>
          <w:tcPr>
            <w:tcW w:w="5927" w:type="dxa"/>
            <w:tcBorders>
              <w:tl2br w:val="nil"/>
              <w:tr2bl w:val="nil"/>
            </w:tcBorders>
            <w:vAlign w:val="center"/>
          </w:tcPr>
          <w:p>
            <w:pPr>
              <w:pStyle w:val="10"/>
              <w:ind w:firstLine="0" w:firstLineChars="0"/>
              <w:jc w:val="center"/>
              <w:rPr>
                <w:b w:val="0"/>
                <w:bCs/>
                <w:sz w:val="21"/>
                <w:szCs w:val="21"/>
                <w:highlight w:val="none"/>
              </w:rPr>
            </w:pPr>
            <w:r>
              <w:rPr>
                <w:b w:val="0"/>
                <w:bCs/>
                <w:sz w:val="21"/>
                <w:szCs w:val="21"/>
                <w:highlight w:val="none"/>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1</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应急计划区</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生产厂房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2</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应急组织结构</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以厂区为主体，各主要负责人为应急计划、协调第一人，应急人员必须为培训上岗熟练工；区域应急组织结构由当地政府、相关行业专家、卫生安全相关单位组成，并由当地政府进行统一调度。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3</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预案分级响应条件</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根据事故的严重程度制定相应级别的应急预案，以及适合相应情况的处理措施。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4</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报警、通讯联络</w:t>
            </w:r>
          </w:p>
          <w:p>
            <w:pPr>
              <w:pStyle w:val="10"/>
              <w:ind w:firstLine="0" w:firstLineChars="0"/>
              <w:jc w:val="center"/>
              <w:rPr>
                <w:bCs/>
                <w:sz w:val="21"/>
                <w:szCs w:val="21"/>
                <w:highlight w:val="none"/>
              </w:rPr>
            </w:pPr>
            <w:r>
              <w:rPr>
                <w:bCs/>
                <w:sz w:val="21"/>
                <w:szCs w:val="21"/>
                <w:highlight w:val="none"/>
              </w:rPr>
              <w:t>方式</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逐一细化应急状态下各主要负责单位的报警通讯方式、地点、电话号码以及相关配套的交通保障、管制、消防、环境保护部门联络方法，及时通报事故处理情况，以获得区域性支援。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vMerge w:val="restart"/>
            <w:tcBorders>
              <w:tl2br w:val="nil"/>
              <w:tr2bl w:val="nil"/>
            </w:tcBorders>
            <w:vAlign w:val="center"/>
          </w:tcPr>
          <w:p>
            <w:pPr>
              <w:pStyle w:val="10"/>
              <w:ind w:firstLine="0" w:firstLineChars="0"/>
              <w:jc w:val="center"/>
              <w:rPr>
                <w:bCs/>
                <w:sz w:val="21"/>
                <w:szCs w:val="21"/>
                <w:highlight w:val="none"/>
              </w:rPr>
            </w:pPr>
            <w:r>
              <w:rPr>
                <w:bCs/>
                <w:sz w:val="21"/>
                <w:szCs w:val="21"/>
                <w:highlight w:val="none"/>
              </w:rPr>
              <w:t>5</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应急环境监测</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组织专业队伍负责对事故现场进行侦察监测，对事故性质、参数与后果进行评估，专为指挥部门提供决策依据。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vMerge w:val="continue"/>
            <w:tcBorders>
              <w:tl2br w:val="nil"/>
              <w:tr2bl w:val="nil"/>
            </w:tcBorders>
            <w:vAlign w:val="center"/>
          </w:tcPr>
          <w:p>
            <w:pPr>
              <w:pStyle w:val="10"/>
              <w:ind w:firstLine="0" w:firstLineChars="0"/>
              <w:jc w:val="center"/>
              <w:rPr>
                <w:bCs/>
                <w:sz w:val="21"/>
                <w:szCs w:val="21"/>
                <w:highlight w:val="none"/>
              </w:rPr>
            </w:pP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抢险、救援控制</w:t>
            </w:r>
          </w:p>
          <w:p>
            <w:pPr>
              <w:pStyle w:val="10"/>
              <w:ind w:firstLine="0" w:firstLineChars="0"/>
              <w:jc w:val="center"/>
              <w:rPr>
                <w:bCs/>
                <w:sz w:val="21"/>
                <w:szCs w:val="21"/>
                <w:highlight w:val="none"/>
              </w:rPr>
            </w:pPr>
            <w:r>
              <w:rPr>
                <w:bCs/>
                <w:sz w:val="21"/>
                <w:szCs w:val="21"/>
                <w:highlight w:val="none"/>
              </w:rPr>
              <w:t>措施</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6</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疏散计划</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事故现场、邻近区、受事故影响的区域人员及公众对有毒有害物质应急剂量控制规定，制定紧急撤离组织计划和救护，制定事故发生时职工撤退应急路线图，医疗救护与公众健康。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7</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事故应急救援</w:t>
            </w:r>
          </w:p>
          <w:p>
            <w:pPr>
              <w:pStyle w:val="10"/>
              <w:ind w:firstLine="0" w:firstLineChars="0"/>
              <w:jc w:val="center"/>
              <w:rPr>
                <w:bCs/>
                <w:sz w:val="21"/>
                <w:szCs w:val="21"/>
                <w:highlight w:val="none"/>
              </w:rPr>
            </w:pPr>
            <w:r>
              <w:rPr>
                <w:bCs/>
                <w:sz w:val="21"/>
                <w:szCs w:val="21"/>
                <w:highlight w:val="none"/>
              </w:rPr>
              <w:t>关闭程序</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制定相关应急状态终止程序，事故现场、受影响范围内的善后处</w:t>
            </w:r>
          </w:p>
          <w:p>
            <w:pPr>
              <w:pStyle w:val="10"/>
              <w:ind w:firstLine="0" w:firstLineChars="0"/>
              <w:jc w:val="center"/>
              <w:rPr>
                <w:bCs/>
                <w:sz w:val="21"/>
                <w:szCs w:val="21"/>
                <w:highlight w:val="none"/>
              </w:rPr>
            </w:pPr>
            <w:r>
              <w:rPr>
                <w:bCs/>
                <w:sz w:val="21"/>
                <w:szCs w:val="21"/>
                <w:highlight w:val="none"/>
              </w:rPr>
              <w:t>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8</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事故恢复措施</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制定有关的环境恢复措施，组织专业人员对事故后的环境变化进行监测，对事故应急措施的环境可行性进行后影响评价。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9</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应急培训计划</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定期安排有关人员进行培训与演练。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3"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10</w:t>
            </w:r>
          </w:p>
        </w:tc>
        <w:tc>
          <w:tcPr>
            <w:tcW w:w="1800"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公众教育和信息</w:t>
            </w:r>
          </w:p>
        </w:tc>
        <w:tc>
          <w:tcPr>
            <w:tcW w:w="5927" w:type="dxa"/>
            <w:tcBorders>
              <w:tl2br w:val="nil"/>
              <w:tr2bl w:val="nil"/>
            </w:tcBorders>
            <w:vAlign w:val="center"/>
          </w:tcPr>
          <w:p>
            <w:pPr>
              <w:pStyle w:val="10"/>
              <w:ind w:firstLine="0" w:firstLineChars="0"/>
              <w:jc w:val="center"/>
              <w:rPr>
                <w:bCs/>
                <w:sz w:val="21"/>
                <w:szCs w:val="21"/>
                <w:highlight w:val="none"/>
              </w:rPr>
            </w:pPr>
            <w:r>
              <w:rPr>
                <w:bCs/>
                <w:sz w:val="21"/>
                <w:szCs w:val="21"/>
                <w:highlight w:val="none"/>
              </w:rPr>
              <w:t>对邻近地区开展公众教育、培训和发布有关信息。</w:t>
            </w:r>
          </w:p>
        </w:tc>
      </w:tr>
    </w:tbl>
    <w:p>
      <w:pPr>
        <w:pStyle w:val="8"/>
        <w:ind w:firstLine="482"/>
        <w:rPr>
          <w:rFonts w:hint="eastAsia"/>
          <w:highlight w:val="none"/>
          <w:lang w:val="en-US" w:eastAsia="zh-CN"/>
        </w:rPr>
      </w:pPr>
      <w:bookmarkStart w:id="50" w:name="_Toc404171074"/>
      <w:bookmarkStart w:id="51" w:name="_Toc451525733"/>
      <w:r>
        <w:rPr>
          <w:rFonts w:hint="eastAsia"/>
          <w:highlight w:val="none"/>
          <w:lang w:val="en-US" w:eastAsia="zh-CN"/>
        </w:rPr>
        <w:t>4.2.7.8 风险评价结论</w:t>
      </w:r>
      <w:bookmarkEnd w:id="50"/>
      <w:bookmarkEnd w:id="51"/>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imes New Roman" w:hAnsi="Times New Roman"/>
          <w:sz w:val="24"/>
          <w:highlight w:val="none"/>
        </w:rPr>
      </w:pPr>
      <w:r>
        <w:rPr>
          <w:rFonts w:hint="eastAsia" w:ascii="Times New Roman" w:hAnsi="Times New Roman"/>
          <w:sz w:val="24"/>
          <w:highlight w:val="none"/>
        </w:rPr>
        <w:t>本项目环境风险主要表现在沼气或LNG储罐发生泄漏可能引起大气污染及火灾、爆炸事故引发的次生大气污染。收集池废水泄漏可能对周围土壤、地表水及地下水产生的影响。</w:t>
      </w:r>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ascii="Times New Roman" w:hAnsi="Times New Roman"/>
          <w:sz w:val="24"/>
          <w:highlight w:val="none"/>
        </w:rPr>
        <w:t>通过分析可知，在严格落实本环评提出的各项风险防范措施和应急预案后，该项目发生风险事故的可能进一步降低，其潜在的环境风险是可以接受的</w:t>
      </w:r>
      <w:r>
        <w:rPr>
          <w:highlight w:val="none"/>
        </w:rPr>
        <w:t>。</w:t>
      </w:r>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sectPr>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5"/>
        <w:spacing w:before="0" w:beforeLines="0" w:after="0" w:afterLines="0"/>
        <w:rPr>
          <w:rFonts w:cs="Times New Roman"/>
          <w:highlight w:val="none"/>
        </w:rPr>
      </w:pPr>
      <w:bookmarkStart w:id="52" w:name="_Toc7512"/>
      <w:r>
        <w:rPr>
          <w:rFonts w:hint="eastAsia" w:cs="Times New Roman"/>
          <w:highlight w:val="none"/>
          <w:lang w:val="en-US" w:eastAsia="zh-CN"/>
        </w:rPr>
        <w:t>5</w:t>
      </w:r>
      <w:r>
        <w:rPr>
          <w:rFonts w:cs="Times New Roman"/>
          <w:highlight w:val="none"/>
        </w:rPr>
        <w:t>环境保护措施及其可行性分析</w:t>
      </w:r>
      <w:bookmarkEnd w:id="52"/>
    </w:p>
    <w:p>
      <w:pPr>
        <w:pStyle w:val="6"/>
        <w:spacing w:beforeLines="0"/>
        <w:rPr>
          <w:rFonts w:cs="Times New Roman"/>
          <w:highlight w:val="none"/>
        </w:rPr>
      </w:pPr>
      <w:bookmarkStart w:id="53" w:name="_Toc3243"/>
      <w:r>
        <w:rPr>
          <w:rFonts w:hint="eastAsia" w:cs="Times New Roman"/>
          <w:highlight w:val="none"/>
          <w:lang w:val="en-US" w:eastAsia="zh-CN"/>
        </w:rPr>
        <w:t>5</w:t>
      </w:r>
      <w:r>
        <w:rPr>
          <w:rFonts w:hint="eastAsia" w:cs="Times New Roman"/>
          <w:highlight w:val="none"/>
        </w:rPr>
        <w:t>.</w:t>
      </w:r>
      <w:r>
        <w:rPr>
          <w:rFonts w:cs="Times New Roman"/>
          <w:highlight w:val="none"/>
        </w:rPr>
        <w:t>1</w:t>
      </w:r>
      <w:r>
        <w:rPr>
          <w:rFonts w:hint="eastAsia" w:cs="Times New Roman"/>
          <w:highlight w:val="none"/>
        </w:rPr>
        <w:t>施工期环境保护措施</w:t>
      </w:r>
      <w:bookmarkEnd w:id="53"/>
    </w:p>
    <w:p>
      <w:pPr>
        <w:pStyle w:val="7"/>
        <w:spacing w:before="66"/>
        <w:ind w:firstLine="482"/>
        <w:rPr>
          <w:highlight w:val="none"/>
        </w:rPr>
      </w:pPr>
      <w:r>
        <w:rPr>
          <w:rFonts w:hint="eastAsia"/>
          <w:highlight w:val="none"/>
          <w:lang w:val="en-US" w:eastAsia="zh-CN"/>
        </w:rPr>
        <w:t>5</w:t>
      </w:r>
      <w:r>
        <w:rPr>
          <w:rFonts w:hint="eastAsia"/>
          <w:highlight w:val="none"/>
        </w:rPr>
        <w:t>.1.1水环境保护措施</w:t>
      </w:r>
    </w:p>
    <w:p>
      <w:pPr>
        <w:ind w:firstLine="480"/>
        <w:rPr>
          <w:rFonts w:cs="Times New Roman"/>
          <w:highlight w:val="none"/>
        </w:rPr>
      </w:pPr>
      <w:r>
        <w:rPr>
          <w:rFonts w:hint="eastAsia" w:cs="Times New Roman"/>
          <w:highlight w:val="none"/>
        </w:rPr>
        <w:t>本项目施工期间</w:t>
      </w:r>
      <w:r>
        <w:rPr>
          <w:rStyle w:val="110"/>
          <w:rFonts w:hint="eastAsia"/>
          <w:highlight w:val="none"/>
        </w:rPr>
        <w:t>场地内施工人员生活污水经处理后回用于施工或洒水抑尘</w:t>
      </w:r>
      <w:r>
        <w:rPr>
          <w:rFonts w:cs="Times New Roman"/>
          <w:highlight w:val="none"/>
        </w:rPr>
        <w:t>。</w:t>
      </w:r>
      <w:r>
        <w:rPr>
          <w:rFonts w:hint="eastAsia" w:cs="Times New Roman"/>
          <w:highlight w:val="none"/>
        </w:rPr>
        <w:t>施工场地设置进出车辆冲洗平台，并在平台周边设置截流沟，将冲洗废水导入沉淀池或沉砂井，施工废水经简易沉淀处理后，回用于施工或洒水降尘。</w:t>
      </w:r>
    </w:p>
    <w:p>
      <w:pPr>
        <w:pStyle w:val="7"/>
        <w:spacing w:before="66"/>
        <w:ind w:firstLine="482"/>
        <w:rPr>
          <w:highlight w:val="none"/>
        </w:rPr>
      </w:pPr>
      <w:r>
        <w:rPr>
          <w:rFonts w:hint="eastAsia"/>
          <w:highlight w:val="none"/>
          <w:lang w:val="en-US" w:eastAsia="zh-CN"/>
        </w:rPr>
        <w:t>5</w:t>
      </w:r>
      <w:r>
        <w:rPr>
          <w:rFonts w:hint="eastAsia"/>
          <w:highlight w:val="none"/>
        </w:rPr>
        <w:t>.1.2扬尘污染防治措施</w:t>
      </w:r>
    </w:p>
    <w:p>
      <w:pPr>
        <w:ind w:firstLine="480"/>
        <w:rPr>
          <w:highlight w:val="none"/>
        </w:rPr>
      </w:pPr>
      <w:r>
        <w:rPr>
          <w:rFonts w:hint="eastAsia"/>
          <w:highlight w:val="none"/>
        </w:rPr>
        <w:t>为了减轻施工期扬尘对周围居民的影响，在建设施工过程中应从以下几方面加强扬尘污染防治措施。</w:t>
      </w:r>
    </w:p>
    <w:p>
      <w:pPr>
        <w:ind w:firstLine="480"/>
        <w:rPr>
          <w:highlight w:val="none"/>
        </w:rPr>
      </w:pPr>
      <w:r>
        <w:rPr>
          <w:rFonts w:hint="eastAsia"/>
          <w:highlight w:val="none"/>
        </w:rPr>
        <w:t>a在工程开工前，将扬尘污染防治方案在建筑工地周围醒目位置公布，公布期至工程施工结束，公布期间应当保持公布内容的清晰完好。</w:t>
      </w:r>
    </w:p>
    <w:p>
      <w:pPr>
        <w:ind w:firstLine="480"/>
        <w:rPr>
          <w:highlight w:val="none"/>
        </w:rPr>
      </w:pPr>
      <w:r>
        <w:rPr>
          <w:rFonts w:hint="eastAsia"/>
          <w:highlight w:val="none"/>
        </w:rPr>
        <w:t>b整个施工期必须设置不少于2名的专职保洁员。根据施工工期、阶段和进度明确建设方、施工方扬尘控制责任人员数量、名单、联系电话和责任范围。</w:t>
      </w:r>
    </w:p>
    <w:p>
      <w:pPr>
        <w:ind w:firstLine="480"/>
        <w:rPr>
          <w:highlight w:val="none"/>
        </w:rPr>
      </w:pPr>
      <w:r>
        <w:rPr>
          <w:rFonts w:hint="eastAsia"/>
          <w:highlight w:val="none"/>
        </w:rPr>
        <w:t>c设置洗车平台，完善排水设施，防止泥土粘带。对出场车辆的车身、轮胎进行冲洗，冲洗台周边设置防溢座、导流渠、沉淀池等设施。</w:t>
      </w:r>
    </w:p>
    <w:p>
      <w:pPr>
        <w:ind w:firstLine="480"/>
        <w:rPr>
          <w:highlight w:val="none"/>
        </w:rPr>
      </w:pPr>
      <w:r>
        <w:rPr>
          <w:rFonts w:hint="eastAsia"/>
          <w:highlight w:val="none"/>
        </w:rPr>
        <w:t>d建筑物四周1.5m外全部设置防尘布或防尘网。防尘布应先安装后施工，且防尘布顶端应高于施工作业面2m以上。</w:t>
      </w:r>
    </w:p>
    <w:p>
      <w:pPr>
        <w:ind w:firstLine="480"/>
        <w:rPr>
          <w:highlight w:val="none"/>
        </w:rPr>
      </w:pPr>
      <w:r>
        <w:rPr>
          <w:rFonts w:hint="eastAsia"/>
          <w:highlight w:val="none"/>
        </w:rPr>
        <w:t>e施工过程中使用易产生扬尘的建筑材料，应采取密闭存储、设置围挡或堆砌围墙、采用防尘布苫盖等有效防尘措施。施工工程中产生的建筑垃圾，应及时清运。施工弃土应及时清运，避免长时间堆放，必要时采用防尘布苫盖，防止扬尘污染。</w:t>
      </w:r>
    </w:p>
    <w:p>
      <w:pPr>
        <w:ind w:firstLine="480"/>
        <w:rPr>
          <w:highlight w:val="none"/>
        </w:rPr>
      </w:pPr>
      <w:r>
        <w:rPr>
          <w:rFonts w:hint="eastAsia"/>
          <w:highlight w:val="none"/>
        </w:rPr>
        <w:t>f装载物料及弃土的运输车辆应尽量采用密闭车斗，若无密闭车斗，装载物料不得超过车辆槽帮上沿，车斗应用苫布盖严，苫布边沿应超出槽帮上沿以下15cm，保证物料不露出，车辆应按照批准的路线和时间进行运输。</w:t>
      </w:r>
    </w:p>
    <w:p>
      <w:pPr>
        <w:pStyle w:val="108"/>
        <w:spacing w:line="360" w:lineRule="auto"/>
        <w:ind w:firstLine="480"/>
        <w:contextualSpacing/>
        <w:rPr>
          <w:color w:val="auto"/>
          <w:highlight w:val="none"/>
          <w:lang w:val="en-US"/>
        </w:rPr>
      </w:pPr>
      <w:r>
        <w:rPr>
          <w:rFonts w:hint="eastAsia"/>
          <w:color w:val="auto"/>
          <w:highlight w:val="none"/>
          <w:lang w:val="en-US"/>
        </w:rPr>
        <w:t>g在启动橙色预警期间，所有工程土石方禁止开挖，停止渣土施工和运输。</w:t>
      </w:r>
    </w:p>
    <w:p>
      <w:pPr>
        <w:pStyle w:val="108"/>
        <w:spacing w:line="360" w:lineRule="auto"/>
        <w:ind w:firstLine="480"/>
        <w:contextualSpacing/>
        <w:rPr>
          <w:color w:val="auto"/>
          <w:highlight w:val="none"/>
          <w:lang w:val="en-US"/>
        </w:rPr>
      </w:pPr>
      <w:r>
        <w:rPr>
          <w:rFonts w:hint="eastAsia"/>
          <w:color w:val="auto"/>
          <w:highlight w:val="none"/>
          <w:lang w:val="en-US"/>
        </w:rPr>
        <w:t>h</w:t>
      </w:r>
      <w:r>
        <w:rPr>
          <w:color w:val="auto"/>
          <w:highlight w:val="none"/>
          <w:lang w:val="en-US"/>
        </w:rPr>
        <w:t>工程项目竣工后30日内，建设单位负责平整施工工地，并清除积土、堆物。</w:t>
      </w:r>
    </w:p>
    <w:p>
      <w:pPr>
        <w:ind w:firstLine="480"/>
        <w:rPr>
          <w:highlight w:val="none"/>
        </w:rPr>
      </w:pPr>
      <w:r>
        <w:rPr>
          <w:rFonts w:hint="eastAsia"/>
          <w:highlight w:val="none"/>
        </w:rPr>
        <w:t>在采取上述措施后可将扬尘的影响控制在较小范围。</w:t>
      </w:r>
    </w:p>
    <w:p>
      <w:pPr>
        <w:pStyle w:val="7"/>
        <w:spacing w:before="66"/>
        <w:ind w:firstLine="482"/>
        <w:rPr>
          <w:highlight w:val="none"/>
        </w:rPr>
      </w:pPr>
      <w:r>
        <w:rPr>
          <w:rFonts w:hint="eastAsia"/>
          <w:highlight w:val="none"/>
          <w:lang w:val="en-US" w:eastAsia="zh-CN"/>
        </w:rPr>
        <w:t>5</w:t>
      </w:r>
      <w:r>
        <w:rPr>
          <w:rFonts w:hint="eastAsia"/>
          <w:highlight w:val="none"/>
        </w:rPr>
        <w:t>.1.3机械废气防治措施</w:t>
      </w:r>
    </w:p>
    <w:p>
      <w:pPr>
        <w:ind w:firstLine="480"/>
        <w:rPr>
          <w:highlight w:val="none"/>
        </w:rPr>
      </w:pPr>
      <w:r>
        <w:rPr>
          <w:rFonts w:hint="eastAsia"/>
          <w:highlight w:val="none"/>
        </w:rPr>
        <w:t>施工车辆、打桩机、挖土机等因燃油产生的二氧化硫、氮氧化物、一氧化碳、烃类等污染物会对大气环境造成不良影响。施工单位采用尾气排放符合国家规定标准的车辆和施工机械，确保其在运行时尾气达标排放，减少对环境空气的污染。禁止尾气排放不达标的车辆和施工机械运行作业。运输车辆和施工机械发生故障和损坏，及时维修或更新，防止设备带病运行，加大废气对环境空气的污染。</w:t>
      </w:r>
    </w:p>
    <w:p>
      <w:pPr>
        <w:ind w:firstLine="480"/>
        <w:rPr>
          <w:highlight w:val="none"/>
        </w:rPr>
      </w:pPr>
      <w:r>
        <w:rPr>
          <w:rFonts w:hint="eastAsia"/>
          <w:highlight w:val="none"/>
        </w:rPr>
        <w:t>以上措施能够较大程度上降低施工期间车辆、机械尾气和装修废气，措施可行。</w:t>
      </w:r>
    </w:p>
    <w:p>
      <w:pPr>
        <w:pStyle w:val="7"/>
        <w:spacing w:before="66"/>
        <w:ind w:firstLine="482"/>
        <w:rPr>
          <w:highlight w:val="none"/>
        </w:rPr>
      </w:pPr>
      <w:r>
        <w:rPr>
          <w:rFonts w:hint="eastAsia"/>
          <w:highlight w:val="none"/>
          <w:lang w:val="en-US" w:eastAsia="zh-CN"/>
        </w:rPr>
        <w:t>5</w:t>
      </w:r>
      <w:r>
        <w:rPr>
          <w:rFonts w:hint="eastAsia"/>
          <w:highlight w:val="none"/>
        </w:rPr>
        <w:t>.1.4装修废气</w:t>
      </w:r>
    </w:p>
    <w:p>
      <w:pPr>
        <w:ind w:firstLine="480"/>
        <w:rPr>
          <w:highlight w:val="none"/>
        </w:rPr>
      </w:pPr>
      <w:r>
        <w:rPr>
          <w:rFonts w:hint="eastAsia"/>
          <w:highlight w:val="none"/>
        </w:rPr>
        <w:t>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p>
    <w:p>
      <w:pPr>
        <w:pStyle w:val="7"/>
        <w:spacing w:before="66"/>
        <w:ind w:firstLine="482"/>
        <w:rPr>
          <w:highlight w:val="none"/>
        </w:rPr>
      </w:pPr>
      <w:r>
        <w:rPr>
          <w:rFonts w:hint="eastAsia"/>
          <w:highlight w:val="none"/>
          <w:lang w:val="en-US" w:eastAsia="zh-CN"/>
        </w:rPr>
        <w:t>5</w:t>
      </w:r>
      <w:r>
        <w:rPr>
          <w:rFonts w:hint="eastAsia"/>
          <w:highlight w:val="none"/>
        </w:rPr>
        <w:t>.1.5噪声防治措施</w:t>
      </w:r>
    </w:p>
    <w:p>
      <w:pPr>
        <w:pStyle w:val="108"/>
        <w:spacing w:before="0" w:line="360" w:lineRule="auto"/>
        <w:ind w:firstLine="480"/>
        <w:contextualSpacing/>
        <w:rPr>
          <w:rStyle w:val="110"/>
          <w:color w:val="auto"/>
          <w:highlight w:val="none"/>
          <w:lang w:val="en-US"/>
        </w:rPr>
      </w:pPr>
      <w:r>
        <w:rPr>
          <w:rFonts w:hint="eastAsia"/>
          <w:color w:val="auto"/>
          <w:highlight w:val="none"/>
        </w:rPr>
        <w:t>施工期的噪声主要为机械设备噪声和施工车辆噪声。机械设备噪声主要由施工机械造成，如挖土机械、打桩机、装载机等，多为点声源。</w:t>
      </w:r>
      <w:r>
        <w:rPr>
          <w:rFonts w:hAnsi="宋体"/>
          <w:color w:val="auto"/>
          <w:highlight w:val="none"/>
          <w:lang w:val="en-US"/>
        </w:rPr>
        <w:t>因此，项目施工期应加强管理，合理安排施工时间，在项目与敏感点之间设置临时隔声屏障；尽量将高噪声设备远离敏感点布置。</w:t>
      </w:r>
      <w:r>
        <w:rPr>
          <w:rStyle w:val="110"/>
          <w:rFonts w:hAnsi="宋体"/>
          <w:color w:val="auto"/>
          <w:highlight w:val="none"/>
          <w:lang w:val="en-US"/>
        </w:rPr>
        <w:t>主要采取以下措施。</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kern w:val="0"/>
          <w:highlight w:val="none"/>
        </w:rPr>
      </w:pPr>
      <w:r>
        <w:rPr>
          <w:rFonts w:hAnsi="宋体" w:cs="Times New Roman"/>
          <w:kern w:val="0"/>
          <w:highlight w:val="none"/>
        </w:rPr>
        <w:t>施工噪声具有阶段性、临时性和不固定性，随着施工阶段的不同，施工噪声影响也不同。施工结束时，施工噪声也自行消失。</w:t>
      </w:r>
    </w:p>
    <w:p>
      <w:pPr>
        <w:pStyle w:val="7"/>
        <w:spacing w:before="66"/>
        <w:ind w:firstLine="482"/>
        <w:rPr>
          <w:highlight w:val="none"/>
        </w:rPr>
      </w:pPr>
      <w:r>
        <w:rPr>
          <w:rFonts w:hint="eastAsia"/>
          <w:highlight w:val="none"/>
          <w:lang w:val="en-US" w:eastAsia="zh-CN"/>
        </w:rPr>
        <w:t>5</w:t>
      </w:r>
      <w:r>
        <w:rPr>
          <w:rFonts w:hint="eastAsia"/>
          <w:highlight w:val="none"/>
        </w:rPr>
        <w:t>.1.6固体废物处置措施</w:t>
      </w:r>
    </w:p>
    <w:p>
      <w:pPr>
        <w:ind w:firstLine="480"/>
        <w:rPr>
          <w:rFonts w:hint="eastAsia" w:hAnsi="宋体"/>
          <w:highlight w:val="none"/>
        </w:rPr>
      </w:pPr>
      <w:r>
        <w:rPr>
          <w:rFonts w:hint="eastAsia" w:cs="Times New Roman"/>
          <w:highlight w:val="none"/>
        </w:rPr>
        <w:t>施工期的固体废物主要为多余渣土、施工建筑垃圾及生活垃圾等</w:t>
      </w:r>
      <w:r>
        <w:rPr>
          <w:rFonts w:hint="eastAsia"/>
          <w:highlight w:val="none"/>
        </w:rPr>
        <w:t>。</w:t>
      </w:r>
      <w:r>
        <w:rPr>
          <w:rFonts w:hAnsi="宋体"/>
          <w:highlight w:val="none"/>
        </w:rPr>
        <w:t>渣土可在厂内回填</w:t>
      </w:r>
      <w:r>
        <w:rPr>
          <w:rFonts w:hint="eastAsia" w:hAnsi="宋体"/>
          <w:highlight w:val="none"/>
        </w:rPr>
        <w:t>。建筑垃圾采取及时清运、并加以利用，防止其因长期堆放而产生扬尘。施工过程中产生的生活垃圾拟进行专门收集，</w:t>
      </w:r>
      <w:r>
        <w:rPr>
          <w:rFonts w:hAnsi="宋体"/>
          <w:highlight w:val="none"/>
        </w:rPr>
        <w:t>交由环卫部门统一清运处理</w:t>
      </w:r>
      <w:r>
        <w:rPr>
          <w:rFonts w:hint="eastAsia" w:hAnsi="宋体"/>
          <w:highlight w:val="none"/>
        </w:rPr>
        <w:t>。</w:t>
      </w:r>
    </w:p>
    <w:p>
      <w:pPr>
        <w:pStyle w:val="7"/>
        <w:spacing w:before="66"/>
        <w:ind w:firstLine="482"/>
        <w:rPr>
          <w:rFonts w:hint="eastAsia"/>
          <w:highlight w:val="none"/>
        </w:rPr>
      </w:pPr>
      <w:r>
        <w:rPr>
          <w:rFonts w:hint="eastAsia"/>
          <w:highlight w:val="none"/>
          <w:lang w:val="en-US" w:eastAsia="zh-CN"/>
        </w:rPr>
        <w:t>5</w:t>
      </w:r>
      <w:r>
        <w:rPr>
          <w:rFonts w:hint="eastAsia"/>
          <w:highlight w:val="none"/>
        </w:rPr>
        <w:t>.1.</w:t>
      </w:r>
      <w:r>
        <w:rPr>
          <w:rFonts w:hint="eastAsia"/>
          <w:highlight w:val="none"/>
          <w:lang w:val="en-US" w:eastAsia="zh-CN"/>
        </w:rPr>
        <w:t>7</w:t>
      </w:r>
      <w:r>
        <w:rPr>
          <w:rFonts w:hint="eastAsia"/>
          <w:highlight w:val="none"/>
        </w:rPr>
        <w:t>生态保护措施</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项目施工期所有建筑材料由乡道、村道运往项目建设区，临时堆放于项目厂区。项目厂区用地为农田，紧邻村道，项目建设不涉及临时占地。项目施工期主要是项目厂区土地平整、开挖对项目区植被的破坏，现在项目建设期及建设完成后拟将从以下几个方面进行生态恢复：</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（1）施工期尽量避开农作物生长季节施工，最大限度减少农作物产量的损失；</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（2）项目施工过程中尽量减少土石方量，对场址周围受到破坏的植被进行修复，四周、道路两边及空地进行绿化，提高植被覆盖率，以最大限度降低项目对生态环境的影响；</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（3）及时清理施工作业区域产生的废弃物</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（4）项目建成后，将对场区内进行绿化，能在一定程度上补偿对原有生态的影响，并能使项目与周围环境更加协调，起到美化环境的效果。</w:t>
      </w:r>
    </w:p>
    <w:p>
      <w:pPr>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（5）项目运营结束后，及时对土地进行复垦。</w:t>
      </w:r>
    </w:p>
    <w:p>
      <w:pPr>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eastAsia="zh-CN"/>
        </w:rPr>
      </w:pPr>
      <w:r>
        <w:rPr>
          <w:rFonts w:hint="eastAsia"/>
          <w:highlight w:val="none"/>
        </w:rPr>
        <w:t>一般来说，施工期间对环境的影响是暂时的，加强施工管理，采取环评提出的措施后，施工结束后受影响的环境要素大多可得到恢复</w:t>
      </w:r>
      <w:r>
        <w:rPr>
          <w:rFonts w:hint="eastAsia"/>
          <w:highlight w:val="none"/>
          <w:lang w:eastAsia="zh-CN"/>
        </w:rPr>
        <w:t>。</w:t>
      </w:r>
    </w:p>
    <w:p>
      <w:pPr>
        <w:pStyle w:val="6"/>
        <w:spacing w:beforeLines="0"/>
        <w:rPr>
          <w:rFonts w:hint="eastAsia" w:cs="Times New Roman"/>
          <w:highlight w:val="none"/>
        </w:rPr>
      </w:pPr>
      <w:bookmarkStart w:id="54" w:name="_Toc12823"/>
      <w:r>
        <w:rPr>
          <w:rFonts w:hint="eastAsia" w:cs="Times New Roman"/>
          <w:highlight w:val="none"/>
          <w:lang w:val="en-US" w:eastAsia="zh-CN"/>
        </w:rPr>
        <w:t>5</w:t>
      </w:r>
      <w:r>
        <w:rPr>
          <w:rFonts w:hint="eastAsia" w:cs="Times New Roman"/>
          <w:highlight w:val="none"/>
        </w:rPr>
        <w:t>.2营运期环境保护措施</w:t>
      </w:r>
      <w:bookmarkEnd w:id="54"/>
    </w:p>
    <w:p>
      <w:pPr>
        <w:pStyle w:val="7"/>
        <w:spacing w:before="66"/>
        <w:ind w:firstLine="482"/>
        <w:rPr>
          <w:rFonts w:hint="eastAsia"/>
          <w:highlight w:val="none"/>
          <w:lang w:val="en-US" w:eastAsia="zh-CN"/>
        </w:rPr>
      </w:pPr>
      <w:r>
        <w:rPr>
          <w:rFonts w:hint="eastAsia"/>
          <w:highlight w:val="none"/>
          <w:lang w:val="en-US" w:eastAsia="zh-CN"/>
        </w:rPr>
        <w:t>5.2.1养殖场污染治理基本要求</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《畜禽养殖业污染防治技术规范》（HJ/T81-2001）第四条规定：</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（1）新建、改建、扩建的畜禽养殖场应实现生产区、生活管理区的隔离，粪便污水处理设施和禽畜尸体焚烧炉，应设在养殖场的生产区、生活管理区的常年主导风向的下风向或侧风向处。</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（2）养殖场的排水系统应实行雨水和污水收集输送系统分离，在场区内外设置的污水收集输送系统，不得采取明沟布设。</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（3）新建、改建、扩建的畜禽养殖场应采取干法清粪工艺，采取有效措施将粪及时、单独清出，不可与尿、污水混合排出，并将产生的粪渣及时运至贮存或处理场所，实现日产日清。</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对照上述规定：</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☆本项目养殖场在场区布局上，实行养殖区、办公区与粪污处理区的三区分离，生活区位于</w:t>
      </w:r>
      <w:r>
        <w:rPr>
          <w:rFonts w:hint="eastAsia"/>
          <w:highlight w:val="none"/>
        </w:rPr>
        <w:t>养殖区</w:t>
      </w:r>
      <w:r>
        <w:rPr>
          <w:rFonts w:hint="eastAsia"/>
          <w:highlight w:val="none"/>
          <w:lang w:eastAsia="zh-CN"/>
        </w:rPr>
        <w:t>西</w:t>
      </w:r>
      <w:r>
        <w:rPr>
          <w:rFonts w:hint="eastAsia"/>
          <w:highlight w:val="none"/>
        </w:rPr>
        <w:t>侧</w:t>
      </w:r>
      <w:r>
        <w:rPr>
          <w:rFonts w:hint="eastAsia"/>
          <w:highlight w:val="none"/>
          <w:lang w:val="en-US" w:eastAsia="zh-CN"/>
        </w:rPr>
        <w:t>，位于常年主导风向的上风向，养殖区均位于中间，粪污处理区位于均位于场区北侧，位于下风向。场区的平面布置满足规定要求。</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场区排水系统实现雨、污分流，并采取暗沟布设。本项目雨水经雨水管道排至场区外的田间地沟中；养殖废水则由废水管道收集后，经场内废水处理设施处理，产生的沼液经暂存池暂存后做农肥，猪粪、沼渣收集后制备有机肥基肥，满足规定要求。</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污水处理系统干湿分离段进行干湿分离。干湿分离后的干物质制有机肥基肥，经厌氧发酵处理后综合利用，粪便与尿、污水不混合处理，满足规定要求。环保部文件-环办函【2015】425号文件（2015年3月24日），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pStyle w:val="7"/>
        <w:spacing w:before="66"/>
        <w:ind w:firstLine="482"/>
        <w:rPr>
          <w:highlight w:val="none"/>
        </w:rPr>
      </w:pPr>
      <w:r>
        <w:rPr>
          <w:rFonts w:hint="eastAsia"/>
          <w:highlight w:val="none"/>
          <w:lang w:val="en-US" w:eastAsia="zh-CN"/>
        </w:rPr>
        <w:t>5</w:t>
      </w:r>
      <w:r>
        <w:rPr>
          <w:rFonts w:hint="eastAsia"/>
          <w:highlight w:val="none"/>
        </w:rPr>
        <w:t>.</w:t>
      </w:r>
      <w:r>
        <w:rPr>
          <w:highlight w:val="none"/>
        </w:rPr>
        <w:t>2.</w:t>
      </w:r>
      <w:r>
        <w:rPr>
          <w:rFonts w:hint="eastAsia"/>
          <w:highlight w:val="none"/>
          <w:lang w:val="en-US" w:eastAsia="zh-CN"/>
        </w:rPr>
        <w:t>2</w:t>
      </w:r>
      <w:r>
        <w:rPr>
          <w:rFonts w:hint="eastAsia"/>
          <w:highlight w:val="none"/>
        </w:rPr>
        <w:t>大气污染防治措施</w:t>
      </w:r>
    </w:p>
    <w:p>
      <w:pPr>
        <w:pStyle w:val="8"/>
        <w:ind w:firstLine="482"/>
        <w:rPr>
          <w:highlight w:val="none"/>
        </w:rPr>
      </w:pPr>
      <w:r>
        <w:rPr>
          <w:rFonts w:hint="eastAsia"/>
          <w:highlight w:val="none"/>
          <w:lang w:val="en-US" w:eastAsia="zh-CN"/>
        </w:rPr>
        <w:t>5</w:t>
      </w:r>
      <w:r>
        <w:rPr>
          <w:highlight w:val="none"/>
        </w:rPr>
        <w:t>.2.</w:t>
      </w:r>
      <w:r>
        <w:rPr>
          <w:rFonts w:hint="eastAsia"/>
          <w:highlight w:val="none"/>
        </w:rPr>
        <w:t>1.1恶臭气体防治措施可行性分析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（1）恶臭产生的场所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恶臭在养殖场和粪污处理场等处均可产生。影响畜禽场恶臭产生的的主要原因是清粪方式、管理水平、粪便和污水处理程度，同时也与场址选择、场地规划和布局、畜舍设计、畜舍通风等有关。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恶臭的成分十分复杂，因家畜的种类、清粪方式、日粮组成、空气湿度、粪便和污水处理等不同而异，有机成分是硫醇类、胺类、吲哚、挥发性有机酸、酚类、醛类、酮类、醇类以及含氮杂环化合物等，无机成分主要是NH</w:t>
      </w:r>
      <w:r>
        <w:rPr>
          <w:rFonts w:ascii="Times New Roman" w:hAnsi="Times New Roman"/>
          <w:bCs/>
          <w:kern w:val="0"/>
          <w:sz w:val="24"/>
          <w:highlight w:val="none"/>
          <w:vertAlign w:val="subscript"/>
        </w:rPr>
        <w:t>3</w:t>
      </w:r>
      <w:r>
        <w:rPr>
          <w:rFonts w:ascii="Times New Roman" w:hAnsi="Times New Roman"/>
          <w:bCs/>
          <w:kern w:val="0"/>
          <w:sz w:val="24"/>
          <w:highlight w:val="none"/>
        </w:rPr>
        <w:t>和H</w:t>
      </w:r>
      <w:r>
        <w:rPr>
          <w:rFonts w:ascii="Times New Roman" w:hAnsi="Times New Roman"/>
          <w:bCs/>
          <w:kern w:val="0"/>
          <w:sz w:val="24"/>
          <w:highlight w:val="none"/>
          <w:vertAlign w:val="subscript"/>
        </w:rPr>
        <w:t>2</w:t>
      </w:r>
      <w:r>
        <w:rPr>
          <w:rFonts w:ascii="Times New Roman" w:hAnsi="Times New Roman"/>
          <w:bCs/>
          <w:kern w:val="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（2）恶臭污染防治措施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由于猪舍的恶臭污染源很分散，集中处理困难，最有效的控制方法是预防为主，在恶臭产生的源头就地处理。根据《畜禽养殖业污染治理工程技术规范》（HJ 497－2009）及《畜禽养殖业污染防治技术规范》（HJ/T81－2001）相关要求，结合本项目生产实际，本评价主要提出如下措施减降恶臭污染物的产生：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① 源头控制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■通过控制饲养密度，并加强舍内通风，及时清理猪舍，猪粪、污泥等应及时加工或外运，尽量减少其在场内的堆存时间和堆存量；搞好场区环境卫生，采用节水型饮水器，猪舍及时冲洗；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kern w:val="0"/>
          <w:sz w:val="24"/>
          <w:highlight w:val="none"/>
        </w:rPr>
      </w:pPr>
      <w:r>
        <w:rPr>
          <w:rFonts w:ascii="Times New Roman" w:hAnsi="Times New Roman"/>
          <w:bCs/>
          <w:kern w:val="0"/>
          <w:sz w:val="24"/>
          <w:highlight w:val="none"/>
        </w:rPr>
        <w:t>■温度高、湿度大时恶臭气体浓度高，猪粪在1～2周后发酵较快，粪便暴露面积大的发酵率高。猪舍使用漏缝地板，保证粪便冷却，并尽快从猪舍内清粪，在猪舍内加强通风，采用节水型饮水器，加速粪便干燥，可减少猪粪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② 过程整治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■猪场采用</w:t>
      </w:r>
      <w:r>
        <w:rPr>
          <w:rFonts w:hint="eastAsia" w:asciiTheme="minorEastAsia" w:hAnsiTheme="minorEastAsia" w:eastAsiaTheme="minorEastAsia" w:cstheme="minorEastAsia"/>
          <w:bCs/>
          <w:sz w:val="24"/>
          <w:highlight w:val="none"/>
        </w:rPr>
        <w:t>“环保部认定的干清粪”工艺，项目采用墙体集热板、猪舍内热交</w:t>
      </w:r>
      <w:r>
        <w:rPr>
          <w:rFonts w:ascii="Times New Roman" w:hAnsi="Times New Roman"/>
          <w:bCs/>
          <w:sz w:val="24"/>
          <w:highlight w:val="none"/>
        </w:rPr>
        <w:t>换系统和水帘风机相结合的方式进行猪舍内部温度控制。降低舍内有害气体浓度，产生的粪渣等固废及时运至贮存或处理场所，以减少污染。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■加强养殖场生产管理，并对工作人员强化知识培训，提高饲养人员操作技能；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■场区布置按功能区进行相应划分，各构筑物之间设绿化隔离带，宜种植具有吸附恶臭功能的绿色植物，利用绿色植物的吸收作用，以减少恶臭气体的逸散，减轻恶臭等对周围环境的影响。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③ 终端处理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■产生的恶臭用多种化学和生物产品来控制恶臭。评价建议夏季高温天气在沼气工程附近喷洒除臭剂进行处理，多用强氧化剂和杀菌剂等消除微生物产生的臭味或化学氧化臭味物质。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本项目采用植物型除臭剂，该除臭剂主要由丝兰、银杏叶、茶多酚、葡萄籽、樟科植物、桉叶油、松油等多种植物提取物精制而成，适用于各种恶臭环境的异味处理，如垃圾填埋场、垃圾转运站、垃圾堆肥厂、垃圾焚烧厂、污水处理中心、粪便处理中心、养猪养鸡场、工业废水处理及渔业加工中心等。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筒单的气味掩盖作用，而是利用植物提取液中的活性成分与不能和活性基(-CHO)反应的成分进行再次作用，使其失去原来的气味，藉此实现对挥发性恶臭物质的有效削减和消除。植物型除臭剂原液稀释100倍喷洒，1kg可喷洒500m</w:t>
      </w:r>
      <w:r>
        <w:rPr>
          <w:rFonts w:ascii="Times New Roman" w:hAnsi="Times New Roman"/>
          <w:bCs/>
          <w:kern w:val="0"/>
          <w:sz w:val="24"/>
          <w:highlight w:val="none"/>
          <w:vertAlign w:val="superscript"/>
        </w:rPr>
        <w:t>2</w:t>
      </w:r>
      <w:r>
        <w:rPr>
          <w:rFonts w:ascii="Times New Roman" w:hAnsi="Times New Roman"/>
          <w:bCs/>
          <w:kern w:val="0"/>
          <w:sz w:val="24"/>
          <w:highlight w:val="none"/>
        </w:rPr>
        <w:t>，项目污水处理区、堆肥区、猪舍均需要喷洒除臭剂，根据面积核算，除臭剂用</w:t>
      </w:r>
      <w:r>
        <w:rPr>
          <w:rFonts w:ascii="Times New Roman" w:hAnsi="Times New Roman"/>
          <w:bCs/>
          <w:color w:val="000000"/>
          <w:kern w:val="0"/>
          <w:sz w:val="24"/>
          <w:highlight w:val="none"/>
        </w:rPr>
        <w:t>量共计约0.35t/a。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Cs/>
          <w:sz w:val="24"/>
          <w:highlight w:val="none"/>
        </w:rPr>
      </w:pPr>
      <w:r>
        <w:rPr>
          <w:rFonts w:ascii="Times New Roman" w:hAnsi="Times New Roman"/>
          <w:bCs/>
          <w:kern w:val="0"/>
          <w:sz w:val="24"/>
          <w:highlight w:val="none"/>
        </w:rPr>
        <w:t>植物型除臭剂原理具体为：植物型除臭剂通过4种物理化学作用力将臭气分子捕捉：范德华力、耦合力、化学反应力、吸附力。 植物型除臭剂将臭气分子捕捉后，其有效成分可与环境中恶臭气体分子发生如下反应：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①硫化氢H</w:t>
      </w:r>
      <w:r>
        <w:rPr>
          <w:rFonts w:ascii="Times New Roman" w:hAnsi="Times New Roman"/>
          <w:bCs/>
          <w:kern w:val="0"/>
          <w:sz w:val="24"/>
          <w:highlight w:val="none"/>
          <w:vertAlign w:val="subscript"/>
        </w:rPr>
        <w:t>2</w:t>
      </w:r>
      <w:r>
        <w:rPr>
          <w:rFonts w:ascii="Times New Roman" w:hAnsi="Times New Roman"/>
          <w:bCs/>
          <w:kern w:val="0"/>
          <w:sz w:val="24"/>
          <w:highlight w:val="none"/>
        </w:rPr>
        <w:t>S的反应：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S→R-NH</w:t>
      </w:r>
      <w:r>
        <w:rPr>
          <w:rFonts w:ascii="Times New Roman" w:hAnsi="Times New Roman"/>
          <w:bCs/>
          <w:kern w:val="0"/>
          <w:sz w:val="24"/>
          <w:highlight w:val="none"/>
          <w:vertAlign w:val="subscript"/>
        </w:rPr>
        <w:t>3</w:t>
      </w:r>
      <w:r>
        <w:rPr>
          <w:rFonts w:ascii="Times New Roman" w:hAnsi="Times New Roman"/>
          <w:bCs/>
          <w:kern w:val="0"/>
          <w:sz w:val="24"/>
          <w:highlight w:val="none"/>
        </w:rPr>
        <w:t>-+SH</w:t>
      </w:r>
      <w:r>
        <w:rPr>
          <w:rFonts w:ascii="Times New Roman" w:hAnsi="Times New Roman"/>
          <w:bCs/>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+SH</w:t>
      </w:r>
      <w:r>
        <w:rPr>
          <w:rFonts w:ascii="Times New Roman" w:hAnsi="Times New Roman"/>
          <w:bCs/>
          <w:kern w:val="0"/>
          <w:sz w:val="24"/>
          <w:highlight w:val="none"/>
          <w:vertAlign w:val="superscript"/>
        </w:rPr>
        <w:t>-</w:t>
      </w:r>
      <w:r>
        <w:rPr>
          <w:rFonts w:ascii="Times New Roman" w:hAnsi="Times New Roman"/>
          <w:bCs/>
          <w:kern w:val="0"/>
          <w:sz w:val="24"/>
          <w:highlight w:val="none"/>
        </w:rPr>
        <w:t>+O</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O→R-NH</w:t>
      </w:r>
      <w:r>
        <w:rPr>
          <w:rFonts w:ascii="Times New Roman" w:hAnsi="Times New Roman"/>
          <w:bCs/>
          <w:kern w:val="0"/>
          <w:sz w:val="24"/>
          <w:highlight w:val="none"/>
          <w:vertAlign w:val="subscript"/>
        </w:rPr>
        <w:t>3</w:t>
      </w:r>
      <w:r>
        <w:rPr>
          <w:rFonts w:ascii="Times New Roman" w:hAnsi="Times New Roman"/>
          <w:bCs/>
          <w:kern w:val="0"/>
          <w:sz w:val="24"/>
          <w:highlight w:val="none"/>
          <w:vertAlign w:val="superscript"/>
        </w:rPr>
        <w:t>+</w:t>
      </w:r>
      <w:r>
        <w:rPr>
          <w:rFonts w:ascii="Times New Roman" w:hAnsi="Times New Roman"/>
          <w:bCs/>
          <w:kern w:val="0"/>
          <w:sz w:val="24"/>
          <w:highlight w:val="none"/>
        </w:rPr>
        <w:t>+SO</w:t>
      </w:r>
      <w:r>
        <w:rPr>
          <w:rFonts w:ascii="Times New Roman" w:hAnsi="Times New Roman"/>
          <w:bCs/>
          <w:kern w:val="0"/>
          <w:sz w:val="24"/>
          <w:highlight w:val="none"/>
          <w:vertAlign w:val="subscript"/>
        </w:rPr>
        <w:t>4</w:t>
      </w:r>
      <w:r>
        <w:rPr>
          <w:rFonts w:ascii="Times New Roman" w:hAnsi="Times New Roman"/>
          <w:bCs/>
          <w:kern w:val="0"/>
          <w:sz w:val="24"/>
          <w:highlight w:val="none"/>
          <w:vertAlign w:val="superscript"/>
        </w:rPr>
        <w:t>2-</w:t>
      </w:r>
      <w:r>
        <w:rPr>
          <w:rFonts w:ascii="Times New Roman" w:hAnsi="Times New Roman"/>
          <w:bCs/>
          <w:kern w:val="0"/>
          <w:sz w:val="24"/>
          <w:highlight w:val="none"/>
        </w:rPr>
        <w:t>+OH</w:t>
      </w:r>
      <w:r>
        <w:rPr>
          <w:rFonts w:ascii="Times New Roman" w:hAnsi="Times New Roman"/>
          <w:bCs/>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kern w:val="0"/>
          <w:sz w:val="24"/>
          <w:highlight w:val="none"/>
        </w:rPr>
        <w:t>R-NH</w:t>
      </w:r>
      <w:r>
        <w:rPr>
          <w:rFonts w:ascii="Times New Roman" w:hAnsi="Times New Roman"/>
          <w:bCs/>
          <w:kern w:val="0"/>
          <w:sz w:val="24"/>
          <w:highlight w:val="none"/>
          <w:vertAlign w:val="subscript"/>
        </w:rPr>
        <w:t>3</w:t>
      </w:r>
      <w:r>
        <w:rPr>
          <w:rFonts w:ascii="Times New Roman" w:hAnsi="Times New Roman"/>
          <w:bCs/>
          <w:kern w:val="0"/>
          <w:sz w:val="24"/>
          <w:highlight w:val="none"/>
          <w:vertAlign w:val="superscript"/>
        </w:rPr>
        <w:t>+</w:t>
      </w:r>
      <w:r>
        <w:rPr>
          <w:rFonts w:ascii="Times New Roman" w:hAnsi="Times New Roman"/>
          <w:bCs/>
          <w:kern w:val="0"/>
          <w:sz w:val="24"/>
          <w:highlight w:val="none"/>
        </w:rPr>
        <w:t>+OH</w:t>
      </w:r>
      <w:r>
        <w:rPr>
          <w:rFonts w:ascii="Times New Roman" w:hAnsi="Times New Roman"/>
          <w:bCs/>
          <w:kern w:val="0"/>
          <w:sz w:val="24"/>
          <w:highlight w:val="none"/>
          <w:vertAlign w:val="superscript"/>
        </w:rPr>
        <w:t>-</w:t>
      </w: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vertAlign w:val="subscript"/>
        </w:rPr>
      </w:pPr>
      <w:r>
        <w:rPr>
          <w:rFonts w:ascii="Times New Roman" w:hAnsi="Times New Roman"/>
          <w:bCs/>
          <w:kern w:val="0"/>
          <w:sz w:val="24"/>
          <w:highlight w:val="none"/>
        </w:rPr>
        <w:t>②与甲醛HCHO的反应：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+HCHO→CO</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O+N</w:t>
      </w:r>
      <w:r>
        <w:rPr>
          <w:rFonts w:ascii="Times New Roman" w:hAnsi="Times New Roman"/>
          <w:bCs/>
          <w:kern w:val="0"/>
          <w:sz w:val="24"/>
          <w:highlight w:val="none"/>
          <w:vertAlign w:val="subscript"/>
        </w:rPr>
        <w:t>2</w:t>
      </w:r>
      <w:r>
        <w:rPr>
          <w:rFonts w:ascii="Times New Roman" w:hAnsi="Times New Roman"/>
          <w:bCs/>
          <w:kern w:val="0"/>
          <w:sz w:val="24"/>
          <w:highlight w:val="none"/>
        </w:rPr>
        <w:br w:type="textWrapping"/>
      </w:r>
      <w:r>
        <w:rPr>
          <w:rFonts w:ascii="Times New Roman" w:hAnsi="Times New Roman"/>
          <w:bCs/>
          <w:kern w:val="0"/>
          <w:sz w:val="24"/>
          <w:highlight w:val="none"/>
        </w:rPr>
        <w:t xml:space="preserve">   ③与氨NH</w:t>
      </w:r>
      <w:r>
        <w:rPr>
          <w:rFonts w:ascii="Times New Roman" w:hAnsi="Times New Roman"/>
          <w:bCs/>
          <w:kern w:val="0"/>
          <w:sz w:val="24"/>
          <w:highlight w:val="none"/>
          <w:vertAlign w:val="subscript"/>
        </w:rPr>
        <w:t>3</w:t>
      </w:r>
      <w:r>
        <w:rPr>
          <w:rFonts w:ascii="Times New Roman" w:hAnsi="Times New Roman"/>
          <w:bCs/>
          <w:kern w:val="0"/>
          <w:sz w:val="24"/>
          <w:highlight w:val="none"/>
        </w:rPr>
        <w:t>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+NH</w:t>
      </w:r>
      <w:r>
        <w:rPr>
          <w:rFonts w:ascii="Times New Roman" w:hAnsi="Times New Roman"/>
          <w:bCs/>
          <w:kern w:val="0"/>
          <w:sz w:val="24"/>
          <w:highlight w:val="none"/>
          <w:vertAlign w:val="subscript"/>
        </w:rPr>
        <w:t>3</w:t>
      </w:r>
      <w:r>
        <w:rPr>
          <w:rFonts w:ascii="Times New Roman" w:hAnsi="Times New Roman"/>
          <w:bCs/>
          <w:kern w:val="0"/>
          <w:sz w:val="24"/>
          <w:highlight w:val="none"/>
        </w:rPr>
        <w:t>→R-NH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w:t>
      </w:r>
      <w:r>
        <w:rPr>
          <w:rFonts w:ascii="Times New Roman" w:hAnsi="Times New Roman"/>
          <w:bCs/>
          <w:kern w:val="0"/>
          <w:sz w:val="24"/>
          <w:highlight w:val="none"/>
        </w:rPr>
        <w:br w:type="textWrapping"/>
      </w:r>
      <w:r>
        <w:rPr>
          <w:rFonts w:ascii="Times New Roman" w:hAnsi="Times New Roman"/>
          <w:bCs/>
          <w:kern w:val="0"/>
          <w:sz w:val="24"/>
          <w:highlight w:val="none"/>
        </w:rPr>
        <w:t xml:space="preserve">   ④与硫醇类恶臭气体的反应：</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+CH</w:t>
      </w:r>
      <w:r>
        <w:rPr>
          <w:rFonts w:ascii="Times New Roman" w:hAnsi="Times New Roman"/>
          <w:bCs/>
          <w:kern w:val="0"/>
          <w:sz w:val="24"/>
          <w:highlight w:val="none"/>
          <w:vertAlign w:val="subscript"/>
        </w:rPr>
        <w:t>4</w:t>
      </w:r>
      <w:r>
        <w:rPr>
          <w:rFonts w:ascii="Times New Roman" w:hAnsi="Times New Roman"/>
          <w:bCs/>
          <w:kern w:val="0"/>
          <w:sz w:val="24"/>
          <w:highlight w:val="none"/>
        </w:rPr>
        <w:t>S→R-NH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O+SO</w:t>
      </w:r>
      <w:r>
        <w:rPr>
          <w:rFonts w:ascii="Times New Roman" w:hAnsi="Times New Roman"/>
          <w:bCs/>
          <w:kern w:val="0"/>
          <w:sz w:val="24"/>
          <w:highlight w:val="none"/>
          <w:vertAlign w:val="subscript"/>
        </w:rPr>
        <w:t>2</w:t>
      </w:r>
      <w:r>
        <w:rPr>
          <w:rFonts w:ascii="Times New Roman" w:hAnsi="Times New Roman"/>
          <w:bCs/>
          <w:kern w:val="0"/>
          <w:sz w:val="24"/>
          <w:highlight w:val="none"/>
        </w:rPr>
        <w:br w:type="textWrapping"/>
      </w:r>
      <w:r>
        <w:rPr>
          <w:rFonts w:ascii="Times New Roman" w:hAnsi="Times New Roman"/>
          <w:bCs/>
          <w:kern w:val="0"/>
          <w:sz w:val="24"/>
          <w:highlight w:val="none"/>
        </w:rPr>
        <w:t xml:space="preserve">   R-NH</w:t>
      </w:r>
      <w:r>
        <w:rPr>
          <w:rFonts w:ascii="Times New Roman" w:hAnsi="Times New Roman"/>
          <w:bCs/>
          <w:kern w:val="0"/>
          <w:sz w:val="24"/>
          <w:highlight w:val="none"/>
          <w:vertAlign w:val="subscript"/>
        </w:rPr>
        <w:t>2</w:t>
      </w:r>
      <w:r>
        <w:rPr>
          <w:rFonts w:ascii="Times New Roman" w:hAnsi="Times New Roman"/>
          <w:bCs/>
          <w:kern w:val="0"/>
          <w:sz w:val="24"/>
          <w:highlight w:val="none"/>
        </w:rPr>
        <w:t>+C</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6</w:t>
      </w:r>
      <w:r>
        <w:rPr>
          <w:rFonts w:ascii="Times New Roman" w:hAnsi="Times New Roman"/>
          <w:bCs/>
          <w:kern w:val="0"/>
          <w:sz w:val="24"/>
          <w:highlight w:val="none"/>
        </w:rPr>
        <w:t>S→R-NH</w:t>
      </w:r>
      <w:r>
        <w:rPr>
          <w:rFonts w:ascii="Times New Roman" w:hAnsi="Times New Roman"/>
          <w:bCs/>
          <w:kern w:val="0"/>
          <w:sz w:val="24"/>
          <w:highlight w:val="none"/>
          <w:vertAlign w:val="subscript"/>
        </w:rPr>
        <w:t>2</w:t>
      </w:r>
      <w:r>
        <w:rPr>
          <w:rFonts w:ascii="Times New Roman" w:hAnsi="Times New Roman"/>
          <w:bCs/>
          <w:kern w:val="0"/>
          <w:sz w:val="24"/>
          <w:highlight w:val="none"/>
        </w:rPr>
        <w:t>+N</w:t>
      </w:r>
      <w:r>
        <w:rPr>
          <w:rFonts w:ascii="Times New Roman" w:hAnsi="Times New Roman"/>
          <w:bCs/>
          <w:kern w:val="0"/>
          <w:sz w:val="24"/>
          <w:highlight w:val="none"/>
          <w:vertAlign w:val="subscript"/>
        </w:rPr>
        <w:t>2</w:t>
      </w:r>
      <w:r>
        <w:rPr>
          <w:rFonts w:ascii="Times New Roman" w:hAnsi="Times New Roman"/>
          <w:bCs/>
          <w:kern w:val="0"/>
          <w:sz w:val="24"/>
          <w:highlight w:val="none"/>
        </w:rPr>
        <w:t>+H</w:t>
      </w:r>
      <w:r>
        <w:rPr>
          <w:rFonts w:ascii="Times New Roman" w:hAnsi="Times New Roman"/>
          <w:bCs/>
          <w:kern w:val="0"/>
          <w:sz w:val="24"/>
          <w:highlight w:val="none"/>
          <w:vertAlign w:val="subscript"/>
        </w:rPr>
        <w:t>2</w:t>
      </w:r>
      <w:r>
        <w:rPr>
          <w:rFonts w:ascii="Times New Roman" w:hAnsi="Times New Roman"/>
          <w:bCs/>
          <w:kern w:val="0"/>
          <w:sz w:val="24"/>
          <w:highlight w:val="none"/>
        </w:rPr>
        <w:t>O+SO</w:t>
      </w:r>
      <w:r>
        <w:rPr>
          <w:rFonts w:ascii="Times New Roman" w:hAnsi="Times New Roman"/>
          <w:bCs/>
          <w:kern w:val="0"/>
          <w:sz w:val="24"/>
          <w:highlight w:val="none"/>
          <w:vertAlign w:val="subscript"/>
        </w:rPr>
        <w:t>2</w:t>
      </w:r>
    </w:p>
    <w:p>
      <w:pPr>
        <w:pStyle w:val="40"/>
        <w:rPr>
          <w:rFonts w:hint="eastAsia" w:cs="Times New Roman"/>
          <w:highlight w:val="none"/>
          <w:lang w:val="en-US" w:eastAsia="zh-CN"/>
        </w:rPr>
      </w:pPr>
      <w:r>
        <w:rPr>
          <w:rFonts w:hint="eastAsia" w:cs="Times New Roman"/>
          <w:highlight w:val="none"/>
          <w:lang w:val="en-US" w:eastAsia="zh-CN"/>
        </w:rPr>
        <w:t>5.2-1 项目废气污染防治措施一览表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1068"/>
        <w:gridCol w:w="2240"/>
        <w:gridCol w:w="2618"/>
        <w:gridCol w:w="1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8"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序号</w:t>
            </w:r>
          </w:p>
        </w:tc>
        <w:tc>
          <w:tcPr>
            <w:tcW w:w="62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排放源</w:t>
            </w:r>
          </w:p>
        </w:tc>
        <w:tc>
          <w:tcPr>
            <w:tcW w:w="1315"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防治措施</w:t>
            </w:r>
          </w:p>
        </w:tc>
        <w:tc>
          <w:tcPr>
            <w:tcW w:w="153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实施方案</w:t>
            </w:r>
          </w:p>
        </w:tc>
        <w:tc>
          <w:tcPr>
            <w:tcW w:w="1141"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治理目标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1</w:t>
            </w:r>
          </w:p>
        </w:tc>
        <w:tc>
          <w:tcPr>
            <w:tcW w:w="62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猪舍</w:t>
            </w:r>
          </w:p>
        </w:tc>
        <w:tc>
          <w:tcPr>
            <w:tcW w:w="1315"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控制密度，及时清粪；喷洒除臭剂，厂区绿化</w:t>
            </w:r>
          </w:p>
        </w:tc>
        <w:tc>
          <w:tcPr>
            <w:tcW w:w="153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猪转栏时利用高压水枪彻底冲圈消毒</w:t>
            </w:r>
          </w:p>
        </w:tc>
        <w:tc>
          <w:tcPr>
            <w:tcW w:w="1141" w:type="pct"/>
            <w:vMerge w:val="restar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NH</w:t>
            </w:r>
            <w:r>
              <w:rPr>
                <w:rFonts w:hint="eastAsia"/>
                <w:kern w:val="2"/>
                <w:highlight w:val="none"/>
                <w:vertAlign w:val="subscript"/>
              </w:rPr>
              <w:t>3</w:t>
            </w:r>
            <w:r>
              <w:rPr>
                <w:rFonts w:hint="eastAsia"/>
                <w:kern w:val="2"/>
                <w:highlight w:val="none"/>
              </w:rPr>
              <w:t>、H</w:t>
            </w:r>
            <w:r>
              <w:rPr>
                <w:rFonts w:hint="eastAsia"/>
                <w:kern w:val="2"/>
                <w:highlight w:val="none"/>
                <w:vertAlign w:val="subscript"/>
              </w:rPr>
              <w:t>2</w:t>
            </w:r>
            <w:r>
              <w:rPr>
                <w:rFonts w:hint="eastAsia"/>
                <w:kern w:val="2"/>
                <w:highlight w:val="none"/>
              </w:rPr>
              <w:t>S满足《恶臭污染物排放标准》（GB14554-93）表1中二级标准要求。臭气浓度满足《畜禽养殖业污染物排放标准》（GB18596-2001）排放标准要求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2</w:t>
            </w:r>
          </w:p>
        </w:tc>
        <w:tc>
          <w:tcPr>
            <w:tcW w:w="62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固粪处理区</w:t>
            </w:r>
          </w:p>
        </w:tc>
        <w:tc>
          <w:tcPr>
            <w:tcW w:w="1315"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设置顶棚，周边喷洒除臭剂， 加强绿化</w:t>
            </w:r>
          </w:p>
        </w:tc>
        <w:tc>
          <w:tcPr>
            <w:tcW w:w="153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设置顶棚，周边喷洒除臭剂， 加强绿化</w:t>
            </w:r>
          </w:p>
        </w:tc>
        <w:tc>
          <w:tcPr>
            <w:tcW w:w="1141" w:type="pct"/>
            <w:vMerge w:val="continue"/>
            <w:noWrap w:val="0"/>
            <w:vAlign w:val="center"/>
          </w:tcPr>
          <w:p>
            <w:pPr>
              <w:adjustRightInd w:val="0"/>
              <w:snapToGrid w:val="0"/>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3</w:t>
            </w:r>
          </w:p>
        </w:tc>
        <w:tc>
          <w:tcPr>
            <w:tcW w:w="62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污水处理系统</w:t>
            </w:r>
          </w:p>
        </w:tc>
        <w:tc>
          <w:tcPr>
            <w:tcW w:w="1315"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加强管理，喷洒除臭剂，周边绿化，喷洒除臭剂</w:t>
            </w:r>
          </w:p>
        </w:tc>
        <w:tc>
          <w:tcPr>
            <w:tcW w:w="153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对操作人员强化培训，并配合喷洒除臭剂，喷洒频率为：污水前处理系统连续喷洒3天每天喷洒一次，之后每隔5天喷洒一次</w:t>
            </w:r>
          </w:p>
        </w:tc>
        <w:tc>
          <w:tcPr>
            <w:tcW w:w="1141" w:type="pct"/>
            <w:vMerge w:val="continue"/>
            <w:noWrap w:val="0"/>
            <w:vAlign w:val="center"/>
          </w:tcPr>
          <w:p>
            <w:pPr>
              <w:adjustRightInd w:val="0"/>
              <w:snapToGrid w:val="0"/>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4</w:t>
            </w:r>
          </w:p>
        </w:tc>
        <w:tc>
          <w:tcPr>
            <w:tcW w:w="62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沼液储存池</w:t>
            </w:r>
          </w:p>
        </w:tc>
        <w:tc>
          <w:tcPr>
            <w:tcW w:w="1315"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四周设置绿化</w:t>
            </w:r>
          </w:p>
        </w:tc>
        <w:tc>
          <w:tcPr>
            <w:tcW w:w="1537" w:type="pct"/>
            <w:noWrap w:val="0"/>
            <w:vAlign w:val="center"/>
          </w:tcPr>
          <w:p>
            <w:pPr>
              <w:pStyle w:val="42"/>
              <w:spacing w:line="240" w:lineRule="auto"/>
              <w:ind w:left="0" w:leftChars="0" w:firstLine="0" w:firstLineChars="0"/>
              <w:jc w:val="center"/>
              <w:rPr>
                <w:rFonts w:hint="eastAsia"/>
                <w:kern w:val="2"/>
                <w:highlight w:val="none"/>
              </w:rPr>
            </w:pPr>
            <w:r>
              <w:rPr>
                <w:rFonts w:hint="eastAsia"/>
                <w:kern w:val="2"/>
                <w:highlight w:val="none"/>
              </w:rPr>
              <w:t>四周设置绿化，主要种植草木、灌木、乔木等间隔立体绿化</w:t>
            </w:r>
          </w:p>
        </w:tc>
        <w:tc>
          <w:tcPr>
            <w:tcW w:w="1141" w:type="pct"/>
            <w:vMerge w:val="continue"/>
            <w:noWrap w:val="0"/>
            <w:vAlign w:val="center"/>
          </w:tcPr>
          <w:p>
            <w:pPr>
              <w:adjustRightInd w:val="0"/>
              <w:snapToGrid w:val="0"/>
              <w:rPr>
                <w:rFonts w:ascii="Times New Roman" w:hAnsi="Times New Roman"/>
                <w:bCs/>
                <w:sz w:val="21"/>
                <w:szCs w:val="21"/>
                <w:highlight w:val="none"/>
              </w:rPr>
            </w:pPr>
          </w:p>
        </w:tc>
      </w:tr>
    </w:tbl>
    <w:p>
      <w:pPr>
        <w:pStyle w:val="113"/>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sz w:val="24"/>
          <w:szCs w:val="24"/>
          <w:highlight w:val="none"/>
        </w:rPr>
      </w:pPr>
      <w:r>
        <w:rPr>
          <w:rFonts w:hint="default" w:ascii="Times New Roman" w:hAnsi="Times New Roman" w:cs="Times New Roman" w:eastAsiaTheme="minorEastAsia"/>
          <w:b w:val="0"/>
          <w:bCs w:val="0"/>
          <w:sz w:val="24"/>
          <w:szCs w:val="24"/>
          <w:highlight w:val="none"/>
        </w:rPr>
        <w:t>采用上述措施治理后，可有效减轻项目恶臭污染影响，评价预测场界排放NH</w:t>
      </w:r>
      <w:r>
        <w:rPr>
          <w:rFonts w:hint="default" w:ascii="Times New Roman" w:hAnsi="Times New Roman" w:cs="Times New Roman" w:eastAsiaTheme="minorEastAsia"/>
          <w:b w:val="0"/>
          <w:bCs w:val="0"/>
          <w:sz w:val="24"/>
          <w:szCs w:val="24"/>
          <w:highlight w:val="none"/>
          <w:vertAlign w:val="subscript"/>
        </w:rPr>
        <w:t>3</w:t>
      </w:r>
      <w:r>
        <w:rPr>
          <w:rFonts w:hint="default" w:ascii="Times New Roman" w:hAnsi="Times New Roman" w:cs="Times New Roman" w:eastAsiaTheme="minorEastAsia"/>
          <w:b w:val="0"/>
          <w:bCs w:val="0"/>
          <w:sz w:val="24"/>
          <w:szCs w:val="24"/>
          <w:highlight w:val="none"/>
        </w:rPr>
        <w:t>、H</w:t>
      </w:r>
      <w:r>
        <w:rPr>
          <w:rFonts w:hint="default" w:ascii="Times New Roman" w:hAnsi="Times New Roman" w:cs="Times New Roman" w:eastAsiaTheme="minorEastAsia"/>
          <w:b w:val="0"/>
          <w:bCs w:val="0"/>
          <w:sz w:val="24"/>
          <w:szCs w:val="24"/>
          <w:highlight w:val="none"/>
          <w:vertAlign w:val="subscript"/>
        </w:rPr>
        <w:t>2</w:t>
      </w:r>
      <w:r>
        <w:rPr>
          <w:rFonts w:hint="default" w:ascii="Times New Roman" w:hAnsi="Times New Roman" w:cs="Times New Roman" w:eastAsiaTheme="minorEastAsia"/>
          <w:b w:val="0"/>
          <w:bCs w:val="0"/>
          <w:sz w:val="24"/>
          <w:szCs w:val="24"/>
          <w:highlight w:val="none"/>
        </w:rPr>
        <w:t>S满足《恶臭污染物排放标准》（GB14554-93）表1中二级标准要求。臭气浓度满足《畜禽养殖业污染物排放标准》（GB18596-2001）排放标准要求。</w:t>
      </w:r>
    </w:p>
    <w:p>
      <w:pPr>
        <w:pStyle w:val="113"/>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sz w:val="24"/>
          <w:szCs w:val="24"/>
          <w:highlight w:val="none"/>
          <w:lang w:eastAsia="zh-CN"/>
        </w:rPr>
      </w:pPr>
      <w:r>
        <w:rPr>
          <w:rFonts w:hint="default" w:ascii="Times New Roman" w:hAnsi="Times New Roman" w:cs="Times New Roman" w:eastAsiaTheme="minorEastAsia"/>
          <w:b w:val="0"/>
          <w:bCs w:val="0"/>
          <w:sz w:val="24"/>
          <w:szCs w:val="24"/>
          <w:highlight w:val="none"/>
        </w:rPr>
        <w:t>因此采用喷洒除臭剂、设置绿化的方式可有效去除恶臭，达到减降目的</w:t>
      </w:r>
      <w:r>
        <w:rPr>
          <w:rFonts w:hint="default" w:ascii="Times New Roman" w:hAnsi="Times New Roman" w:cs="Times New Roman" w:eastAsiaTheme="minorEastAsia"/>
          <w:b w:val="0"/>
          <w:bCs w:val="0"/>
          <w:sz w:val="24"/>
          <w:szCs w:val="24"/>
          <w:highlight w:val="none"/>
          <w:lang w:eastAsia="zh-CN"/>
        </w:rPr>
        <w:t>。</w:t>
      </w:r>
    </w:p>
    <w:p>
      <w:pPr>
        <w:pStyle w:val="8"/>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2</w:t>
      </w:r>
      <w:r>
        <w:rPr>
          <w:rFonts w:hint="eastAsia"/>
          <w:highlight w:val="none"/>
          <w:lang w:eastAsia="zh-CN"/>
        </w:rPr>
        <w:t>锅炉燃烧废气</w:t>
      </w:r>
      <w:r>
        <w:rPr>
          <w:rFonts w:hint="eastAsia"/>
          <w:highlight w:val="none"/>
        </w:rPr>
        <w:t>防治措施可行性分析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rPr>
        <w:t>（一）低氮燃烧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kern w:val="0"/>
          <w:sz w:val="24"/>
          <w:highlight w:val="none"/>
        </w:rPr>
      </w:pPr>
      <w:r>
        <w:rPr>
          <w:rFonts w:hint="eastAsia"/>
          <w:color w:val="000000"/>
          <w:kern w:val="0"/>
          <w:sz w:val="24"/>
          <w:highlight w:val="none"/>
        </w:rPr>
        <w:t>本项目建设的沼气/天然气两用锅炉采取燃料分级低氮燃烧降低氮氧化物的产生浓度及产生量。经查阅相关资料，燃料分级低氮燃烧+技术可有效减少80%的NO</w:t>
      </w:r>
      <w:r>
        <w:rPr>
          <w:rFonts w:hint="eastAsia"/>
          <w:color w:val="000000"/>
          <w:kern w:val="0"/>
          <w:sz w:val="24"/>
          <w:highlight w:val="none"/>
          <w:vertAlign w:val="subscript"/>
        </w:rPr>
        <w:t>X</w:t>
      </w:r>
      <w:r>
        <w:rPr>
          <w:rFonts w:hint="eastAsia"/>
          <w:color w:val="000000"/>
          <w:kern w:val="0"/>
          <w:sz w:val="24"/>
          <w:highlight w:val="none"/>
        </w:rPr>
        <w:t>产生。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kern w:val="0"/>
          <w:sz w:val="24"/>
          <w:highlight w:val="none"/>
        </w:rPr>
      </w:pPr>
      <w:r>
        <w:rPr>
          <w:rFonts w:hint="eastAsia"/>
          <w:color w:val="000000"/>
          <w:kern w:val="0"/>
          <w:sz w:val="24"/>
          <w:highlight w:val="none"/>
        </w:rPr>
        <w:t>低氮燃烧技术</w:t>
      </w:r>
      <w:r>
        <w:rPr>
          <w:rFonts w:hint="eastAsia"/>
          <w:color w:val="000000"/>
          <w:kern w:val="0"/>
          <w:sz w:val="24"/>
          <w:highlight w:val="none"/>
          <w:lang w:eastAsia="zh-CN"/>
        </w:rPr>
        <w:t>：</w:t>
      </w:r>
      <w:r>
        <w:rPr>
          <w:rFonts w:hint="eastAsia"/>
          <w:color w:val="000000"/>
          <w:kern w:val="0"/>
          <w:sz w:val="24"/>
          <w:highlight w:val="none"/>
        </w:rPr>
        <w:t>燃料分级燃烧是将燃料燃烧过程中已经生成的NO</w:t>
      </w:r>
      <w:r>
        <w:rPr>
          <w:rFonts w:hint="eastAsia"/>
          <w:color w:val="000000"/>
          <w:kern w:val="0"/>
          <w:sz w:val="24"/>
          <w:highlight w:val="none"/>
          <w:vertAlign w:val="subscript"/>
        </w:rPr>
        <w:t>X</w:t>
      </w:r>
      <w:r>
        <w:rPr>
          <w:rFonts w:hint="eastAsia"/>
          <w:color w:val="000000"/>
          <w:kern w:val="0"/>
          <w:sz w:val="24"/>
          <w:highlight w:val="none"/>
        </w:rPr>
        <w:t>还原为N</w:t>
      </w:r>
      <w:r>
        <w:rPr>
          <w:rFonts w:hint="eastAsia"/>
          <w:color w:val="000000"/>
          <w:kern w:val="0"/>
          <w:sz w:val="24"/>
          <w:highlight w:val="none"/>
          <w:vertAlign w:val="subscript"/>
        </w:rPr>
        <w:t>2</w:t>
      </w:r>
      <w:r>
        <w:rPr>
          <w:rFonts w:hint="eastAsia"/>
          <w:color w:val="000000"/>
          <w:kern w:val="0"/>
          <w:sz w:val="24"/>
          <w:highlight w:val="none"/>
        </w:rPr>
        <w:t>，采用二次燃烧，在欠氧下燃烧形成活化原子团，用它还原主燃烧区产生的NO</w:t>
      </w:r>
      <w:r>
        <w:rPr>
          <w:rFonts w:hint="eastAsia"/>
          <w:color w:val="000000"/>
          <w:kern w:val="0"/>
          <w:sz w:val="24"/>
          <w:highlight w:val="none"/>
          <w:vertAlign w:val="subscript"/>
        </w:rPr>
        <w:t>X</w:t>
      </w:r>
      <w:r>
        <w:rPr>
          <w:rFonts w:hint="eastAsia"/>
          <w:color w:val="000000"/>
          <w:kern w:val="0"/>
          <w:sz w:val="24"/>
          <w:highlight w:val="none"/>
        </w:rPr>
        <w:t>。该法是将炉膛内的燃料燃烧过程设计成三个区域：主燃烧区、再燃还原区、燃尽区。在主燃区后注入二次燃料形成还原气氛，在高温（&gt;1200℃）和还原气氛下生成碳氢原子团，并与主燃区形成的NO</w:t>
      </w:r>
      <w:r>
        <w:rPr>
          <w:rFonts w:hint="eastAsia"/>
          <w:color w:val="000000"/>
          <w:kern w:val="0"/>
          <w:sz w:val="24"/>
          <w:highlight w:val="none"/>
          <w:vertAlign w:val="subscript"/>
        </w:rPr>
        <w:t>X</w:t>
      </w:r>
      <w:r>
        <w:rPr>
          <w:rFonts w:hint="eastAsia"/>
          <w:color w:val="000000"/>
          <w:kern w:val="0"/>
          <w:sz w:val="24"/>
          <w:highlight w:val="none"/>
        </w:rPr>
        <w:t>反应，将其还原。第三区送入燃尽区，完成燃尽过程，正常情况下，利用约20%的二次燃料可还原NO</w:t>
      </w:r>
      <w:r>
        <w:rPr>
          <w:rFonts w:hint="eastAsia"/>
          <w:color w:val="000000"/>
          <w:kern w:val="0"/>
          <w:sz w:val="24"/>
          <w:highlight w:val="none"/>
          <w:vertAlign w:val="subscript"/>
        </w:rPr>
        <w:t>X</w:t>
      </w:r>
      <w:r>
        <w:rPr>
          <w:rFonts w:hint="eastAsia"/>
          <w:color w:val="000000"/>
          <w:kern w:val="0"/>
          <w:sz w:val="24"/>
          <w:highlight w:val="none"/>
        </w:rPr>
        <w:t>总量的50%~60%。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sz w:val="24"/>
          <w:highlight w:val="none"/>
        </w:rPr>
      </w:pPr>
      <w:r>
        <w:rPr>
          <w:rFonts w:hint="eastAsia"/>
          <w:b w:val="0"/>
          <w:bCs w:val="0"/>
          <w:color w:val="000000"/>
          <w:sz w:val="24"/>
          <w:highlight w:val="none"/>
        </w:rPr>
        <w:t>（二）排放状况及评价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color w:val="000000"/>
          <w:sz w:val="24"/>
          <w:highlight w:val="none"/>
        </w:rPr>
        <w:t>经预测，本项目有组织排放的锅炉废气</w:t>
      </w:r>
      <w:r>
        <w:rPr>
          <w:color w:val="000000"/>
          <w:kern w:val="0"/>
          <w:sz w:val="24"/>
          <w:highlight w:val="none"/>
        </w:rPr>
        <w:t>SO</w:t>
      </w:r>
      <w:r>
        <w:rPr>
          <w:color w:val="000000"/>
          <w:kern w:val="0"/>
          <w:sz w:val="24"/>
          <w:highlight w:val="none"/>
          <w:vertAlign w:val="subscript"/>
        </w:rPr>
        <w:t>2</w:t>
      </w:r>
      <w:r>
        <w:rPr>
          <w:color w:val="000000"/>
          <w:kern w:val="0"/>
          <w:sz w:val="24"/>
          <w:highlight w:val="none"/>
        </w:rPr>
        <w:t>、NO</w:t>
      </w:r>
      <w:r>
        <w:rPr>
          <w:rFonts w:hint="eastAsia"/>
          <w:color w:val="000000"/>
          <w:kern w:val="0"/>
          <w:sz w:val="24"/>
          <w:highlight w:val="none"/>
          <w:vertAlign w:val="subscript"/>
          <w:lang w:val="en-US" w:eastAsia="zh-CN"/>
        </w:rPr>
        <w:t>X</w:t>
      </w:r>
      <w:r>
        <w:rPr>
          <w:color w:val="000000"/>
          <w:kern w:val="0"/>
          <w:sz w:val="24"/>
          <w:highlight w:val="none"/>
        </w:rPr>
        <w:t>、颗粒物</w:t>
      </w:r>
      <w:r>
        <w:rPr>
          <w:rFonts w:hint="eastAsia"/>
          <w:color w:val="000000"/>
          <w:kern w:val="0"/>
          <w:sz w:val="24"/>
          <w:highlight w:val="none"/>
        </w:rPr>
        <w:t>的</w:t>
      </w:r>
      <w:r>
        <w:rPr>
          <w:rFonts w:hint="eastAsia"/>
          <w:color w:val="000000"/>
          <w:sz w:val="24"/>
          <w:highlight w:val="none"/>
        </w:rPr>
        <w:t>最大落地浓度分别为</w:t>
      </w:r>
      <w:r>
        <w:rPr>
          <w:rFonts w:hint="eastAsia"/>
          <w:sz w:val="24"/>
          <w:szCs w:val="24"/>
          <w:highlight w:val="none"/>
          <w:lang w:val="en-US" w:eastAsia="zh-CN"/>
        </w:rPr>
        <w:t>0.000657</w:t>
      </w:r>
      <w:r>
        <w:rPr>
          <w:rFonts w:cs="Times New Roman"/>
          <w:sz w:val="24"/>
          <w:szCs w:val="24"/>
          <w:highlight w:val="none"/>
        </w:rPr>
        <w:t>mg/m</w:t>
      </w:r>
      <w:r>
        <w:rPr>
          <w:rFonts w:cs="Times New Roman"/>
          <w:sz w:val="24"/>
          <w:szCs w:val="24"/>
          <w:highlight w:val="none"/>
          <w:vertAlign w:val="superscript"/>
        </w:rPr>
        <w:t>3</w:t>
      </w:r>
      <w:r>
        <w:rPr>
          <w:rFonts w:cs="Times New Roman"/>
          <w:sz w:val="24"/>
          <w:szCs w:val="24"/>
          <w:highlight w:val="none"/>
        </w:rPr>
        <w:t>、</w:t>
      </w:r>
      <w:r>
        <w:rPr>
          <w:rFonts w:hint="eastAsia"/>
          <w:sz w:val="24"/>
          <w:szCs w:val="24"/>
          <w:highlight w:val="none"/>
          <w:lang w:val="en-US" w:eastAsia="zh-CN"/>
        </w:rPr>
        <w:t>0.00205</w:t>
      </w:r>
      <w:r>
        <w:rPr>
          <w:rFonts w:cs="Times New Roman"/>
          <w:sz w:val="24"/>
          <w:szCs w:val="24"/>
          <w:highlight w:val="none"/>
        </w:rPr>
        <w:t>mg/m</w:t>
      </w:r>
      <w:r>
        <w:rPr>
          <w:rFonts w:cs="Times New Roman"/>
          <w:sz w:val="24"/>
          <w:szCs w:val="24"/>
          <w:highlight w:val="none"/>
          <w:vertAlign w:val="superscript"/>
        </w:rPr>
        <w:t>3</w:t>
      </w:r>
      <w:r>
        <w:rPr>
          <w:rFonts w:hint="eastAsia"/>
          <w:color w:val="000000"/>
          <w:sz w:val="24"/>
          <w:highlight w:val="none"/>
        </w:rPr>
        <w:t>、</w:t>
      </w:r>
      <w:r>
        <w:rPr>
          <w:rFonts w:hint="eastAsia"/>
          <w:sz w:val="24"/>
          <w:szCs w:val="24"/>
          <w:highlight w:val="none"/>
          <w:lang w:val="en-US" w:eastAsia="zh-CN"/>
        </w:rPr>
        <w:t>0.000274</w:t>
      </w:r>
      <w:r>
        <w:rPr>
          <w:rFonts w:cs="Times New Roman"/>
          <w:sz w:val="24"/>
          <w:szCs w:val="24"/>
          <w:highlight w:val="none"/>
        </w:rPr>
        <w:t>mg/m</w:t>
      </w:r>
      <w:r>
        <w:rPr>
          <w:rFonts w:cs="Times New Roman"/>
          <w:sz w:val="24"/>
          <w:szCs w:val="24"/>
          <w:highlight w:val="none"/>
          <w:vertAlign w:val="superscript"/>
        </w:rPr>
        <w:t>3</w:t>
      </w:r>
      <w:r>
        <w:rPr>
          <w:rFonts w:hint="eastAsia"/>
          <w:color w:val="000000"/>
          <w:sz w:val="24"/>
          <w:highlight w:val="none"/>
        </w:rPr>
        <w:t>，占标率分别为</w:t>
      </w:r>
      <w:r>
        <w:rPr>
          <w:rFonts w:hint="eastAsia" w:cs="Times New Roman"/>
          <w:sz w:val="24"/>
          <w:szCs w:val="24"/>
          <w:highlight w:val="none"/>
          <w:lang w:val="en-US" w:eastAsia="zh-CN"/>
        </w:rPr>
        <w:t>0.13</w:t>
      </w:r>
      <w:r>
        <w:rPr>
          <w:rFonts w:cs="Times New Roman"/>
          <w:sz w:val="24"/>
          <w:szCs w:val="24"/>
          <w:highlight w:val="none"/>
        </w:rPr>
        <w:t>%、</w:t>
      </w:r>
      <w:r>
        <w:rPr>
          <w:rFonts w:hint="eastAsia" w:cs="Times New Roman"/>
          <w:sz w:val="24"/>
          <w:szCs w:val="24"/>
          <w:highlight w:val="none"/>
        </w:rPr>
        <w:t>0.</w:t>
      </w:r>
      <w:r>
        <w:rPr>
          <w:rFonts w:hint="eastAsia" w:cs="Times New Roman"/>
          <w:sz w:val="24"/>
          <w:szCs w:val="24"/>
          <w:highlight w:val="none"/>
          <w:lang w:val="en-US" w:eastAsia="zh-CN"/>
        </w:rPr>
        <w:t>82</w:t>
      </w:r>
      <w:r>
        <w:rPr>
          <w:rFonts w:hint="eastAsia" w:cs="Times New Roman"/>
          <w:sz w:val="24"/>
          <w:szCs w:val="24"/>
          <w:highlight w:val="none"/>
        </w:rPr>
        <w:t>%</w:t>
      </w:r>
      <w:r>
        <w:rPr>
          <w:rFonts w:hint="eastAsia"/>
          <w:color w:val="000000"/>
          <w:sz w:val="24"/>
          <w:highlight w:val="none"/>
        </w:rPr>
        <w:t>、</w:t>
      </w:r>
      <w:r>
        <w:rPr>
          <w:rFonts w:hint="eastAsia" w:cs="Times New Roman"/>
          <w:sz w:val="24"/>
          <w:szCs w:val="24"/>
          <w:highlight w:val="none"/>
          <w:lang w:val="en-US" w:eastAsia="zh-CN"/>
        </w:rPr>
        <w:t>0.07%</w:t>
      </w:r>
      <w:r>
        <w:rPr>
          <w:rFonts w:hint="eastAsia"/>
          <w:color w:val="000000"/>
          <w:sz w:val="24"/>
          <w:highlight w:val="none"/>
        </w:rPr>
        <w:t>，远小于相应环境空气质量标准限值要求，各污染物最大落地浓度占标率均小于</w:t>
      </w:r>
      <w:r>
        <w:rPr>
          <w:color w:val="000000"/>
          <w:sz w:val="24"/>
          <w:highlight w:val="none"/>
        </w:rPr>
        <w:t>10%</w:t>
      </w:r>
      <w:r>
        <w:rPr>
          <w:rFonts w:hint="eastAsia"/>
          <w:color w:val="00000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color w:val="000000"/>
          <w:sz w:val="24"/>
          <w:highlight w:val="none"/>
        </w:rPr>
        <w:t>综上，本项目采取该处理措施后排放的</w:t>
      </w:r>
      <w:r>
        <w:rPr>
          <w:rFonts w:hint="eastAsia"/>
          <w:color w:val="000000"/>
          <w:sz w:val="24"/>
          <w:highlight w:val="none"/>
          <w:lang w:eastAsia="zh-CN"/>
        </w:rPr>
        <w:t>燃料燃烧</w:t>
      </w:r>
      <w:r>
        <w:rPr>
          <w:rFonts w:hint="eastAsia"/>
          <w:color w:val="000000"/>
          <w:sz w:val="24"/>
          <w:highlight w:val="none"/>
        </w:rPr>
        <w:t>废气可实现达标排放，因此本项目采取的该处理措施是可行的。</w:t>
      </w:r>
    </w:p>
    <w:p>
      <w:pPr>
        <w:pStyle w:val="8"/>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3</w:t>
      </w:r>
      <w:r>
        <w:rPr>
          <w:rFonts w:hint="eastAsia"/>
          <w:highlight w:val="none"/>
          <w:lang w:eastAsia="zh-CN"/>
        </w:rPr>
        <w:t>食堂油烟</w:t>
      </w:r>
      <w:r>
        <w:rPr>
          <w:rFonts w:hint="eastAsia"/>
          <w:highlight w:val="none"/>
        </w:rPr>
        <w:t>防治措施可行性分析</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项目饮食油烟采用安装符合国家有关要求的油烟净化系统（集气罩+油烟净化器），处理后的油烟排放浓度小于1.5mg/m</w:t>
      </w:r>
      <w:r>
        <w:rPr>
          <w:rFonts w:hint="eastAsia"/>
          <w:highlight w:val="none"/>
          <w:vertAlign w:val="superscript"/>
        </w:rPr>
        <w:t>3</w:t>
      </w:r>
      <w:r>
        <w:rPr>
          <w:rFonts w:hint="eastAsia"/>
          <w:highlight w:val="none"/>
        </w:rPr>
        <w:t>，可达到河南省《餐饮业油烟污染物放标准》(DB41/1604-2018)要求。</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饮食业排放的大气污染物主要为气溶胶，其中含有食用油及食品在高温下的</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挥发物，以及由食用油及食品的氧化、裂解、水解而形成的醛类、酮类、链烷类、链烯类、多环芳烃等，成份较为复杂。</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油烟净化机采用静电、荷电和滤网的联合作用来净化废气中的油烟，含油物的气体经过金属滤网时，较大颗粒的油滴被滤网阻挡、粘附、透过率网的较小颗粒的油滴随气体进入除油电场，在高压电场的作用下，使微小颗粒的油雾荷电，在电场力的作用下向油滤网运动，并在滤网上积聚成较大的油滴，受地心引力作用，油滴流下，经排油道排出。目前，我国各大中型城市均已对饮食行业外排油烟进行净化治理。市场上油烟净化设施种类亦较多，且效果较好。</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本项目食堂安装经过国家主管部门认证的油烟净化设施，能满足有关环境保护标准的限值要求，所采取的措施可行。</w:t>
      </w:r>
    </w:p>
    <w:p>
      <w:pPr>
        <w:pStyle w:val="8"/>
        <w:ind w:firstLine="482"/>
        <w:rPr>
          <w:highlight w:val="none"/>
        </w:rPr>
      </w:pPr>
      <w:r>
        <w:rPr>
          <w:rFonts w:hint="eastAsia"/>
          <w:highlight w:val="none"/>
          <w:lang w:val="en-US" w:eastAsia="zh-CN"/>
        </w:rPr>
        <w:t>5</w:t>
      </w:r>
      <w:r>
        <w:rPr>
          <w:highlight w:val="none"/>
        </w:rPr>
        <w:t>.2.</w:t>
      </w:r>
      <w:r>
        <w:rPr>
          <w:rFonts w:hint="eastAsia"/>
          <w:highlight w:val="none"/>
        </w:rPr>
        <w:t>1.</w:t>
      </w:r>
      <w:r>
        <w:rPr>
          <w:rFonts w:hint="eastAsia"/>
          <w:highlight w:val="none"/>
          <w:lang w:val="en-US" w:eastAsia="zh-CN"/>
        </w:rPr>
        <w:t>4</w:t>
      </w:r>
      <w:r>
        <w:rPr>
          <w:rFonts w:hint="eastAsia"/>
          <w:highlight w:val="none"/>
          <w:lang w:eastAsia="zh-CN"/>
        </w:rPr>
        <w:t>饲料加工粉尘</w:t>
      </w:r>
      <w:r>
        <w:rPr>
          <w:rFonts w:hint="eastAsia"/>
          <w:highlight w:val="none"/>
        </w:rPr>
        <w:t>防治措施可行性分析</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项目设有饲料加工生产线一条，共有接收工段、清理工段、粉碎工段、投料工段、制粒工段等设置集气罩和除尘装置进行除尘处理。</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小麦玉米原料在接收工段设有2条接收线，每条接收线产生的接收工段粉尘经集气罩收集后经2套脉冲除尘器处理后通过投料棚侧面一根15m高排气筒排放，粉尘排放能够满足《大气污染物综合排放标准》（GB16297-1996）表2最高允许排放浓度和最高允许排放速率标准限值。原料接收后进入清理间内初清筛及清理筛处理，清理工段上方安装集气罩，清理工段粉尘经1套沙克龙除尘器+脉冲袋式除尘器处理后通过清理间侧面一根15m高排气筒排放，清理工段粉尘排放能够满足《大气污染物综合排放标准》（GB16297-1996）表2最高允许排放浓度和最高允许排放速率标准限值。辅料投料口上方设置集气罩，收集后废气经1套脉冲袋式除尘器处理后通过主车间侧面一根15m高排气筒排放，粉尘排放能够满足《大气污染物综合排放标准》（GB16297-1996）表2最高允许排放浓度和最高允许排放速率标准限值。经清理间内初清筛及清理筛处理后进入粉碎工序，粉碎工段上方安装集气罩，经1套脉冲袋式除尘器处理后通过主车间侧面一根15m高排气筒排放，粉尘排放能够满足《大气污染物综合排放标准》（GB16297-1996）表2最高允许排放浓度和最高允许排放速率标准限值。制粒工段上方设置集气罩，收集后废气经1套沙克龙除尘器处理后通过主车间内从室内通向屋顶设一根排气筒（距离地面20m高）排放，粉尘排放能够满足《大气污染物综合排放标准》（GB16297-1996）表2最高允许排放浓度和最高允许排放速率标准限值。</w:t>
      </w:r>
    </w:p>
    <w:p>
      <w:pPr>
        <w:pStyle w:val="10"/>
        <w:keepNext w:val="0"/>
        <w:keepLines w:val="0"/>
        <w:pageBreakBefore w:val="0"/>
        <w:widowControl/>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rPr>
        <w:t>综上，本项目采取该处理措施后排放的饲料加工各工段均可实现达标排放，因此本项目采取的该处理措施是可行的。</w:t>
      </w:r>
    </w:p>
    <w:p>
      <w:pPr>
        <w:pStyle w:val="7"/>
        <w:spacing w:before="66"/>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废水治理措施</w:t>
      </w:r>
    </w:p>
    <w:p>
      <w:pPr>
        <w:pStyle w:val="8"/>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.1废水处理工艺比选</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废水沼气化处理工艺能够实现养殖场粪污的综合利用，沼气化处理工艺的种类较多，工艺的选择由粪污种类、工程类型和工艺路线确定，常用的有以下几种：</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CSTR工艺：CSTR工艺适合各类粪污处理沼气工程。其特征是原料液要预处理、液泵进料、进料TS浓度为6～8%（采用螺杆泵才能达到8%）。因我国使用单一的畜禽粪，故产气率在中温条件下，一般为0.8～1.0m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；沼渣沼液一般不经固液分离直接用于农田施肥。其缺点是原料要进行预处理，工程投资偏高；能耗偏大，能量输出率偏低，如进行热电联产(CHP)， 能量输出率可大幅度提高。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USR工艺：采用上流式污泥床原理，其特征是原料预处理，液泵进料，进料TS浓度3～5%，采用下进料上出料方式，没有机械搅拌；原料从底部进入消化器内，与消化器里的活性污泥接触，使原料得到快速消化。未消化的有机物固体颗粒和沼气发酵微生物靠自然沉降滞留于消化器内，上清液从消化器上部溢出，这样可以得到比水力滞留期高得多的固体滞留期（SRT）和微生物滞留期（MRT），从而提高了固体有机物的分解率和消化器的效率。在当前畜禽养殖行业粪污资源化利用方面，有较多的应用。产气率在中温条件下，一般为0.7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左右。USR是一种简单而又低值的反应器。</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lang w:eastAsia="zh-CN"/>
        </w:rPr>
        <w:t>黑膜</w:t>
      </w:r>
      <w:r>
        <w:rPr>
          <w:rFonts w:hint="eastAsia" w:cs="Times New Roman"/>
          <w:highlight w:val="none"/>
        </w:rPr>
        <w:t>沼气池发酵工艺：</w:t>
      </w:r>
      <w:r>
        <w:rPr>
          <w:rFonts w:hint="eastAsia" w:cs="Times New Roman"/>
          <w:highlight w:val="none"/>
          <w:lang w:eastAsia="zh-CN"/>
        </w:rPr>
        <w:t>黑膜</w:t>
      </w:r>
      <w:r>
        <w:rPr>
          <w:rFonts w:hint="eastAsia" w:cs="Times New Roman"/>
          <w:highlight w:val="none"/>
        </w:rPr>
        <w:t>沼气池发酵工艺是20世纪70年代开发的一种适用于低SS工业有机废水的厌氧处理工艺，并被应用于畜禽养殖场的污水处理。其原理是先对养殖场污水进行固液分离，污水进入</w:t>
      </w:r>
      <w:r>
        <w:rPr>
          <w:rFonts w:hint="eastAsia" w:cs="Times New Roman"/>
          <w:highlight w:val="none"/>
          <w:lang w:eastAsia="zh-CN"/>
        </w:rPr>
        <w:t>黑膜</w:t>
      </w:r>
      <w:r>
        <w:rPr>
          <w:rFonts w:hint="eastAsia" w:cs="Times New Roman"/>
          <w:highlight w:val="none"/>
        </w:rPr>
        <w:t>沼气池发酵反应器进行厌氧反应，产生沼气，出水需进一步好氧处理达标排放，是一种以环保治理为主，生产能源为辅的能源环保型沼气工程工艺。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HCF工艺：是一种全混式工艺，其原理是将粪污按照TS浓度8～12%调配，直接进入带搅拌器的HCF反应器进行厌氧反应，产气率在中温条件下视原料不同在0.8～1.2m</w:t>
      </w:r>
      <w:r>
        <w:rPr>
          <w:rFonts w:hint="eastAsia" w:cs="Times New Roman"/>
          <w:highlight w:val="none"/>
          <w:vertAlign w:val="superscript"/>
        </w:rPr>
        <w:t>3</w:t>
      </w:r>
      <w:r>
        <w:rPr>
          <w:rFonts w:hint="eastAsia" w:cs="Times New Roman"/>
          <w:highlight w:val="none"/>
        </w:rPr>
        <w:t>/m</w:t>
      </w:r>
      <w:r>
        <w:rPr>
          <w:rFonts w:hint="eastAsia" w:cs="Times New Roman"/>
          <w:highlight w:val="none"/>
          <w:vertAlign w:val="superscript"/>
        </w:rPr>
        <w:t>3</w:t>
      </w:r>
      <w:r>
        <w:rPr>
          <w:rFonts w:hint="eastAsia" w:cs="Times New Roman"/>
          <w:highlight w:val="none"/>
        </w:rPr>
        <w:t>之间，产生的沼渣直接用于农田施肥，也是典型的能源生态型沼气工程工艺。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IC工艺：是目前效能最高的</w:t>
      </w:r>
      <w:r>
        <w:rPr>
          <w:rFonts w:hint="eastAsia" w:cs="Times New Roman"/>
          <w:highlight w:val="none"/>
          <w:lang w:eastAsia="zh-CN"/>
        </w:rPr>
        <w:t>黑膜</w:t>
      </w:r>
      <w:r>
        <w:rPr>
          <w:rFonts w:hint="eastAsia" w:cs="Times New Roman"/>
          <w:highlight w:val="none"/>
        </w:rPr>
        <w:t>沼气池。该反应器是集</w:t>
      </w:r>
      <w:r>
        <w:rPr>
          <w:rFonts w:hint="eastAsia" w:cs="Times New Roman"/>
          <w:highlight w:val="none"/>
          <w:lang w:eastAsia="zh-CN"/>
        </w:rPr>
        <w:t>黑膜</w:t>
      </w:r>
      <w:r>
        <w:rPr>
          <w:rFonts w:hint="eastAsia" w:cs="Times New Roman"/>
          <w:highlight w:val="none"/>
        </w:rPr>
        <w:t>沼气池发酵反应器和流化反应器的优点于一身，利用反应器内所产沼气的提升力实现发酵料液内循环的一种新型反应器。但在实际工程存在运行能耗大、一次性投资高的问题。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五种工艺的列表比较如下。</w:t>
      </w:r>
    </w:p>
    <w:p>
      <w:pPr>
        <w:pStyle w:val="40"/>
        <w:rPr>
          <w:rFonts w:hint="eastAsia" w:cs="Times New Roman"/>
          <w:highlight w:val="none"/>
          <w:lang w:val="en-US" w:eastAsia="zh-CN"/>
        </w:rPr>
      </w:pPr>
      <w:r>
        <w:rPr>
          <w:rFonts w:hint="eastAsia" w:cs="Times New Roman"/>
          <w:highlight w:val="none"/>
          <w:lang w:val="en-US" w:eastAsia="zh-CN"/>
        </w:rPr>
        <w:t>5.2-2 沼气工程工艺的对比一览表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381"/>
        <w:gridCol w:w="1381"/>
        <w:gridCol w:w="1258"/>
        <w:gridCol w:w="1258"/>
        <w:gridCol w:w="1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mc:AlternateContent>
                <mc:Choice Requires="wps">
                  <w:drawing>
                    <wp:anchor distT="0" distB="0" distL="114300" distR="114300" simplePos="0" relativeHeight="254258176" behindDoc="0" locked="0" layoutInCell="1" allowOverlap="1">
                      <wp:simplePos x="0" y="0"/>
                      <wp:positionH relativeFrom="column">
                        <wp:posOffset>0</wp:posOffset>
                      </wp:positionH>
                      <wp:positionV relativeFrom="paragraph">
                        <wp:posOffset>14605</wp:posOffset>
                      </wp:positionV>
                      <wp:extent cx="986155" cy="230505"/>
                      <wp:effectExtent l="1270" t="4445" r="3175" b="12700"/>
                      <wp:wrapNone/>
                      <wp:docPr id="68" name="直接连接符 68"/>
                      <wp:cNvGraphicFramePr/>
                      <a:graphic xmlns:a="http://schemas.openxmlformats.org/drawingml/2006/main">
                        <a:graphicData uri="http://schemas.microsoft.com/office/word/2010/wordprocessingShape">
                          <wps:wsp>
                            <wps:cNvCnPr/>
                            <wps:spPr>
                              <a:xfrm>
                                <a:off x="0" y="0"/>
                                <a:ext cx="986155" cy="23050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15pt;height:18.15pt;width:77.65pt;z-index:254258176;mso-width-relative:page;mso-height-relative:page;" filled="f" stroked="t" coordsize="21600,21600" o:gfxdata="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tjgZj0wAAAAUBAAAPAAAAAAAA&#10;AAEAIAAAACIAAABkcnMvZG93bnJldi54bWxQSwECFAAUAAAACACHTuJA3o+rzt4BAACcAwAADgAA&#10;AAAAAAABACAAAAAiAQAAZHJzL2Uyb0RvYy54bWxQSwUGAAAAAAYABgBZAQAAcgUAAAAA&#10;">
                      <v:fill on="f" focussize="0,0"/>
                      <v:stroke weight="0.5pt" color="#000000" joinstyle="round"/>
                      <v:imagedata o:title=""/>
                      <o:lock v:ext="edit" aspectratio="f"/>
                    </v:line>
                  </w:pict>
                </mc:Fallback>
              </mc:AlternateContent>
            </w:r>
            <w:r>
              <w:rPr>
                <w:rFonts w:ascii="Times New Roman" w:hAnsi="Times New Roman" w:cs="Times New Roman"/>
                <w:b w:val="0"/>
                <w:bCs w:val="0"/>
                <w:spacing w:val="7"/>
                <w:sz w:val="21"/>
                <w:szCs w:val="21"/>
                <w:highlight w:val="none"/>
              </w:rPr>
              <mc:AlternateContent>
                <mc:Choice Requires="wps">
                  <w:drawing>
                    <wp:anchor distT="0" distB="0" distL="114300" distR="114300" simplePos="0" relativeHeight="254257152" behindDoc="0" locked="0" layoutInCell="1" allowOverlap="1">
                      <wp:simplePos x="0" y="0"/>
                      <wp:positionH relativeFrom="column">
                        <wp:posOffset>29210</wp:posOffset>
                      </wp:positionH>
                      <wp:positionV relativeFrom="paragraph">
                        <wp:posOffset>68580</wp:posOffset>
                      </wp:positionV>
                      <wp:extent cx="466090" cy="195580"/>
                      <wp:effectExtent l="0" t="0" r="0" b="0"/>
                      <wp:wrapNone/>
                      <wp:docPr id="69" name="矩形 69"/>
                      <wp:cNvGraphicFramePr/>
                      <a:graphic xmlns:a="http://schemas.openxmlformats.org/drawingml/2006/main">
                        <a:graphicData uri="http://schemas.microsoft.com/office/word/2010/wordprocessingShape">
                          <wps:wsp>
                            <wps:cNvSpPr/>
                            <wps:spPr>
                              <a:xfrm>
                                <a:off x="0" y="0"/>
                                <a:ext cx="466090" cy="195580"/>
                              </a:xfrm>
                              <a:prstGeom prst="rect">
                                <a:avLst/>
                              </a:prstGeom>
                              <a:noFill/>
                              <a:ln>
                                <a:noFill/>
                              </a:ln>
                            </wps:spPr>
                            <wps:txbx>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wps:txbx>
                            <wps:bodyPr lIns="0" tIns="0" rIns="0" bIns="0" upright="1"/>
                          </wps:wsp>
                        </a:graphicData>
                      </a:graphic>
                    </wp:anchor>
                  </w:drawing>
                </mc:Choice>
                <mc:Fallback>
                  <w:pict>
                    <v:rect id="_x0000_s1026" o:spid="_x0000_s1026" o:spt="1" style="position:absolute;left:0pt;margin-left:2.3pt;margin-top:5.4pt;height:15.4pt;width:36.7pt;z-index:254257152;mso-width-relative:page;mso-height-relative:page;" filled="f" stroked="f" coordsize="21600,21600" o:gfxdata="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rT2wrWAAAABgEAAA8AAAAAAAAAAQAgAAAAIgAAAGRy&#10;cy9kb3ducmV2LnhtbFBLAQIUABQAAAAIAIdO4kASXdj4lQEAABgDAAAOAAAAAAAAAAEAIAAAACUB&#10;AABkcnMvZTJvRG9jLnhtbFBLBQYAAAAABgAGAFkBAAAsBQAAAAA=&#10;">
                      <v:fill on="f" focussize="0,0"/>
                      <v:stroke on="f"/>
                      <v:imagedata o:title=""/>
                      <o:lock v:ext="edit" aspectratio="f"/>
                      <v:textbox inset="0mm,0mm,0mm,0mm">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v:textbox>
                    </v:rect>
                  </w:pict>
                </mc:Fallback>
              </mc:AlternateContent>
            </w:r>
            <w:r>
              <w:rPr>
                <w:rFonts w:ascii="Times New Roman" w:hAnsi="Times New Roman" w:cs="Times New Roman"/>
                <w:b w:val="0"/>
                <w:bCs w:val="0"/>
                <w:spacing w:val="7"/>
                <w:sz w:val="21"/>
                <w:szCs w:val="21"/>
                <w:highlight w:val="none"/>
              </w:rPr>
              <w:t xml:space="preserve">        工艺</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CSTR</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hint="eastAsia" w:ascii="Times New Roman" w:hAnsi="Times New Roman" w:cs="Times New Roman"/>
                <w:b w:val="0"/>
                <w:bCs w:val="0"/>
                <w:spacing w:val="7"/>
                <w:sz w:val="21"/>
                <w:szCs w:val="21"/>
                <w:highlight w:val="none"/>
                <w:lang w:eastAsia="zh-CN"/>
              </w:rPr>
              <w:t>黑膜</w:t>
            </w:r>
            <w:r>
              <w:rPr>
                <w:rFonts w:ascii="Times New Roman" w:hAnsi="Times New Roman" w:cs="Times New Roman"/>
                <w:b w:val="0"/>
                <w:bCs w:val="0"/>
                <w:spacing w:val="7"/>
                <w:sz w:val="21"/>
                <w:szCs w:val="21"/>
                <w:highlight w:val="none"/>
              </w:rPr>
              <w:t>沼气池发酵</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HCF</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USR</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spacing w:val="7"/>
                <w:sz w:val="21"/>
                <w:szCs w:val="21"/>
                <w:highlight w:val="none"/>
              </w:rPr>
            </w:pPr>
            <w:r>
              <w:rPr>
                <w:rFonts w:ascii="Times New Roman" w:hAnsi="Times New Roman" w:cs="Times New Roman"/>
                <w:b w:val="0"/>
                <w:bCs w:val="0"/>
                <w:spacing w:val="7"/>
                <w:sz w:val="21"/>
                <w:szCs w:val="21"/>
                <w:highlight w:val="none"/>
              </w:rPr>
              <w:t>IC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原料范围</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畜禽场污水</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猪场粪污水</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畜禽场粪污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原料TS浓度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6～8%</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8～12%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3～5%</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应用区域</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中部、南部</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中部、南部</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全国各地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单位能耗</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单池容积</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300～1000m</w:t>
            </w:r>
            <w:r>
              <w:rPr>
                <w:rFonts w:ascii="Times New Roman" w:hAnsi="Times New Roman" w:cs="Times New Roman"/>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100～1000m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100～300m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100～600m</w:t>
            </w:r>
            <w:r>
              <w:rPr>
                <w:rFonts w:ascii="Times New Roman" w:hAnsi="Times New Roman" w:cs="Times New Roman"/>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vertAlign w:val="superscript"/>
              </w:rPr>
            </w:pPr>
            <w:r>
              <w:rPr>
                <w:rFonts w:ascii="Times New Roman" w:hAnsi="Times New Roman" w:cs="Times New Roman"/>
                <w:spacing w:val="7"/>
                <w:sz w:val="21"/>
                <w:szCs w:val="21"/>
                <w:highlight w:val="none"/>
              </w:rPr>
              <w:t>100～1000m</w:t>
            </w:r>
            <w:r>
              <w:rPr>
                <w:rFonts w:ascii="Times New Roman" w:hAnsi="Times New Roman" w:cs="Times New Roman"/>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操作难度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产气率</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≥0.8m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≥0.5m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≥0.8m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≥0.7m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≥0.5m</w:t>
            </w:r>
            <w:r>
              <w:rPr>
                <w:rFonts w:ascii="Times New Roman" w:hAnsi="Times New Roman" w:cs="Times New Roman"/>
                <w:spacing w:val="7"/>
                <w:sz w:val="21"/>
                <w:szCs w:val="21"/>
                <w:highlight w:val="none"/>
                <w:vertAlign w:val="superscript"/>
              </w:rPr>
              <w:t>3</w:t>
            </w:r>
            <w:r>
              <w:rPr>
                <w:rFonts w:ascii="Times New Roman" w:hAnsi="Times New Roman" w:cs="Times New Roman"/>
                <w:spacing w:val="7"/>
                <w:sz w:val="21"/>
                <w:szCs w:val="21"/>
                <w:highlight w:val="none"/>
              </w:rPr>
              <w:t>/m</w:t>
            </w:r>
            <w:r>
              <w:rPr>
                <w:rFonts w:ascii="Times New Roman" w:hAnsi="Times New Roman" w:cs="Times New Roman"/>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经济效益</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较佳</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较低</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spacing w:val="7"/>
                <w:sz w:val="21"/>
                <w:szCs w:val="21"/>
                <w:highlight w:val="none"/>
              </w:rPr>
            </w:pPr>
            <w:r>
              <w:rPr>
                <w:rFonts w:ascii="Times New Roman" w:hAnsi="Times New Roman" w:cs="Times New Roman"/>
                <w:spacing w:val="7"/>
                <w:sz w:val="21"/>
                <w:szCs w:val="21"/>
                <w:highlight w:val="none"/>
              </w:rPr>
              <w:t>佳</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highlight w:val="none"/>
        </w:rPr>
      </w:pPr>
      <w:r>
        <w:rPr>
          <w:rFonts w:hint="default" w:ascii="Times New Roman" w:hAnsi="Times New Roman" w:cs="Times New Roman"/>
          <w:highlight w:val="none"/>
        </w:rPr>
        <w:t>由以上分析可知， HCF工艺和CSTR工艺属于全混式工艺，将粪污按照TS浓度调配</w:t>
      </w:r>
      <w:r>
        <w:rPr>
          <w:rFonts w:hint="eastAsia" w:ascii="Times New Roman" w:hAnsi="Times New Roman" w:cs="Times New Roman"/>
          <w:highlight w:val="none"/>
          <w:lang w:eastAsia="zh-CN"/>
        </w:rPr>
        <w:t>，</w:t>
      </w:r>
      <w:r>
        <w:rPr>
          <w:rFonts w:hint="default" w:ascii="Times New Roman" w:hAnsi="Times New Roman" w:cs="Times New Roman"/>
          <w:highlight w:val="none"/>
        </w:rPr>
        <w:t>直接进入带反应器进行反应，本项目使用干清粪工艺，将粪污已分离，不适合HCF工艺和CSTR工艺；</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 工艺与IC工艺、CSTR工艺相比，IC工艺运行能耗大、一次性投资高，CSTR工艺投资偏高、能耗偏大、能量输出率偏低，而</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沼气池发酵工艺单位能耗相对较低；</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沼气池发酵工艺与USR 工艺相比，USR工艺产气率≥0.7m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沼气池发酵工艺产气率≥0.5m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，本项目养殖废水处理不追求沼气的产生量，主要为养殖废水的综合利用，所以本项目选用</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w:t>
      </w:r>
    </w:p>
    <w:p>
      <w:pPr>
        <w:pStyle w:val="2"/>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综上所述，本项目选用</w:t>
      </w:r>
      <w:r>
        <w:rPr>
          <w:rFonts w:hint="eastAsia" w:ascii="Times New Roman" w:hAnsi="Times New Roman" w:cs="Times New Roman"/>
          <w:highlight w:val="none"/>
          <w:lang w:eastAsia="zh-CN"/>
        </w:rPr>
        <w:t>黑膜</w:t>
      </w:r>
      <w:r>
        <w:rPr>
          <w:rFonts w:hint="default" w:ascii="Times New Roman" w:hAnsi="Times New Roman" w:cs="Times New Roman"/>
          <w:highlight w:val="none"/>
        </w:rPr>
        <w:t>沼气池发酵工艺处理本项目产生的养殖废水</w:t>
      </w:r>
      <w:r>
        <w:rPr>
          <w:rFonts w:hint="eastAsia" w:ascii="Times New Roman" w:hAnsi="Times New Roman" w:cs="Times New Roman"/>
          <w:highlight w:val="none"/>
          <w:lang w:eastAsia="zh-CN"/>
        </w:rPr>
        <w:t>。</w:t>
      </w:r>
    </w:p>
    <w:p>
      <w:pPr>
        <w:pStyle w:val="8"/>
        <w:ind w:firstLine="482"/>
        <w:rPr>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w:t>
      </w:r>
      <w:r>
        <w:rPr>
          <w:rFonts w:hint="eastAsia"/>
          <w:highlight w:val="none"/>
          <w:lang w:val="en-US" w:eastAsia="zh-CN"/>
        </w:rPr>
        <w:t>2</w:t>
      </w:r>
      <w:r>
        <w:rPr>
          <w:rFonts w:hint="eastAsia"/>
          <w:highlight w:val="none"/>
        </w:rPr>
        <w:t>本项目废水处理工艺路线选择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肥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废水处理的目的是将养殖废水转变为沼液用于农田施肥，使废物资源化利用，因此牧原食品股份有限公司在废水处理过程中不再简单的追求COD、氨氮的去除效率，过高的COD、氨氮去除率会造成沼液肥力的散失，不利于农田施肥。牧原食品股份有限公司废水处理的思路是：养殖废水在厌氧无害化消除病原菌的基础上，尽量保留粪水中的有机质、氨氮等农业所需养分，以保证后续农肥利用的持续、高效。因此，在</w:t>
      </w:r>
      <w:r>
        <w:rPr>
          <w:rFonts w:hint="eastAsia" w:ascii="Times New Roman" w:hAnsi="Times New Roman"/>
          <w:sz w:val="24"/>
          <w:highlight w:val="none"/>
          <w:lang w:eastAsia="zh-CN"/>
        </w:rPr>
        <w:t>黑膜</w:t>
      </w:r>
      <w:r>
        <w:rPr>
          <w:rFonts w:ascii="Times New Roman" w:hAnsi="Times New Roman"/>
          <w:sz w:val="24"/>
          <w:highlight w:val="none"/>
        </w:rPr>
        <w:t>沼气池的选择上，牧原公司结合公司工艺路线及生产实际，同时通过对其他同类同样采用干清粪工艺的企业进行考察，并请教相关专家，采用</w:t>
      </w:r>
      <w:r>
        <w:rPr>
          <w:rFonts w:hint="eastAsia" w:ascii="Times New Roman" w:hAnsi="Times New Roman"/>
          <w:sz w:val="24"/>
          <w:highlight w:val="none"/>
          <w:lang w:eastAsia="zh-CN"/>
        </w:rPr>
        <w:t>黑膜</w:t>
      </w:r>
      <w:r>
        <w:rPr>
          <w:rFonts w:ascii="Times New Roman" w:hAnsi="Times New Roman"/>
          <w:sz w:val="24"/>
          <w:highlight w:val="none"/>
        </w:rPr>
        <w:t>沼气池发酵厌氧发酵工艺，设计出既能保证厌氧无害化消除病原菌，又对运行人员操作技能要求较低的</w:t>
      </w:r>
      <w:r>
        <w:rPr>
          <w:rFonts w:hint="eastAsia" w:ascii="Times New Roman" w:hAnsi="Times New Roman"/>
          <w:sz w:val="24"/>
          <w:highlight w:val="none"/>
          <w:lang w:eastAsia="zh-CN"/>
        </w:rPr>
        <w:t>黑膜</w:t>
      </w:r>
      <w:r>
        <w:rPr>
          <w:rFonts w:ascii="Times New Roman" w:hAnsi="Times New Roman"/>
          <w:sz w:val="24"/>
          <w:highlight w:val="none"/>
        </w:rPr>
        <w:t>沼气池污水处理工艺。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该处理模式符合《省环保厅、省农业厅、省畜牧局关于印发畜禽养殖业污染源总量减排技术指导意见（试行）的通知》（豫环文【2012】99号）猪场污染减排模式2：养猪场采用干清粪方式，建设治污设施，粪便生产有机肥基肥，污水/尿液经处理后还田，无污水排放口外排，有与养殖规模相适应的消纳土地，且治污设施满足养殖场规模需求。保证COD、氨氮100%总量减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本项目设计厌氧反应池水力停留时间为30天，能够在保证废水处理效果的前提下，更好的节约投资。废水进</w:t>
      </w:r>
      <w:r>
        <w:rPr>
          <w:rFonts w:hint="eastAsia" w:ascii="Times New Roman" w:hAnsi="Times New Roman"/>
          <w:sz w:val="24"/>
          <w:highlight w:val="none"/>
          <w:lang w:eastAsia="zh-CN"/>
        </w:rPr>
        <w:t>黑膜</w:t>
      </w:r>
      <w:r>
        <w:rPr>
          <w:rFonts w:ascii="Times New Roman" w:hAnsi="Times New Roman"/>
          <w:sz w:val="24"/>
          <w:highlight w:val="none"/>
        </w:rPr>
        <w:t xml:space="preserve">沼气池前经收集调节池预处理，均匀水质水量，能够减少沼气的产生，做到沼液的保氮保肥，最大限度的发挥厌氧池除臭杀菌的作用。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cs="Times New Roman"/>
          <w:highlight w:val="none"/>
          <w:lang w:eastAsia="zh-CN"/>
        </w:rPr>
      </w:pPr>
      <w:r>
        <w:rPr>
          <w:rFonts w:ascii="Times New Roman" w:hAnsi="Times New Roman"/>
          <w:sz w:val="24"/>
          <w:highlight w:val="none"/>
        </w:rPr>
        <w:t>项目</w:t>
      </w:r>
      <w:r>
        <w:rPr>
          <w:rFonts w:hint="eastAsia" w:ascii="Times New Roman" w:hAnsi="Times New Roman"/>
          <w:sz w:val="24"/>
          <w:highlight w:val="none"/>
          <w:lang w:eastAsia="zh-CN"/>
        </w:rPr>
        <w:t>黑膜</w:t>
      </w:r>
      <w:r>
        <w:rPr>
          <w:rFonts w:ascii="Times New Roman" w:hAnsi="Times New Roman"/>
          <w:sz w:val="24"/>
          <w:highlight w:val="none"/>
        </w:rPr>
        <w:t>沼气池设计反应温度为常温，牧原公司设计的废水处理是在厌氧无害化消除病原菌的基础上，尽量保留粪水中的有机质、氨氮等农业所需养分，以保证后续农肥利用的持续、高效。经过厌氧发酵处理后产生的沼液属于高浓度有机废水，该废水具有有机物浓度高、可生化性好、易降解的特点，是较为理想的农肥</w:t>
      </w:r>
      <w:r>
        <w:rPr>
          <w:rFonts w:hint="eastAsia" w:ascii="Times New Roman" w:hAnsi="Times New Roman"/>
          <w:sz w:val="24"/>
          <w:highlight w:val="none"/>
          <w:lang w:eastAsia="zh-CN"/>
        </w:rPr>
        <w:t>。</w:t>
      </w:r>
    </w:p>
    <w:p>
      <w:pPr>
        <w:pStyle w:val="8"/>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3</w:t>
      </w:r>
      <w:r>
        <w:rPr>
          <w:rFonts w:hint="eastAsia"/>
          <w:highlight w:val="none"/>
        </w:rPr>
        <w:t>.</w:t>
      </w:r>
      <w:r>
        <w:rPr>
          <w:rFonts w:hint="eastAsia"/>
          <w:highlight w:val="none"/>
          <w:lang w:val="en-US" w:eastAsia="zh-CN"/>
        </w:rPr>
        <w:t>3</w:t>
      </w:r>
      <w:r>
        <w:rPr>
          <w:rFonts w:hint="eastAsia"/>
          <w:highlight w:val="none"/>
        </w:rPr>
        <w:t>废水治理措施工艺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sz w:val="24"/>
          <w:highlight w:val="none"/>
        </w:rPr>
      </w:pPr>
      <w:r>
        <w:rPr>
          <w:rFonts w:ascii="Times New Roman" w:hAnsi="Times New Roman"/>
          <w:sz w:val="24"/>
          <w:highlight w:val="none"/>
        </w:rPr>
        <w:t>本项目猪舍采用漏缝地板，废水由粪沟进入污水处理系统，采用“</w:t>
      </w:r>
      <w:r>
        <w:rPr>
          <w:rFonts w:hint="eastAsia" w:ascii="Times New Roman" w:hAnsi="Times New Roman"/>
          <w:bCs/>
          <w:sz w:val="24"/>
          <w:highlight w:val="none"/>
          <w:lang w:eastAsia="zh-CN"/>
        </w:rPr>
        <w:t>黑膜</w:t>
      </w:r>
      <w:r>
        <w:rPr>
          <w:rFonts w:ascii="Times New Roman" w:hAnsi="Times New Roman"/>
          <w:bCs/>
          <w:sz w:val="24"/>
          <w:highlight w:val="none"/>
        </w:rPr>
        <w:t>沼气池</w:t>
      </w:r>
      <w:r>
        <w:rPr>
          <w:rFonts w:ascii="Times New Roman" w:hAnsi="Times New Roman"/>
          <w:sz w:val="24"/>
          <w:highlight w:val="none"/>
        </w:rPr>
        <w:t>厌氧发酵+沼气、沼液、沼渣综合利用”的处理工艺。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sz w:val="24"/>
          <w:highlight w:val="none"/>
        </w:rPr>
      </w:pPr>
      <w:r>
        <w:rPr>
          <w:rFonts w:hint="eastAsia" w:asciiTheme="minorEastAsia" w:hAnsiTheme="minorEastAsia" w:eastAsiaTheme="minorEastAsia" w:cstheme="minorEastAsia"/>
          <w:sz w:val="24"/>
          <w:highlight w:val="none"/>
        </w:rPr>
        <w:t>①</w:t>
      </w:r>
      <w:r>
        <w:rPr>
          <w:rFonts w:ascii="Times New Roman" w:hAnsi="Times New Roman"/>
          <w:sz w:val="24"/>
          <w:highlight w:val="none"/>
        </w:rPr>
        <w:t>工程废水处理工艺：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bCs/>
          <w:sz w:val="24"/>
          <w:highlight w:val="none"/>
        </w:rPr>
      </w:pPr>
      <w:r>
        <w:rPr>
          <w:rFonts w:ascii="Times New Roman" w:hAnsi="Times New Roman"/>
          <w:bCs/>
          <w:sz w:val="24"/>
          <w:highlight w:val="none"/>
        </w:rPr>
        <w:t>本工程污染治理详细工艺描述如下：</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bCs/>
          <w:sz w:val="24"/>
          <w:highlight w:val="none"/>
        </w:rPr>
      </w:pPr>
      <w:r>
        <w:rPr>
          <w:rFonts w:ascii="Times New Roman" w:hAnsi="Times New Roman"/>
          <w:bCs/>
          <w:sz w:val="24"/>
          <w:highlight w:val="none"/>
        </w:rPr>
        <w:t>收集池：均衡水质、水量。</w:t>
      </w:r>
    </w:p>
    <w:p>
      <w:pPr>
        <w:keepNext w:val="0"/>
        <w:keepLines w:val="0"/>
        <w:pageBreakBefore w:val="0"/>
        <w:widowControl/>
        <w:kinsoku/>
        <w:wordWrap/>
        <w:overflowPunct/>
        <w:topLinePunct w:val="0"/>
        <w:autoSpaceDE/>
        <w:autoSpaceDN/>
        <w:bidi w:val="0"/>
        <w:adjustRightInd/>
        <w:snapToGrid/>
        <w:spacing w:line="360" w:lineRule="auto"/>
        <w:ind w:left="0"/>
        <w:jc w:val="both"/>
        <w:textAlignment w:val="auto"/>
        <w:rPr>
          <w:rFonts w:ascii="Times New Roman" w:hAnsi="Times New Roman"/>
          <w:bCs/>
          <w:sz w:val="24"/>
          <w:highlight w:val="none"/>
        </w:rPr>
      </w:pPr>
      <w:r>
        <w:rPr>
          <w:rFonts w:ascii="Times New Roman" w:hAnsi="Times New Roman"/>
          <w:bCs/>
          <w:sz w:val="24"/>
          <w:highlight w:val="none"/>
        </w:rPr>
        <w:t>本项目</w:t>
      </w:r>
      <w:r>
        <w:rPr>
          <w:rFonts w:hint="eastAsia" w:ascii="Times New Roman" w:hAnsi="Times New Roman"/>
          <w:bCs/>
          <w:sz w:val="24"/>
          <w:highlight w:val="none"/>
          <w:lang w:eastAsia="zh-CN"/>
        </w:rPr>
        <w:t>黑膜</w:t>
      </w:r>
      <w:r>
        <w:rPr>
          <w:rFonts w:ascii="Times New Roman" w:hAnsi="Times New Roman"/>
          <w:bCs/>
          <w:sz w:val="24"/>
          <w:highlight w:val="none"/>
        </w:rPr>
        <w:t>沼气池采用常温发酵，沼气池主体工程位于地下，塘口、底部用HDPE黑膜密封，采用全封闭结构，沼气池内的温度能保持常温发酵。废水处理产生的沼气经配套净化装置净化后，</w:t>
      </w:r>
      <w:r>
        <w:rPr>
          <w:rFonts w:hint="eastAsia" w:ascii="Times New Roman" w:hAnsi="Times New Roman"/>
          <w:bCs/>
          <w:sz w:val="24"/>
          <w:highlight w:val="none"/>
          <w:lang w:eastAsia="zh-CN"/>
        </w:rPr>
        <w:t>优先</w:t>
      </w:r>
      <w:r>
        <w:rPr>
          <w:rFonts w:ascii="Times New Roman" w:hAnsi="Times New Roman"/>
          <w:bCs/>
          <w:sz w:val="24"/>
          <w:highlight w:val="none"/>
        </w:rPr>
        <w:t>供给职工食堂使用</w:t>
      </w:r>
      <w:r>
        <w:rPr>
          <w:rFonts w:hint="eastAsia" w:ascii="Times New Roman" w:hAnsi="Times New Roman"/>
          <w:bCs/>
          <w:sz w:val="24"/>
          <w:highlight w:val="none"/>
          <w:lang w:eastAsia="zh-CN"/>
        </w:rPr>
        <w:t>和饲料加工用</w:t>
      </w:r>
      <w:r>
        <w:rPr>
          <w:rFonts w:ascii="Times New Roman" w:hAnsi="Times New Roman"/>
          <w:bCs/>
          <w:sz w:val="24"/>
          <w:highlight w:val="none"/>
        </w:rPr>
        <w:t>；沼液在非施肥季节储存于沼液储存池，满足《畜禽养殖业污染防治技术规范》（HJ/T 81-2001）相关要求。</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sz w:val="24"/>
          <w:highlight w:val="none"/>
        </w:rPr>
      </w:pPr>
      <w:r>
        <w:rPr>
          <w:rFonts w:ascii="Times New Roman" w:hAnsi="Times New Roman"/>
          <w:sz w:val="24"/>
          <w:highlight w:val="none"/>
        </w:rPr>
        <w:t>②污水处理规模的确定</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bCs/>
          <w:sz w:val="24"/>
          <w:highlight w:val="none"/>
        </w:rPr>
      </w:pPr>
      <w:r>
        <w:rPr>
          <w:rFonts w:ascii="Times New Roman" w:hAnsi="Times New Roman"/>
          <w:sz w:val="24"/>
          <w:highlight w:val="none"/>
        </w:rPr>
        <w:t>本项目废水量为</w:t>
      </w:r>
      <w:r>
        <w:rPr>
          <w:rFonts w:hint="eastAsia" w:ascii="Times New Roman" w:hAnsi="Times New Roman"/>
          <w:bCs/>
          <w:color w:val="000000"/>
          <w:sz w:val="24"/>
          <w:szCs w:val="24"/>
          <w:highlight w:val="none"/>
          <w:lang w:val="en-US" w:eastAsia="zh-CN"/>
        </w:rPr>
        <w:t>416.91</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/d（夏季最大），考虑废水处理的不稳定性，日处理系数按1.2计，即夏季最大总废水量</w:t>
      </w:r>
      <w:r>
        <w:rPr>
          <w:rFonts w:hint="eastAsia" w:ascii="Times New Roman" w:hAnsi="Times New Roman"/>
          <w:bCs/>
          <w:sz w:val="24"/>
          <w:highlight w:val="none"/>
          <w:lang w:val="en-US" w:eastAsia="zh-CN"/>
        </w:rPr>
        <w:t>500.292</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/d，</w:t>
      </w:r>
      <w:r>
        <w:rPr>
          <w:rFonts w:hint="eastAsia" w:ascii="Times New Roman" w:hAnsi="Times New Roman"/>
          <w:bCs/>
          <w:sz w:val="24"/>
          <w:highlight w:val="none"/>
          <w:lang w:eastAsia="zh-CN"/>
        </w:rPr>
        <w:t>黑膜</w:t>
      </w:r>
      <w:r>
        <w:rPr>
          <w:rFonts w:ascii="Times New Roman" w:hAnsi="Times New Roman"/>
          <w:bCs/>
          <w:sz w:val="24"/>
          <w:highlight w:val="none"/>
        </w:rPr>
        <w:t>沼气池的设计容积为1</w:t>
      </w:r>
      <w:r>
        <w:rPr>
          <w:rFonts w:hint="eastAsia" w:ascii="Times New Roman" w:hAnsi="Times New Roman"/>
          <w:bCs/>
          <w:sz w:val="24"/>
          <w:highlight w:val="none"/>
          <w:lang w:val="en-US" w:eastAsia="zh-CN"/>
        </w:rPr>
        <w:t>7</w:t>
      </w:r>
      <w:r>
        <w:rPr>
          <w:rFonts w:ascii="Times New Roman" w:hAnsi="Times New Roman"/>
          <w:bCs/>
          <w:sz w:val="24"/>
          <w:highlight w:val="none"/>
        </w:rPr>
        <w:t>000m</w:t>
      </w:r>
      <w:r>
        <w:rPr>
          <w:rFonts w:ascii="Times New Roman" w:hAnsi="Times New Roman"/>
          <w:bCs/>
          <w:sz w:val="24"/>
          <w:highlight w:val="none"/>
          <w:vertAlign w:val="superscript"/>
        </w:rPr>
        <w:t>3</w:t>
      </w:r>
      <w:r>
        <w:rPr>
          <w:rFonts w:ascii="Times New Roman" w:hAnsi="Times New Roman"/>
          <w:bCs/>
          <w:sz w:val="24"/>
          <w:highlight w:val="none"/>
        </w:rPr>
        <w:t>，水力停留时间为30天，为全封闭结构。满足工艺要求，厌氧处理设施可正常运行。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hint="eastAsia" w:asciiTheme="minorEastAsia" w:hAnsiTheme="minorEastAsia" w:eastAsiaTheme="minorEastAsia" w:cstheme="minorEastAsia"/>
          <w:sz w:val="24"/>
          <w:highlight w:val="none"/>
        </w:rPr>
        <w:t>③</w:t>
      </w:r>
      <w:r>
        <w:rPr>
          <w:rFonts w:ascii="Times New Roman" w:hAnsi="Times New Roman"/>
          <w:bCs/>
          <w:sz w:val="24"/>
          <w:highlight w:val="none"/>
        </w:rPr>
        <w:t>沼液储存池</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sz w:val="24"/>
          <w:highlight w:val="none"/>
        </w:rPr>
      </w:pPr>
      <w:r>
        <w:rPr>
          <w:rFonts w:ascii="Times New Roman" w:hAnsi="Times New Roman"/>
          <w:bCs/>
          <w:sz w:val="24"/>
          <w:highlight w:val="none"/>
        </w:rPr>
        <w:t>按照不低于存储166d沼液的规模设计沼液储存池有效容积不低于21298.6m</w:t>
      </w:r>
      <w:r>
        <w:rPr>
          <w:rFonts w:ascii="Times New Roman" w:hAnsi="Times New Roman"/>
          <w:bCs/>
          <w:sz w:val="24"/>
          <w:highlight w:val="none"/>
          <w:vertAlign w:val="superscript"/>
        </w:rPr>
        <w:t>3</w:t>
      </w:r>
      <w:r>
        <w:rPr>
          <w:rFonts w:ascii="Times New Roman" w:hAnsi="Times New Roman"/>
          <w:bCs/>
          <w:sz w:val="24"/>
          <w:highlight w:val="none"/>
        </w:rPr>
        <w:t>，另外考虑到预留雨水量，正阳县近年最大日降雨量为224.9mm/h，降雨历时按2h计，沼液储存池占地面积为</w:t>
      </w:r>
      <w:r>
        <w:rPr>
          <w:rFonts w:hint="eastAsia" w:ascii="Times New Roman" w:hAnsi="Times New Roman"/>
          <w:bCs/>
          <w:color w:val="000000"/>
          <w:sz w:val="24"/>
          <w:highlight w:val="none"/>
          <w:lang w:val="en-US" w:eastAsia="zh-CN"/>
        </w:rPr>
        <w:t>20</w:t>
      </w:r>
      <w:r>
        <w:rPr>
          <w:rFonts w:ascii="Times New Roman" w:hAnsi="Times New Roman"/>
          <w:bCs/>
          <w:color w:val="000000"/>
          <w:sz w:val="24"/>
          <w:highlight w:val="none"/>
        </w:rPr>
        <w:t>000m</w:t>
      </w:r>
      <w:r>
        <w:rPr>
          <w:rFonts w:ascii="Times New Roman" w:hAnsi="Times New Roman"/>
          <w:bCs/>
          <w:color w:val="000000"/>
          <w:sz w:val="24"/>
          <w:highlight w:val="none"/>
          <w:vertAlign w:val="superscript"/>
        </w:rPr>
        <w:t>2</w:t>
      </w:r>
      <w:r>
        <w:rPr>
          <w:rFonts w:ascii="Times New Roman" w:hAnsi="Times New Roman"/>
          <w:bCs/>
          <w:sz w:val="24"/>
          <w:highlight w:val="none"/>
        </w:rPr>
        <w:t>，则有效池容不低于</w:t>
      </w:r>
      <w:r>
        <w:rPr>
          <w:rFonts w:hint="eastAsia" w:ascii="Times New Roman" w:hAnsi="Times New Roman"/>
          <w:bCs/>
          <w:sz w:val="24"/>
          <w:highlight w:val="none"/>
          <w:lang w:val="en-US" w:eastAsia="zh-CN"/>
        </w:rPr>
        <w:t>8996</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。根据《畜禽养殖污水贮存设施设计要求》（GB/T26624-2011）中要求，宜预留0.9m高的空间，预留体积按照设施的实际长和宽以及预留高度进行计算，并且池体高度或深度不能超过</w:t>
      </w:r>
      <w:r>
        <w:rPr>
          <w:rFonts w:ascii="Times New Roman" w:hAnsi="Times New Roman"/>
          <w:sz w:val="24"/>
          <w:highlight w:val="none"/>
        </w:rPr>
        <w:t>6m。根据正阳牧原农牧有限公司设计资料，沼液储存池深6m，则有效池容深度为5.1m，沼液储存池有效容积为</w:t>
      </w:r>
      <w:r>
        <w:rPr>
          <w:rFonts w:hint="eastAsia" w:ascii="Times New Roman" w:hAnsi="Times New Roman"/>
          <w:sz w:val="24"/>
          <w:highlight w:val="none"/>
          <w:lang w:val="en-US" w:eastAsia="zh-CN"/>
        </w:rPr>
        <w:t>10</w:t>
      </w:r>
      <w:r>
        <w:rPr>
          <w:rFonts w:ascii="Times New Roman" w:hAnsi="Times New Roman"/>
          <w:sz w:val="24"/>
          <w:highlight w:val="none"/>
        </w:rPr>
        <w:t>0000m</w:t>
      </w:r>
      <w:r>
        <w:rPr>
          <w:rFonts w:ascii="Times New Roman" w:hAnsi="Times New Roman"/>
          <w:sz w:val="24"/>
          <w:highlight w:val="none"/>
          <w:vertAlign w:val="superscript"/>
        </w:rPr>
        <w:t>3</w:t>
      </w:r>
      <w:r>
        <w:rPr>
          <w:rFonts w:ascii="Times New Roman" w:hAnsi="Times New Roman"/>
          <w:sz w:val="24"/>
          <w:highlight w:val="none"/>
        </w:rPr>
        <w:t>，能够满足要求。</w:t>
      </w:r>
    </w:p>
    <w:p>
      <w:pPr>
        <w:pStyle w:val="10"/>
        <w:keepNext w:val="0"/>
        <w:keepLines w:val="0"/>
        <w:pageBreakBefore w:val="0"/>
        <w:widowControl/>
        <w:kinsoku/>
        <w:wordWrap/>
        <w:overflowPunct/>
        <w:topLinePunct w:val="0"/>
        <w:autoSpaceDE/>
        <w:autoSpaceDN/>
        <w:bidi w:val="0"/>
        <w:adjustRightInd/>
        <w:snapToGrid/>
        <w:spacing w:line="360" w:lineRule="auto"/>
        <w:ind w:left="0"/>
        <w:textAlignment w:val="auto"/>
        <w:rPr>
          <w:highlight w:val="none"/>
        </w:rPr>
      </w:pPr>
      <w:r>
        <w:rPr>
          <w:rFonts w:ascii="Times New Roman" w:hAnsi="Times New Roman"/>
          <w:sz w:val="24"/>
          <w:highlight w:val="none"/>
        </w:rPr>
        <w:t>废水处理工程所需设备及工程建设内容见表5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3</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5.2-3 废水处理工程主要构筑物设计一览表</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1482"/>
        <w:gridCol w:w="2158"/>
        <w:gridCol w:w="40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序号</w:t>
            </w:r>
          </w:p>
        </w:tc>
        <w:tc>
          <w:tcPr>
            <w:tcW w:w="870"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工程内容</w:t>
            </w:r>
          </w:p>
        </w:tc>
        <w:tc>
          <w:tcPr>
            <w:tcW w:w="1267"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设计规模</w:t>
            </w:r>
          </w:p>
        </w:tc>
        <w:tc>
          <w:tcPr>
            <w:tcW w:w="2405" w:type="pct"/>
            <w:noWrap w:val="0"/>
            <w:vAlign w:val="center"/>
          </w:tcPr>
          <w:p>
            <w:pPr>
              <w:widowControl w:val="0"/>
              <w:spacing w:line="320" w:lineRule="exact"/>
              <w:ind w:firstLine="0" w:firstLineChars="0"/>
              <w:jc w:val="center"/>
              <w:rPr>
                <w:rFonts w:ascii="Times New Roman" w:hAnsi="Times New Roman" w:cs="Times New Roman"/>
                <w:b w:val="0"/>
                <w:bCs/>
                <w:sz w:val="21"/>
                <w:szCs w:val="21"/>
                <w:highlight w:val="none"/>
              </w:rPr>
            </w:pPr>
            <w:r>
              <w:rPr>
                <w:rFonts w:ascii="Times New Roman" w:hAnsi="Times New Roman" w:cs="Times New Roman"/>
                <w:b w:val="0"/>
                <w:bCs/>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w:t>
            </w:r>
          </w:p>
        </w:tc>
        <w:tc>
          <w:tcPr>
            <w:tcW w:w="8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收集池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kern w:val="0"/>
                <w:sz w:val="21"/>
                <w:szCs w:val="21"/>
                <w:highlight w:val="none"/>
              </w:rPr>
              <w:t>452.6m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砖混结构，</w:t>
            </w:r>
            <w:r>
              <w:rPr>
                <w:rFonts w:ascii="Times New Roman" w:hAnsi="Times New Roman" w:cs="Times New Roman"/>
                <w:bCs/>
                <w:sz w:val="21"/>
                <w:szCs w:val="21"/>
                <w:highlight w:val="none"/>
              </w:rPr>
              <w:t>均衡水质、水量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w:t>
            </w:r>
          </w:p>
        </w:tc>
        <w:tc>
          <w:tcPr>
            <w:tcW w:w="8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黑膜</w:t>
            </w:r>
            <w:r>
              <w:rPr>
                <w:rFonts w:ascii="Times New Roman" w:hAnsi="Times New Roman" w:cs="Times New Roman"/>
                <w:sz w:val="21"/>
                <w:szCs w:val="21"/>
                <w:highlight w:val="none"/>
              </w:rPr>
              <w:t>沼气池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w:t>
            </w:r>
            <w:r>
              <w:rPr>
                <w:rFonts w:hint="eastAsia" w:ascii="Times New Roman" w:hAnsi="Times New Roman" w:cs="Times New Roman"/>
                <w:sz w:val="21"/>
                <w:szCs w:val="21"/>
                <w:highlight w:val="none"/>
                <w:lang w:val="en-US" w:eastAsia="zh-CN"/>
              </w:rPr>
              <w:t>7</w:t>
            </w:r>
            <w:r>
              <w:rPr>
                <w:rFonts w:ascii="Times New Roman" w:hAnsi="Times New Roman" w:cs="Times New Roman"/>
                <w:sz w:val="21"/>
                <w:szCs w:val="21"/>
                <w:highlight w:val="none"/>
              </w:rPr>
              <w:t>000</w:t>
            </w:r>
            <w:r>
              <w:rPr>
                <w:rFonts w:ascii="Times New Roman" w:hAnsi="Times New Roman" w:cs="Times New Roman"/>
                <w:kern w:val="0"/>
                <w:sz w:val="21"/>
                <w:szCs w:val="21"/>
                <w:highlight w:val="none"/>
              </w:rPr>
              <w:t>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采用HDPE膜防渗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w:t>
            </w:r>
          </w:p>
        </w:tc>
        <w:tc>
          <w:tcPr>
            <w:tcW w:w="8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沼液储存池</w:t>
            </w:r>
          </w:p>
        </w:tc>
        <w:tc>
          <w:tcPr>
            <w:tcW w:w="1267"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kern w:val="0"/>
                <w:sz w:val="21"/>
                <w:szCs w:val="21"/>
                <w:highlight w:val="none"/>
              </w:rPr>
              <w:t>容积</w:t>
            </w:r>
            <w:r>
              <w:rPr>
                <w:rFonts w:hint="eastAsia" w:ascii="Times New Roman" w:hAnsi="Times New Roman" w:cs="Times New Roman"/>
                <w:kern w:val="0"/>
                <w:sz w:val="21"/>
                <w:szCs w:val="21"/>
                <w:highlight w:val="none"/>
                <w:lang w:val="en-US" w:eastAsia="zh-CN"/>
              </w:rPr>
              <w:t>10</w:t>
            </w:r>
            <w:r>
              <w:rPr>
                <w:rFonts w:ascii="Times New Roman" w:hAnsi="Times New Roman" w:cs="Times New Roman"/>
                <w:kern w:val="0"/>
                <w:sz w:val="21"/>
                <w:szCs w:val="21"/>
                <w:highlight w:val="none"/>
              </w:rPr>
              <w:t>0000m</w:t>
            </w:r>
            <w:r>
              <w:rPr>
                <w:rFonts w:ascii="Times New Roman" w:hAnsi="Times New Roman" w:cs="Times New Roman"/>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采用HDPE膜防渗</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④水处理效果的分析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本项目废水处理预测结果见表5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4</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表5.2-4 废水处理效率及预测结果</w:t>
      </w:r>
    </w:p>
    <w:tbl>
      <w:tblPr>
        <w:tblStyle w:val="24"/>
        <w:tblW w:w="4999"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450"/>
        <w:gridCol w:w="1385"/>
        <w:gridCol w:w="1419"/>
        <w:gridCol w:w="1419"/>
        <w:gridCol w:w="1419"/>
        <w:gridCol w:w="142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5" w:type="pct"/>
            <w:gridSpan w:val="2"/>
            <w:vMerge w:val="restar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处理工段</w:t>
            </w:r>
          </w:p>
        </w:tc>
        <w:tc>
          <w:tcPr>
            <w:tcW w:w="3334" w:type="pct"/>
            <w:gridSpan w:val="4"/>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主要污染物浓度（mg/L）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5" w:type="pct"/>
            <w:gridSpan w:val="2"/>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COD</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BOD</w:t>
            </w:r>
            <w:r>
              <w:rPr>
                <w:rFonts w:ascii="Times New Roman" w:hAnsi="Times New Roman" w:cs="Times New Roman"/>
                <w:sz w:val="21"/>
                <w:szCs w:val="21"/>
                <w:highlight w:val="none"/>
                <w:vertAlign w:val="subscript"/>
              </w:rPr>
              <w:t>5</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SS</w:t>
            </w:r>
          </w:p>
        </w:tc>
        <w:tc>
          <w:tcPr>
            <w:tcW w:w="834"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NH</w:t>
            </w:r>
            <w:r>
              <w:rPr>
                <w:rFonts w:ascii="Times New Roman" w:hAnsi="Times New Roman" w:cs="Times New Roman"/>
                <w:sz w:val="21"/>
                <w:szCs w:val="21"/>
                <w:highlight w:val="none"/>
                <w:vertAlign w:val="subscript"/>
              </w:rPr>
              <w:t>3</w:t>
            </w:r>
            <w:r>
              <w:rPr>
                <w:rFonts w:ascii="Times New Roman" w:hAnsi="Times New Roman" w:cs="Times New Roman"/>
                <w:sz w:val="21"/>
                <w:szCs w:val="21"/>
                <w:highlight w:val="none"/>
              </w:rPr>
              <w:t>-N</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2" w:type="pct"/>
            <w:vMerge w:val="restar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废水处理系统</w:t>
            </w: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进水</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 w:val="0"/>
                <w:bCs/>
                <w:kern w:val="0"/>
                <w:sz w:val="21"/>
                <w:highlight w:val="none"/>
                <w:lang w:val="en-US" w:eastAsia="zh-CN"/>
              </w:rPr>
              <w:t>1461</w:t>
            </w:r>
            <w:r>
              <w:rPr>
                <w:rFonts w:hint="eastAsia" w:cs="Times New Roman"/>
                <w:b w:val="0"/>
                <w:bCs/>
                <w:kern w:val="0"/>
                <w:sz w:val="21"/>
                <w:highlight w:val="none"/>
                <w:lang w:val="en-US" w:eastAsia="zh-CN"/>
              </w:rPr>
              <w:t>6</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 w:val="0"/>
                <w:bCs/>
                <w:kern w:val="0"/>
                <w:sz w:val="21"/>
                <w:highlight w:val="none"/>
                <w:lang w:val="en-US" w:eastAsia="zh-CN"/>
              </w:rPr>
              <w:t>5847</w:t>
            </w:r>
            <w:r>
              <w:rPr>
                <w:rFonts w:hint="eastAsia" w:cs="Times New Roman"/>
                <w:b w:val="0"/>
                <w:bCs/>
                <w:kern w:val="0"/>
                <w:sz w:val="21"/>
                <w:highlight w:val="none"/>
                <w:lang w:val="en-US" w:eastAsia="zh-CN"/>
              </w:rPr>
              <w:t>6</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 w:val="0"/>
                <w:bCs/>
                <w:kern w:val="0"/>
                <w:sz w:val="21"/>
                <w:highlight w:val="none"/>
                <w:lang w:val="en-US" w:eastAsia="zh-CN"/>
              </w:rPr>
              <w:t>7601</w:t>
            </w:r>
          </w:p>
        </w:tc>
        <w:tc>
          <w:tcPr>
            <w:tcW w:w="834"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default" w:ascii="Times New Roman" w:hAnsi="Times New Roman" w:cs="Times New Roman"/>
                <w:b w:val="0"/>
                <w:bCs/>
                <w:kern w:val="0"/>
                <w:sz w:val="21"/>
                <w:highlight w:val="none"/>
                <w:lang w:val="en-US" w:eastAsia="zh-CN"/>
              </w:rPr>
              <w:t>97</w:t>
            </w:r>
            <w:r>
              <w:rPr>
                <w:rFonts w:hint="eastAsia" w:cs="Times New Roman"/>
                <w:b w:val="0"/>
                <w:bCs/>
                <w:kern w:val="0"/>
                <w:sz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2"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去除率</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79.5%</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76.1</w:t>
            </w:r>
            <w:r>
              <w:rPr>
                <w:rFonts w:ascii="Times New Roman" w:hAnsi="Times New Roman" w:cs="Times New Roman"/>
                <w:sz w:val="21"/>
                <w:szCs w:val="21"/>
                <w:highlight w:val="none"/>
              </w:rPr>
              <w:t>%</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73.7</w:t>
            </w:r>
            <w:r>
              <w:rPr>
                <w:rFonts w:ascii="Times New Roman" w:hAnsi="Times New Roman" w:cs="Times New Roman"/>
                <w:sz w:val="21"/>
                <w:szCs w:val="21"/>
                <w:highlight w:val="none"/>
              </w:rPr>
              <w:t>%</w:t>
            </w:r>
          </w:p>
        </w:tc>
        <w:tc>
          <w:tcPr>
            <w:tcW w:w="834"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7.7</w:t>
            </w:r>
            <w:r>
              <w:rPr>
                <w:rFonts w:ascii="Times New Roman" w:hAnsi="Times New Roman" w:cs="Times New Roman"/>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2" w:type="pct"/>
            <w:vMerge w:val="continue"/>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出水</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3000.00</w:t>
            </w:r>
          </w:p>
        </w:tc>
        <w:tc>
          <w:tcPr>
            <w:tcW w:w="833"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1400.00</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2000</w:t>
            </w:r>
          </w:p>
        </w:tc>
        <w:tc>
          <w:tcPr>
            <w:tcW w:w="834"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900</w:t>
            </w:r>
          </w:p>
        </w:tc>
      </w:tr>
    </w:tbl>
    <w:p>
      <w:pPr>
        <w:pStyle w:val="2"/>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highlight w:val="none"/>
        </w:rPr>
      </w:pPr>
      <w:r>
        <w:rPr>
          <w:rFonts w:hint="eastAsia" w:ascii="宋体" w:hAnsi="宋体" w:eastAsia="宋体" w:cs="宋体"/>
          <w:highlight w:val="none"/>
        </w:rPr>
        <w:t>⑤水处理措施经济可行性分析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本项目污水处理站总投资</w:t>
      </w:r>
      <w:r>
        <w:rPr>
          <w:rFonts w:hint="eastAsia"/>
          <w:sz w:val="24"/>
          <w:highlight w:val="none"/>
          <w:lang w:val="en-US" w:eastAsia="zh-CN"/>
        </w:rPr>
        <w:t>250</w:t>
      </w:r>
      <w:r>
        <w:rPr>
          <w:rFonts w:ascii="Times New Roman" w:hAnsi="Times New Roman"/>
          <w:sz w:val="24"/>
          <w:highlight w:val="none"/>
        </w:rPr>
        <w:t>万元，占总投资的</w:t>
      </w:r>
      <w:r>
        <w:rPr>
          <w:rFonts w:hint="eastAsia"/>
          <w:sz w:val="24"/>
          <w:highlight w:val="none"/>
          <w:lang w:val="en-US" w:eastAsia="zh-CN"/>
        </w:rPr>
        <w:t>1.5</w:t>
      </w:r>
      <w:r>
        <w:rPr>
          <w:rFonts w:ascii="Times New Roman" w:hAnsi="Times New Roman"/>
          <w:sz w:val="24"/>
          <w:highlight w:val="none"/>
        </w:rPr>
        <w:t>%。年处理废水</w:t>
      </w:r>
      <w:r>
        <w:rPr>
          <w:rFonts w:hint="eastAsia" w:ascii="Times New Roman" w:hAnsi="Times New Roman"/>
          <w:sz w:val="24"/>
          <w:highlight w:val="none"/>
        </w:rPr>
        <w:t>120624.57</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/a，年运行费用</w:t>
      </w:r>
      <w:r>
        <w:rPr>
          <w:rFonts w:hint="eastAsia"/>
          <w:sz w:val="24"/>
          <w:highlight w:val="none"/>
          <w:lang w:val="en-US" w:eastAsia="zh-CN"/>
        </w:rPr>
        <w:t>49.05</w:t>
      </w:r>
      <w:r>
        <w:rPr>
          <w:rFonts w:ascii="Times New Roman" w:hAnsi="Times New Roman"/>
          <w:sz w:val="24"/>
          <w:highlight w:val="none"/>
        </w:rPr>
        <w:t>万元，占年利润总额的1.</w:t>
      </w:r>
      <w:r>
        <w:rPr>
          <w:rFonts w:hint="eastAsia"/>
          <w:sz w:val="24"/>
          <w:highlight w:val="none"/>
          <w:lang w:val="en-US" w:eastAsia="zh-CN"/>
        </w:rPr>
        <w:t>4</w:t>
      </w:r>
      <w:r>
        <w:rPr>
          <w:rFonts w:ascii="Times New Roman" w:hAnsi="Times New Roman"/>
          <w:sz w:val="24"/>
          <w:highlight w:val="none"/>
        </w:rPr>
        <w:t>%，运行费用较低，经济可行。污水处理设施运行费用见表5</w:t>
      </w:r>
      <w:r>
        <w:rPr>
          <w:rFonts w:hint="eastAsia"/>
          <w:sz w:val="24"/>
          <w:highlight w:val="none"/>
          <w:lang w:val="en-US" w:eastAsia="zh-CN"/>
        </w:rPr>
        <w:t>.2</w:t>
      </w:r>
      <w:r>
        <w:rPr>
          <w:rFonts w:ascii="Times New Roman" w:hAnsi="Times New Roman"/>
          <w:sz w:val="24"/>
          <w:highlight w:val="none"/>
        </w:rPr>
        <w:t>-</w:t>
      </w:r>
      <w:r>
        <w:rPr>
          <w:rFonts w:hint="eastAsia"/>
          <w:sz w:val="24"/>
          <w:highlight w:val="none"/>
          <w:lang w:val="en-US" w:eastAsia="zh-CN"/>
        </w:rPr>
        <w:t>5</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表5.2-5 污水处理设施运行费用一览表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0"/>
        <w:gridCol w:w="2435"/>
        <w:gridCol w:w="2263"/>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序号</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费用名称</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费用金额（万元/年）</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电费</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13.8</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23万kwh/年，单价0.6元/Kwh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工人工资</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6</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2人，人员工资3万元/人·年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设备折旧</w:t>
            </w:r>
          </w:p>
        </w:tc>
        <w:tc>
          <w:tcPr>
            <w:tcW w:w="1329"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val="en-US" w:eastAsia="zh-CN"/>
              </w:rPr>
              <w:t>29.2</w:t>
            </w:r>
            <w:r>
              <w:rPr>
                <w:rFonts w:ascii="Times New Roman" w:hAnsi="Times New Roman" w:cs="Times New Roman"/>
                <w:sz w:val="21"/>
                <w:szCs w:val="21"/>
                <w:highlight w:val="none"/>
              </w:rPr>
              <w:t>5</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总投资150万元，按20年折旧期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5</w:t>
            </w:r>
          </w:p>
        </w:tc>
        <w:tc>
          <w:tcPr>
            <w:tcW w:w="143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合计</w:t>
            </w:r>
          </w:p>
        </w:tc>
        <w:tc>
          <w:tcPr>
            <w:tcW w:w="1329" w:type="pct"/>
            <w:noWrap w:val="0"/>
            <w:vAlign w:val="center"/>
          </w:tcPr>
          <w:p>
            <w:pPr>
              <w:widowControl w:val="0"/>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49.05</w:t>
            </w:r>
          </w:p>
        </w:tc>
        <w:tc>
          <w:tcPr>
            <w:tcW w:w="1770" w:type="pct"/>
            <w:noWrap w:val="0"/>
            <w:vAlign w:val="center"/>
          </w:tcPr>
          <w:p>
            <w:pPr>
              <w:widowControl w:val="0"/>
              <w:spacing w:line="320" w:lineRule="exact"/>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bl>
    <w:p>
      <w:pPr>
        <w:pStyle w:val="7"/>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4</w:t>
      </w:r>
      <w:r>
        <w:rPr>
          <w:rFonts w:hint="eastAsia"/>
          <w:highlight w:val="none"/>
        </w:rPr>
        <w:t>沼气综合利用</w:t>
      </w:r>
      <w:r>
        <w:rPr>
          <w:highlight w:val="none"/>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2"/>
          <w:highlight w:val="none"/>
        </w:rPr>
      </w:pPr>
      <w:r>
        <w:rPr>
          <w:rFonts w:ascii="Times New Roman" w:hAnsi="Times New Roman" w:cs="Times New Roman"/>
          <w:sz w:val="24"/>
          <w:szCs w:val="22"/>
          <w:highlight w:val="none"/>
        </w:rPr>
        <w:t>根据《规模化畜禽养殖场沼气工程设计规范》中的数据，沼气产生量按照去除1kgCOD产生沼气0.25m</w:t>
      </w:r>
      <w:r>
        <w:rPr>
          <w:rFonts w:ascii="Times New Roman" w:hAnsi="Times New Roman" w:cs="Times New Roman"/>
          <w:sz w:val="24"/>
          <w:szCs w:val="22"/>
          <w:highlight w:val="none"/>
          <w:vertAlign w:val="superscript"/>
        </w:rPr>
        <w:t>3</w:t>
      </w:r>
      <w:r>
        <w:rPr>
          <w:rFonts w:ascii="Times New Roman" w:hAnsi="Times New Roman" w:cs="Times New Roman"/>
          <w:sz w:val="24"/>
          <w:szCs w:val="22"/>
          <w:highlight w:val="none"/>
        </w:rPr>
        <w:t>进行计算。项目沼气产生量为</w:t>
      </w:r>
      <w:r>
        <w:rPr>
          <w:rFonts w:hint="eastAsia" w:ascii="Times New Roman" w:hAnsi="Times New Roman"/>
          <w:color w:val="000000"/>
          <w:sz w:val="24"/>
          <w:highlight w:val="none"/>
        </w:rPr>
        <w:t>350398.2</w:t>
      </w:r>
      <w:r>
        <w:rPr>
          <w:rFonts w:hint="eastAsia"/>
          <w:color w:val="000000"/>
          <w:sz w:val="24"/>
          <w:highlight w:val="none"/>
          <w:lang w:val="en-US" w:eastAsia="zh-CN"/>
        </w:rPr>
        <w:t>4</w:t>
      </w:r>
      <w:r>
        <w:rPr>
          <w:rFonts w:ascii="Times New Roman" w:hAnsi="Times New Roman"/>
          <w:color w:val="000000"/>
          <w:sz w:val="24"/>
          <w:highlight w:val="none"/>
        </w:rPr>
        <w:t>m</w:t>
      </w:r>
      <w:r>
        <w:rPr>
          <w:rFonts w:ascii="Times New Roman" w:hAnsi="Times New Roman"/>
          <w:color w:val="000000"/>
          <w:sz w:val="24"/>
          <w:highlight w:val="none"/>
          <w:vertAlign w:val="superscript"/>
        </w:rPr>
        <w:t>3</w:t>
      </w:r>
      <w:r>
        <w:rPr>
          <w:rFonts w:ascii="Times New Roman" w:hAnsi="Times New Roman"/>
          <w:color w:val="000000"/>
          <w:sz w:val="24"/>
          <w:highlight w:val="none"/>
        </w:rPr>
        <w:t>/a</w:t>
      </w:r>
      <w:r>
        <w:rPr>
          <w:rFonts w:ascii="Times New Roman" w:hAnsi="Times New Roman" w:cs="Times New Roman"/>
          <w:sz w:val="24"/>
          <w:szCs w:val="22"/>
          <w:highlight w:val="none"/>
        </w:rPr>
        <w:t>，</w:t>
      </w:r>
      <w:r>
        <w:rPr>
          <w:rFonts w:hint="eastAsia" w:cs="Times New Roman"/>
          <w:sz w:val="24"/>
          <w:szCs w:val="22"/>
          <w:highlight w:val="none"/>
          <w:lang w:eastAsia="zh-CN"/>
        </w:rPr>
        <w:t>主要</w:t>
      </w:r>
      <w:r>
        <w:rPr>
          <w:rFonts w:ascii="Times New Roman" w:hAnsi="Times New Roman" w:cs="Times New Roman"/>
          <w:sz w:val="24"/>
          <w:szCs w:val="22"/>
          <w:highlight w:val="none"/>
        </w:rPr>
        <w:t>用于食堂</w:t>
      </w:r>
      <w:r>
        <w:rPr>
          <w:rFonts w:hint="eastAsia"/>
          <w:highlight w:val="none"/>
          <w:lang w:eastAsia="zh-CN"/>
        </w:rPr>
        <w:t>及饲料线锅炉</w:t>
      </w:r>
      <w:r>
        <w:rPr>
          <w:rFonts w:ascii="Times New Roman" w:hAnsi="Times New Roman" w:cs="Times New Roman"/>
          <w:sz w:val="24"/>
          <w:szCs w:val="22"/>
          <w:highlight w:val="none"/>
        </w:rPr>
        <w:t>。</w:t>
      </w:r>
      <w:r>
        <w:rPr>
          <w:rFonts w:hint="eastAsia" w:ascii="Times New Roman" w:hAnsi="Times New Roman" w:cs="Times New Roman"/>
          <w:sz w:val="24"/>
          <w:szCs w:val="22"/>
          <w:highlight w:val="none"/>
        </w:rPr>
        <w:t>项目饲料加工区锅炉为</w:t>
      </w:r>
      <w:r>
        <w:rPr>
          <w:rFonts w:hint="eastAsia" w:cs="Times New Roman"/>
          <w:sz w:val="24"/>
          <w:szCs w:val="22"/>
          <w:highlight w:val="none"/>
          <w:lang w:val="en-US" w:eastAsia="zh-CN"/>
        </w:rPr>
        <w:t>1台</w:t>
      </w:r>
      <w:r>
        <w:rPr>
          <w:rFonts w:hint="eastAsia" w:ascii="Times New Roman" w:hAnsi="Times New Roman" w:cs="Times New Roman"/>
          <w:sz w:val="24"/>
          <w:szCs w:val="22"/>
          <w:highlight w:val="none"/>
        </w:rPr>
        <w:t>2t/h燃气锅炉，所需燃料量为60万m</w:t>
      </w:r>
      <w:r>
        <w:rPr>
          <w:rFonts w:hint="eastAsia" w:ascii="Times New Roman" w:hAnsi="Times New Roman" w:cs="Times New Roman"/>
          <w:sz w:val="24"/>
          <w:szCs w:val="22"/>
          <w:highlight w:val="none"/>
          <w:vertAlign w:val="superscript"/>
        </w:rPr>
        <w:t>3</w:t>
      </w:r>
      <w:r>
        <w:rPr>
          <w:rFonts w:hint="eastAsia" w:ascii="Times New Roman" w:hAnsi="Times New Roman" w:cs="Times New Roman"/>
          <w:sz w:val="24"/>
          <w:szCs w:val="22"/>
          <w:highlight w:val="none"/>
        </w:rPr>
        <w:t>/a（以天然气计），远大于沼气产生量。项目沼气用于锅炉燃烧可行。</w:t>
      </w:r>
    </w:p>
    <w:p>
      <w:pPr>
        <w:pStyle w:val="7"/>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5</w:t>
      </w:r>
      <w:r>
        <w:rPr>
          <w:rFonts w:hint="eastAsia"/>
          <w:highlight w:val="none"/>
        </w:rPr>
        <w:t>沼液综合利用措施可行性分析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本次评价从沼液营养成分、土地消纳能力以及现实操作性等方面来分析沼液农肥利用系统的可行性。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（1）沼液营养成分</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国内外大量实验研究及实际运用表明，沼液尤其是养殖废水处理后的沼液，不仅含有作物所需求丰富的N、P、K等大量元素外，还含有硼、铜、铁、锰、钙、锌等中微量元素，以及大量的有机质、多种氨基酸和维生素等。施用沼液，不仅能显著改良土壤、增加作物产量、确保农作物生长所需要的良好微生态系统，还有利于增强其抗冻、抗旱、抗虫能力。</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sz w:val="24"/>
          <w:highlight w:val="none"/>
        </w:rPr>
        <w:t>（2）土地沼液消纳能力</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hint="eastAsia" w:asciiTheme="minorEastAsia" w:hAnsiTheme="minorEastAsia" w:eastAsiaTheme="minorEastAsia" w:cstheme="minorEastAsia"/>
          <w:bCs/>
          <w:sz w:val="24"/>
          <w:highlight w:val="none"/>
        </w:rPr>
        <w:t>①</w:t>
      </w:r>
      <w:r>
        <w:rPr>
          <w:rFonts w:ascii="Times New Roman" w:hAnsi="Times New Roman"/>
          <w:bCs/>
          <w:sz w:val="24"/>
          <w:highlight w:val="none"/>
        </w:rPr>
        <w:t>农肥效确定</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多年来，正阳县耕作种植为一年两熟，夏季收获以小麦为主、秋季收获以玉米为主，因此农田消纳主要以小麦-玉米为主。根据近几年测土、试验研究结果，正阳县土壤碱解氮含量为57.6mg/kg，土壤贮氮量较低，应注重氮素的补给。</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沼液中含量最多也是最主要的可被作物吸收利用的为N素。根据工程设计，工程沼液中的氨氮含量为</w:t>
      </w:r>
      <w:r>
        <w:rPr>
          <w:rFonts w:hint="eastAsia" w:ascii="Times New Roman" w:hAnsi="Times New Roman"/>
          <w:bCs/>
          <w:sz w:val="24"/>
          <w:highlight w:val="none"/>
          <w:lang w:val="en-US" w:eastAsia="zh-CN"/>
        </w:rPr>
        <w:t>900</w:t>
      </w:r>
      <w:r>
        <w:rPr>
          <w:rFonts w:ascii="Times New Roman" w:hAnsi="Times New Roman"/>
          <w:bCs/>
          <w:sz w:val="24"/>
          <w:highlight w:val="none"/>
        </w:rPr>
        <w:t>mg/L，查找类比资料可知，养殖废水中氨氮浓度为总氮的80%左右，则总氮浓度为11</w:t>
      </w:r>
      <w:r>
        <w:rPr>
          <w:rFonts w:hint="eastAsia" w:ascii="Times New Roman" w:hAnsi="Times New Roman"/>
          <w:bCs/>
          <w:sz w:val="24"/>
          <w:highlight w:val="none"/>
          <w:lang w:val="en-US" w:eastAsia="zh-CN"/>
        </w:rPr>
        <w:t>25</w:t>
      </w:r>
      <w:r>
        <w:rPr>
          <w:rFonts w:ascii="Times New Roman" w:hAnsi="Times New Roman"/>
          <w:bCs/>
          <w:sz w:val="24"/>
          <w:highlight w:val="none"/>
        </w:rPr>
        <w:t>mg/L。</w:t>
      </w:r>
    </w:p>
    <w:p>
      <w:pPr>
        <w:keepNext w:val="0"/>
        <w:keepLines w:val="0"/>
        <w:pageBreakBefore w:val="0"/>
        <w:widowControl/>
        <w:numPr>
          <w:ilvl w:val="0"/>
          <w:numId w:val="0"/>
        </w:numPr>
        <w:kinsoku/>
        <w:wordWrap/>
        <w:overflowPunct/>
        <w:autoSpaceDE/>
        <w:autoSpaceDN/>
        <w:bidi w:val="0"/>
        <w:adjustRightInd/>
        <w:snapToGrid/>
        <w:spacing w:line="360" w:lineRule="auto"/>
        <w:ind w:leftChars="200"/>
        <w:jc w:val="both"/>
        <w:textAlignment w:val="auto"/>
        <w:rPr>
          <w:rFonts w:ascii="Times New Roman" w:hAnsi="Times New Roman"/>
          <w:bCs/>
          <w:color w:val="000000"/>
          <w:sz w:val="24"/>
          <w:highlight w:val="none"/>
        </w:rPr>
      </w:pPr>
      <w:r>
        <w:rPr>
          <w:rFonts w:hint="eastAsia" w:asciiTheme="minorEastAsia" w:hAnsiTheme="minorEastAsia" w:eastAsiaTheme="minorEastAsia" w:cstheme="minorEastAsia"/>
          <w:bCs/>
          <w:sz w:val="24"/>
          <w:highlight w:val="none"/>
        </w:rPr>
        <w:t>②</w:t>
      </w:r>
      <w:r>
        <w:rPr>
          <w:rFonts w:ascii="Times New Roman" w:hAnsi="Times New Roman"/>
          <w:bCs/>
          <w:sz w:val="24"/>
          <w:highlight w:val="none"/>
        </w:rPr>
        <w:t>农田消纳能力计算 </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根据2018年1月15日农业部办公厅印发的《畜禽粪污土地承载力测算技术指南》中畜禽规模养殖场粪污消纳配套土地面积的测算方法。</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根据2018年1月15日农业部办公厅关于印发《畜禽粪污土地承载力测算技术指南》的通知，本指南适用于区域畜禽粪污土地承载力和畜禽规模养殖场粪污消纳配套土地面积的测算。规模养殖场配套土地面积等于规模养殖场粪肥养分供给量（对外销售部分不计算在内）除以单位土地粪肥养分需求量。根据项目区土地的种植规律，每年10月份种植小麦，6月份收割后种植玉米，即每年种植两季，一季小麦、一季玉米。</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（一）粪肥养分供给量</w:t>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highlight w:val="none"/>
        </w:rPr>
        <w:drawing>
          <wp:inline distT="0" distB="0" distL="114300" distR="114300">
            <wp:extent cx="4991100" cy="419100"/>
            <wp:effectExtent l="0" t="0" r="0" b="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55"/>
                    <a:stretch>
                      <a:fillRect/>
                    </a:stretch>
                  </pic:blipFill>
                  <pic:spPr>
                    <a:xfrm>
                      <a:off x="0" y="0"/>
                      <a:ext cx="4991100" cy="41910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由第二章工程分析可知项目废水总量</w:t>
      </w:r>
      <w:r>
        <w:rPr>
          <w:rFonts w:hint="eastAsia" w:ascii="Times New Roman" w:hAnsi="Times New Roman"/>
          <w:bCs/>
          <w:color w:val="000000"/>
          <w:sz w:val="24"/>
          <w:highlight w:val="none"/>
        </w:rPr>
        <w:t>120624.57</w:t>
      </w:r>
      <w:r>
        <w:rPr>
          <w:rFonts w:ascii="Times New Roman" w:hAnsi="Times New Roman"/>
          <w:bCs/>
          <w:sz w:val="24"/>
          <w:highlight w:val="none"/>
        </w:rPr>
        <w:t>m</w:t>
      </w:r>
      <w:r>
        <w:rPr>
          <w:rFonts w:ascii="Times New Roman" w:hAnsi="Times New Roman"/>
          <w:bCs/>
          <w:sz w:val="24"/>
          <w:highlight w:val="none"/>
          <w:vertAlign w:val="superscript"/>
        </w:rPr>
        <w:t>3</w:t>
      </w:r>
      <w:r>
        <w:rPr>
          <w:rFonts w:ascii="Times New Roman" w:hAnsi="Times New Roman"/>
          <w:bCs/>
          <w:sz w:val="24"/>
          <w:highlight w:val="none"/>
        </w:rPr>
        <w:t>/a，氨氮最终产生浓度为9</w:t>
      </w:r>
      <w:r>
        <w:rPr>
          <w:rFonts w:hint="eastAsia" w:ascii="Times New Roman" w:hAnsi="Times New Roman"/>
          <w:bCs/>
          <w:sz w:val="24"/>
          <w:highlight w:val="none"/>
          <w:lang w:val="en-US" w:eastAsia="zh-CN"/>
        </w:rPr>
        <w:t>00</w:t>
      </w:r>
      <w:r>
        <w:rPr>
          <w:rFonts w:ascii="Times New Roman" w:hAnsi="Times New Roman"/>
          <w:bCs/>
          <w:color w:val="000000"/>
          <w:sz w:val="24"/>
          <w:highlight w:val="none"/>
        </w:rPr>
        <w:t>mg/L，养殖废水中氨氮浓度为总氮的80%左右，折合总氮浓度为</w:t>
      </w:r>
      <w:r>
        <w:rPr>
          <w:rFonts w:ascii="Times New Roman" w:hAnsi="Times New Roman"/>
          <w:bCs/>
          <w:sz w:val="24"/>
          <w:highlight w:val="none"/>
        </w:rPr>
        <w:t>11</w:t>
      </w:r>
      <w:r>
        <w:rPr>
          <w:rFonts w:hint="eastAsia" w:ascii="Times New Roman" w:hAnsi="Times New Roman"/>
          <w:bCs/>
          <w:sz w:val="24"/>
          <w:highlight w:val="none"/>
          <w:lang w:val="en-US" w:eastAsia="zh-CN"/>
        </w:rPr>
        <w:t>25</w:t>
      </w:r>
      <w:r>
        <w:rPr>
          <w:rFonts w:ascii="Times New Roman" w:hAnsi="Times New Roman"/>
          <w:bCs/>
          <w:color w:val="000000"/>
          <w:sz w:val="24"/>
          <w:highlight w:val="none"/>
        </w:rPr>
        <w:t>mg/L，则项目氮素总量为</w:t>
      </w:r>
      <w:r>
        <w:rPr>
          <w:rFonts w:hint="eastAsia" w:ascii="Times New Roman" w:hAnsi="Times New Roman"/>
          <w:bCs/>
          <w:color w:val="000000"/>
          <w:sz w:val="24"/>
          <w:highlight w:val="none"/>
          <w:lang w:val="en-US" w:eastAsia="zh-CN"/>
        </w:rPr>
        <w:t>135.7t</w:t>
      </w:r>
      <w:r>
        <w:rPr>
          <w:rFonts w:ascii="Times New Roman" w:hAnsi="Times New Roman"/>
          <w:bCs/>
          <w:color w:val="000000"/>
          <w:sz w:val="24"/>
          <w:highlight w:val="none"/>
        </w:rPr>
        <w:t>/a。</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（二）单位土地粪肥养分需求量</w:t>
      </w:r>
    </w:p>
    <w:p>
      <w:pPr>
        <w:keepNext w:val="0"/>
        <w:keepLines w:val="0"/>
        <w:pageBreakBefore w:val="0"/>
        <w:widowControl/>
        <w:kinsoku/>
        <w:wordWrap/>
        <w:overflowPunct/>
        <w:autoSpaceDE/>
        <w:autoSpaceDN/>
        <w:bidi w:val="0"/>
        <w:adjustRightInd/>
        <w:snapToGrid/>
        <w:spacing w:line="360" w:lineRule="auto"/>
        <w:ind w:left="0" w:leftChars="0" w:firstLine="482"/>
        <w:jc w:val="both"/>
        <w:textAlignment w:val="auto"/>
        <w:rPr>
          <w:rFonts w:ascii="Times New Roman" w:hAnsi="Times New Roman"/>
          <w:bCs/>
          <w:color w:val="000000"/>
          <w:sz w:val="24"/>
          <w:highlight w:val="none"/>
        </w:rPr>
      </w:pPr>
      <w:r>
        <w:rPr>
          <w:highlight w:val="none"/>
        </w:rPr>
        <w:drawing>
          <wp:inline distT="0" distB="0" distL="114300" distR="114300">
            <wp:extent cx="5268595" cy="478790"/>
            <wp:effectExtent l="0" t="0" r="8255" b="1651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56"/>
                    <a:stretch>
                      <a:fillRect/>
                    </a:stretch>
                  </pic:blipFill>
                  <pic:spPr>
                    <a:xfrm>
                      <a:off x="0" y="0"/>
                      <a:ext cx="5268595" cy="478790"/>
                    </a:xfrm>
                    <a:prstGeom prst="rect">
                      <a:avLst/>
                    </a:prstGeom>
                    <a:noFill/>
                    <a:ln>
                      <a:noFill/>
                    </a:ln>
                  </pic:spPr>
                </pic:pic>
              </a:graphicData>
            </a:graphic>
          </wp:inline>
        </w:drawing>
      </w:r>
    </w:p>
    <w:p>
      <w:pPr>
        <w:keepNext w:val="0"/>
        <w:keepLines w:val="0"/>
        <w:pageBreakBefore w:val="0"/>
        <w:widowControl/>
        <w:kinsoku/>
        <w:wordWrap/>
        <w:overflowPunct/>
        <w:autoSpaceDE/>
        <w:autoSpaceDN/>
        <w:bidi w:val="0"/>
        <w:adjustRightInd/>
        <w:snapToGrid/>
        <w:spacing w:line="360" w:lineRule="auto"/>
        <w:ind w:left="0" w:leftChars="0" w:firstLine="482"/>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单位土地养分需求量：根据《畜禽粪污土地承载力测算技术指南》，单位土地养分需求量为规模养殖场单位面积配套土地种植的各类植物在目标产量下的氮（磷）养分需求量之和；由本指南中的表3-1并结合项目区近年来农作物产量情况，确定项目配套土地小麦和玉米的产量分别为500kg/亩、600kg/亩；由本指南中的表1每100 kg产量的小麦和玉米需要吸收氮量分别为3.0 kg、2.3 kg；配套土地种植小麦和玉米的单位土地养分需求量分别为15.0 kg/亩、13.8 kg/亩；</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施肥供给养分占比：土壤养分水平为Ⅲ类土壤，结合《畜禽粪污土地承载力测算技术指南》中表2，本次施肥供给占比取45</w:t>
      </w:r>
      <w:r>
        <w:rPr>
          <w:rFonts w:hint="eastAsia"/>
          <w:bCs/>
          <w:kern w:val="0"/>
          <w:sz w:val="24"/>
          <w:highlight w:val="none"/>
          <w:lang w:val="en-US" w:eastAsia="zh-CN"/>
        </w:rPr>
        <w:t>%</w:t>
      </w:r>
      <w:r>
        <w:rPr>
          <w:rFonts w:ascii="Times New Roman" w:hAnsi="Times New Roman"/>
          <w:bCs/>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粪肥占施肥比例：75</w:t>
      </w:r>
      <w:r>
        <w:rPr>
          <w:rFonts w:hint="eastAsia"/>
          <w:bCs/>
          <w:kern w:val="0"/>
          <w:sz w:val="24"/>
          <w:highlight w:val="none"/>
          <w:lang w:val="en-US" w:eastAsia="zh-CN"/>
        </w:rPr>
        <w:t>%</w:t>
      </w:r>
      <w:r>
        <w:rPr>
          <w:rFonts w:ascii="Times New Roman" w:hAnsi="Times New Roman"/>
          <w:bCs/>
          <w:kern w:val="0"/>
          <w:sz w:val="24"/>
          <w:highlight w:val="none"/>
        </w:rPr>
        <w:t>（配套消纳地将沼液作为底肥和基肥使用使用量按总施肥量的75%计，其他肥料使用量按25%）；</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粪肥当季利用率：25</w:t>
      </w:r>
      <w:r>
        <w:rPr>
          <w:rFonts w:hint="eastAsia"/>
          <w:bCs/>
          <w:kern w:val="0"/>
          <w:sz w:val="24"/>
          <w:highlight w:val="none"/>
          <w:lang w:val="en-US" w:eastAsia="zh-CN"/>
        </w:rPr>
        <w:t>%</w:t>
      </w:r>
      <w:r>
        <w:rPr>
          <w:rFonts w:ascii="Times New Roman" w:hAnsi="Times New Roman"/>
          <w:bCs/>
          <w:kern w:val="0"/>
          <w:sz w:val="24"/>
          <w:highlight w:val="none"/>
        </w:rPr>
        <w:t>（粪肥中氮素当季利用率推荐值为25%—30%，具体根据当地实际情况确定，本项目取25</w:t>
      </w:r>
      <w:r>
        <w:rPr>
          <w:rFonts w:hint="eastAsia"/>
          <w:bCs/>
          <w:kern w:val="0"/>
          <w:sz w:val="24"/>
          <w:highlight w:val="none"/>
          <w:lang w:val="en-US" w:eastAsia="zh-CN"/>
        </w:rPr>
        <w:t>%</w:t>
      </w:r>
      <w:r>
        <w:rPr>
          <w:rFonts w:ascii="Times New Roman" w:hAnsi="Times New Roman"/>
          <w:bCs/>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则项目区土地种植小麦时单位土地粪肥养分需求量为20.25kg/亩；地种植玉米时单位土地粪肥养分需求量为18.63 kg/亩；</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color w:val="000000"/>
          <w:sz w:val="24"/>
          <w:highlight w:val="none"/>
        </w:rPr>
        <w:t>则项目区单位土地全年粪肥养分需求量为38.88 kg/亩</w:t>
      </w:r>
      <w:r>
        <w:rPr>
          <w:rFonts w:hint="eastAsia"/>
          <w:bCs/>
          <w:color w:val="000000"/>
          <w:sz w:val="24"/>
          <w:highlight w:val="none"/>
          <w:lang w:eastAsia="zh-CN"/>
        </w:rPr>
        <w:t>；</w:t>
      </w:r>
      <w:r>
        <w:rPr>
          <w:rFonts w:ascii="Times New Roman" w:hAnsi="Times New Roman"/>
          <w:bCs/>
          <w:color w:val="000000"/>
          <w:sz w:val="24"/>
          <w:highlight w:val="none"/>
        </w:rPr>
        <w:t>因此本项目配套消纳地面积约为</w:t>
      </w:r>
      <w:r>
        <w:rPr>
          <w:rFonts w:hint="eastAsia"/>
          <w:bCs/>
          <w:color w:val="000000"/>
          <w:sz w:val="24"/>
          <w:highlight w:val="none"/>
          <w:lang w:val="en-US" w:eastAsia="zh-CN"/>
        </w:rPr>
        <w:t>3571</w:t>
      </w:r>
      <w:r>
        <w:rPr>
          <w:rFonts w:ascii="Times New Roman" w:hAnsi="Times New Roman"/>
          <w:bCs/>
          <w:color w:val="000000"/>
          <w:sz w:val="24"/>
          <w:highlight w:val="none"/>
        </w:rPr>
        <w:t>亩。</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kern w:val="0"/>
          <w:sz w:val="24"/>
          <w:highlight w:val="none"/>
        </w:rPr>
      </w:pPr>
      <w:r>
        <w:rPr>
          <w:rFonts w:ascii="Times New Roman" w:hAnsi="Times New Roman"/>
          <w:bCs/>
          <w:sz w:val="24"/>
          <w:highlight w:val="none"/>
        </w:rPr>
        <w:t>正阳牧原农牧有限公司和</w:t>
      </w:r>
      <w:r>
        <w:rPr>
          <w:rFonts w:ascii="Times New Roman" w:hAnsi="Times New Roman"/>
          <w:bCs/>
          <w:kern w:val="0"/>
          <w:sz w:val="24"/>
          <w:szCs w:val="21"/>
          <w:highlight w:val="none"/>
        </w:rPr>
        <w:t>周边</w:t>
      </w:r>
      <w:r>
        <w:rPr>
          <w:rFonts w:ascii="Times New Roman" w:hAnsi="Times New Roman"/>
          <w:bCs/>
          <w:sz w:val="24"/>
          <w:highlight w:val="none"/>
        </w:rPr>
        <w:t>村民委员会签订沼液综合利用协议（见附件</w:t>
      </w:r>
      <w:r>
        <w:rPr>
          <w:rFonts w:hint="eastAsia"/>
          <w:bCs/>
          <w:sz w:val="24"/>
          <w:highlight w:val="none"/>
          <w:lang w:eastAsia="zh-CN"/>
        </w:rPr>
        <w:t>七</w:t>
      </w:r>
      <w:r>
        <w:rPr>
          <w:rFonts w:ascii="Times New Roman" w:hAnsi="Times New Roman"/>
          <w:bCs/>
          <w:sz w:val="24"/>
          <w:highlight w:val="none"/>
        </w:rPr>
        <w:t>），共利用</w:t>
      </w:r>
      <w:r>
        <w:rPr>
          <w:rFonts w:hint="eastAsia"/>
          <w:bCs/>
          <w:sz w:val="24"/>
          <w:highlight w:val="none"/>
          <w:lang w:val="en-US" w:eastAsia="zh-CN"/>
        </w:rPr>
        <w:t>6</w:t>
      </w:r>
      <w:r>
        <w:rPr>
          <w:rFonts w:hint="eastAsia" w:ascii="Times New Roman" w:hAnsi="Times New Roman"/>
          <w:bCs/>
          <w:sz w:val="24"/>
          <w:highlight w:val="none"/>
          <w:lang w:val="en-US" w:eastAsia="zh-CN"/>
        </w:rPr>
        <w:t>000</w:t>
      </w:r>
      <w:r>
        <w:rPr>
          <w:rFonts w:ascii="Times New Roman" w:hAnsi="Times New Roman"/>
          <w:bCs/>
          <w:sz w:val="24"/>
          <w:highlight w:val="none"/>
        </w:rPr>
        <w:t>亩农田，位于项目东侧和南侧，消纳项目产生的沼液。消纳地由当地农民根据需要自己种植作物，公司负责无偿将沼液输送管网铺设至田间地头，并定期派出管理和技术人员指导农户合理施用沼液。</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sz w:val="24"/>
          <w:highlight w:val="none"/>
        </w:rPr>
      </w:pPr>
      <w:r>
        <w:rPr>
          <w:rFonts w:ascii="Times New Roman" w:hAnsi="Times New Roman"/>
          <w:bCs/>
          <w:sz w:val="24"/>
          <w:highlight w:val="none"/>
        </w:rPr>
        <w:t>综上，用于本项目沼液消纳地面积为</w:t>
      </w:r>
      <w:r>
        <w:rPr>
          <w:rFonts w:hint="eastAsia"/>
          <w:bCs/>
          <w:sz w:val="24"/>
          <w:highlight w:val="none"/>
          <w:lang w:val="en-US" w:eastAsia="zh-CN"/>
        </w:rPr>
        <w:t>6</w:t>
      </w:r>
      <w:r>
        <w:rPr>
          <w:rFonts w:hint="eastAsia" w:ascii="Times New Roman" w:hAnsi="Times New Roman"/>
          <w:bCs/>
          <w:sz w:val="24"/>
          <w:highlight w:val="none"/>
          <w:lang w:val="en-US" w:eastAsia="zh-CN"/>
        </w:rPr>
        <w:t>000</w:t>
      </w:r>
      <w:r>
        <w:rPr>
          <w:rFonts w:ascii="Times New Roman" w:hAnsi="Times New Roman"/>
          <w:bCs/>
          <w:sz w:val="24"/>
          <w:highlight w:val="none"/>
        </w:rPr>
        <w:t>亩，大于计算得出的</w:t>
      </w:r>
      <w:r>
        <w:rPr>
          <w:rFonts w:hint="eastAsia" w:ascii="Times New Roman" w:hAnsi="Times New Roman"/>
          <w:bCs/>
          <w:sz w:val="24"/>
          <w:highlight w:val="none"/>
          <w:lang w:val="en-US" w:eastAsia="zh-CN"/>
        </w:rPr>
        <w:t>3571</w:t>
      </w:r>
      <w:r>
        <w:rPr>
          <w:rFonts w:ascii="Times New Roman" w:hAnsi="Times New Roman"/>
          <w:bCs/>
          <w:sz w:val="24"/>
          <w:highlight w:val="none"/>
        </w:rPr>
        <w:t>亩，因此本项目沼液消纳地可以消纳项目产生的全部沼液。</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sz w:val="24"/>
          <w:highlight w:val="none"/>
        </w:rPr>
      </w:pPr>
      <w:r>
        <w:rPr>
          <w:rFonts w:ascii="Times New Roman" w:hAnsi="Times New Roman"/>
          <w:bCs/>
          <w:sz w:val="24"/>
          <w:highlight w:val="none"/>
        </w:rPr>
        <w:t>（3）沼液利用的现实操作性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根据当地的种植规律及施肥规律，对于小麦和玉米均为施基肥两次，因此本评价建议沼液储存池的储存时间按166天计。</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bCs/>
          <w:color w:val="000000"/>
          <w:sz w:val="24"/>
          <w:highlight w:val="none"/>
        </w:rPr>
      </w:pPr>
      <w:r>
        <w:rPr>
          <w:rFonts w:ascii="Times New Roman" w:hAnsi="Times New Roman"/>
          <w:bCs/>
          <w:color w:val="000000"/>
          <w:sz w:val="24"/>
          <w:highlight w:val="none"/>
        </w:rPr>
        <w:t>沼液储存池的容积：沼液储存池的容积根据《畜禽养殖污水贮存设施设计要求》（GB/T26624-2011）确定的，总容积应为养殖污水量、降雨量和预留体积之和。结合相关法规、牧原养殖场产污水实际及当地农业施肥实际要求，项目实际沼液储存池设计为能够容纳166天以上的沼液量。根据《畜禽养殖污水贮存设施设计要求》（GB/T26624-2011）中要求，宜预留0.9m高的空间，预留体积按照设施的实际长和宽以及预留高度进行计算，并且池体高度或深度不能超过6m。根据牧原公司设计资料，工程设一个沼液储存池，沼液储存池占地面积</w:t>
      </w:r>
      <w:r>
        <w:rPr>
          <w:rFonts w:hint="eastAsia" w:ascii="Times New Roman" w:hAnsi="Times New Roman"/>
          <w:bCs/>
          <w:color w:val="000000"/>
          <w:sz w:val="24"/>
          <w:highlight w:val="none"/>
          <w:lang w:val="en-US" w:eastAsia="zh-CN"/>
        </w:rPr>
        <w:t>20</w:t>
      </w:r>
      <w:r>
        <w:rPr>
          <w:rFonts w:ascii="Times New Roman" w:hAnsi="Times New Roman"/>
          <w:bCs/>
          <w:color w:val="000000"/>
          <w:sz w:val="24"/>
          <w:highlight w:val="none"/>
        </w:rPr>
        <w:t>000</w:t>
      </w:r>
      <w:r>
        <w:rPr>
          <w:rFonts w:ascii="Times New Roman" w:hAnsi="Times New Roman"/>
          <w:bCs/>
          <w:sz w:val="24"/>
          <w:highlight w:val="none"/>
        </w:rPr>
        <w:t>m</w:t>
      </w:r>
      <w:r>
        <w:rPr>
          <w:rFonts w:ascii="Times New Roman" w:hAnsi="Times New Roman"/>
          <w:bCs/>
          <w:sz w:val="24"/>
          <w:highlight w:val="none"/>
          <w:vertAlign w:val="superscript"/>
        </w:rPr>
        <w:t>2</w:t>
      </w:r>
      <w:r>
        <w:rPr>
          <w:rFonts w:ascii="Times New Roman" w:hAnsi="Times New Roman"/>
          <w:bCs/>
          <w:color w:val="000000"/>
          <w:sz w:val="24"/>
          <w:highlight w:val="none"/>
        </w:rPr>
        <w:t>，深6m，则有效池容深度为5.1m，所建沼液储存池总容积为</w:t>
      </w:r>
      <w:r>
        <w:rPr>
          <w:rFonts w:hint="eastAsia" w:ascii="Times New Roman" w:hAnsi="Times New Roman"/>
          <w:bCs/>
          <w:color w:val="000000"/>
          <w:sz w:val="24"/>
          <w:highlight w:val="none"/>
          <w:lang w:val="en-US" w:eastAsia="zh-CN"/>
        </w:rPr>
        <w:t>12</w:t>
      </w:r>
      <w:r>
        <w:rPr>
          <w:rFonts w:ascii="Times New Roman" w:hAnsi="Times New Roman"/>
          <w:bCs/>
          <w:color w:val="000000"/>
          <w:sz w:val="24"/>
          <w:highlight w:val="none"/>
        </w:rPr>
        <w:t>0000m</w:t>
      </w:r>
      <w:r>
        <w:rPr>
          <w:rFonts w:ascii="Times New Roman" w:hAnsi="Times New Roman"/>
          <w:bCs/>
          <w:color w:val="000000"/>
          <w:sz w:val="24"/>
          <w:highlight w:val="none"/>
          <w:vertAlign w:val="superscript"/>
        </w:rPr>
        <w:t>3</w:t>
      </w:r>
      <w:r>
        <w:rPr>
          <w:rFonts w:ascii="Times New Roman" w:hAnsi="Times New Roman"/>
          <w:bCs/>
          <w:color w:val="000000"/>
          <w:sz w:val="24"/>
          <w:highlight w:val="none"/>
        </w:rPr>
        <w:t>，有效容积为</w:t>
      </w:r>
      <w:r>
        <w:rPr>
          <w:rFonts w:hint="eastAsia" w:ascii="Times New Roman" w:hAnsi="Times New Roman"/>
          <w:bCs/>
          <w:color w:val="000000"/>
          <w:sz w:val="24"/>
          <w:highlight w:val="none"/>
          <w:lang w:val="en-US" w:eastAsia="zh-CN"/>
        </w:rPr>
        <w:t>100000</w:t>
      </w:r>
      <w:r>
        <w:rPr>
          <w:rFonts w:ascii="Times New Roman" w:hAnsi="Times New Roman"/>
          <w:bCs/>
          <w:color w:val="000000"/>
          <w:sz w:val="24"/>
          <w:highlight w:val="none"/>
        </w:rPr>
        <w:t>m</w:t>
      </w:r>
      <w:r>
        <w:rPr>
          <w:rFonts w:ascii="Times New Roman" w:hAnsi="Times New Roman"/>
          <w:bCs/>
          <w:color w:val="000000"/>
          <w:sz w:val="24"/>
          <w:highlight w:val="none"/>
          <w:vertAlign w:val="superscript"/>
        </w:rPr>
        <w:t>3</w:t>
      </w:r>
      <w:r>
        <w:rPr>
          <w:rFonts w:ascii="Times New Roman" w:hAnsi="Times New Roman"/>
          <w:bCs/>
          <w:color w:val="000000"/>
          <w:sz w:val="24"/>
          <w:highlight w:val="none"/>
        </w:rPr>
        <w:t>。</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根据走访调研，当地群众施肥规律，本评价提出沼液施肥方式为每年两次基肥。</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正阳牧原农牧有限公司在沼液消纳区无偿建设沼液输送管网，并合理设置预留口。</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沼液施肥系统包括：动力系统、沼液泵、管道安全装置、电器保护装置。泵站设计应充分考虑灌区的覆盖面积、扬程。沼液泵必须满足抽提含有纤维或其它悬浮物的高粘稠液体的要求，泵、管网及管件具抗腐蚀性。</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安装管道安全装置、电器保护装置的设计应根据抽提扬程、出液量，实现管道自动调压抗爆、排堵防蚀和过载保护，满足普通UPVC等廉价管材在沼液提灌中不堵塞、不爆管，接口不拉裂、不滴漏的需要，降低建造和运行成本。</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kern w:val="0"/>
          <w:sz w:val="24"/>
          <w:highlight w:val="none"/>
        </w:rPr>
      </w:pPr>
      <w:r>
        <w:rPr>
          <w:rFonts w:ascii="Times New Roman" w:hAnsi="Times New Roman"/>
          <w:bCs/>
          <w:kern w:val="0"/>
          <w:sz w:val="24"/>
          <w:highlight w:val="none"/>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灌溉中不出现堵塞、爆裂，接口拉裂、漏水等质量安全问题，保证沼液施肥管网的长期使用和安全运行。</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各种管线应全面安排，用不同颜色加以区别，要避免迂回曲折和相互干扰，沼液输送管道与管件必须具防腐性，管线布置应尽量减少管道弯头，减少能量损耗和便于清通。主要管网宜采用埋设，距管顶深度≧40cm，裸露部分应选用抗老化材料或进行防老化处理。长距离直线管道要设计防热胀冷缩的构造。</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针对本项目，由场区沼液储存池引至施肥农田沼液输送管网长度为</w:t>
      </w:r>
      <w:r>
        <w:rPr>
          <w:rFonts w:hint="eastAsia"/>
          <w:bCs/>
          <w:sz w:val="24"/>
          <w:highlight w:val="none"/>
          <w:lang w:val="en-US" w:eastAsia="zh-CN"/>
        </w:rPr>
        <w:t>10800</w:t>
      </w:r>
      <w:r>
        <w:rPr>
          <w:rFonts w:ascii="Times New Roman" w:hAnsi="Times New Roman"/>
          <w:bCs/>
          <w:sz w:val="24"/>
          <w:highlight w:val="none"/>
        </w:rPr>
        <w:t>m，其中干管长度</w:t>
      </w:r>
      <w:r>
        <w:rPr>
          <w:rFonts w:hint="eastAsia"/>
          <w:bCs/>
          <w:sz w:val="24"/>
          <w:highlight w:val="none"/>
          <w:lang w:val="en-US" w:eastAsia="zh-CN"/>
        </w:rPr>
        <w:t>3000</w:t>
      </w:r>
      <w:r>
        <w:rPr>
          <w:rFonts w:ascii="Times New Roman" w:hAnsi="Times New Roman"/>
          <w:bCs/>
          <w:sz w:val="24"/>
          <w:highlight w:val="none"/>
        </w:rPr>
        <w:t>m，支管</w:t>
      </w:r>
      <w:r>
        <w:rPr>
          <w:rFonts w:hint="eastAsia"/>
          <w:bCs/>
          <w:sz w:val="24"/>
          <w:highlight w:val="none"/>
          <w:lang w:val="en-US" w:eastAsia="zh-CN"/>
        </w:rPr>
        <w:t>78</w:t>
      </w:r>
      <w:r>
        <w:rPr>
          <w:rFonts w:ascii="Times New Roman" w:hAnsi="Times New Roman"/>
          <w:bCs/>
          <w:sz w:val="24"/>
          <w:highlight w:val="none"/>
        </w:rPr>
        <w:t>00m；主干管直径为110mm，支管直径为75mm。项目沼液在沼液储存池暂存，施肥期经流进沼液主干管，再从主干管流入支管，在支管的末端设置有阀门，方便农户自主选择使用。</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sz w:val="24"/>
          <w:highlight w:val="none"/>
        </w:rPr>
      </w:pPr>
      <w:r>
        <w:rPr>
          <w:rFonts w:ascii="Times New Roman" w:hAnsi="Times New Roman"/>
          <w:bCs/>
          <w:sz w:val="24"/>
          <w:highlight w:val="none"/>
        </w:rPr>
        <w:t>根据沼液综合利用协议可知，牧原公司根据农民土地位置设计并负责铺设沼液输送管网等综合利用配套设施，在每个施肥口设有阀门，每两个施肥口间隔50-60m。农肥利用季节农民根据自身需要进行使用。当地群众只需通过软管和预留口连接，在田间采用喷灌的方式对农田进行施肥。</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沼液输送管线，做好防腐工作，定期进行检修，一旦发现滴漏，沼液排入沼液储存池，待维护完毕后方可输送；</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消纳区根据地形进行单元划分，分单元进行开沟施肥，支管阀门间隔50-60m，防止农田施肥不匀引起的地下水污染问题；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严格根据评价要求，控制施肥量，严禁突击施肥，在非施肥季节及雨季，沼液由沼液储存池暂存。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对沼液施肥农田区域定期进行观测，场外农田区设置地下水观测井，建议</w:t>
      </w:r>
      <w:r>
        <w:rPr>
          <w:rFonts w:ascii="Times New Roman" w:hAnsi="Times New Roman"/>
          <w:bCs/>
          <w:sz w:val="24"/>
          <w:szCs w:val="21"/>
          <w:highlight w:val="none"/>
        </w:rPr>
        <w:t>在配套农田西南和东北方向各设置1口地下水观测井，</w:t>
      </w:r>
      <w:r>
        <w:rPr>
          <w:rFonts w:ascii="Times New Roman" w:hAnsi="Times New Roman"/>
          <w:bCs/>
          <w:sz w:val="24"/>
          <w:highlight w:val="none"/>
        </w:rPr>
        <w:t>观察沼液长期施肥对地下水的累积性影响。</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w:t>
      </w:r>
      <w:r>
        <w:rPr>
          <w:rFonts w:hint="default" w:ascii="Times New Roman" w:hAnsi="Times New Roman" w:cs="Times New Roman" w:eastAsiaTheme="minorEastAsia"/>
          <w:bCs/>
          <w:sz w:val="24"/>
          <w:highlight w:val="none"/>
          <w:lang w:val="en-US" w:eastAsia="zh-CN"/>
        </w:rPr>
        <w:t>4</w:t>
      </w:r>
      <w:r>
        <w:rPr>
          <w:rFonts w:hint="eastAsia" w:asciiTheme="minorEastAsia" w:hAnsiTheme="minorEastAsia" w:eastAsiaTheme="minorEastAsia" w:cstheme="minorEastAsia"/>
          <w:bCs/>
          <w:sz w:val="24"/>
          <w:highlight w:val="none"/>
          <w:lang w:eastAsia="zh-CN"/>
        </w:rPr>
        <w:t>）沼液利用工程的管理要求</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①基本要求</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②管道养护</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要经常对管道进行巡查维护，发现管道漏水、爆裂及时修补，发现沼液出水明显减少，要及时监测、疏通污物收集装置，确保沼液输送通畅和设施完好、运行正常。</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③设施维修保养</w:t>
      </w:r>
    </w:p>
    <w:p>
      <w:pPr>
        <w:pStyle w:val="10"/>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sz w:val="24"/>
          <w:highlight w:val="none"/>
          <w:lang w:eastAsia="zh-CN"/>
        </w:rPr>
      </w:pPr>
      <w:r>
        <w:rPr>
          <w:rFonts w:hint="eastAsia" w:asciiTheme="minorEastAsia" w:hAnsiTheme="minorEastAsia" w:eastAsiaTheme="minorEastAsia" w:cstheme="minorEastAsia"/>
          <w:bCs/>
          <w:sz w:val="24"/>
          <w:highlight w:val="none"/>
          <w:lang w:eastAsia="zh-CN"/>
        </w:rPr>
        <w:t>建立处理、储液、暂存池等主要建筑结构和管网、机电设备的检修制度或维修养护办法，确保各类设施设备完整，做到无损、无漏、无裂，闸门启闭灵活。安装的沼液泵、动力设备与电气设备应每年全面检修一次，确保安全运行。及时清除泵站前池、污物收集装置、储存池中的各种杂质淤泥。</w:t>
      </w:r>
    </w:p>
    <w:p>
      <w:pPr>
        <w:pStyle w:val="7"/>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6</w:t>
      </w:r>
      <w:r>
        <w:rPr>
          <w:rFonts w:hint="eastAsia"/>
          <w:highlight w:val="none"/>
        </w:rPr>
        <w:t>地下水</w:t>
      </w:r>
      <w:r>
        <w:rPr>
          <w:highlight w:val="none"/>
        </w:rPr>
        <w:t>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（1）源头控制措施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项目运营期对地下水环境影响的主要渠道为猪舍、沼液储存池、沼气工程、发酵区等以上污染因素如不加以管理，各区污水下渗将污染地下水；猪粪、沼渣若乱堆乱放，可能转入环境空气或地表水体，并通过下渗影响到地下水环境。因此评价要求首先在源头进行控制，具体防控措施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1 \* GB3 </w:instrText>
      </w:r>
      <w:r>
        <w:rPr>
          <w:rFonts w:ascii="Times New Roman" w:hAnsi="Times New Roman"/>
          <w:bCs/>
          <w:sz w:val="24"/>
          <w:highlight w:val="none"/>
        </w:rPr>
        <w:fldChar w:fldCharType="separate"/>
      </w:r>
      <w:r>
        <w:rPr>
          <w:rFonts w:ascii="Times New Roman" w:hAnsi="Times New Roman"/>
          <w:bCs/>
          <w:sz w:val="24"/>
          <w:highlight w:val="none"/>
        </w:rPr>
        <w:t>①</w:t>
      </w:r>
      <w:r>
        <w:rPr>
          <w:rFonts w:ascii="Times New Roman" w:hAnsi="Times New Roman"/>
          <w:bCs/>
          <w:sz w:val="24"/>
          <w:highlight w:val="none"/>
        </w:rPr>
        <w:fldChar w:fldCharType="end"/>
      </w:r>
      <w:r>
        <w:rPr>
          <w:rFonts w:ascii="Times New Roman" w:hAnsi="Times New Roman"/>
          <w:bCs/>
          <w:sz w:val="24"/>
          <w:highlight w:val="none"/>
        </w:rPr>
        <w:t>猪舍采用限位饮水器，减少水资源不必要的流失，猪舍内部底部采取混凝土进行防渗减少污染物的跑、冒、滴、漏；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2 \* GB3 </w:instrText>
      </w:r>
      <w:r>
        <w:rPr>
          <w:rFonts w:ascii="Times New Roman" w:hAnsi="Times New Roman"/>
          <w:bCs/>
          <w:sz w:val="24"/>
          <w:highlight w:val="none"/>
        </w:rPr>
        <w:fldChar w:fldCharType="separate"/>
      </w:r>
      <w:r>
        <w:rPr>
          <w:rFonts w:ascii="Times New Roman" w:hAnsi="Times New Roman"/>
          <w:bCs/>
          <w:sz w:val="24"/>
          <w:highlight w:val="none"/>
        </w:rPr>
        <w:t>②</w:t>
      </w:r>
      <w:r>
        <w:rPr>
          <w:rFonts w:ascii="Times New Roman" w:hAnsi="Times New Roman"/>
          <w:bCs/>
          <w:sz w:val="24"/>
          <w:highlight w:val="none"/>
        </w:rPr>
        <w:fldChar w:fldCharType="end"/>
      </w:r>
      <w:r>
        <w:rPr>
          <w:rFonts w:ascii="Times New Roman" w:hAnsi="Times New Roman"/>
          <w:bCs/>
          <w:sz w:val="24"/>
          <w:highlight w:val="none"/>
        </w:rPr>
        <w:t>沼液储存池，容积不小于166天的废水产生量；沼液储存池池壁及池底在清场夯压的基础上采用铺设1.5mmHDPE防渗膜进行防渗；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000000"/>
          <w:sz w:val="24"/>
          <w:highlight w:val="none"/>
        </w:rPr>
      </w:pPr>
      <w:r>
        <w:rPr>
          <w:rFonts w:ascii="Times New Roman" w:hAnsi="Times New Roman"/>
          <w:bCs/>
          <w:color w:val="000000"/>
          <w:sz w:val="24"/>
          <w:highlight w:val="none"/>
        </w:rPr>
        <w:fldChar w:fldCharType="begin"/>
      </w:r>
      <w:r>
        <w:rPr>
          <w:rFonts w:ascii="Times New Roman" w:hAnsi="Times New Roman"/>
          <w:bCs/>
          <w:color w:val="000000"/>
          <w:sz w:val="24"/>
          <w:highlight w:val="none"/>
        </w:rPr>
        <w:instrText xml:space="preserve"> = 3 \* GB3 </w:instrText>
      </w:r>
      <w:r>
        <w:rPr>
          <w:rFonts w:ascii="Times New Roman" w:hAnsi="Times New Roman"/>
          <w:bCs/>
          <w:color w:val="000000"/>
          <w:sz w:val="24"/>
          <w:highlight w:val="none"/>
        </w:rPr>
        <w:fldChar w:fldCharType="separate"/>
      </w:r>
      <w:r>
        <w:rPr>
          <w:rFonts w:ascii="Times New Roman" w:hAnsi="Times New Roman"/>
          <w:bCs/>
          <w:color w:val="000000"/>
          <w:sz w:val="24"/>
          <w:highlight w:val="none"/>
        </w:rPr>
        <w:t>③</w:t>
      </w:r>
      <w:r>
        <w:rPr>
          <w:rFonts w:ascii="Times New Roman" w:hAnsi="Times New Roman"/>
          <w:bCs/>
          <w:color w:val="000000"/>
          <w:sz w:val="24"/>
          <w:highlight w:val="none"/>
        </w:rPr>
        <w:fldChar w:fldCharType="end"/>
      </w:r>
      <w:r>
        <w:rPr>
          <w:rFonts w:ascii="Times New Roman" w:hAnsi="Times New Roman"/>
          <w:bCs/>
          <w:color w:val="000000"/>
          <w:sz w:val="24"/>
          <w:highlight w:val="none"/>
        </w:rPr>
        <w:t>沼气工程各水池（（除</w:t>
      </w:r>
      <w:r>
        <w:rPr>
          <w:rFonts w:hint="eastAsia" w:ascii="Times New Roman" w:hAnsi="Times New Roman"/>
          <w:bCs/>
          <w:color w:val="000000"/>
          <w:sz w:val="24"/>
          <w:highlight w:val="none"/>
          <w:lang w:eastAsia="zh-CN"/>
        </w:rPr>
        <w:t>黑膜</w:t>
      </w:r>
      <w:r>
        <w:rPr>
          <w:rFonts w:ascii="Times New Roman" w:hAnsi="Times New Roman"/>
          <w:bCs/>
          <w:color w:val="000000"/>
          <w:sz w:val="24"/>
          <w:highlight w:val="none"/>
        </w:rPr>
        <w:t>沼气池采用HDPE膜防渗）应为砖混结构并做相应的耐酸、碱表面处理；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4 \* GB3 </w:instrText>
      </w:r>
      <w:r>
        <w:rPr>
          <w:rFonts w:ascii="Times New Roman" w:hAnsi="Times New Roman"/>
          <w:bCs/>
          <w:sz w:val="24"/>
          <w:highlight w:val="none"/>
        </w:rPr>
        <w:fldChar w:fldCharType="separate"/>
      </w:r>
      <w:r>
        <w:rPr>
          <w:rFonts w:ascii="Times New Roman" w:hAnsi="Times New Roman"/>
          <w:bCs/>
          <w:sz w:val="24"/>
          <w:highlight w:val="none"/>
        </w:rPr>
        <w:t>④</w:t>
      </w:r>
      <w:r>
        <w:rPr>
          <w:rFonts w:ascii="Times New Roman" w:hAnsi="Times New Roman"/>
          <w:bCs/>
          <w:sz w:val="24"/>
          <w:highlight w:val="none"/>
        </w:rPr>
        <w:fldChar w:fldCharType="end"/>
      </w:r>
      <w:r>
        <w:rPr>
          <w:rFonts w:ascii="Times New Roman" w:hAnsi="Times New Roman"/>
          <w:bCs/>
          <w:sz w:val="24"/>
          <w:highlight w:val="none"/>
        </w:rPr>
        <w:t>固粪处理区，地面混凝土进行防渗，其上搭建顶棚，周边设置1m高围挡；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5 \* GB3 </w:instrText>
      </w:r>
      <w:r>
        <w:rPr>
          <w:rFonts w:ascii="Times New Roman" w:hAnsi="Times New Roman"/>
          <w:bCs/>
          <w:sz w:val="24"/>
          <w:highlight w:val="none"/>
        </w:rPr>
        <w:fldChar w:fldCharType="separate"/>
      </w:r>
      <w:r>
        <w:rPr>
          <w:rFonts w:ascii="Times New Roman" w:hAnsi="Times New Roman"/>
          <w:bCs/>
          <w:sz w:val="24"/>
          <w:highlight w:val="none"/>
        </w:rPr>
        <w:t>⑤</w:t>
      </w:r>
      <w:r>
        <w:rPr>
          <w:rFonts w:ascii="Times New Roman" w:hAnsi="Times New Roman"/>
          <w:bCs/>
          <w:sz w:val="24"/>
          <w:highlight w:val="none"/>
        </w:rPr>
        <w:fldChar w:fldCharType="end"/>
      </w:r>
      <w:r>
        <w:rPr>
          <w:rFonts w:ascii="Times New Roman" w:hAnsi="Times New Roman"/>
          <w:bCs/>
          <w:sz w:val="24"/>
          <w:highlight w:val="none"/>
        </w:rPr>
        <w:t xml:space="preserve"> 雨污分流，净脏道分离合理设置厂区内净道和脏道，净道、脏道地区硬化防渗处理。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（2）分区防控措施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sz w:val="24"/>
          <w:highlight w:val="none"/>
        </w:rPr>
      </w:pPr>
      <w:r>
        <w:rPr>
          <w:rFonts w:ascii="Times New Roman" w:hAnsi="Times New Roman"/>
          <w:bCs/>
          <w:sz w:val="24"/>
          <w:highlight w:val="none"/>
        </w:rPr>
        <w:t>结合地下水环境影响评价结果根据《环境影响评价技术导则 地下水环境》（HJ610-2016）中表5及表</w:t>
      </w:r>
      <w:r>
        <w:rPr>
          <w:rFonts w:hint="eastAsia"/>
          <w:bCs/>
          <w:sz w:val="24"/>
          <w:highlight w:val="none"/>
          <w:lang w:val="en-US" w:eastAsia="zh-CN"/>
        </w:rPr>
        <w:t>6</w:t>
      </w:r>
      <w:r>
        <w:rPr>
          <w:rFonts w:ascii="Times New Roman" w:hAnsi="Times New Roman"/>
          <w:bCs/>
          <w:sz w:val="24"/>
          <w:highlight w:val="none"/>
        </w:rPr>
        <w:t>进行判定，具体判定内容见表5</w:t>
      </w:r>
      <w:r>
        <w:rPr>
          <w:rFonts w:hint="eastAsia"/>
          <w:bCs/>
          <w:sz w:val="24"/>
          <w:highlight w:val="none"/>
          <w:lang w:val="en-US" w:eastAsia="zh-CN"/>
        </w:rPr>
        <w:t>.2-6</w:t>
      </w:r>
      <w:r>
        <w:rPr>
          <w:rFonts w:ascii="Times New Roman" w:hAnsi="Times New Roman"/>
          <w:bCs/>
          <w:sz w:val="24"/>
          <w:highlight w:val="none"/>
        </w:rPr>
        <w:t>及表</w:t>
      </w:r>
      <w:r>
        <w:rPr>
          <w:rFonts w:hint="eastAsia"/>
          <w:bCs/>
          <w:sz w:val="24"/>
          <w:highlight w:val="none"/>
          <w:lang w:val="en-US" w:eastAsia="zh-CN"/>
        </w:rPr>
        <w:t>5.2-7</w:t>
      </w:r>
      <w:r>
        <w:rPr>
          <w:rFonts w:ascii="Times New Roman" w:hAnsi="Times New Roman"/>
          <w:bCs/>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表5.2-6 污染控制难易程度分级参照表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1"/>
        <w:gridCol w:w="65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污染控制难易程度</w:t>
            </w:r>
          </w:p>
        </w:tc>
        <w:tc>
          <w:tcPr>
            <w:tcW w:w="3836" w:type="pct"/>
            <w:noWrap w:val="0"/>
            <w:vAlign w:val="center"/>
          </w:tcPr>
          <w:p>
            <w:pPr>
              <w:jc w:val="center"/>
              <w:rPr>
                <w:rFonts w:ascii="Times New Roman" w:hAnsi="Times New Roman"/>
                <w:bCs/>
                <w:sz w:val="21"/>
                <w:szCs w:val="21"/>
                <w:highlight w:val="none"/>
              </w:rPr>
            </w:pPr>
            <w:r>
              <w:rPr>
                <w:rFonts w:ascii="Times New Roman" w:hAnsi="Times New Roman"/>
                <w:bCs/>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3836"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对地下水环境有污染的物料及污染物泄漏后，不能及时发现和处理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3836" w:type="pct"/>
            <w:noWrap w:val="0"/>
            <w:vAlign w:val="center"/>
          </w:tcPr>
          <w:p>
            <w:pPr>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对地下水环境有污染的物料及污染物泄漏后，能及时发现和处理</w:t>
            </w:r>
          </w:p>
        </w:tc>
      </w:tr>
    </w:tbl>
    <w:p>
      <w:pPr>
        <w:pStyle w:val="40"/>
        <w:rPr>
          <w:rFonts w:hint="eastAsia" w:cs="Times New Roman"/>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hint="eastAsia" w:cs="Times New Roman"/>
          <w:highlight w:val="none"/>
          <w:lang w:val="en-US" w:eastAsia="zh-CN"/>
        </w:rPr>
      </w:pPr>
      <w:r>
        <w:rPr>
          <w:rFonts w:hint="eastAsia" w:cs="Times New Roman"/>
          <w:highlight w:val="none"/>
          <w:lang w:val="en-US" w:eastAsia="zh-CN"/>
        </w:rPr>
        <w:t>表5.2-7 天然包气带防污性能分级参照表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7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分级</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强</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岩（土）层单层厚度Mb≥1.0，渗透系数K≤1×10</w:t>
            </w:r>
            <w:r>
              <w:rPr>
                <w:rFonts w:ascii="Times New Roman" w:hAnsi="Times New Roman"/>
                <w:bCs/>
                <w:sz w:val="21"/>
                <w:szCs w:val="21"/>
                <w:highlight w:val="none"/>
                <w:vertAlign w:val="superscript"/>
              </w:rPr>
              <w:t>-6</w:t>
            </w:r>
            <w:r>
              <w:rPr>
                <w:rFonts w:ascii="Times New Roman" w:hAnsi="Times New Roman"/>
                <w:bCs/>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w:t>
            </w:r>
          </w:p>
        </w:tc>
        <w:tc>
          <w:tcPr>
            <w:tcW w:w="457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岩（土）层单层厚度0.5m≤Mb﹤1.0，渗透系数K≤1×10</w:t>
            </w:r>
            <w:r>
              <w:rPr>
                <w:rFonts w:ascii="Times New Roman" w:hAnsi="Times New Roman"/>
                <w:bCs/>
                <w:sz w:val="21"/>
                <w:szCs w:val="21"/>
                <w:highlight w:val="none"/>
                <w:vertAlign w:val="superscript"/>
              </w:rPr>
              <w:t>-6</w:t>
            </w:r>
            <w:r>
              <w:rPr>
                <w:rFonts w:ascii="Times New Roman" w:hAnsi="Times New Roman"/>
                <w:bCs/>
                <w:sz w:val="21"/>
                <w:szCs w:val="21"/>
                <w:highlight w:val="none"/>
              </w:rPr>
              <w:t>cm/s，且分布连续、稳定</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岩（土）层单层厚度Mb≥1.0，渗透系数1×10</w:t>
            </w:r>
            <w:r>
              <w:rPr>
                <w:rFonts w:ascii="Times New Roman" w:hAnsi="Times New Roman"/>
                <w:bCs/>
                <w:sz w:val="21"/>
                <w:szCs w:val="21"/>
                <w:highlight w:val="none"/>
                <w:vertAlign w:val="superscript"/>
              </w:rPr>
              <w:t>-6</w:t>
            </w:r>
            <w:r>
              <w:rPr>
                <w:rFonts w:ascii="Times New Roman" w:hAnsi="Times New Roman"/>
                <w:bCs/>
                <w:sz w:val="21"/>
                <w:szCs w:val="21"/>
                <w:highlight w:val="none"/>
              </w:rPr>
              <w:t>cm/s﹤K≤1×10</w:t>
            </w:r>
            <w:r>
              <w:rPr>
                <w:rFonts w:ascii="Times New Roman" w:hAnsi="Times New Roman"/>
                <w:bCs/>
                <w:sz w:val="21"/>
                <w:szCs w:val="21"/>
                <w:highlight w:val="none"/>
                <w:vertAlign w:val="superscript"/>
              </w:rPr>
              <w:t>-4</w:t>
            </w:r>
            <w:r>
              <w:rPr>
                <w:rFonts w:ascii="Times New Roman" w:hAnsi="Times New Roman"/>
                <w:bCs/>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4578"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岩（土）层不满足上述</w:t>
            </w:r>
            <w:r>
              <w:rPr>
                <w:rFonts w:hint="eastAsia" w:asciiTheme="minorEastAsia" w:hAnsiTheme="minorEastAsia" w:eastAsiaTheme="minorEastAsia" w:cstheme="minorEastAsia"/>
                <w:bCs/>
                <w:sz w:val="21"/>
                <w:szCs w:val="21"/>
                <w:highlight w:val="none"/>
              </w:rPr>
              <w:t>“强”和“中”的条件</w:t>
            </w:r>
          </w:p>
        </w:tc>
      </w:tr>
    </w:tbl>
    <w:p>
      <w:pPr>
        <w:widowControl/>
        <w:spacing w:line="520" w:lineRule="exact"/>
        <w:ind w:firstLine="480" w:firstLineChars="200"/>
        <w:rPr>
          <w:rFonts w:ascii="Times New Roman" w:hAnsi="Times New Roman"/>
          <w:sz w:val="24"/>
          <w:highlight w:val="none"/>
        </w:rPr>
      </w:pPr>
      <w:r>
        <w:rPr>
          <w:rFonts w:ascii="Times New Roman" w:hAnsi="Times New Roman"/>
          <w:bCs/>
          <w:sz w:val="24"/>
          <w:highlight w:val="none"/>
        </w:rPr>
        <w:t>项目区域土壤层以砂姜黑土为主，沼液消纳区的渗透系数一般在5.79×10</w:t>
      </w:r>
      <w:r>
        <w:rPr>
          <w:rFonts w:ascii="Times New Roman" w:hAnsi="Times New Roman"/>
          <w:bCs/>
          <w:sz w:val="24"/>
          <w:highlight w:val="none"/>
          <w:vertAlign w:val="superscript"/>
        </w:rPr>
        <w:t>-5</w:t>
      </w:r>
      <w:r>
        <w:rPr>
          <w:rFonts w:ascii="Times New Roman" w:hAnsi="Times New Roman"/>
          <w:bCs/>
          <w:sz w:val="24"/>
          <w:highlight w:val="none"/>
        </w:rPr>
        <w:t>cm/s，天然包气带防污性能属于中，因项目将设置地下水监控系统，能够及时发现和处理对地下水有污染的污染物，固污染控制难易程度为易，综合以上两点结合《环境影响评价技术导则 地下水环境》（HJ610-2016）地下水污染防渗分区参照表，具体见表5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8</w:t>
      </w:r>
      <w:r>
        <w:rPr>
          <w:rFonts w:ascii="Times New Roman" w:hAnsi="Times New Roman"/>
          <w:bCs/>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表5.2-8 地下水污染防渗分区参照表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1187"/>
        <w:gridCol w:w="1087"/>
        <w:gridCol w:w="2032"/>
        <w:gridCol w:w="34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65"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防渗分区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天然包气带防污性能</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污染控制难易程度</w:t>
            </w:r>
          </w:p>
        </w:tc>
        <w:tc>
          <w:tcPr>
            <w:tcW w:w="119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污染物类型</w:t>
            </w:r>
          </w:p>
        </w:tc>
        <w:tc>
          <w:tcPr>
            <w:tcW w:w="2006"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重点防渗区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重金属、持久性有机物污染物</w:t>
            </w:r>
          </w:p>
        </w:tc>
        <w:tc>
          <w:tcPr>
            <w:tcW w:w="2006" w:type="pct"/>
            <w:vMerge w:val="restar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等效黏土防渗层Mb≥6.0m，渗透系数K≤1×10</w:t>
            </w:r>
            <w:r>
              <w:rPr>
                <w:rFonts w:ascii="Times New Roman" w:hAnsi="Times New Roman"/>
                <w:bCs/>
                <w:sz w:val="21"/>
                <w:szCs w:val="21"/>
                <w:highlight w:val="none"/>
                <w:vertAlign w:val="superscript"/>
              </w:rPr>
              <w:t>-7</w:t>
            </w:r>
            <w:r>
              <w:rPr>
                <w:rFonts w:ascii="Times New Roman" w:hAnsi="Times New Roman"/>
                <w:bCs/>
                <w:sz w:val="21"/>
                <w:szCs w:val="21"/>
                <w:highlight w:val="none"/>
              </w:rPr>
              <w:t>cm/s；或参照GB189100执行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一般防渗区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易-难</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其他类型</w:t>
            </w:r>
          </w:p>
        </w:tc>
        <w:tc>
          <w:tcPr>
            <w:tcW w:w="2006" w:type="pct"/>
            <w:vMerge w:val="restar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等效黏土防渗层Mb≥1.5m，渗透系数K≤1×10</w:t>
            </w:r>
            <w:r>
              <w:rPr>
                <w:rFonts w:ascii="Times New Roman" w:hAnsi="Times New Roman"/>
                <w:bCs/>
                <w:sz w:val="21"/>
                <w:szCs w:val="21"/>
                <w:highlight w:val="none"/>
                <w:vertAlign w:val="superscript"/>
              </w:rPr>
              <w:t>-7</w:t>
            </w:r>
            <w:r>
              <w:rPr>
                <w:rFonts w:ascii="Times New Roman" w:hAnsi="Times New Roman"/>
                <w:bCs/>
                <w:sz w:val="21"/>
                <w:szCs w:val="21"/>
                <w:highlight w:val="none"/>
              </w:rPr>
              <w:t>cm/s；或参照GB16889执行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重金属、持久性有机物污染物</w:t>
            </w: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2006" w:type="pct"/>
            <w:vMerge w:val="continue"/>
            <w:noWrap w:val="0"/>
            <w:vAlign w:val="center"/>
          </w:tcPr>
          <w:p>
            <w:pPr>
              <w:spacing w:line="240" w:lineRule="auto"/>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简单防渗区</w:t>
            </w:r>
          </w:p>
        </w:tc>
        <w:tc>
          <w:tcPr>
            <w:tcW w:w="697"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易</w:t>
            </w:r>
          </w:p>
        </w:tc>
        <w:tc>
          <w:tcPr>
            <w:tcW w:w="1193"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其他类型</w:t>
            </w:r>
          </w:p>
        </w:tc>
        <w:tc>
          <w:tcPr>
            <w:tcW w:w="2006" w:type="pct"/>
            <w:noWrap w:val="0"/>
            <w:vAlign w:val="center"/>
          </w:tcPr>
          <w:p>
            <w:pPr>
              <w:spacing w:line="240" w:lineRule="auto"/>
              <w:jc w:val="center"/>
              <w:rPr>
                <w:rFonts w:ascii="Times New Roman" w:hAnsi="Times New Roman"/>
                <w:bCs/>
                <w:sz w:val="21"/>
                <w:szCs w:val="21"/>
                <w:highlight w:val="none"/>
              </w:rPr>
            </w:pPr>
            <w:r>
              <w:rPr>
                <w:rFonts w:ascii="Times New Roman" w:hAnsi="Times New Roman"/>
                <w:bCs/>
                <w:sz w:val="21"/>
                <w:szCs w:val="21"/>
                <w:highlight w:val="none"/>
              </w:rPr>
              <w:t>一般地面硬化</w:t>
            </w:r>
          </w:p>
        </w:tc>
      </w:tr>
    </w:tbl>
    <w:p>
      <w:pPr>
        <w:keepNext w:val="0"/>
        <w:keepLines w:val="0"/>
        <w:pageBreakBefore w:val="0"/>
        <w:widowControl/>
        <w:kinsoku/>
        <w:wordWrap/>
        <w:overflowPunct/>
        <w:topLinePunct w:val="0"/>
        <w:autoSpaceDE/>
        <w:autoSpaceDN/>
        <w:bidi w:val="0"/>
        <w:adjustRightInd/>
        <w:snapToGrid/>
        <w:spacing w:line="360" w:lineRule="auto"/>
        <w:ind w:firstLine="360" w:firstLineChars="150"/>
        <w:textAlignment w:val="auto"/>
        <w:rPr>
          <w:rFonts w:ascii="Times New Roman" w:hAnsi="Times New Roman"/>
          <w:bCs/>
          <w:sz w:val="24"/>
          <w:highlight w:val="none"/>
        </w:rPr>
      </w:pPr>
      <w:r>
        <w:rPr>
          <w:rFonts w:ascii="Times New Roman" w:hAnsi="Times New Roman"/>
          <w:bCs/>
          <w:sz w:val="24"/>
          <w:highlight w:val="none"/>
        </w:rPr>
        <w:t>根据表5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8</w:t>
      </w:r>
      <w:r>
        <w:rPr>
          <w:rFonts w:ascii="Times New Roman" w:hAnsi="Times New Roman"/>
          <w:bCs/>
          <w:sz w:val="24"/>
          <w:highlight w:val="none"/>
        </w:rPr>
        <w:t>判定，项目属于简单防渗区，防渗技术要求为一般地面硬化，结合建设单位以往建设的养殖场的分区防治的情况，本项目各功能区防渗措施具体见表5</w:t>
      </w:r>
      <w:r>
        <w:rPr>
          <w:rFonts w:hint="eastAsia"/>
          <w:bCs/>
          <w:sz w:val="24"/>
          <w:highlight w:val="none"/>
          <w:lang w:val="en-US" w:eastAsia="zh-CN"/>
        </w:rPr>
        <w:t>.2</w:t>
      </w:r>
      <w:r>
        <w:rPr>
          <w:rFonts w:ascii="Times New Roman" w:hAnsi="Times New Roman"/>
          <w:bCs/>
          <w:sz w:val="24"/>
          <w:highlight w:val="none"/>
        </w:rPr>
        <w:t>-</w:t>
      </w:r>
      <w:r>
        <w:rPr>
          <w:rFonts w:hint="eastAsia"/>
          <w:bCs/>
          <w:sz w:val="24"/>
          <w:highlight w:val="none"/>
          <w:lang w:val="en-US" w:eastAsia="zh-CN"/>
        </w:rPr>
        <w:t>9</w:t>
      </w:r>
      <w:r>
        <w:rPr>
          <w:rFonts w:ascii="Times New Roman" w:hAnsi="Times New Roman"/>
          <w:bCs/>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表5.2-9 本项目污染地下水防治措施一览表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259"/>
        <w:gridCol w:w="3705"/>
        <w:gridCol w:w="2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序号</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保护措施</w:t>
            </w:r>
          </w:p>
        </w:tc>
        <w:tc>
          <w:tcPr>
            <w:tcW w:w="1715"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猪舍内部</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底部混凝土进行防渗，渗透系数达到1.0×10-7cm/s，减少污染物的跑、冒、滴、漏，将污染物泄漏的环境风险事故降到最低限度</w:t>
            </w:r>
          </w:p>
        </w:tc>
        <w:tc>
          <w:tcPr>
            <w:tcW w:w="1715" w:type="pct"/>
            <w:vMerge w:val="restar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各构筑物符合《规模化畜禽养殖场沼气工程设计规范》（NY/T1222）和《混凝土结构设计规范》（GB50010）的要求，具备</w:t>
            </w:r>
            <w:r>
              <w:rPr>
                <w:rFonts w:hint="eastAsia" w:asciiTheme="minorEastAsia" w:hAnsiTheme="minorEastAsia" w:eastAsiaTheme="minorEastAsia" w:cstheme="minorEastAsia"/>
                <w:bCs/>
                <w:sz w:val="21"/>
                <w:szCs w:val="21"/>
                <w:highlight w:val="none"/>
              </w:rPr>
              <w:t>“防渗、防雨、防溢”的三防措施；畜禽粪便的贮存相关要求，应具备防渗、防风、防雨的“三防”措施，</w:t>
            </w:r>
            <w:r>
              <w:rPr>
                <w:rFonts w:ascii="Times New Roman" w:hAnsi="Times New Roman"/>
                <w:bCs/>
                <w:sz w:val="21"/>
                <w:szCs w:val="21"/>
                <w:highlight w:val="none"/>
              </w:rPr>
              <w:t>雨污分流。</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满足《畜禽养殖业污染防治技术规范》（HJ/T81~2001）要求</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满足《畜禽养殖业污染源总量减排技术指导意见（试行）》（豫环文（2012）99号文）要求。</w:t>
            </w:r>
          </w:p>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沼液储存池</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沼液储存池为满足农闲期沼液产生量，容积不小于166天的废水产生量，池容设计为70000m</w:t>
            </w:r>
            <w:r>
              <w:rPr>
                <w:rFonts w:ascii="Times New Roman" w:hAnsi="Times New Roman"/>
                <w:bCs/>
                <w:sz w:val="21"/>
                <w:szCs w:val="21"/>
                <w:highlight w:val="none"/>
                <w:vertAlign w:val="superscript"/>
              </w:rPr>
              <w:t>3</w:t>
            </w:r>
            <w:r>
              <w:rPr>
                <w:rFonts w:ascii="Times New Roman" w:hAnsi="Times New Roman"/>
                <w:bCs/>
                <w:sz w:val="21"/>
                <w:szCs w:val="21"/>
                <w:highlight w:val="none"/>
              </w:rPr>
              <w:t>；沼液储存池池壁在清场夯压的基础上采用铺设HDPE膜进行防渗，渗透系数达到1.0×10</w:t>
            </w:r>
            <w:r>
              <w:rPr>
                <w:rFonts w:ascii="Times New Roman" w:hAnsi="Times New Roman"/>
                <w:bCs/>
                <w:sz w:val="21"/>
                <w:szCs w:val="21"/>
                <w:highlight w:val="none"/>
                <w:vertAlign w:val="superscript"/>
              </w:rPr>
              <w:t>-10</w:t>
            </w:r>
            <w:r>
              <w:rPr>
                <w:rFonts w:ascii="Times New Roman" w:hAnsi="Times New Roman"/>
                <w:bCs/>
                <w:sz w:val="21"/>
                <w:szCs w:val="21"/>
                <w:highlight w:val="none"/>
              </w:rPr>
              <w:t>cm/s</w:t>
            </w:r>
          </w:p>
        </w:tc>
        <w:tc>
          <w:tcPr>
            <w:tcW w:w="1715"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3</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污水处理系统</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各水池应为砖混结构，</w:t>
            </w:r>
            <w:r>
              <w:rPr>
                <w:rFonts w:hint="eastAsia" w:ascii="Times New Roman" w:hAnsi="Times New Roman"/>
                <w:bCs/>
                <w:sz w:val="21"/>
                <w:szCs w:val="21"/>
                <w:highlight w:val="none"/>
                <w:lang w:eastAsia="zh-CN"/>
              </w:rPr>
              <w:t>黑膜</w:t>
            </w:r>
            <w:r>
              <w:rPr>
                <w:rFonts w:ascii="Times New Roman" w:hAnsi="Times New Roman"/>
                <w:bCs/>
                <w:sz w:val="21"/>
                <w:szCs w:val="21"/>
                <w:highlight w:val="none"/>
              </w:rPr>
              <w:t>沼气池采用HDPE膜防渗</w:t>
            </w:r>
          </w:p>
        </w:tc>
        <w:tc>
          <w:tcPr>
            <w:tcW w:w="1715"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4</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固粪处理区</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地面混凝土进行防渗，渗透系数达到1.0×10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cm/s，其上搭建顶棚</w:t>
            </w:r>
          </w:p>
        </w:tc>
        <w:tc>
          <w:tcPr>
            <w:tcW w:w="1715"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5</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场区雨、污管网</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雨污分流、按照畜禽养殖业污染防治技术规范要求进行建设</w:t>
            </w:r>
          </w:p>
        </w:tc>
        <w:tc>
          <w:tcPr>
            <w:tcW w:w="1715"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6</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场区内净道与脏道设置</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合理设置厂区内净道和脏道，脏道地区硬化防渗处理，渗透系数≤1.0×10</w:t>
            </w:r>
            <w:r>
              <w:rPr>
                <w:rFonts w:ascii="Times New Roman" w:hAnsi="Times New Roman"/>
                <w:bCs/>
                <w:sz w:val="21"/>
                <w:szCs w:val="21"/>
                <w:highlight w:val="none"/>
                <w:vertAlign w:val="superscript"/>
              </w:rPr>
              <w:t>-7</w:t>
            </w:r>
            <w:r>
              <w:rPr>
                <w:rFonts w:ascii="Times New Roman" w:hAnsi="Times New Roman"/>
                <w:bCs/>
                <w:sz w:val="21"/>
                <w:szCs w:val="21"/>
                <w:highlight w:val="none"/>
              </w:rPr>
              <w:t>cm/s。路两边设置路沿石，人行道采用透水方砖或植草砖铺设，下面用透水材料铺垫，孔隙间种植草本植物，增加雨水下渗量，可有效减缓地面硬化对地下水涵养产生的不利影响（净道的渗透系数≤1.0×10</w:t>
            </w:r>
            <w:r>
              <w:rPr>
                <w:rFonts w:ascii="Times New Roman" w:hAnsi="Times New Roman"/>
                <w:bCs/>
                <w:sz w:val="21"/>
                <w:szCs w:val="21"/>
                <w:highlight w:val="none"/>
                <w:vertAlign w:val="superscript"/>
              </w:rPr>
              <w:t>-5</w:t>
            </w:r>
            <w:r>
              <w:rPr>
                <w:rFonts w:ascii="Times New Roman" w:hAnsi="Times New Roman"/>
                <w:bCs/>
                <w:sz w:val="21"/>
                <w:szCs w:val="21"/>
                <w:highlight w:val="none"/>
              </w:rPr>
              <w:t>cm/s）。</w:t>
            </w:r>
          </w:p>
        </w:tc>
        <w:tc>
          <w:tcPr>
            <w:tcW w:w="1715" w:type="pct"/>
            <w:vMerge w:val="continue"/>
            <w:noWrap w:val="0"/>
            <w:tcMar>
              <w:left w:w="0" w:type="dxa"/>
              <w:right w:w="0" w:type="dxa"/>
            </w:tcMar>
            <w:vAlign w:val="center"/>
          </w:tcPr>
          <w:p>
            <w:pPr>
              <w:adjustRightInd w:val="0"/>
              <w:snapToGrid w:val="0"/>
              <w:jc w:val="left"/>
              <w:rPr>
                <w:rFonts w:ascii="Times New Roman" w:hAnsi="Times New Roman"/>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bCs/>
          <w:sz w:val="24"/>
          <w:highlight w:val="none"/>
        </w:rPr>
      </w:pPr>
      <w:r>
        <w:rPr>
          <w:rFonts w:ascii="Times New Roman" w:hAnsi="Times New Roman"/>
          <w:bCs/>
          <w:sz w:val="24"/>
          <w:highlight w:val="none"/>
        </w:rPr>
        <w:t>（3）预防地下水污染物的要求及环境管理建议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项目在施工阶段，应充分做好排污管道的防渗处理，杜绝污水渗漏，确保污水收集处理系统衔接良好，严格用水管理，防止污水</w:t>
      </w:r>
      <w:r>
        <w:rPr>
          <w:rFonts w:hint="eastAsia" w:asciiTheme="minorEastAsia" w:hAnsiTheme="minorEastAsia" w:eastAsiaTheme="minorEastAsia" w:cstheme="minorEastAsia"/>
          <w:bCs/>
          <w:sz w:val="24"/>
          <w:highlight w:val="none"/>
        </w:rPr>
        <w:t>“跑、冒、滴、漏”现象的发生，这样可以保证项目区内产生的全部废水汇集到沼气工程集中处理，可</w:t>
      </w:r>
      <w:r>
        <w:rPr>
          <w:rFonts w:ascii="Times New Roman" w:hAnsi="Times New Roman"/>
          <w:bCs/>
          <w:sz w:val="24"/>
          <w:highlight w:val="none"/>
        </w:rPr>
        <w:t>以很大程度的消除污染物排放对周边地区地下水环境的影响。运营期环境建议严格按照以下要求进行管理：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①《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②猪舍、粪污处理及储存设施等应采取有效的防渗处理工艺，防止废水、粪便淋滤液污染地下水。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44"/>
          <w:szCs w:val="44"/>
          <w:highlight w:val="none"/>
        </w:rPr>
      </w:pPr>
      <w:r>
        <w:rPr>
          <w:rFonts w:ascii="Times New Roman" w:hAnsi="Times New Roman"/>
          <w:bCs/>
          <w:sz w:val="24"/>
          <w:highlight w:val="none"/>
        </w:rPr>
        <w:t>本项目建成后全场分为重点防渗区和一般防渗区。重点污染防渗区主要包括：猪舍、污水前处理区、固粪处理区、沼液储存池、危险废物暂存池等；一般污染防渗区主要包括：一般固废暂存区、</w:t>
      </w:r>
      <w:r>
        <w:rPr>
          <w:rFonts w:hint="eastAsia"/>
          <w:bCs/>
          <w:sz w:val="24"/>
          <w:highlight w:val="none"/>
          <w:lang w:eastAsia="zh-CN"/>
        </w:rPr>
        <w:t>饲料加工车间、</w:t>
      </w:r>
      <w:r>
        <w:rPr>
          <w:rFonts w:ascii="Times New Roman" w:hAnsi="Times New Roman"/>
          <w:bCs/>
          <w:sz w:val="24"/>
          <w:highlight w:val="none"/>
        </w:rPr>
        <w:t>猪舍周围地面等。分区防渗示意图见附图</w:t>
      </w:r>
      <w:r>
        <w:rPr>
          <w:rFonts w:hint="eastAsia"/>
          <w:bCs/>
          <w:sz w:val="24"/>
          <w:highlight w:val="none"/>
          <w:lang w:eastAsia="zh-CN"/>
        </w:rPr>
        <w:t>六</w:t>
      </w:r>
      <w:r>
        <w:rPr>
          <w:rFonts w:ascii="Times New Roman" w:hAnsi="Times New Roman"/>
          <w:bCs/>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●一般防渗区：评价建议对该区域采取粘土铺底，再在上层铺10～15cm的水泥进行硬化。通过上述措施可使一般防渗区各单元防渗层渗透系数≤10</w:t>
      </w:r>
      <w:r>
        <w:rPr>
          <w:rFonts w:ascii="Times New Roman" w:hAnsi="Times New Roman"/>
          <w:bCs/>
          <w:sz w:val="24"/>
          <w:highlight w:val="none"/>
          <w:vertAlign w:val="superscript"/>
        </w:rPr>
        <w:t>-7</w:t>
      </w:r>
      <w:r>
        <w:rPr>
          <w:rFonts w:ascii="Times New Roman" w:hAnsi="Times New Roman"/>
          <w:bCs/>
          <w:sz w:val="24"/>
          <w:highlight w:val="none"/>
        </w:rPr>
        <w:t>cm/s。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●重点防渗区：重点防渗区在清场夯压的基础上沼液储存池采用铺设HDPE膜进行防渗，污水处理区、养殖区、</w:t>
      </w:r>
      <w:r>
        <w:rPr>
          <w:rFonts w:ascii="Times New Roman" w:hAnsi="Times New Roman"/>
          <w:bCs/>
          <w:color w:val="000000"/>
          <w:sz w:val="24"/>
          <w:highlight w:val="none"/>
        </w:rPr>
        <w:t>堆肥场等用混凝土进行防渗，</w:t>
      </w:r>
      <w:r>
        <w:rPr>
          <w:rFonts w:hint="eastAsia" w:ascii="Times New Roman" w:hAnsi="Times New Roman"/>
          <w:color w:val="000000"/>
          <w:sz w:val="21"/>
          <w:szCs w:val="21"/>
          <w:highlight w:val="none"/>
          <w:lang w:eastAsia="zh-CN"/>
        </w:rPr>
        <w:t>黑膜</w:t>
      </w:r>
      <w:r>
        <w:rPr>
          <w:rFonts w:ascii="Times New Roman" w:hAnsi="Times New Roman"/>
          <w:bCs/>
          <w:color w:val="000000"/>
          <w:sz w:val="24"/>
          <w:highlight w:val="none"/>
        </w:rPr>
        <w:t>沼气池采用HDPE膜防渗；HDPE膜抗渗能力比较强，混凝土的</w:t>
      </w:r>
      <w:r>
        <w:rPr>
          <w:rFonts w:ascii="Times New Roman" w:hAnsi="Times New Roman"/>
          <w:bCs/>
          <w:sz w:val="24"/>
          <w:highlight w:val="none"/>
        </w:rPr>
        <w:t>抗渗标号为P6，渗透系数能够达到1.0×10</w:t>
      </w:r>
      <w:r>
        <w:rPr>
          <w:rFonts w:ascii="Times New Roman" w:hAnsi="Times New Roman"/>
          <w:bCs/>
          <w:sz w:val="24"/>
          <w:highlight w:val="none"/>
          <w:vertAlign w:val="superscript"/>
        </w:rPr>
        <w:t>-10</w:t>
      </w:r>
      <w:r>
        <w:rPr>
          <w:rFonts w:ascii="Times New Roman" w:hAnsi="Times New Roman"/>
          <w:bCs/>
          <w:sz w:val="24"/>
          <w:highlight w:val="none"/>
        </w:rPr>
        <w:t>cm/s，以防止污染地下水，同时各废水输送管道应做到防泄露、跑冒等。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根据《畜禽养殖业污染源总量减排技术指导意见（试行）》（豫环文（2012）99号文）中的相关要求，粪便堆放场（本项目为发酵区）应采取有效的防雨、防渗漏、防溢流措施。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③做好排水沟、收集池等的防渗工作，应充分考虑农作期间影响和雨季影响，能够保证有足够的容量以容纳养殖场产生的废水。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fldChar w:fldCharType="begin"/>
      </w:r>
      <w:r>
        <w:rPr>
          <w:rFonts w:ascii="Times New Roman" w:hAnsi="Times New Roman"/>
          <w:bCs/>
          <w:sz w:val="24"/>
          <w:highlight w:val="none"/>
        </w:rPr>
        <w:instrText xml:space="preserve"> = 4 \* GB3 </w:instrText>
      </w:r>
      <w:r>
        <w:rPr>
          <w:rFonts w:ascii="Times New Roman" w:hAnsi="Times New Roman"/>
          <w:bCs/>
          <w:sz w:val="24"/>
          <w:highlight w:val="none"/>
        </w:rPr>
        <w:fldChar w:fldCharType="separate"/>
      </w:r>
      <w:r>
        <w:rPr>
          <w:rFonts w:ascii="Times New Roman" w:hAnsi="Times New Roman"/>
          <w:bCs/>
          <w:sz w:val="24"/>
          <w:highlight w:val="none"/>
        </w:rPr>
        <w:t>④</w:t>
      </w:r>
      <w:r>
        <w:rPr>
          <w:rFonts w:ascii="Times New Roman" w:hAnsi="Times New Roman"/>
          <w:bCs/>
          <w:sz w:val="24"/>
          <w:highlight w:val="none"/>
        </w:rPr>
        <w:fldChar w:fldCharType="end"/>
      </w:r>
      <w:r>
        <w:rPr>
          <w:rFonts w:ascii="Times New Roman" w:hAnsi="Times New Roman"/>
          <w:bCs/>
          <w:sz w:val="24"/>
          <w:highlight w:val="none"/>
        </w:rPr>
        <w:t xml:space="preserve">肥水适当施用，由企业结合天气状况、当地土地消纳能力、当地农田施肥规律等定时定量合理施肥，防止过度施肥而影响地下水环境。并且，防止在雨天进行施肥，以避免肥水随雨水垂直径流进入地下水体，造成污染。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sz w:val="24"/>
          <w:highlight w:val="none"/>
        </w:rPr>
      </w:pPr>
      <w:r>
        <w:rPr>
          <w:rFonts w:ascii="Times New Roman" w:hAnsi="Times New Roman"/>
          <w:bCs/>
          <w:sz w:val="24"/>
          <w:highlight w:val="none"/>
        </w:rPr>
        <w:t>（4）管理措施</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rPr>
          <w:rFonts w:ascii="Times New Roman" w:hAnsi="Times New Roman"/>
          <w:bCs/>
          <w:sz w:val="24"/>
          <w:highlight w:val="none"/>
        </w:rPr>
      </w:pPr>
      <w:r>
        <w:rPr>
          <w:rFonts w:ascii="Times New Roman" w:hAnsi="Times New Roman"/>
          <w:bCs/>
          <w:sz w:val="24"/>
          <w:highlight w:val="none"/>
        </w:rPr>
        <w:t>成立事故处理组织，一旦发生废水事故排放，应立即组织人力、物力和财力加紧对设备进行维修，同时对废水进行回收、拦截，以防止污染地下水；建设单位建立了科学合理的沼液利用制度，沼液适当施用，由企业结合农业技术部门根据天气情况、当地土地消纳能力、农田施肥及灌溉规律定时定量施肥，防治过度施肥而影响地下水环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综上，在落实好各项防渗、防污措施后，本项目污染物能得到有效处理，对地下水水质影响较小，项目的建设不会产生其他环境地质问题，因此对地下水环境质量影响较小。</w:t>
      </w:r>
    </w:p>
    <w:p>
      <w:pPr>
        <w:pStyle w:val="7"/>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7</w:t>
      </w:r>
      <w:r>
        <w:rPr>
          <w:highlight w:val="none"/>
        </w:rPr>
        <w:t>噪声环境保护措施及其可行性分析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一、噪声降噪措施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highlight w:val="none"/>
        </w:rPr>
      </w:pPr>
      <w:r>
        <w:rPr>
          <w:rFonts w:hint="eastAsia"/>
          <w:highlight w:val="none"/>
        </w:rPr>
        <w:t>项目营运期噪声主要来源于</w:t>
      </w:r>
      <w:r>
        <w:rPr>
          <w:rFonts w:ascii="Times New Roman" w:hAnsi="Times New Roman"/>
          <w:color w:val="auto"/>
          <w:sz w:val="24"/>
          <w:szCs w:val="24"/>
          <w:highlight w:val="none"/>
        </w:rPr>
        <w:t>猪叫声、清洗猪舍时高压水枪配套空压机、猪舍降温配套风机、粪污处理设施水泵、固液分离机、翻抛机</w:t>
      </w:r>
      <w:r>
        <w:rPr>
          <w:rFonts w:ascii="Times New Roman" w:hAnsi="Times New Roman"/>
          <w:color w:val="auto"/>
          <w:sz w:val="24"/>
          <w:highlight w:val="none"/>
        </w:rPr>
        <w:t>、除尘器风机</w:t>
      </w:r>
      <w:r>
        <w:rPr>
          <w:rFonts w:ascii="Times New Roman" w:hAnsi="Times New Roman"/>
          <w:color w:val="auto"/>
          <w:sz w:val="24"/>
          <w:szCs w:val="24"/>
          <w:highlight w:val="none"/>
        </w:rPr>
        <w:t>等设备运行时产生的噪声，根据类比调查，其源强为</w:t>
      </w:r>
      <w:r>
        <w:rPr>
          <w:rFonts w:hint="eastAsia"/>
          <w:color w:val="auto"/>
          <w:sz w:val="24"/>
          <w:szCs w:val="24"/>
          <w:highlight w:val="none"/>
          <w:lang w:val="en-US" w:eastAsia="zh-CN"/>
        </w:rPr>
        <w:t>65</w:t>
      </w:r>
      <w:r>
        <w:rPr>
          <w:rFonts w:ascii="Times New Roman" w:hAnsi="Times New Roman"/>
          <w:color w:val="auto"/>
          <w:sz w:val="24"/>
          <w:szCs w:val="24"/>
          <w:highlight w:val="none"/>
        </w:rPr>
        <w:t>～90dB(A)</w:t>
      </w:r>
      <w:r>
        <w:rPr>
          <w:rFonts w:hint="eastAsia" w:cs="Times New Roman"/>
          <w:highlight w:val="none"/>
        </w:rPr>
        <w:t>，本项目采取的降噪措施有：</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（1）企业在设备选型上，应选择低噪声风机、空压机、水泵设备，以防止项目运营期间产生的噪声源叠加，对区域环境产生较大影响。</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（2）对风机、水泵设备安装减振垫进行设备基础减振处理，根据噪声衰减规律分析：</w:t>
      </w:r>
      <w:r>
        <w:rPr>
          <w:rFonts w:ascii="Times New Roman" w:hAnsi="Times New Roman"/>
          <w:bCs/>
          <w:color w:val="000000"/>
          <w:sz w:val="24"/>
          <w:szCs w:val="24"/>
          <w:highlight w:val="none"/>
        </w:rPr>
        <w:t>经基础减振（减轻振动及不固定配件摆动噪声）及隔声措施噪声衰减可以达到20～40dB(A)</w:t>
      </w:r>
      <w:r>
        <w:rPr>
          <w:rFonts w:ascii="Times New Roman" w:hAnsi="Times New Roman"/>
          <w:color w:val="00000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（4）评价要求噪声源强较高的设备，尽量往场区内部布置，因距离的原因实现噪声衰减。</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二、噪声降噪措施可行性分析</w:t>
      </w:r>
    </w:p>
    <w:p>
      <w:pPr>
        <w:keepNext w:val="0"/>
        <w:keepLines w:val="0"/>
        <w:pageBreakBefore w:val="0"/>
        <w:widowControl/>
        <w:kinsoku/>
        <w:wordWrap/>
        <w:overflowPunct/>
        <w:topLinePunct w:val="0"/>
        <w:autoSpaceDE/>
        <w:autoSpaceDN/>
        <w:bidi w:val="0"/>
        <w:adjustRightInd/>
        <w:snapToGrid/>
        <w:ind w:firstLine="480"/>
        <w:textAlignment w:val="auto"/>
        <w:rPr>
          <w:rFonts w:hAnsi="宋体"/>
          <w:kern w:val="0"/>
          <w:highlight w:val="none"/>
          <w:lang w:val="zh-CN"/>
        </w:rPr>
      </w:pPr>
      <w:r>
        <w:rPr>
          <w:rFonts w:hint="eastAsia"/>
          <w:highlight w:val="none"/>
          <w:lang w:val="zh-CN"/>
        </w:rPr>
        <w:t>根据本报告工程分析及</w:t>
      </w:r>
      <w:r>
        <w:rPr>
          <w:rFonts w:hint="eastAsia"/>
          <w:highlight w:val="none"/>
        </w:rPr>
        <w:t>5.</w:t>
      </w:r>
      <w:r>
        <w:rPr>
          <w:rFonts w:hint="eastAsia"/>
          <w:highlight w:val="none"/>
          <w:lang w:val="en-US" w:eastAsia="zh-CN"/>
        </w:rPr>
        <w:t>1</w:t>
      </w:r>
      <w:r>
        <w:rPr>
          <w:rFonts w:hint="eastAsia"/>
          <w:highlight w:val="none"/>
        </w:rPr>
        <w:t>.</w:t>
      </w:r>
      <w:r>
        <w:rPr>
          <w:rFonts w:hint="eastAsia"/>
          <w:highlight w:val="none"/>
          <w:lang w:val="en-US" w:eastAsia="zh-CN"/>
        </w:rPr>
        <w:t>5</w:t>
      </w:r>
      <w:r>
        <w:rPr>
          <w:rFonts w:hint="eastAsia"/>
          <w:highlight w:val="none"/>
        </w:rPr>
        <w:t>章节</w:t>
      </w:r>
      <w:r>
        <w:rPr>
          <w:rFonts w:hint="eastAsia"/>
          <w:highlight w:val="none"/>
          <w:lang w:val="zh-CN"/>
        </w:rPr>
        <w:t>可知，本项目噪声经过上述防治措施和自然衰减后厂界噪声</w:t>
      </w:r>
      <w:r>
        <w:rPr>
          <w:highlight w:val="none"/>
          <w:lang w:val="zh-CN"/>
        </w:rPr>
        <w:t>均能满足《工业企业厂界环境噪声排放标准》（GB12348-2008）中</w:t>
      </w:r>
      <w:r>
        <w:rPr>
          <w:rFonts w:hint="eastAsia"/>
          <w:highlight w:val="none"/>
          <w:lang w:val="en-US" w:eastAsia="zh-CN"/>
        </w:rPr>
        <w:t>2</w:t>
      </w:r>
      <w:r>
        <w:rPr>
          <w:highlight w:val="none"/>
          <w:lang w:val="zh-CN"/>
        </w:rPr>
        <w:t>类标准的要求</w:t>
      </w:r>
      <w:r>
        <w:rPr>
          <w:rFonts w:hint="eastAsia"/>
          <w:highlight w:val="none"/>
          <w:lang w:val="zh-CN"/>
        </w:rPr>
        <w:t>，且采取的噪声防治措施是较为常用的技术，技术成熟，降噪效果明显，因此噪声防治措施可行。</w:t>
      </w:r>
    </w:p>
    <w:p>
      <w:pPr>
        <w:pStyle w:val="7"/>
        <w:spacing w:before="66"/>
        <w:ind w:firstLine="482"/>
        <w:rPr>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固废环境保护措施及其可行性分析</w:t>
      </w:r>
    </w:p>
    <w:p>
      <w:pPr>
        <w:pStyle w:val="8"/>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8</w:t>
      </w:r>
      <w:r>
        <w:rPr>
          <w:rFonts w:hint="eastAsia"/>
          <w:highlight w:val="none"/>
        </w:rPr>
        <w:t>.</w:t>
      </w:r>
      <w:r>
        <w:rPr>
          <w:rFonts w:hint="eastAsia"/>
          <w:highlight w:val="none"/>
          <w:lang w:val="en-US" w:eastAsia="zh-CN"/>
        </w:rPr>
        <w:t>1</w:t>
      </w:r>
      <w:r>
        <w:rPr>
          <w:rFonts w:hint="eastAsia"/>
          <w:highlight w:val="none"/>
        </w:rPr>
        <w:t>固体废物处置措施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highlight w:val="none"/>
        </w:rPr>
      </w:pPr>
      <w:r>
        <w:rPr>
          <w:highlight w:val="none"/>
        </w:rPr>
        <w:t>本项目产生的固体废物</w:t>
      </w:r>
      <w:r>
        <w:rPr>
          <w:rFonts w:hint="eastAsia" w:cs="Times New Roman"/>
          <w:highlight w:val="none"/>
        </w:rPr>
        <w:t>主要包括猪粪固形物、厌氧发酵后的沼渣、疾病防疫产生的医疗废物、职工生活垃圾</w:t>
      </w:r>
      <w:r>
        <w:rPr>
          <w:rFonts w:hint="eastAsia" w:cs="Times New Roman"/>
          <w:highlight w:val="none"/>
          <w:lang w:eastAsia="zh-CN"/>
        </w:rPr>
        <w:t>、</w:t>
      </w:r>
      <w:r>
        <w:rPr>
          <w:rFonts w:hint="eastAsia" w:cs="Times New Roman"/>
          <w:highlight w:val="none"/>
        </w:rPr>
        <w:t>废脱硫剂</w:t>
      </w:r>
      <w:r>
        <w:rPr>
          <w:rFonts w:hint="eastAsia" w:cs="Times New Roman"/>
          <w:highlight w:val="none"/>
          <w:lang w:eastAsia="zh-CN"/>
        </w:rPr>
        <w:t>、饲料加工过程产生的杂质、除尘器收集的粉尘、废离子交换树脂</w:t>
      </w:r>
      <w:r>
        <w:rPr>
          <w:rFonts w:hint="eastAsia" w:cs="Times New Roman"/>
          <w:highlight w:val="none"/>
        </w:rPr>
        <w:t>等</w:t>
      </w:r>
      <w:r>
        <w:rPr>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项目猪粪和沼渣用于制成有机肥基肥，</w:t>
      </w:r>
      <w:r>
        <w:rPr>
          <w:rFonts w:ascii="Times New Roman" w:hAnsi="Times New Roman"/>
          <w:bCs/>
          <w:sz w:val="24"/>
          <w:highlight w:val="none"/>
        </w:rPr>
        <w:t>猪粪便堆肥处理生产的有机肥基肥中砷、镉、铅、汞等重金属均能满足《有机肥料》（NY525-2011）表2有机肥中重金属限量指标的要求。</w:t>
      </w:r>
      <w:r>
        <w:rPr>
          <w:rFonts w:ascii="Times New Roman" w:hAnsi="Times New Roman"/>
          <w:sz w:val="24"/>
          <w:highlight w:val="none"/>
        </w:rPr>
        <w:t>固废污染产生及防治措施见表5</w:t>
      </w:r>
      <w:r>
        <w:rPr>
          <w:rFonts w:hint="eastAsia"/>
          <w:sz w:val="24"/>
          <w:highlight w:val="none"/>
          <w:lang w:val="en-US" w:eastAsia="zh-CN"/>
        </w:rPr>
        <w:t>.2</w:t>
      </w:r>
      <w:r>
        <w:rPr>
          <w:rFonts w:ascii="Times New Roman" w:hAnsi="Times New Roman"/>
          <w:sz w:val="24"/>
          <w:highlight w:val="none"/>
        </w:rPr>
        <w:t>-1</w:t>
      </w:r>
      <w:r>
        <w:rPr>
          <w:rFonts w:hint="eastAsia"/>
          <w:sz w:val="24"/>
          <w:highlight w:val="none"/>
          <w:lang w:val="en-US" w:eastAsia="zh-CN"/>
        </w:rPr>
        <w:t>0</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表5.2-10 固体废物产排情况及处置措施一览表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165"/>
        <w:gridCol w:w="831"/>
        <w:gridCol w:w="833"/>
        <w:gridCol w:w="833"/>
        <w:gridCol w:w="1708"/>
        <w:gridCol w:w="2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序号</w:t>
            </w:r>
          </w:p>
        </w:tc>
        <w:tc>
          <w:tcPr>
            <w:tcW w:w="6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名称</w:t>
            </w:r>
          </w:p>
        </w:tc>
        <w:tc>
          <w:tcPr>
            <w:tcW w:w="488"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属性</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产生工序</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形态</w:t>
            </w:r>
          </w:p>
        </w:tc>
        <w:tc>
          <w:tcPr>
            <w:tcW w:w="1003"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产生量（t/a）</w:t>
            </w:r>
          </w:p>
        </w:tc>
        <w:tc>
          <w:tcPr>
            <w:tcW w:w="14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68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猪粪</w:t>
            </w:r>
          </w:p>
        </w:tc>
        <w:tc>
          <w:tcPr>
            <w:tcW w:w="488"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一般固废</w:t>
            </w: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6099.49</w:t>
            </w:r>
          </w:p>
        </w:tc>
        <w:tc>
          <w:tcPr>
            <w:tcW w:w="1421"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2</w:t>
            </w:r>
          </w:p>
        </w:tc>
        <w:tc>
          <w:tcPr>
            <w:tcW w:w="684" w:type="pct"/>
            <w:vAlign w:val="center"/>
          </w:tcPr>
          <w:p>
            <w:pPr>
              <w:spacing w:line="240" w:lineRule="auto"/>
              <w:ind w:firstLine="0" w:firstLineChars="0"/>
              <w:jc w:val="center"/>
              <w:rPr>
                <w:rFonts w:hint="eastAsia" w:cs="Times New Roman"/>
                <w:sz w:val="21"/>
                <w:szCs w:val="21"/>
                <w:highlight w:val="none"/>
                <w:lang w:eastAsia="zh-CN"/>
              </w:rPr>
            </w:pPr>
            <w:r>
              <w:rPr>
                <w:rFonts w:ascii="Times New Roman" w:hAnsi="Times New Roman"/>
                <w:color w:val="auto"/>
                <w:sz w:val="21"/>
                <w:szCs w:val="21"/>
                <w:highlight w:val="none"/>
              </w:rPr>
              <w:t>沼渣</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厌氧发酵</w:t>
            </w:r>
          </w:p>
        </w:tc>
        <w:tc>
          <w:tcPr>
            <w:tcW w:w="489" w:type="pct"/>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4270.5</w:t>
            </w:r>
          </w:p>
        </w:tc>
        <w:tc>
          <w:tcPr>
            <w:tcW w:w="1421" w:type="pct"/>
            <w:vAlign w:val="center"/>
          </w:tcPr>
          <w:p>
            <w:pPr>
              <w:spacing w:line="240" w:lineRule="auto"/>
              <w:ind w:firstLine="0" w:firstLineChars="0"/>
              <w:jc w:val="center"/>
              <w:rPr>
                <w:rFonts w:hint="eastAsia" w:cs="Times New Roman"/>
                <w:sz w:val="21"/>
                <w:szCs w:val="21"/>
                <w:highlight w:val="none"/>
              </w:rPr>
            </w:pPr>
            <w:r>
              <w:rPr>
                <w:rFonts w:cs="Times New Roman"/>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3</w:t>
            </w:r>
          </w:p>
        </w:tc>
        <w:tc>
          <w:tcPr>
            <w:tcW w:w="684" w:type="pc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生活垃圾</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员工生活</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16.43</w:t>
            </w:r>
          </w:p>
        </w:tc>
        <w:tc>
          <w:tcPr>
            <w:tcW w:w="1421" w:type="pct"/>
            <w:vAlign w:val="center"/>
          </w:tcPr>
          <w:p>
            <w:pPr>
              <w:spacing w:line="240" w:lineRule="auto"/>
              <w:ind w:firstLine="0" w:firstLineChars="0"/>
              <w:jc w:val="center"/>
              <w:rPr>
                <w:rFonts w:hint="eastAsia" w:eastAsia="宋体" w:cs="Times New Roman"/>
                <w:sz w:val="21"/>
                <w:szCs w:val="21"/>
                <w:highlight w:val="none"/>
                <w:lang w:eastAsia="zh-CN"/>
              </w:rPr>
            </w:pPr>
            <w:r>
              <w:rPr>
                <w:rFonts w:cs="Times New Roman"/>
                <w:sz w:val="21"/>
                <w:szCs w:val="21"/>
                <w:highlight w:val="none"/>
              </w:rPr>
              <w:t>环卫部门定期</w:t>
            </w:r>
            <w:r>
              <w:rPr>
                <w:rFonts w:hint="eastAsia" w:cs="Times New Roman"/>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684" w:type="pct"/>
            <w:vAlign w:val="center"/>
          </w:tcPr>
          <w:p>
            <w:pPr>
              <w:spacing w:line="240" w:lineRule="auto"/>
              <w:ind w:firstLine="0" w:firstLineChars="0"/>
              <w:jc w:val="center"/>
              <w:rPr>
                <w:rFonts w:hint="eastAsia" w:cs="Times New Roman"/>
                <w:sz w:val="21"/>
                <w:szCs w:val="21"/>
                <w:highlight w:val="none"/>
              </w:rPr>
            </w:pPr>
            <w:r>
              <w:rPr>
                <w:rFonts w:ascii="Times New Roman" w:hAnsi="Times New Roman"/>
                <w:color w:val="auto"/>
                <w:sz w:val="21"/>
                <w:szCs w:val="21"/>
                <w:highlight w:val="none"/>
              </w:rPr>
              <w:t>废脱硫剂</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val="en-US" w:eastAsia="zh-CN"/>
              </w:rPr>
              <w:t>沼气脱硫装置</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0.2</w:t>
            </w:r>
          </w:p>
        </w:tc>
        <w:tc>
          <w:tcPr>
            <w:tcW w:w="14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5</w:t>
            </w:r>
          </w:p>
        </w:tc>
        <w:tc>
          <w:tcPr>
            <w:tcW w:w="684"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病死猪尸体</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21.76</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6</w:t>
            </w:r>
          </w:p>
        </w:tc>
        <w:tc>
          <w:tcPr>
            <w:tcW w:w="684"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rPr>
              <w:t>母猪胎盘</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养殖</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9.888</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送正阳一场无害化处理车间处置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7</w:t>
            </w:r>
          </w:p>
        </w:tc>
        <w:tc>
          <w:tcPr>
            <w:tcW w:w="68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eastAsia="zh-CN"/>
              </w:rPr>
              <w:t>饲料加工杂质</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饲料加工</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12</w:t>
            </w:r>
          </w:p>
        </w:tc>
        <w:tc>
          <w:tcPr>
            <w:tcW w:w="14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8</w:t>
            </w:r>
          </w:p>
        </w:tc>
        <w:tc>
          <w:tcPr>
            <w:tcW w:w="684"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eastAsia="zh-CN"/>
              </w:rPr>
              <w:t>饲料加工粉尘</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cs="Times New Roman"/>
                <w:sz w:val="21"/>
                <w:szCs w:val="21"/>
                <w:highlight w:val="none"/>
                <w:lang w:eastAsia="zh-CN"/>
              </w:rPr>
              <w:t>除尘器回收</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2.17</w:t>
            </w:r>
          </w:p>
        </w:tc>
        <w:tc>
          <w:tcPr>
            <w:tcW w:w="14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lang w:val="en-US"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9</w:t>
            </w:r>
          </w:p>
        </w:tc>
        <w:tc>
          <w:tcPr>
            <w:tcW w:w="684"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488" w:type="pct"/>
            <w:vMerge w:val="restart"/>
            <w:vAlign w:val="center"/>
          </w:tcPr>
          <w:p>
            <w:pPr>
              <w:spacing w:line="240" w:lineRule="auto"/>
              <w:ind w:firstLine="0" w:firstLineChars="0"/>
              <w:jc w:val="center"/>
              <w:rPr>
                <w:rFonts w:cs="Times New Roman"/>
                <w:sz w:val="21"/>
                <w:szCs w:val="21"/>
                <w:highlight w:val="none"/>
              </w:rPr>
            </w:pPr>
            <w:r>
              <w:rPr>
                <w:rFonts w:cs="Times New Roman"/>
                <w:sz w:val="21"/>
                <w:szCs w:val="21"/>
                <w:highlight w:val="none"/>
              </w:rPr>
              <w:t>危废</w:t>
            </w:r>
          </w:p>
        </w:tc>
        <w:tc>
          <w:tcPr>
            <w:tcW w:w="489" w:type="pct"/>
            <w:vAlign w:val="center"/>
          </w:tcPr>
          <w:p>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eastAsia="zh-CN"/>
              </w:rPr>
              <w:t>防疫</w:t>
            </w:r>
          </w:p>
        </w:tc>
        <w:tc>
          <w:tcPr>
            <w:tcW w:w="489"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rPr>
              <w:t>0.</w:t>
            </w:r>
            <w:r>
              <w:rPr>
                <w:rFonts w:hint="eastAsia" w:cs="Times New Roman"/>
                <w:sz w:val="21"/>
                <w:szCs w:val="21"/>
                <w:highlight w:val="none"/>
                <w:lang w:val="en-US" w:eastAsia="zh-CN"/>
              </w:rPr>
              <w:t>75</w:t>
            </w:r>
          </w:p>
        </w:tc>
        <w:tc>
          <w:tcPr>
            <w:tcW w:w="1421" w:type="pct"/>
            <w:vAlign w:val="center"/>
          </w:tcPr>
          <w:p>
            <w:pPr>
              <w:spacing w:line="240" w:lineRule="auto"/>
              <w:ind w:firstLine="0" w:firstLineChars="0"/>
              <w:jc w:val="center"/>
              <w:rPr>
                <w:rFonts w:cs="Times New Roman"/>
                <w:sz w:val="21"/>
                <w:szCs w:val="21"/>
                <w:highlight w:val="none"/>
              </w:rPr>
            </w:pPr>
            <w:r>
              <w:rPr>
                <w:rFonts w:hint="eastAsia" w:cs="Times New Roman"/>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10</w:t>
            </w:r>
          </w:p>
        </w:tc>
        <w:tc>
          <w:tcPr>
            <w:tcW w:w="684" w:type="pct"/>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废离子交换树脂</w:t>
            </w:r>
          </w:p>
        </w:tc>
        <w:tc>
          <w:tcPr>
            <w:tcW w:w="488" w:type="pct"/>
            <w:vMerge w:val="continue"/>
            <w:vAlign w:val="center"/>
          </w:tcPr>
          <w:p>
            <w:pPr>
              <w:spacing w:line="240" w:lineRule="auto"/>
              <w:ind w:firstLine="0" w:firstLineChars="0"/>
              <w:jc w:val="center"/>
              <w:rPr>
                <w:rFonts w:cs="Times New Roman"/>
                <w:sz w:val="21"/>
                <w:szCs w:val="21"/>
                <w:highlight w:val="none"/>
              </w:rPr>
            </w:pPr>
          </w:p>
        </w:tc>
        <w:tc>
          <w:tcPr>
            <w:tcW w:w="489" w:type="pct"/>
            <w:vAlign w:val="center"/>
          </w:tcPr>
          <w:p>
            <w:pPr>
              <w:spacing w:line="240" w:lineRule="auto"/>
              <w:ind w:firstLine="0" w:firstLineChars="0"/>
              <w:jc w:val="center"/>
              <w:rPr>
                <w:rFonts w:hint="eastAsia" w:cs="Times New Roman"/>
                <w:sz w:val="21"/>
                <w:szCs w:val="21"/>
                <w:highlight w:val="none"/>
                <w:lang w:eastAsia="zh-CN"/>
              </w:rPr>
            </w:pPr>
            <w:r>
              <w:rPr>
                <w:rFonts w:hint="eastAsia" w:ascii="Times New Roman" w:hAnsi="Times New Roman"/>
                <w:color w:val="000000"/>
                <w:sz w:val="21"/>
                <w:szCs w:val="21"/>
                <w:highlight w:val="none"/>
              </w:rPr>
              <w:t>软水制备</w:t>
            </w:r>
          </w:p>
        </w:tc>
        <w:tc>
          <w:tcPr>
            <w:tcW w:w="489"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固态</w:t>
            </w:r>
          </w:p>
        </w:tc>
        <w:tc>
          <w:tcPr>
            <w:tcW w:w="1003" w:type="pct"/>
            <w:vAlign w:val="center"/>
          </w:tcPr>
          <w:p>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0.2</w:t>
            </w:r>
          </w:p>
        </w:tc>
        <w:tc>
          <w:tcPr>
            <w:tcW w:w="1421" w:type="pct"/>
            <w:vAlign w:val="center"/>
          </w:tcPr>
          <w:p>
            <w:pPr>
              <w:spacing w:line="240" w:lineRule="auto"/>
              <w:ind w:firstLine="0" w:firstLineChars="0"/>
              <w:jc w:val="center"/>
              <w:rPr>
                <w:rFonts w:hint="eastAsia" w:cs="Times New Roman"/>
                <w:sz w:val="21"/>
                <w:szCs w:val="21"/>
                <w:highlight w:val="none"/>
              </w:rPr>
            </w:pPr>
            <w:r>
              <w:rPr>
                <w:rFonts w:hint="eastAsia" w:cs="Times New Roman"/>
                <w:sz w:val="21"/>
                <w:szCs w:val="21"/>
                <w:highlight w:val="none"/>
              </w:rPr>
              <w:t>交由新蔡县中绿环保有限公司处置</w:t>
            </w:r>
          </w:p>
        </w:tc>
      </w:tr>
    </w:tbl>
    <w:p>
      <w:pPr>
        <w:pStyle w:val="8"/>
        <w:ind w:firstLine="482"/>
        <w:rPr>
          <w:rFonts w:hint="eastAsia"/>
          <w:highlight w:val="none"/>
        </w:rPr>
      </w:pPr>
      <w:r>
        <w:rPr>
          <w:rFonts w:hint="eastAsia"/>
          <w:highlight w:val="none"/>
          <w:lang w:val="en-US" w:eastAsia="zh-CN"/>
        </w:rPr>
        <w:t>5</w:t>
      </w:r>
      <w:r>
        <w:rPr>
          <w:highlight w:val="none"/>
        </w:rPr>
        <w:t>.2.</w:t>
      </w:r>
      <w:r>
        <w:rPr>
          <w:rFonts w:hint="eastAsia"/>
          <w:highlight w:val="none"/>
          <w:lang w:val="en-US" w:eastAsia="zh-CN"/>
        </w:rPr>
        <w:t>8</w:t>
      </w:r>
      <w:r>
        <w:rPr>
          <w:rFonts w:hint="eastAsia"/>
          <w:highlight w:val="none"/>
        </w:rPr>
        <w:t>.</w:t>
      </w:r>
      <w:r>
        <w:rPr>
          <w:rFonts w:hint="eastAsia"/>
          <w:highlight w:val="none"/>
          <w:lang w:val="en-US" w:eastAsia="zh-CN"/>
        </w:rPr>
        <w:t>2</w:t>
      </w:r>
      <w:r>
        <w:rPr>
          <w:rFonts w:hint="eastAsia"/>
          <w:highlight w:val="none"/>
        </w:rPr>
        <w:t>固体废物暂存措施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本项目产生的固体废物主要是一般工业固体废物和危险固体废物。固体废物的暂存措施如下：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（1）一般工业固体废物</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根据《中华人民共和国固体废物污染环境防治法》要求，评价建议对一般固体废物设置规范的临时堆存间，用以暂存废脱硫剂和生活垃圾，按照《一般工业固体废物贮存、处置场污染控制标准》（GB18599-2001）中相应规定，必须采取防扬撒、防流失、防渗漏等三防措施，进行地面硬化，设顶棚和围挡，避免雨水进入，地基加高10cm，达到三防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（2）危险固体废物</w:t>
      </w:r>
      <w:r>
        <w:rPr>
          <w:rFonts w:hint="eastAsia" w:cs="Times New Roman"/>
          <w:highlight w:val="none"/>
        </w:rPr>
        <w:tab/>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本项目在病死猪处理区内设置1个危废暂存间，占地面积</w:t>
      </w:r>
      <w:r>
        <w:rPr>
          <w:rFonts w:hint="eastAsia" w:cs="Times New Roman"/>
          <w:highlight w:val="none"/>
          <w:lang w:val="en-US" w:eastAsia="zh-CN"/>
        </w:rPr>
        <w:t>40</w:t>
      </w:r>
      <w:r>
        <w:rPr>
          <w:rFonts w:hint="eastAsia" w:cs="Times New Roman"/>
          <w:highlight w:val="none"/>
        </w:rPr>
        <w:t>m</w:t>
      </w:r>
      <w:r>
        <w:rPr>
          <w:rFonts w:hint="eastAsia" w:cs="Times New Roman"/>
          <w:highlight w:val="none"/>
          <w:vertAlign w:val="superscript"/>
        </w:rPr>
        <w:t>2</w:t>
      </w:r>
      <w:r>
        <w:rPr>
          <w:rFonts w:hint="eastAsia" w:cs="Times New Roman"/>
          <w:highlight w:val="none"/>
        </w:rPr>
        <w:t>，用于收集、暂存养猪过程产生的医疗废物，危废暂存</w:t>
      </w:r>
      <w:r>
        <w:rPr>
          <w:rFonts w:hint="eastAsia" w:cs="Times New Roman"/>
          <w:highlight w:val="none"/>
          <w:lang w:eastAsia="zh-CN"/>
        </w:rPr>
        <w:t>间</w:t>
      </w:r>
      <w:r>
        <w:rPr>
          <w:rFonts w:hint="eastAsia" w:cs="Times New Roman"/>
          <w:highlight w:val="none"/>
        </w:rPr>
        <w:t>须满足《危险废物贮存污染控制标准》（GB18597-2001）要求：危废暂存间的混凝土基础做防渗处理，防渗层采用2mm厚的防渗材料，保证渗透系数≤10</w:t>
      </w:r>
      <w:r>
        <w:rPr>
          <w:rFonts w:hint="eastAsia" w:cs="Times New Roman"/>
          <w:highlight w:val="none"/>
          <w:vertAlign w:val="superscript"/>
        </w:rPr>
        <w:t>-10</w:t>
      </w:r>
      <w:r>
        <w:rPr>
          <w:rFonts w:hint="eastAsia" w:cs="Times New Roman"/>
          <w:highlight w:val="none"/>
        </w:rPr>
        <w:t>cm/s，并采用环氧漆做防腐防渗处理；危废的贮存场所设置明显标志；贮存场所内禁止混放不相溶危险废物；危废的转移执行国家环保总局第5号令《危险废物转移联单管理办法》。</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在日常管理中，应设置专人加强对危废暂存间的管理，出现问题及时解决，避免形成二次污染，对工作人员应进行专业培训，熟知各项固废知识。</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highlight w:val="none"/>
        </w:rPr>
      </w:pPr>
      <w:r>
        <w:rPr>
          <w:rFonts w:hint="eastAsia" w:cs="Times New Roman"/>
          <w:highlight w:val="none"/>
        </w:rPr>
        <w:t>经采取上述措施，固体废物均得到合理处置，不会对环境造成二次污染，措施可行。</w:t>
      </w:r>
    </w:p>
    <w:p>
      <w:pPr>
        <w:pStyle w:val="8"/>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w:t>
      </w:r>
      <w:r>
        <w:rPr>
          <w:rFonts w:hint="eastAsia"/>
          <w:highlight w:val="none"/>
          <w:lang w:val="en-US" w:eastAsia="zh-CN"/>
        </w:rPr>
        <w:t>3</w:t>
      </w:r>
      <w:r>
        <w:rPr>
          <w:rFonts w:hint="eastAsia"/>
          <w:highlight w:val="none"/>
        </w:rPr>
        <w:t>粪便综合利用措施分析</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sz w:val="24"/>
          <w:highlight w:val="none"/>
        </w:rPr>
      </w:pPr>
      <w:r>
        <w:rPr>
          <w:rFonts w:ascii="Times New Roman" w:hAnsi="Times New Roman"/>
          <w:b w:val="0"/>
          <w:bCs/>
          <w:kern w:val="0"/>
          <w:sz w:val="24"/>
          <w:highlight w:val="none"/>
        </w:rPr>
        <w:t>（1）猪粪发酵生产有机肥基肥工艺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根据《畜禽养殖业污染防治技术规范》（HJ/T81－2001）规定，养殖场猪粪可采取堆肥发酵法、干燥法等。结合项目特点，猪粪、沼渣等拟采取堆肥发酵后，全部外售，作有机肥还田利用，符</w:t>
      </w:r>
      <w:r>
        <w:rPr>
          <w:rFonts w:hint="eastAsia" w:asciiTheme="minorEastAsia" w:hAnsiTheme="minorEastAsia" w:eastAsiaTheme="minorEastAsia" w:cstheme="minorEastAsia"/>
          <w:sz w:val="24"/>
          <w:highlight w:val="none"/>
        </w:rPr>
        <w:t>合畜禽粪便“无害化、减量化、资源化”相</w:t>
      </w:r>
      <w:r>
        <w:rPr>
          <w:rFonts w:ascii="Times New Roman" w:hAnsi="Times New Roman"/>
          <w:sz w:val="24"/>
          <w:highlight w:val="none"/>
        </w:rPr>
        <w:t>关要求。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猪粪及沼渣含有丰富的有机质和氮、磷、钾元素，具有优良改良土壤的作用。其养份含量见表5</w:t>
      </w:r>
      <w:r>
        <w:rPr>
          <w:rFonts w:hint="eastAsia"/>
          <w:sz w:val="24"/>
          <w:highlight w:val="none"/>
          <w:lang w:val="en-US" w:eastAsia="zh-CN"/>
        </w:rPr>
        <w:t>.2</w:t>
      </w:r>
      <w:r>
        <w:rPr>
          <w:rFonts w:ascii="Times New Roman" w:hAnsi="Times New Roman"/>
          <w:sz w:val="24"/>
          <w:highlight w:val="none"/>
        </w:rPr>
        <w:t>-1</w:t>
      </w:r>
      <w:r>
        <w:rPr>
          <w:rFonts w:hint="eastAsia"/>
          <w:sz w:val="24"/>
          <w:highlight w:val="none"/>
          <w:lang w:val="en-US" w:eastAsia="zh-CN"/>
        </w:rPr>
        <w:t>1</w:t>
      </w:r>
      <w:r>
        <w:rPr>
          <w:rFonts w:ascii="Times New Roman" w:hAnsi="Times New Roman"/>
          <w:sz w:val="24"/>
          <w:highlight w:val="none"/>
        </w:rPr>
        <w:t>。</w:t>
      </w:r>
    </w:p>
    <w:p>
      <w:pPr>
        <w:pStyle w:val="40"/>
        <w:rPr>
          <w:rFonts w:hint="eastAsia" w:cs="Times New Roman"/>
          <w:highlight w:val="none"/>
          <w:lang w:val="en-US" w:eastAsia="zh-CN"/>
        </w:rPr>
      </w:pPr>
      <w:r>
        <w:rPr>
          <w:rFonts w:hint="eastAsia" w:cs="Times New Roman"/>
          <w:highlight w:val="none"/>
          <w:lang w:val="en-US" w:eastAsia="zh-CN"/>
        </w:rPr>
        <w:t>表5.2-11 猪粪、沼渣的养份含量表   单位：%</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022"/>
        <w:gridCol w:w="1361"/>
        <w:gridCol w:w="1022"/>
        <w:gridCol w:w="1362"/>
        <w:gridCol w:w="1023"/>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有机质</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全氮</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速效氮</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全磷</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速效磷</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全钾</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速效钾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28.62</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1.92</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0.27</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2.94</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1.39</w:t>
            </w:r>
          </w:p>
        </w:tc>
        <w:tc>
          <w:tcPr>
            <w:tcW w:w="600"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0.39</w:t>
            </w:r>
          </w:p>
        </w:tc>
        <w:tc>
          <w:tcPr>
            <w:tcW w:w="799" w:type="pct"/>
            <w:noWrap w:val="0"/>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0.22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▲堆肥发酵工艺比选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堆肥是在微生物作用下通过发酵使有机物矿质化、腐殖化和无害化而变成腐熟肥料的过程，根据生物处理过程中起作用的微生物对氧气需求不同，可以把固体废物堆肥分为好氧堆肥和厌氧堆肥。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好氧堆肥技术：好氧堆肥是在有氧条件下，依靠好氧微生物（主要是好氧细菌）作用来进行的，在堆肥过程中，有机废物种的可溶性有机物，渗入细胞。微生物通过自身的生物代谢活动，对一部分有机物进行分解代谢，即氧化分解以获得生物生长、活动所需能量，把另一部分有机物转化合成新的细胞物质，使微生物生长繁殖，产生更多的生物体。好氧堆肥温度高，一般在50-65℃，故亦称为高温堆肥，高温堆肥技术成熟投资较小可以最大限度地杀灭病原菌，同时对有机质的降解速度快。现代化的堆肥生产一般采用采用好氧堆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厌氧堆肥技术：厌氧堆肥是在无氧条件下，借助厌氧微生物（主要是厌氧细菌）将有机质进行分解，被分解的有机碳化物中的能量大部分转化储存在甲烷中，仅一小部分有机碳化物转化为二氧化碳，释放的能量供微生物生命活动需要，在这一分解过程中，仅积储少量的微生物。厌氧发酵工艺有机物分解缓慢，发酵周期4～6个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厌氧发酵工艺肥效好，但一次性投资较高，且发酵周期较长，与厌氧发酵工艺相比，好氧发酵具有投资小、发酵周期短、技术应用比较广泛的优点，另外，根据《畜禽养殖业污染治理工程技术规范》（HJ497－2009），固体畜禽粪便宜采用好氧堆肥技术进行无害化处理。因此本次推荐采用好氧堆肥工艺，场区内建设具备“防渗漏、防雨、防溢流”三防措施的堆肥场，猪粪、粪渣混合，好氧堆肥发酵后，制成固体有机肥外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▲猪粪、沼渣综合利用措施可行性分析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猪粪有机质腐熟后形成腐殖质储存在土壤中，对改良土壤、培养地力有明显效果。因此，家畜粪便在保持和提高土壤肥力的效果上远远超过化肥。化肥中的磷酸钙会与土壤中的石灰质、铁反映形成沉淀物，大大降低磷的利用率。有机肥料中的磷是有机磷，肥效优于磷酸钙，被固定的可能性小，相对提高了磷肥肥效。同时畜粪中的有机质在积肥、施肥过程中，经过微生物的加工分解以至重新合成，最后形成腐殖质储存在土壤中。腐殖质对改良土壤、培养地力的作用是多方面的：它能调节土壤水分、温度、空气和肥效，适时满足作物生长发育的需要；能调节土壤的酸碱度，形成土壤的团粒结构；能延长和增进肥效，促进水分迅速进入植物体，并有催芽、促进根系发育和保温等作用。同时有机质腐熟后，形成较高量的胡敏酸，具有典型的亲水胶体性，能把细小的土壤粘结起来形成较大的团粒，构成土壤的团粒结构，同时在转化过程中释放能量，能刺激作物根系多吸收养分，改良土壤提高产量。</w:t>
      </w:r>
    </w:p>
    <w:p>
      <w:pPr>
        <w:pStyle w:val="8"/>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8</w:t>
      </w:r>
      <w:r>
        <w:rPr>
          <w:rFonts w:hint="eastAsia"/>
          <w:highlight w:val="none"/>
        </w:rPr>
        <w:t>.4 养殖场防疫、病死畜禽尸体及分娩胎盘处置措施分析</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b w:val="0"/>
          <w:bCs w:val="0"/>
          <w:kern w:val="0"/>
          <w:sz w:val="24"/>
          <w:highlight w:val="none"/>
        </w:rPr>
      </w:pPr>
      <w:r>
        <w:rPr>
          <w:rFonts w:ascii="Times New Roman" w:hAnsi="Times New Roman"/>
          <w:b w:val="0"/>
          <w:bCs w:val="0"/>
          <w:kern w:val="0"/>
          <w:sz w:val="24"/>
          <w:highlight w:val="none"/>
        </w:rPr>
        <w:t>（1）养殖场防疫</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hint="eastAsia" w:asciiTheme="minorEastAsia" w:hAnsiTheme="minorEastAsia" w:eastAsiaTheme="minorEastAsia" w:cstheme="minorEastAsia"/>
          <w:sz w:val="24"/>
          <w:highlight w:val="none"/>
        </w:rPr>
      </w:pPr>
      <w:r>
        <w:rPr>
          <w:rFonts w:ascii="Times New Roman" w:hAnsi="Times New Roman"/>
          <w:kern w:val="0"/>
          <w:sz w:val="24"/>
          <w:highlight w:val="none"/>
        </w:rPr>
        <w:t>畜禽传染病是畜牧业的大敌，它制约了畜牧业的发展，还有一些人畜共患病和寄生虫病（如狂犬病、炭疽、结核、布氏杆菌病、牛囊尾蚴病、旋毛虫病）还会</w:t>
      </w:r>
      <w:r>
        <w:rPr>
          <w:rFonts w:hint="eastAsia" w:asciiTheme="minorEastAsia" w:hAnsiTheme="minorEastAsia" w:eastAsiaTheme="minorEastAsia" w:cstheme="minorEastAsia"/>
          <w:kern w:val="0"/>
          <w:sz w:val="24"/>
          <w:highlight w:val="none"/>
        </w:rPr>
        <w:t>给人们健康带来威胁，因此控制疫病对于畜牧业生产和保护人民健康都具有重要的意义。国家颁布了《动物防疫法》、《家畜家禽防疫条例》等法律法规，规定了“预防为主”的畜禽防疫方针。项目拟采取有如下防疫卫生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hint="eastAsia" w:asciiTheme="minorEastAsia" w:hAnsiTheme="minorEastAsia" w:eastAsiaTheme="minorEastAsia" w:cstheme="minorEastAsia"/>
          <w:kern w:val="0"/>
          <w:sz w:val="24"/>
          <w:highlight w:val="none"/>
        </w:rPr>
        <w:t>①严格了“三区分离”制度，生活管理区、养殖区</w:t>
      </w:r>
      <w:r>
        <w:rPr>
          <w:rFonts w:ascii="Times New Roman" w:hAnsi="Times New Roman"/>
          <w:kern w:val="0"/>
          <w:sz w:val="24"/>
          <w:highlight w:val="none"/>
        </w:rPr>
        <w:t>和粪污处理处置区，实现了分区建设，有效避免了交叉污染。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②养殖区有明确的净道与脏道，并能够保证物流畅通，净道主要运输饲料和由饲养员和兽医等通行；脏道主要作为粪污运输通道。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③进入养殖区各出入口设置有消毒池，出入车辆须经消毒池进行消毒处理，消毒池设置门楼和防水堰，防止雨水进入导致消毒液外溢污染；主厂区门口设置消毒室，设置有脚踏消毒槽、洗手盆。入区人员包括饲养员、兽医、管理员及一切外来人员必须经消毒室进行消毒处理。</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sz w:val="24"/>
          <w:highlight w:val="none"/>
        </w:rPr>
      </w:pPr>
      <w:r>
        <w:rPr>
          <w:rFonts w:ascii="Times New Roman" w:hAnsi="Times New Roman"/>
          <w:kern w:val="0"/>
          <w:sz w:val="24"/>
          <w:highlight w:val="none"/>
        </w:rPr>
        <w:t>④进场人员不得携带任何肉类及肉类制品，对于随身所带物品，小件物品须经紫外线照射消毒20min，大件物品须经熏蒸消毒后方可带入；场内所有人员不准饲养犬、猫及其它动物；人员进场后必须在生活区隔离48h，并保证进场前48h内没有去过屠宰厂、疾病诊断实验室等类似场所。</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sz w:val="24"/>
          <w:highlight w:val="none"/>
        </w:rPr>
      </w:pPr>
      <w:r>
        <w:rPr>
          <w:rFonts w:ascii="Times New Roman" w:hAnsi="Times New Roman"/>
          <w:kern w:val="0"/>
          <w:sz w:val="24"/>
          <w:highlight w:val="none"/>
        </w:rPr>
        <w:t>⑤生活区工作人员一般情况下不准进入生产区，确需进入时，须经批准，在更衣消毒间经更衣、淋浴、消毒后方可进入；生产区工作人员不准穿工作服随意出入生产区，工作完毕后要把工作靴刷洗干净。处理死猪的工作人员不得再返回猪舍工作，所穿衣、靴须经专门消毒后再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企业采取有严格的畜禽规范化管理措施，其疾病控制能力大大提高。企业专门聘请具有规模化养殖经验的人员，有较高科学管理水平。因此，评价分析认为其出现重大疾病传播的可能性很小。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sz w:val="24"/>
          <w:highlight w:val="none"/>
        </w:rPr>
        <w:t>（2）病死畜禽尸体</w:t>
      </w:r>
      <w:r>
        <w:rPr>
          <w:rFonts w:ascii="Times New Roman" w:hAnsi="Times New Roman"/>
          <w:kern w:val="0"/>
          <w:sz w:val="24"/>
          <w:highlight w:val="none"/>
        </w:rPr>
        <w:t>处置措施分析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《根据《畜禽养殖业污染防治技术规范》（HJ/T81－2001）第9条规定：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◆病死畜禽尸体要及时处理，严禁随意丢弃，严禁出售或作为饲料再利用。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◆病死禽畜尸体处理应采用焚烧炉焚烧的方法，在养殖场比较集中的地区，应集中设置焚烧设施；同时焚烧产生的烟气应采取有效的净化措施，防止烟尘、一氧化碳、恶臭等对周围大气环境的污染。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不具备焚烧条件的养殖场应设置两个以上安全填埋井，填埋井应为混凝提结构，深度大于2m，直径大于1m，井口加盖密封。进行填埋时，在每次投入畜禽尸体后，应覆盖一层厚度大于10cm的熟石灰，井填满后，须用粘土填埋压实并封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本项目病死猪产生量为</w:t>
      </w:r>
      <w:r>
        <w:rPr>
          <w:rFonts w:hint="eastAsia" w:ascii="Times New Roman" w:hAnsi="Times New Roman"/>
          <w:bCs/>
          <w:sz w:val="24"/>
          <w:highlight w:val="none"/>
          <w:lang w:val="en-US" w:eastAsia="zh-CN"/>
        </w:rPr>
        <w:t>21.76</w:t>
      </w:r>
      <w:r>
        <w:rPr>
          <w:rFonts w:ascii="Times New Roman" w:hAnsi="Times New Roman"/>
          <w:bCs/>
          <w:sz w:val="24"/>
          <w:highlight w:val="none"/>
        </w:rPr>
        <w:t>t/a，母猪胎盘产生量为</w:t>
      </w:r>
      <w:r>
        <w:rPr>
          <w:rFonts w:hint="eastAsia" w:ascii="Times New Roman" w:hAnsi="Times New Roman"/>
          <w:bCs/>
          <w:sz w:val="24"/>
          <w:highlight w:val="none"/>
          <w:lang w:val="en-US" w:eastAsia="zh-CN"/>
        </w:rPr>
        <w:t>9.888</w:t>
      </w:r>
      <w:r>
        <w:rPr>
          <w:rFonts w:ascii="Times New Roman" w:hAnsi="Times New Roman"/>
          <w:bCs/>
          <w:sz w:val="24"/>
          <w:highlight w:val="none"/>
        </w:rPr>
        <w:t>t/a，送至正阳一场无害化处理车间处理。</w:t>
      </w:r>
    </w:p>
    <w:p>
      <w:pPr>
        <w:pStyle w:val="8"/>
        <w:ind w:firstLine="482"/>
        <w:rPr>
          <w:rFonts w:hint="eastAsia"/>
          <w:highlight w:val="none"/>
          <w:lang w:val="en-US" w:eastAsia="zh-CN"/>
        </w:rPr>
      </w:pPr>
      <w:r>
        <w:rPr>
          <w:rFonts w:hint="eastAsia"/>
          <w:highlight w:val="none"/>
          <w:lang w:val="en-US" w:eastAsia="zh-CN"/>
        </w:rPr>
        <w:t>5.2.8.5医疗废物的处理与处置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sz w:val="24"/>
          <w:highlight w:val="none"/>
        </w:rPr>
        <w:t>母猪在生长过程接种免疫或发病期接受治疗将产生医疗废物，类比其它企业实际生产情况，每头猪防疫产生医疗量约为0.005kg/a，全场产生量约为0.</w:t>
      </w:r>
      <w:r>
        <w:rPr>
          <w:rFonts w:hint="eastAsia" w:ascii="Times New Roman" w:hAnsi="Times New Roman"/>
          <w:bCs/>
          <w:sz w:val="24"/>
          <w:highlight w:val="none"/>
          <w:lang w:val="en-US" w:eastAsia="zh-CN"/>
        </w:rPr>
        <w:t>7</w:t>
      </w:r>
      <w:r>
        <w:rPr>
          <w:rFonts w:ascii="Times New Roman" w:hAnsi="Times New Roman"/>
          <w:bCs/>
          <w:sz w:val="24"/>
          <w:highlight w:val="none"/>
        </w:rPr>
        <w:t>5t/a，定期交</w:t>
      </w:r>
      <w:r>
        <w:rPr>
          <w:rFonts w:ascii="Times New Roman" w:hAnsi="Times New Roman"/>
          <w:sz w:val="24"/>
          <w:highlight w:val="none"/>
        </w:rPr>
        <w:t>有资质的单位处置</w:t>
      </w:r>
      <w:r>
        <w:rPr>
          <w:rFonts w:ascii="Times New Roman" w:hAnsi="Times New Roman"/>
          <w:bCs/>
          <w:sz w:val="24"/>
          <w:highlight w:val="none"/>
        </w:rPr>
        <w:t>。本项目医疗废物需按照《</w:t>
      </w:r>
      <w:r>
        <w:rPr>
          <w:rFonts w:ascii="Times New Roman" w:hAnsi="Times New Roman"/>
          <w:highlight w:val="none"/>
        </w:rPr>
        <w:fldChar w:fldCharType="begin"/>
      </w:r>
      <w:r>
        <w:rPr>
          <w:rFonts w:ascii="Times New Roman" w:hAnsi="Times New Roman"/>
          <w:highlight w:val="none"/>
        </w:rPr>
        <w:instrText xml:space="preserve">HYPERLINK "http://baike.haosou.com/doc/4948882-5170156.html" \t "_blank"</w:instrText>
      </w:r>
      <w:r>
        <w:rPr>
          <w:rFonts w:ascii="Times New Roman" w:hAnsi="Times New Roman"/>
          <w:highlight w:val="none"/>
        </w:rPr>
        <w:fldChar w:fldCharType="separate"/>
      </w:r>
      <w:r>
        <w:rPr>
          <w:rFonts w:ascii="Times New Roman" w:hAnsi="Times New Roman"/>
          <w:sz w:val="24"/>
          <w:highlight w:val="none"/>
          <w:shd w:val="clear" w:color="auto" w:fill="FFFFFF"/>
        </w:rPr>
        <w:t>医疗废物</w:t>
      </w:r>
      <w:r>
        <w:rPr>
          <w:rFonts w:ascii="Times New Roman" w:hAnsi="Times New Roman"/>
          <w:highlight w:val="none"/>
        </w:rPr>
        <w:fldChar w:fldCharType="end"/>
      </w:r>
      <w:r>
        <w:rPr>
          <w:rFonts w:ascii="Times New Roman" w:hAnsi="Times New Roman"/>
          <w:sz w:val="24"/>
          <w:highlight w:val="none"/>
          <w:shd w:val="clear" w:color="auto" w:fill="FFFFFF"/>
        </w:rPr>
        <w:t>管理条例</w:t>
      </w:r>
      <w:r>
        <w:rPr>
          <w:rFonts w:ascii="Times New Roman" w:hAnsi="Times New Roman"/>
          <w:bCs/>
          <w:sz w:val="24"/>
          <w:highlight w:val="none"/>
        </w:rPr>
        <w:t>》中相应规定收集、</w:t>
      </w:r>
      <w:r>
        <w:rPr>
          <w:rFonts w:ascii="Times New Roman" w:hAnsi="Times New Roman"/>
          <w:highlight w:val="none"/>
        </w:rPr>
        <w:fldChar w:fldCharType="begin"/>
      </w:r>
      <w:r>
        <w:rPr>
          <w:rFonts w:ascii="Times New Roman" w:hAnsi="Times New Roman"/>
          <w:highlight w:val="none"/>
        </w:rPr>
        <w:instrText xml:space="preserve">HYPERLINK "http://baike.haosou.com/doc/824185-871698.html" \t "_blank"</w:instrText>
      </w:r>
      <w:r>
        <w:rPr>
          <w:rFonts w:ascii="Times New Roman" w:hAnsi="Times New Roman"/>
          <w:highlight w:val="none"/>
        </w:rPr>
        <w:fldChar w:fldCharType="separate"/>
      </w:r>
      <w:r>
        <w:rPr>
          <w:rFonts w:ascii="Times New Roman" w:hAnsi="Times New Roman"/>
          <w:bCs/>
          <w:sz w:val="24"/>
          <w:highlight w:val="none"/>
        </w:rPr>
        <w:t>运送</w:t>
      </w:r>
      <w:r>
        <w:rPr>
          <w:rFonts w:ascii="Times New Roman" w:hAnsi="Times New Roman"/>
          <w:highlight w:val="none"/>
        </w:rPr>
        <w:fldChar w:fldCharType="end"/>
      </w:r>
      <w:r>
        <w:rPr>
          <w:rFonts w:ascii="Times New Roman" w:hAnsi="Times New Roman"/>
          <w:bCs/>
          <w:sz w:val="24"/>
          <w:highlight w:val="none"/>
        </w:rPr>
        <w:t>、</w:t>
      </w:r>
      <w:r>
        <w:rPr>
          <w:rFonts w:ascii="Times New Roman" w:hAnsi="Times New Roman"/>
          <w:highlight w:val="none"/>
        </w:rPr>
        <w:fldChar w:fldCharType="begin"/>
      </w:r>
      <w:r>
        <w:rPr>
          <w:rFonts w:ascii="Times New Roman" w:hAnsi="Times New Roman"/>
          <w:highlight w:val="none"/>
        </w:rPr>
        <w:instrText xml:space="preserve">HYPERLINK "http://baike.haosou.com/doc/1866520-1974147.html" \t "_blank"</w:instrText>
      </w:r>
      <w:r>
        <w:rPr>
          <w:rFonts w:ascii="Times New Roman" w:hAnsi="Times New Roman"/>
          <w:highlight w:val="none"/>
        </w:rPr>
        <w:fldChar w:fldCharType="separate"/>
      </w:r>
      <w:r>
        <w:rPr>
          <w:rFonts w:ascii="Times New Roman" w:hAnsi="Times New Roman"/>
          <w:bCs/>
          <w:sz w:val="24"/>
          <w:highlight w:val="none"/>
        </w:rPr>
        <w:t>贮存</w:t>
      </w:r>
      <w:r>
        <w:rPr>
          <w:rFonts w:ascii="Times New Roman" w:hAnsi="Times New Roman"/>
          <w:highlight w:val="none"/>
        </w:rPr>
        <w:fldChar w:fldCharType="end"/>
      </w:r>
      <w:r>
        <w:rPr>
          <w:rFonts w:ascii="Times New Roman" w:hAnsi="Times New Roman"/>
          <w:bCs/>
          <w:sz w:val="24"/>
          <w:highlight w:val="none"/>
        </w:rPr>
        <w:t>、</w:t>
      </w:r>
      <w:r>
        <w:rPr>
          <w:rFonts w:ascii="Times New Roman" w:hAnsi="Times New Roman"/>
          <w:highlight w:val="none"/>
        </w:rPr>
        <w:fldChar w:fldCharType="begin"/>
      </w:r>
      <w:r>
        <w:rPr>
          <w:rFonts w:ascii="Times New Roman" w:hAnsi="Times New Roman"/>
          <w:highlight w:val="none"/>
        </w:rPr>
        <w:instrText xml:space="preserve">HYPERLINK "http://baike.haosou.com/doc/5584939-5797533.html" \t "_blank"</w:instrText>
      </w:r>
      <w:r>
        <w:rPr>
          <w:rFonts w:ascii="Times New Roman" w:hAnsi="Times New Roman"/>
          <w:highlight w:val="none"/>
        </w:rPr>
        <w:fldChar w:fldCharType="separate"/>
      </w:r>
      <w:r>
        <w:rPr>
          <w:rFonts w:ascii="Times New Roman" w:hAnsi="Times New Roman"/>
          <w:bCs/>
          <w:sz w:val="24"/>
          <w:highlight w:val="none"/>
        </w:rPr>
        <w:t>处置</w:t>
      </w:r>
      <w:r>
        <w:rPr>
          <w:rFonts w:ascii="Times New Roman" w:hAnsi="Times New Roman"/>
          <w:highlight w:val="none"/>
        </w:rPr>
        <w:fldChar w:fldCharType="end"/>
      </w:r>
      <w:r>
        <w:rPr>
          <w:rFonts w:ascii="Times New Roman" w:hAnsi="Times New Roman"/>
          <w:bCs/>
          <w:sz w:val="24"/>
          <w:highlight w:val="none"/>
        </w:rPr>
        <w:t>，不得露天存放。本项目医疗废物定期交</w:t>
      </w:r>
      <w:r>
        <w:rPr>
          <w:rFonts w:ascii="Times New Roman" w:hAnsi="Times New Roman"/>
          <w:sz w:val="24"/>
          <w:highlight w:val="none"/>
        </w:rPr>
        <w:t>由有资质的单位</w:t>
      </w:r>
      <w:r>
        <w:rPr>
          <w:rFonts w:ascii="Times New Roman" w:hAnsi="Times New Roman"/>
          <w:bCs/>
          <w:sz w:val="24"/>
          <w:highlight w:val="none"/>
        </w:rPr>
        <w:t>处置（处置协议见附件</w:t>
      </w:r>
      <w:r>
        <w:rPr>
          <w:rFonts w:hint="eastAsia"/>
          <w:bCs/>
          <w:sz w:val="24"/>
          <w:highlight w:val="none"/>
          <w:lang w:eastAsia="zh-CN"/>
        </w:rPr>
        <w:t>八</w:t>
      </w:r>
      <w:r>
        <w:rPr>
          <w:rFonts w:ascii="Times New Roman" w:hAnsi="Times New Roman"/>
          <w:bCs/>
          <w:sz w:val="24"/>
          <w:highlight w:val="none"/>
        </w:rPr>
        <w:t xml:space="preserve">）。 </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本项目场区内设置暂存间，共1个，占地面积</w:t>
      </w:r>
      <w:r>
        <w:rPr>
          <w:rFonts w:hint="eastAsia" w:ascii="Times New Roman" w:hAnsi="Times New Roman"/>
          <w:sz w:val="24"/>
          <w:highlight w:val="none"/>
          <w:lang w:val="en-US" w:eastAsia="zh-CN"/>
        </w:rPr>
        <w:t>20</w:t>
      </w:r>
      <w:r>
        <w:rPr>
          <w:rFonts w:ascii="Times New Roman" w:hAnsi="Times New Roman"/>
          <w:sz w:val="24"/>
          <w:highlight w:val="none"/>
        </w:rPr>
        <w:t>m</w:t>
      </w:r>
      <w:r>
        <w:rPr>
          <w:rFonts w:ascii="Times New Roman" w:hAnsi="Times New Roman"/>
          <w:sz w:val="24"/>
          <w:highlight w:val="none"/>
          <w:vertAlign w:val="superscript"/>
        </w:rPr>
        <w:t>2</w:t>
      </w:r>
      <w:r>
        <w:rPr>
          <w:rFonts w:ascii="Times New Roman" w:hAnsi="Times New Roman"/>
          <w:sz w:val="24"/>
          <w:highlight w:val="none"/>
        </w:rPr>
        <w:t>，用于收集、贮存养猪过程产生的病死猪和医疗废物，危废暂存间须满足《危险废物贮存污染控制标准》（GB18597-2001）要求：危废临时贮存间的混凝土基础做防渗处理，防渗层采用2mm厚的防渗材料，保证渗透系数≤10</w:t>
      </w:r>
      <w:r>
        <w:rPr>
          <w:rFonts w:ascii="Times New Roman" w:hAnsi="Times New Roman"/>
          <w:sz w:val="24"/>
          <w:highlight w:val="none"/>
          <w:vertAlign w:val="superscript"/>
        </w:rPr>
        <w:t>-10</w:t>
      </w:r>
      <w:r>
        <w:rPr>
          <w:rFonts w:ascii="Times New Roman" w:hAnsi="Times New Roman"/>
          <w:sz w:val="24"/>
          <w:highlight w:val="none"/>
        </w:rPr>
        <w:t>cm/s，并采用环氧漆做防腐防渗处理；根据</w:t>
      </w:r>
      <w:r>
        <w:rPr>
          <w:rFonts w:ascii="Times New Roman" w:hAnsi="Times New Roman"/>
          <w:bCs/>
          <w:sz w:val="24"/>
          <w:highlight w:val="none"/>
        </w:rPr>
        <w:t>农业部“关于印发《病死动物无害化处理技术规范》的通知”农医发〔2013〕34号，</w:t>
      </w:r>
      <w:r>
        <w:rPr>
          <w:rFonts w:ascii="Times New Roman" w:hAnsi="Times New Roman"/>
          <w:sz w:val="24"/>
          <w:highlight w:val="none"/>
        </w:rPr>
        <w:t>暂存场所应易于清洗和消毒，并定期清洗消毒；危废的贮存场所设置明显标志；贮存场所内禁止混放不相溶危险废物；危废的转移执行国家环保总局第5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hint="eastAsia" w:cs="Times New Roman"/>
          <w:highlight w:val="none"/>
        </w:rPr>
      </w:pPr>
      <w:r>
        <w:rPr>
          <w:rFonts w:ascii="Times New Roman" w:hAnsi="Times New Roman"/>
          <w:sz w:val="24"/>
          <w:highlight w:val="none"/>
        </w:rPr>
        <w:t>在日常管理中，应设置专人加强对危废暂存间的管理，出现问题及时解决，避免形成二次污染，对工作人员应进行专业培训，熟知各项固废知识</w:t>
      </w:r>
      <w:r>
        <w:rPr>
          <w:rFonts w:hint="eastAsia" w:cs="Times New Roman"/>
          <w:highlight w:val="none"/>
        </w:rPr>
        <w:t>。</w:t>
      </w:r>
    </w:p>
    <w:p>
      <w:pPr>
        <w:pStyle w:val="7"/>
        <w:spacing w:before="6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9</w:t>
      </w:r>
      <w:r>
        <w:rPr>
          <w:rFonts w:hint="eastAsia"/>
          <w:highlight w:val="none"/>
        </w:rPr>
        <w:t>雨污分流、粪便及废水处置设施“三防”措施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根据《畜禽养殖业污染防治技术规范》（HJ/T81－2001）规定：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（1）养殖场的排水系统应实行雨水和污水收集输送系统分离，在场区内外设置的污水收集输送系统，不得采取明沟布设。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（2）贮存设施应采取有效的防渗处理工艺，防止畜禽粪便污染地下水。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（3）贮存设施应采取设置顶盖或围挡等防止降雨(水)进入的措施。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sz w:val="24"/>
          <w:highlight w:val="none"/>
        </w:rPr>
        <w:t>因此，企业必须建设雨、污分流管网，雨水管网建设时，沟深约20～30cm即可。排污沟应采取暗沟形式，同时应具备防止淤集以利于定期清理的条件，排污沟应采取硬化措施。</w:t>
      </w:r>
    </w:p>
    <w:p>
      <w:pPr>
        <w:keepNext w:val="0"/>
        <w:keepLines w:val="0"/>
        <w:pageBreakBefore w:val="0"/>
        <w:widowControl/>
        <w:kinsoku/>
        <w:wordWrap/>
        <w:overflowPunct/>
        <w:topLinePunct w:val="0"/>
        <w:autoSpaceDE/>
        <w:autoSpaceDN/>
        <w:bidi w:val="0"/>
        <w:adjustRightInd/>
        <w:snapToGrid/>
        <w:spacing w:line="360" w:lineRule="auto"/>
        <w:ind w:firstLine="561"/>
        <w:textAlignment w:val="auto"/>
        <w:rPr>
          <w:rFonts w:ascii="Times New Roman" w:hAnsi="Times New Roman"/>
          <w:sz w:val="24"/>
          <w:highlight w:val="none"/>
        </w:rPr>
      </w:pPr>
      <w:r>
        <w:rPr>
          <w:rFonts w:ascii="Times New Roman" w:hAnsi="Times New Roman"/>
          <w:sz w:val="24"/>
          <w:highlight w:val="none"/>
        </w:rPr>
        <w:t>根据本项目特点，评价要求以下设施应具备</w:t>
      </w:r>
      <w:r>
        <w:rPr>
          <w:rFonts w:hint="eastAsia" w:ascii="Times New Roman" w:hAnsi="Times New Roman"/>
          <w:sz w:val="24"/>
          <w:highlight w:val="none"/>
          <w:lang w:eastAsia="zh-CN"/>
        </w:rPr>
        <w:t>“</w:t>
      </w:r>
      <w:r>
        <w:rPr>
          <w:rFonts w:hint="eastAsia" w:asciiTheme="minorEastAsia" w:hAnsiTheme="minorEastAsia" w:eastAsiaTheme="minorEastAsia" w:cstheme="minorEastAsia"/>
          <w:sz w:val="24"/>
          <w:highlight w:val="none"/>
        </w:rPr>
        <w:t>三防</w:t>
      </w:r>
      <w:r>
        <w:rPr>
          <w:rFonts w:hint="eastAsia" w:ascii="Times New Roman" w:hAnsi="Times New Roman"/>
          <w:sz w:val="24"/>
          <w:highlight w:val="none"/>
          <w:lang w:eastAsia="zh-CN"/>
        </w:rPr>
        <w:t>”</w:t>
      </w:r>
      <w:r>
        <w:rPr>
          <w:rFonts w:ascii="Times New Roman" w:hAnsi="Times New Roman"/>
          <w:sz w:val="24"/>
          <w:highlight w:val="none"/>
        </w:rPr>
        <w:t>措施：</w:t>
      </w:r>
    </w:p>
    <w:p>
      <w:pPr>
        <w:pStyle w:val="40"/>
        <w:rPr>
          <w:rFonts w:hint="eastAsia" w:cs="Times New Roman"/>
          <w:highlight w:val="none"/>
          <w:lang w:val="en-US" w:eastAsia="zh-CN"/>
        </w:rPr>
      </w:pPr>
      <w:r>
        <w:rPr>
          <w:rFonts w:hint="eastAsia" w:cs="Times New Roman"/>
          <w:highlight w:val="none"/>
          <w:lang w:val="en-US" w:eastAsia="zh-CN"/>
        </w:rPr>
        <w:t>表5.2-12 项目雨污分流、粪便及废水处置设施“三防”措施一览表</w:t>
      </w:r>
    </w:p>
    <w:tbl>
      <w:tblPr>
        <w:tblStyle w:val="24"/>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750"/>
        <w:gridCol w:w="3109"/>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序号</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项目</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保护措施</w:t>
            </w:r>
          </w:p>
        </w:tc>
        <w:tc>
          <w:tcPr>
            <w:tcW w:w="1799"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配套消纳地施肥</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沼液储存池采取防渗处理措施，合理控制施肥频次和施肥量</w:t>
            </w:r>
          </w:p>
        </w:tc>
        <w:tc>
          <w:tcPr>
            <w:tcW w:w="1799" w:type="pct"/>
            <w:vMerge w:val="restar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2</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污水处理系统</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评价要求黑膜沼气池严格做好防渗措施</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固粪处理区</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地面进行硬化，三面设置约不低于1米的围挡，加盖顶棚</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4</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场区雨、污管网</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雨污分流、按照畜禽养殖业污染防治技术规范要求进行建设</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5</w:t>
            </w:r>
          </w:p>
        </w:tc>
        <w:tc>
          <w:tcPr>
            <w:tcW w:w="104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场区内净道与脏道设置</w:t>
            </w:r>
          </w:p>
        </w:tc>
        <w:tc>
          <w:tcPr>
            <w:tcW w:w="1853" w:type="pct"/>
            <w:noWrap w:val="0"/>
            <w:tcMar>
              <w:left w:w="0" w:type="dxa"/>
              <w:right w:w="0" w:type="dxa"/>
            </w:tcMar>
            <w:vAlign w:val="center"/>
          </w:tcPr>
          <w:p>
            <w:pPr>
              <w:spacing w:line="240" w:lineRule="auto"/>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合理设置厂区内净道和脏道，脏道地区硬化防渗处理，人行道采用透水方砖或植草砖铺设，下面用透水材料铺垫</w:t>
            </w:r>
          </w:p>
        </w:tc>
        <w:tc>
          <w:tcPr>
            <w:tcW w:w="1799" w:type="pct"/>
            <w:vMerge w:val="continue"/>
            <w:noWrap w:val="0"/>
            <w:tcMar>
              <w:left w:w="0" w:type="dxa"/>
              <w:right w:w="0" w:type="dxa"/>
            </w:tcMar>
            <w:vAlign w:val="center"/>
          </w:tcPr>
          <w:p>
            <w:pPr>
              <w:adjustRightInd w:val="0"/>
              <w:snapToGrid w:val="0"/>
              <w:ind w:left="0" w:leftChars="0" w:firstLine="0" w:firstLineChars="0"/>
              <w:jc w:val="center"/>
              <w:rPr>
                <w:rFonts w:ascii="Times New Roman" w:hAnsi="Times New Roman"/>
                <w:sz w:val="21"/>
                <w:szCs w:val="21"/>
                <w:highlight w:val="none"/>
              </w:rPr>
            </w:pPr>
          </w:p>
        </w:tc>
      </w:tr>
    </w:tbl>
    <w:p>
      <w:pPr>
        <w:pStyle w:val="7"/>
        <w:spacing w:before="66"/>
        <w:ind w:firstLine="482"/>
        <w:rPr>
          <w:rFonts w:hint="eastAsia"/>
          <w:highlight w:val="none"/>
        </w:rPr>
      </w:pPr>
      <w:r>
        <w:rPr>
          <w:rFonts w:hint="eastAsia"/>
          <w:highlight w:val="none"/>
          <w:lang w:val="en-US" w:eastAsia="zh-CN"/>
        </w:rPr>
        <w:t>5</w:t>
      </w:r>
      <w:r>
        <w:rPr>
          <w:rFonts w:hint="eastAsia"/>
          <w:highlight w:val="none"/>
        </w:rPr>
        <w:t>.2.</w:t>
      </w:r>
      <w:r>
        <w:rPr>
          <w:rFonts w:hint="eastAsia"/>
          <w:highlight w:val="none"/>
          <w:lang w:val="en-US" w:eastAsia="zh-CN"/>
        </w:rPr>
        <w:t>10</w:t>
      </w:r>
      <w:r>
        <w:rPr>
          <w:rFonts w:hint="eastAsia"/>
          <w:highlight w:val="none"/>
        </w:rPr>
        <w:t>绿化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highlight w:val="none"/>
          <w:lang w:val="en-US" w:eastAsia="zh-CN"/>
        </w:rPr>
      </w:pPr>
      <w:r>
        <w:rPr>
          <w:rFonts w:hint="eastAsia"/>
          <w:highlight w:val="none"/>
          <w:lang w:val="en-US" w:eastAsia="zh-CN"/>
        </w:rPr>
        <w:t>1、原则要求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（1）在规划设计前要对猪场的自然条件、生产性质、规模、污染状况等进行充分的调查。要从保护环境的观点出发，合理规划。合理地设置猪场饲养猪的类型、头数，从而优化猪场本身的生态条件。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（2）猪场的绿化规划是总体规划的有机组成部分，要在猪场建设总规划的同时进行绿化规划。要本着统一安排、统一布局的原则进行，规划时既要有长远考虑，又要有近期安排，要与全场的建设协调一致。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（3）绿化规划设计布局要合理，以保证安全生产。绿化时不能影响地下、地上管线和车间生产的采光。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sz w:val="24"/>
          <w:szCs w:val="24"/>
          <w:highlight w:val="none"/>
        </w:rPr>
      </w:pPr>
      <w:r>
        <w:rPr>
          <w:rFonts w:ascii="Times New Roman" w:hAnsi="Times New Roman"/>
          <w:color w:val="000000"/>
          <w:sz w:val="24"/>
          <w:szCs w:val="24"/>
          <w:highlight w:val="none"/>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val="0"/>
          <w:color w:val="000000"/>
          <w:sz w:val="24"/>
          <w:szCs w:val="24"/>
          <w:highlight w:val="none"/>
        </w:rPr>
      </w:pPr>
      <w:r>
        <w:rPr>
          <w:rFonts w:hint="eastAsia" w:ascii="Times New Roman" w:hAnsi="Times New Roman"/>
          <w:b w:val="0"/>
          <w:bCs w:val="0"/>
          <w:color w:val="000000"/>
          <w:sz w:val="24"/>
          <w:szCs w:val="24"/>
          <w:highlight w:val="none"/>
          <w:lang w:val="en-US" w:eastAsia="zh-CN"/>
        </w:rPr>
        <w:t>2、</w:t>
      </w:r>
      <w:r>
        <w:rPr>
          <w:rFonts w:ascii="Times New Roman" w:hAnsi="Times New Roman"/>
          <w:b w:val="0"/>
          <w:bCs w:val="0"/>
          <w:color w:val="000000"/>
          <w:sz w:val="24"/>
          <w:szCs w:val="24"/>
          <w:highlight w:val="none"/>
        </w:rPr>
        <w:t>绿化措施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（1）场区隔离带的设计：场内各区，如养殖区、生活区及行政管理区的四周，都应设置隔离林带，以起到防疫、隔离、安全等作用。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pPr>
      <w:r>
        <w:rPr>
          <w:rFonts w:ascii="Times New Roman" w:hAnsi="Times New Roman"/>
          <w:kern w:val="0"/>
          <w:sz w:val="24"/>
          <w:highlight w:val="none"/>
        </w:rPr>
        <w:t>（2）场区道路绿化：宜采用乔木为主，乔、灌木搭配种植。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（3）对于养殖区内的猪舍，不宜在其四周密植成片的树林，而应多种植低矮的花卉或草坪，以利于通风，便于有害气体扩散。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ascii="Times New Roman" w:hAnsi="Times New Roman"/>
          <w:kern w:val="0"/>
          <w:sz w:val="24"/>
          <w:highlight w:val="none"/>
        </w:rPr>
        <w:t>（4）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5"/>
        <w:spacing w:before="166" w:after="166"/>
        <w:rPr>
          <w:highlight w:val="none"/>
        </w:rPr>
      </w:pPr>
      <w:bookmarkStart w:id="55" w:name="_Toc29974"/>
      <w:r>
        <w:rPr>
          <w:rFonts w:hint="eastAsia"/>
          <w:highlight w:val="none"/>
          <w:lang w:val="en-US" w:eastAsia="zh-CN"/>
        </w:rPr>
        <w:t>6</w:t>
      </w:r>
      <w:r>
        <w:rPr>
          <w:highlight w:val="none"/>
        </w:rPr>
        <w:t>环境影响经济损益分析</w:t>
      </w:r>
      <w:bookmarkEnd w:id="55"/>
    </w:p>
    <w:p>
      <w:pPr>
        <w:pStyle w:val="6"/>
        <w:spacing w:before="132"/>
        <w:rPr>
          <w:highlight w:val="none"/>
        </w:rPr>
      </w:pPr>
      <w:bookmarkStart w:id="56" w:name="_Toc10754"/>
      <w:r>
        <w:rPr>
          <w:rFonts w:hint="eastAsia"/>
          <w:highlight w:val="none"/>
          <w:lang w:val="en-US" w:eastAsia="zh-CN"/>
        </w:rPr>
        <w:t>6</w:t>
      </w:r>
      <w:r>
        <w:rPr>
          <w:rFonts w:hint="eastAsia"/>
          <w:highlight w:val="none"/>
        </w:rPr>
        <w:t>.1环保投资估算</w:t>
      </w:r>
      <w:bookmarkEnd w:id="56"/>
    </w:p>
    <w:p>
      <w:pPr>
        <w:tabs>
          <w:tab w:val="left" w:pos="7180"/>
        </w:tabs>
        <w:ind w:firstLine="480"/>
        <w:rPr>
          <w:rFonts w:cs="Times New Roman"/>
          <w:highlight w:val="none"/>
        </w:rPr>
      </w:pPr>
      <w:r>
        <w:rPr>
          <w:rFonts w:hint="eastAsia" w:cs="Times New Roman"/>
          <w:highlight w:val="none"/>
        </w:rPr>
        <w:t>本工程总投资</w:t>
      </w:r>
      <w:r>
        <w:rPr>
          <w:rFonts w:hint="eastAsia" w:cs="Times New Roman"/>
          <w:highlight w:val="none"/>
          <w:lang w:val="en-US" w:eastAsia="zh-CN"/>
        </w:rPr>
        <w:t>16639.57</w:t>
      </w:r>
      <w:r>
        <w:rPr>
          <w:rFonts w:hint="eastAsia" w:cs="Times New Roman"/>
          <w:highlight w:val="none"/>
        </w:rPr>
        <w:t>万元，其中环保投资</w:t>
      </w:r>
      <w:r>
        <w:rPr>
          <w:rFonts w:hint="eastAsia" w:cs="Times New Roman"/>
          <w:highlight w:val="none"/>
          <w:lang w:val="en-US" w:eastAsia="zh-CN"/>
        </w:rPr>
        <w:t>637</w:t>
      </w:r>
      <w:r>
        <w:rPr>
          <w:rFonts w:hint="eastAsia" w:cs="Times New Roman"/>
          <w:highlight w:val="none"/>
        </w:rPr>
        <w:t>万元，占总投资的</w:t>
      </w:r>
      <w:r>
        <w:rPr>
          <w:rFonts w:hint="eastAsia" w:cs="Times New Roman"/>
          <w:highlight w:val="none"/>
          <w:lang w:val="en-US" w:eastAsia="zh-CN"/>
        </w:rPr>
        <w:t>3.8</w:t>
      </w:r>
      <w:r>
        <w:rPr>
          <w:rFonts w:hint="eastAsia" w:cs="Times New Roman"/>
          <w:highlight w:val="none"/>
        </w:rPr>
        <w:t>%。环保投资估算见表</w:t>
      </w:r>
      <w:r>
        <w:rPr>
          <w:rFonts w:hint="eastAsia" w:cs="Times New Roman"/>
          <w:highlight w:val="none"/>
          <w:lang w:val="en-US" w:eastAsia="zh-CN"/>
        </w:rPr>
        <w:t>6</w:t>
      </w:r>
      <w:r>
        <w:rPr>
          <w:rFonts w:hint="eastAsia" w:cs="Times New Roman"/>
          <w:highlight w:val="none"/>
        </w:rPr>
        <w:t>.1-1。</w:t>
      </w:r>
    </w:p>
    <w:p>
      <w:pPr>
        <w:pStyle w:val="40"/>
        <w:rPr>
          <w:rFonts w:hint="eastAsia" w:cs="Times New Roman"/>
          <w:highlight w:val="none"/>
          <w:lang w:val="en-US" w:eastAsia="zh-CN"/>
        </w:rPr>
      </w:pPr>
      <w:r>
        <w:rPr>
          <w:rFonts w:hint="eastAsia" w:cs="Times New Roman"/>
          <w:highlight w:val="none"/>
          <w:lang w:val="en-US" w:eastAsia="zh-CN"/>
        </w:rPr>
        <w:t>表6.1-1项目环保投资估算表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4"/>
        <w:gridCol w:w="1199"/>
        <w:gridCol w:w="913"/>
        <w:gridCol w:w="4513"/>
        <w:gridCol w:w="12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90"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项目</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类别</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措施内容</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390"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废水</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生活污水</w:t>
            </w:r>
          </w:p>
        </w:tc>
        <w:tc>
          <w:tcPr>
            <w:tcW w:w="2649"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污水处理设施，工艺为</w:t>
            </w:r>
            <w:r>
              <w:rPr>
                <w:rFonts w:hint="eastAsia" w:asciiTheme="minorEastAsia" w:hAnsiTheme="minorEastAsia" w:eastAsiaTheme="minorEastAsia" w:cstheme="minorEastAsia"/>
                <w:bCs/>
                <w:sz w:val="21"/>
                <w:szCs w:val="21"/>
                <w:highlight w:val="none"/>
              </w:rPr>
              <w:t>“预处理+</w:t>
            </w:r>
            <w:r>
              <w:rPr>
                <w:rFonts w:hint="eastAsia" w:asciiTheme="minorEastAsia" w:hAnsiTheme="minorEastAsia" w:eastAsiaTheme="minorEastAsia" w:cstheme="minorEastAsia"/>
                <w:bCs/>
                <w:sz w:val="21"/>
                <w:szCs w:val="21"/>
                <w:highlight w:val="none"/>
                <w:lang w:eastAsia="zh-CN"/>
              </w:rPr>
              <w:t>黑膜</w:t>
            </w:r>
            <w:r>
              <w:rPr>
                <w:rFonts w:hint="eastAsia" w:asciiTheme="minorEastAsia" w:hAnsiTheme="minorEastAsia" w:eastAsiaTheme="minorEastAsia" w:cstheme="minorEastAsia"/>
                <w:bCs/>
                <w:sz w:val="21"/>
                <w:szCs w:val="21"/>
                <w:highlight w:val="none"/>
              </w:rPr>
              <w:t>厌氧发酵”工艺；1套沼气干法脱硫装置</w:t>
            </w:r>
            <w:r>
              <w:rPr>
                <w:rFonts w:ascii="Times New Roman" w:hAnsi="Times New Roman"/>
                <w:bCs/>
                <w:sz w:val="21"/>
                <w:szCs w:val="21"/>
                <w:highlight w:val="none"/>
              </w:rPr>
              <w:t>；1座</w:t>
            </w:r>
            <w:r>
              <w:rPr>
                <w:rFonts w:hint="eastAsia"/>
                <w:bCs/>
                <w:sz w:val="21"/>
                <w:szCs w:val="21"/>
                <w:highlight w:val="none"/>
                <w:lang w:eastAsia="zh-CN"/>
              </w:rPr>
              <w:t>黑膜</w:t>
            </w:r>
            <w:r>
              <w:rPr>
                <w:rFonts w:ascii="Times New Roman" w:hAnsi="Times New Roman"/>
                <w:bCs/>
                <w:sz w:val="21"/>
                <w:szCs w:val="21"/>
                <w:highlight w:val="none"/>
              </w:rPr>
              <w:t>沼气池（容积为1</w:t>
            </w:r>
            <w:r>
              <w:rPr>
                <w:rFonts w:hint="eastAsia"/>
                <w:bCs/>
                <w:sz w:val="21"/>
                <w:szCs w:val="21"/>
                <w:highlight w:val="none"/>
                <w:lang w:val="en-US" w:eastAsia="zh-CN"/>
              </w:rPr>
              <w:t>7</w:t>
            </w:r>
            <w:r>
              <w:rPr>
                <w:rFonts w:ascii="Times New Roman" w:hAnsi="Times New Roman"/>
                <w:bCs/>
                <w:sz w:val="21"/>
                <w:szCs w:val="21"/>
                <w:highlight w:val="none"/>
              </w:rPr>
              <w:t>000m</w:t>
            </w:r>
            <w:r>
              <w:rPr>
                <w:rFonts w:ascii="Times New Roman" w:hAnsi="Times New Roman"/>
                <w:bCs/>
                <w:sz w:val="21"/>
                <w:szCs w:val="21"/>
                <w:highlight w:val="none"/>
                <w:vertAlign w:val="superscript"/>
              </w:rPr>
              <w:t>3</w:t>
            </w:r>
            <w:r>
              <w:rPr>
                <w:rFonts w:ascii="Times New Roman" w:hAnsi="Times New Roman"/>
                <w:bCs/>
                <w:sz w:val="21"/>
                <w:szCs w:val="21"/>
                <w:highlight w:val="none"/>
              </w:rPr>
              <w:t>）雨污分流；防渗、防雨、防溢的</w:t>
            </w:r>
            <w:r>
              <w:rPr>
                <w:rFonts w:hint="eastAsia" w:asciiTheme="minorEastAsia" w:hAnsiTheme="minorEastAsia" w:eastAsiaTheme="minorEastAsia" w:cstheme="minorEastAsia"/>
                <w:bCs/>
                <w:sz w:val="21"/>
                <w:szCs w:val="21"/>
                <w:highlight w:val="none"/>
              </w:rPr>
              <w:t>“三防”措施</w:t>
            </w:r>
          </w:p>
        </w:tc>
        <w:tc>
          <w:tcPr>
            <w:tcW w:w="719"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养殖废水</w:t>
            </w:r>
          </w:p>
        </w:tc>
        <w:tc>
          <w:tcPr>
            <w:tcW w:w="264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废气</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猪舍臭气</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控制饲养密度，采用节水型饮水器、全漏缝地板并及时清粪</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污水前处理工序</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收集池喷洒除臭剂（除臭剂的喷扫操作方式为人工喷洒，对操作人员强化培训，喷洒频率为：污水处理系统运营前连续喷洒3天每天喷洒一次，之后每隔5天喷洒一次），周边绿化</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固粪处置区</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顶部有棚，三面设置不低于1m高围挡，喷洒除臭剂，底部设置导流沟</w:t>
            </w:r>
          </w:p>
        </w:tc>
        <w:tc>
          <w:tcPr>
            <w:tcW w:w="719"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沼液储存池</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四周喷洒除臭剂、四周设置绿化</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食堂油烟</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安装净化效率不低于90%的油烟净化装置一套</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固废</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病死猪尸体</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送正阳一场无害化处理厂处理。</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疾病防疫产生的医疗废物</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暂存于危废暂存池，设置危废暂存标志，定期交由有资质的单位处置</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废脱硫剂</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暂存于固废暂存间，由负责项目环保工程的施工单位统一回收处置</w:t>
            </w:r>
          </w:p>
        </w:tc>
        <w:tc>
          <w:tcPr>
            <w:tcW w:w="719"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eastAsia="zh-CN"/>
              </w:rPr>
            </w:pPr>
            <w:r>
              <w:rPr>
                <w:rFonts w:hint="eastAsia"/>
                <w:bCs/>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生活垃圾及厨余垃圾</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垃圾桶若干，集中送环卫部门处理</w:t>
            </w:r>
          </w:p>
        </w:tc>
        <w:tc>
          <w:tcPr>
            <w:tcW w:w="719" w:type="pct"/>
            <w:noWrap w:val="0"/>
            <w:vAlign w:val="center"/>
          </w:tcPr>
          <w:p>
            <w:pPr>
              <w:spacing w:line="240" w:lineRule="auto"/>
              <w:ind w:left="0" w:leftChars="0" w:firstLine="0" w:firstLineChars="0"/>
              <w:jc w:val="center"/>
              <w:rPr>
                <w:rFonts w:hint="eastAsia" w:ascii="Times New Roman" w:hAnsi="Times New Roman" w:eastAsia="宋体"/>
                <w:bCs/>
                <w:sz w:val="21"/>
                <w:szCs w:val="21"/>
                <w:highlight w:val="none"/>
                <w:lang w:val="en-US" w:eastAsia="zh-CN"/>
              </w:rPr>
            </w:pPr>
            <w:r>
              <w:rPr>
                <w:rFonts w:hint="eastAsia"/>
                <w:bCs/>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猪粪和沼渣</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粪便发酵制有机肥基肥外售、沼渣经脱水后做有机肥基肥外售</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噪声</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设备噪声</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基础减振、隔声等措施</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风险事故</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沼气泄漏</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加强设备的维护，按规定定期对</w:t>
            </w:r>
            <w:r>
              <w:rPr>
                <w:rFonts w:hint="eastAsia"/>
                <w:bCs/>
                <w:sz w:val="21"/>
                <w:szCs w:val="21"/>
                <w:highlight w:val="none"/>
                <w:lang w:eastAsia="zh-CN"/>
              </w:rPr>
              <w:t>黑膜</w:t>
            </w:r>
            <w:r>
              <w:rPr>
                <w:rFonts w:ascii="Times New Roman" w:hAnsi="Times New Roman"/>
                <w:bCs/>
                <w:sz w:val="21"/>
                <w:szCs w:val="21"/>
                <w:highlight w:val="none"/>
              </w:rPr>
              <w:t>沼气池、管道系统进行密封性和压强测试；建立事故应急预案；加强操作人员的技术培训和岗位责任制教育</w:t>
            </w:r>
          </w:p>
        </w:tc>
        <w:tc>
          <w:tcPr>
            <w:tcW w:w="719"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消防器材</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若干</w:t>
            </w: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辅助工程</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农田</w:t>
            </w:r>
          </w:p>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沼液施肥系统</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建设沼液储存池1个，容积</w:t>
            </w:r>
            <w:r>
              <w:rPr>
                <w:rFonts w:hint="eastAsia"/>
                <w:bCs/>
                <w:sz w:val="21"/>
                <w:szCs w:val="21"/>
                <w:highlight w:val="none"/>
                <w:lang w:val="en-US" w:eastAsia="zh-CN"/>
              </w:rPr>
              <w:t>10</w:t>
            </w:r>
            <w:r>
              <w:rPr>
                <w:rFonts w:ascii="Times New Roman" w:hAnsi="Times New Roman"/>
                <w:bCs/>
                <w:sz w:val="21"/>
                <w:szCs w:val="21"/>
                <w:highlight w:val="none"/>
              </w:rPr>
              <w:t>0000m</w:t>
            </w:r>
            <w:r>
              <w:rPr>
                <w:rFonts w:ascii="Times New Roman" w:hAnsi="Times New Roman"/>
                <w:bCs/>
                <w:sz w:val="21"/>
                <w:szCs w:val="21"/>
                <w:highlight w:val="none"/>
                <w:vertAlign w:val="superscript"/>
              </w:rPr>
              <w:t>3</w:t>
            </w:r>
            <w:r>
              <w:rPr>
                <w:rFonts w:ascii="Times New Roman" w:hAnsi="Times New Roman"/>
                <w:bCs/>
                <w:sz w:val="21"/>
                <w:szCs w:val="21"/>
                <w:highlight w:val="none"/>
              </w:rPr>
              <w:t>，做好防渗、防溢漏、防雨流入措施、周边设置防护栏等安全措施，避免农闲期无处消纳外排或外溢造成污染；沼液输送系统管网铺设</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地下水监测</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在沼液消纳地西北方位、东南方各设置1口地下水观测井</w:t>
            </w:r>
          </w:p>
        </w:tc>
        <w:tc>
          <w:tcPr>
            <w:tcW w:w="71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生态保护</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加强场区绿化</w:t>
            </w:r>
          </w:p>
        </w:tc>
        <w:tc>
          <w:tcPr>
            <w:tcW w:w="719"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水土保持</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施工期设置导流沟，建筑材料及土方及时覆盖，场区地面硬化</w:t>
            </w: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防渗措施</w:t>
            </w: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沼液储存池</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在清场夯压的基础上铺设HDPE膜防渗，周边设置防护栏等安全措施，保证能够容纳166天以上的沼液产生量，避免农闲期无处消纳外排或外溢造成污染</w:t>
            </w:r>
          </w:p>
        </w:tc>
        <w:tc>
          <w:tcPr>
            <w:tcW w:w="719" w:type="pct"/>
            <w:vMerge w:val="restar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1240" w:type="pct"/>
            <w:gridSpan w:val="2"/>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固粪处理区</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地面在清场夯压的基础上混凝土防渗，设置顶棚和围挡，防止雨水进入造成下溢流污染</w:t>
            </w: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70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污水处理区</w:t>
            </w:r>
          </w:p>
        </w:tc>
        <w:tc>
          <w:tcPr>
            <w:tcW w:w="536"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收集池</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砖混结构</w:t>
            </w: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70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养殖区</w:t>
            </w:r>
          </w:p>
        </w:tc>
        <w:tc>
          <w:tcPr>
            <w:tcW w:w="536"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场区、排污沟、</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猪舍底部在清场夯压的基础上混凝土防渗，采取暗沟形式，具备防止淤集以利于定期清理的条件</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c>
          <w:tcPr>
            <w:tcW w:w="70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沼液消纳区</w:t>
            </w:r>
          </w:p>
        </w:tc>
        <w:tc>
          <w:tcPr>
            <w:tcW w:w="536"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沼液输送管网</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沼液输送管道与管件必须具有防腐性与防渗性</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0"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卫生事故</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加强场区内卫生防疫工作</w:t>
            </w:r>
          </w:p>
        </w:tc>
        <w:tc>
          <w:tcPr>
            <w:tcW w:w="719" w:type="pct"/>
            <w:vMerge w:val="restar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0"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环境管理</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制定环境管理体系，加强环境管理</w:t>
            </w: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0" w:type="pct"/>
            <w:gridSpan w:val="3"/>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环境监测</w:t>
            </w:r>
          </w:p>
        </w:tc>
        <w:tc>
          <w:tcPr>
            <w:tcW w:w="2649" w:type="pct"/>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制定环境监测计划，定期监测</w:t>
            </w:r>
          </w:p>
        </w:tc>
        <w:tc>
          <w:tcPr>
            <w:tcW w:w="719" w:type="pct"/>
            <w:vMerge w:val="continue"/>
            <w:noWrap w:val="0"/>
            <w:vAlign w:val="center"/>
          </w:tcPr>
          <w:p>
            <w:pPr>
              <w:spacing w:line="240" w:lineRule="auto"/>
              <w:ind w:left="0" w:leftChars="0" w:firstLine="0" w:firstLineChars="0"/>
              <w:jc w:val="center"/>
              <w:rPr>
                <w:rFonts w:ascii="Times New Roman" w:hAnsi="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0" w:type="pct"/>
            <w:gridSpan w:val="4"/>
            <w:noWrap w:val="0"/>
            <w:vAlign w:val="center"/>
          </w:tcPr>
          <w:p>
            <w:pPr>
              <w:spacing w:line="240" w:lineRule="auto"/>
              <w:ind w:left="0" w:leftChars="0" w:firstLine="0" w:firstLineChars="0"/>
              <w:jc w:val="center"/>
              <w:rPr>
                <w:rFonts w:ascii="Times New Roman" w:hAnsi="Times New Roman"/>
                <w:bCs/>
                <w:sz w:val="21"/>
                <w:szCs w:val="21"/>
                <w:highlight w:val="none"/>
              </w:rPr>
            </w:pPr>
            <w:r>
              <w:rPr>
                <w:rFonts w:ascii="Times New Roman" w:hAnsi="Times New Roman"/>
                <w:bCs/>
                <w:sz w:val="21"/>
                <w:szCs w:val="21"/>
                <w:highlight w:val="none"/>
              </w:rPr>
              <w:t>合  计</w:t>
            </w:r>
          </w:p>
        </w:tc>
        <w:tc>
          <w:tcPr>
            <w:tcW w:w="719" w:type="pct"/>
            <w:noWrap w:val="0"/>
            <w:vAlign w:val="center"/>
          </w:tcPr>
          <w:p>
            <w:pPr>
              <w:spacing w:line="240" w:lineRule="auto"/>
              <w:ind w:left="0" w:leftChars="0" w:firstLine="0" w:firstLineChars="0"/>
              <w:jc w:val="center"/>
              <w:rPr>
                <w:rFonts w:hint="default" w:ascii="Times New Roman" w:hAnsi="Times New Roman" w:eastAsia="宋体"/>
                <w:bCs/>
                <w:sz w:val="21"/>
                <w:szCs w:val="21"/>
                <w:highlight w:val="none"/>
                <w:lang w:val="en-US" w:eastAsia="zh-CN"/>
              </w:rPr>
            </w:pPr>
            <w:r>
              <w:rPr>
                <w:rFonts w:hint="eastAsia"/>
                <w:bCs/>
                <w:sz w:val="21"/>
                <w:szCs w:val="21"/>
                <w:highlight w:val="none"/>
                <w:lang w:val="en-US" w:eastAsia="zh-CN"/>
              </w:rPr>
              <w:t>637</w:t>
            </w:r>
          </w:p>
        </w:tc>
      </w:tr>
    </w:tbl>
    <w:p>
      <w:pPr>
        <w:pStyle w:val="6"/>
        <w:spacing w:before="132"/>
        <w:rPr>
          <w:rFonts w:hint="eastAsia"/>
          <w:highlight w:val="none"/>
        </w:rPr>
      </w:pPr>
      <w:bookmarkStart w:id="57" w:name="_Toc2673"/>
      <w:r>
        <w:rPr>
          <w:rFonts w:hint="eastAsia"/>
          <w:highlight w:val="none"/>
          <w:lang w:val="en-US" w:eastAsia="zh-CN"/>
        </w:rPr>
        <w:t>6</w:t>
      </w:r>
      <w:r>
        <w:rPr>
          <w:rFonts w:hint="eastAsia"/>
          <w:highlight w:val="none"/>
        </w:rPr>
        <w:t>.2环境影响经济损益分析</w:t>
      </w:r>
      <w:bookmarkEnd w:id="57"/>
    </w:p>
    <w:p>
      <w:pPr>
        <w:pStyle w:val="7"/>
        <w:spacing w:before="66"/>
        <w:ind w:firstLine="482"/>
        <w:rPr>
          <w:rFonts w:hint="eastAsia"/>
          <w:highlight w:val="none"/>
        </w:rPr>
      </w:pPr>
      <w:r>
        <w:rPr>
          <w:rFonts w:hint="eastAsia"/>
          <w:highlight w:val="none"/>
          <w:lang w:val="en-US" w:eastAsia="zh-CN"/>
        </w:rPr>
        <w:t>6.2.1</w:t>
      </w:r>
      <w:r>
        <w:rPr>
          <w:rFonts w:hint="eastAsia"/>
          <w:highlight w:val="none"/>
        </w:rPr>
        <w:t>噪声影响经济损失</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宋体" w:hAnsi="宋体"/>
          <w:highlight w:val="none"/>
        </w:rPr>
      </w:pPr>
      <w:r>
        <w:rPr>
          <w:rFonts w:hint="eastAsia" w:cs="Times New Roman"/>
          <w:highlight w:val="none"/>
        </w:rPr>
        <w:t>有关噪声影响的人群调查以及流行病学研究发现，在我国，生活在70dB（A）以上环境中居民的人均医疗费用比70dB（A）以下的同类地方高；噪声级在70dB（A）以上环境的居民有66.7% 睡眠受到干扰，而睡眠受到干扰的职工会表现出生产效率有所下降。根据前面的噪声预测结果，在采取降噪措施前，本项目昼夜间噪声值均未达到70dB（A），因此本项目的建设不会引起噪声影响经济损失</w:t>
      </w:r>
      <w:r>
        <w:rPr>
          <w:rFonts w:hint="eastAsia" w:ascii="宋体" w:hAnsi="宋体"/>
          <w:highlight w:val="none"/>
        </w:rPr>
        <w:t>。</w:t>
      </w:r>
    </w:p>
    <w:p>
      <w:pPr>
        <w:pStyle w:val="7"/>
        <w:spacing w:before="66"/>
        <w:ind w:firstLine="482"/>
        <w:rPr>
          <w:rFonts w:hint="eastAsia"/>
          <w:highlight w:val="none"/>
        </w:rPr>
      </w:pPr>
      <w:r>
        <w:rPr>
          <w:rFonts w:hint="eastAsia"/>
          <w:highlight w:val="none"/>
          <w:lang w:val="en-US" w:eastAsia="zh-CN"/>
        </w:rPr>
        <w:t>6.2.2</w:t>
      </w:r>
      <w:r>
        <w:rPr>
          <w:rFonts w:hint="eastAsia"/>
          <w:highlight w:val="none"/>
        </w:rPr>
        <w:t>环境空气影响经济损失</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恶臭的成分十分复杂，因家畜的种类、清粪方式、日粮组成、粪便和污水处理等不同而异，有机成分是硫醇类、胺类、吲哚、挥发性有机酸、酚类、醛类、酮类、醇类以及含氮杂环化合物等，无机成分主要是NH</w:t>
      </w:r>
      <w:r>
        <w:rPr>
          <w:rFonts w:hint="eastAsia"/>
          <w:highlight w:val="none"/>
          <w:vertAlign w:val="subscript"/>
        </w:rPr>
        <w:t>3</w:t>
      </w:r>
      <w:r>
        <w:rPr>
          <w:rFonts w:hint="eastAsia"/>
          <w:highlight w:val="none"/>
        </w:rPr>
        <w:t>和H</w:t>
      </w:r>
      <w:r>
        <w:rPr>
          <w:rFonts w:hint="eastAsia"/>
          <w:highlight w:val="none"/>
          <w:vertAlign w:val="subscript"/>
        </w:rPr>
        <w:t>2</w:t>
      </w:r>
      <w:r>
        <w:rPr>
          <w:rFonts w:hint="eastAsia"/>
          <w:highlight w:val="none"/>
        </w:rPr>
        <w:t>S。</w:t>
      </w:r>
    </w:p>
    <w:p>
      <w:pPr>
        <w:pStyle w:val="10"/>
        <w:keepNext w:val="0"/>
        <w:keepLines w:val="0"/>
        <w:pageBreakBefore w:val="0"/>
        <w:widowControl/>
        <w:kinsoku/>
        <w:wordWrap/>
        <w:overflowPunct/>
        <w:topLinePunct w:val="0"/>
        <w:autoSpaceDE/>
        <w:autoSpaceDN/>
        <w:bidi w:val="0"/>
        <w:adjustRightInd/>
        <w:snapToGrid/>
        <w:textAlignment w:val="auto"/>
        <w:rPr>
          <w:rFonts w:hint="eastAsia" w:eastAsia="宋体"/>
          <w:highlight w:val="none"/>
          <w:lang w:eastAsia="zh-CN"/>
        </w:rPr>
      </w:pPr>
      <w:r>
        <w:rPr>
          <w:rFonts w:hint="eastAsia"/>
          <w:highlight w:val="none"/>
        </w:rPr>
        <w:t>本项目建设后，猪舍养殖等过程会产生恶臭气体，通过注意场区卫生、及时冲洗、添加除臭剂等措施可最大限制的减少恶臭气体的排放，另外利用场区内绿化植物及场区外大面积的农田吸收，对周围环境的影响可降至最低，项目营运期间产生的恶臭对周围环境影响不大</w:t>
      </w:r>
      <w:r>
        <w:rPr>
          <w:rFonts w:hint="eastAsia"/>
          <w:highlight w:val="none"/>
          <w:lang w:eastAsia="zh-CN"/>
        </w:rPr>
        <w:t>。</w:t>
      </w:r>
    </w:p>
    <w:p>
      <w:pPr>
        <w:pStyle w:val="7"/>
        <w:spacing w:before="66"/>
        <w:ind w:firstLine="482"/>
        <w:rPr>
          <w:rFonts w:hint="eastAsia"/>
          <w:highlight w:val="none"/>
        </w:rPr>
      </w:pPr>
      <w:r>
        <w:rPr>
          <w:rFonts w:hint="eastAsia"/>
          <w:highlight w:val="none"/>
          <w:lang w:val="en-US" w:eastAsia="zh-CN"/>
        </w:rPr>
        <w:t>6.2.3</w:t>
      </w:r>
      <w:r>
        <w:rPr>
          <w:rFonts w:hint="eastAsia"/>
          <w:highlight w:val="none"/>
        </w:rPr>
        <w:t>水环境影响经济损失</w:t>
      </w:r>
    </w:p>
    <w:p>
      <w:pPr>
        <w:pStyle w:val="10"/>
        <w:rPr>
          <w:rFonts w:hint="eastAsia" w:eastAsia="宋体"/>
          <w:highlight w:val="none"/>
          <w:lang w:eastAsia="zh-CN"/>
        </w:rPr>
      </w:pPr>
      <w:r>
        <w:rPr>
          <w:rFonts w:hint="eastAsia"/>
          <w:highlight w:val="none"/>
        </w:rPr>
        <w:t>本项目营运期产生的污水主要是养殖废水和员工生活污水，全部通过管道输入</w:t>
      </w:r>
      <w:r>
        <w:rPr>
          <w:rFonts w:hint="eastAsia"/>
          <w:highlight w:val="none"/>
          <w:lang w:eastAsia="zh-CN"/>
        </w:rPr>
        <w:t>黑膜</w:t>
      </w:r>
      <w:r>
        <w:rPr>
          <w:rFonts w:hint="eastAsia"/>
          <w:highlight w:val="none"/>
        </w:rPr>
        <w:t>沼气池统一处理，之后作为农肥施用于周边农田，不外排，因此对环境的影响非常有限。在此，不再估算水污染造成的经济损失</w:t>
      </w:r>
      <w:r>
        <w:rPr>
          <w:rFonts w:hint="eastAsia"/>
          <w:highlight w:val="none"/>
          <w:lang w:eastAsia="zh-CN"/>
        </w:rPr>
        <w:t>。</w:t>
      </w:r>
    </w:p>
    <w:p>
      <w:pPr>
        <w:pStyle w:val="7"/>
        <w:spacing w:before="66"/>
        <w:ind w:firstLine="482"/>
        <w:rPr>
          <w:rFonts w:hint="eastAsia"/>
          <w:highlight w:val="none"/>
        </w:rPr>
      </w:pPr>
      <w:r>
        <w:rPr>
          <w:rFonts w:hint="eastAsia"/>
          <w:highlight w:val="none"/>
          <w:lang w:val="en-US" w:eastAsia="zh-CN"/>
        </w:rPr>
        <w:t>6.2.4</w:t>
      </w:r>
      <w:r>
        <w:rPr>
          <w:rFonts w:hint="eastAsia"/>
          <w:highlight w:val="none"/>
        </w:rPr>
        <w:t>生态环境影响经济损失</w:t>
      </w:r>
    </w:p>
    <w:p>
      <w:pPr>
        <w:pStyle w:val="10"/>
        <w:keepNext w:val="0"/>
        <w:keepLines w:val="0"/>
        <w:pageBreakBefore w:val="0"/>
        <w:widowControl/>
        <w:kinsoku/>
        <w:wordWrap/>
        <w:overflowPunct/>
        <w:topLinePunct w:val="0"/>
        <w:autoSpaceDE/>
        <w:autoSpaceDN/>
        <w:bidi w:val="0"/>
        <w:adjustRightInd/>
        <w:snapToGrid/>
        <w:textAlignment w:val="auto"/>
        <w:rPr>
          <w:highlight w:val="none"/>
        </w:rPr>
      </w:pPr>
      <w:r>
        <w:rPr>
          <w:rFonts w:hint="eastAsia"/>
          <w:highlight w:val="none"/>
        </w:rPr>
        <w:t>本项目的建设将破坏现有农田生态系统，铲除场区现有植被，使得现有植被的经济能力消失，但是项目建成后，新的系统会产生更好的经济效益，对原有生态环境的经济损失做出补偿。</w:t>
      </w:r>
    </w:p>
    <w:p>
      <w:pPr>
        <w:pStyle w:val="6"/>
        <w:spacing w:before="132"/>
        <w:rPr>
          <w:rFonts w:hint="eastAsia"/>
          <w:highlight w:val="none"/>
          <w:lang w:eastAsia="zh-CN"/>
        </w:rPr>
      </w:pPr>
      <w:bookmarkStart w:id="58" w:name="_Toc16570"/>
      <w:r>
        <w:rPr>
          <w:rFonts w:hint="eastAsia"/>
          <w:highlight w:val="none"/>
          <w:lang w:val="en-US" w:eastAsia="zh-CN"/>
        </w:rPr>
        <w:t>6</w:t>
      </w:r>
      <w:r>
        <w:rPr>
          <w:highlight w:val="none"/>
        </w:rPr>
        <w:t>.3</w:t>
      </w:r>
      <w:r>
        <w:rPr>
          <w:rFonts w:hint="eastAsia"/>
          <w:highlight w:val="none"/>
          <w:lang w:eastAsia="zh-CN"/>
        </w:rPr>
        <w:t>经济</w:t>
      </w:r>
      <w:r>
        <w:rPr>
          <w:highlight w:val="none"/>
        </w:rPr>
        <w:t>效益</w:t>
      </w:r>
      <w:r>
        <w:rPr>
          <w:rFonts w:hint="eastAsia"/>
          <w:highlight w:val="none"/>
          <w:lang w:eastAsia="zh-CN"/>
        </w:rPr>
        <w:t>分析</w:t>
      </w:r>
      <w:bookmarkEnd w:id="58"/>
    </w:p>
    <w:p>
      <w:pPr>
        <w:pStyle w:val="7"/>
        <w:spacing w:before="66"/>
        <w:ind w:firstLine="482"/>
        <w:rPr>
          <w:rFonts w:hint="eastAsia"/>
          <w:highlight w:val="none"/>
        </w:rPr>
      </w:pPr>
      <w:r>
        <w:rPr>
          <w:rFonts w:hint="eastAsia"/>
          <w:highlight w:val="none"/>
          <w:lang w:val="en-US" w:eastAsia="zh-CN"/>
        </w:rPr>
        <w:t>6.3.1</w:t>
      </w:r>
      <w:r>
        <w:rPr>
          <w:rFonts w:hint="eastAsia"/>
          <w:highlight w:val="none"/>
        </w:rPr>
        <w:t>本项目经济技术指标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highlight w:val="none"/>
        </w:rPr>
      </w:pPr>
      <w:r>
        <w:rPr>
          <w:rFonts w:ascii="Times New Roman" w:hAnsi="Times New Roman"/>
          <w:kern w:val="0"/>
          <w:sz w:val="24"/>
          <w:highlight w:val="none"/>
        </w:rPr>
        <w:t>本项目为生猪养殖项目，总投资为</w:t>
      </w:r>
      <w:r>
        <w:rPr>
          <w:rFonts w:hint="eastAsia"/>
          <w:kern w:val="0"/>
          <w:sz w:val="24"/>
          <w:highlight w:val="none"/>
          <w:lang w:val="en-US" w:eastAsia="zh-CN"/>
        </w:rPr>
        <w:t>16639.57</w:t>
      </w:r>
      <w:r>
        <w:rPr>
          <w:rFonts w:ascii="Times New Roman" w:hAnsi="Times New Roman"/>
          <w:kern w:val="0"/>
          <w:sz w:val="24"/>
          <w:highlight w:val="none"/>
        </w:rPr>
        <w:t>万元，包括猪舍、污染治理工程及辅助生产设施等。项目主要技术经济指标表见表6</w:t>
      </w:r>
      <w:r>
        <w:rPr>
          <w:rFonts w:hint="eastAsia"/>
          <w:kern w:val="0"/>
          <w:sz w:val="24"/>
          <w:highlight w:val="none"/>
          <w:lang w:val="en-US" w:eastAsia="zh-CN"/>
        </w:rPr>
        <w:t>.3</w:t>
      </w:r>
      <w:r>
        <w:rPr>
          <w:rFonts w:ascii="Times New Roman" w:hAnsi="Times New Roman"/>
          <w:kern w:val="0"/>
          <w:sz w:val="24"/>
          <w:highlight w:val="none"/>
        </w:rPr>
        <w:t>-1。</w:t>
      </w:r>
    </w:p>
    <w:p>
      <w:pPr>
        <w:pStyle w:val="40"/>
        <w:rPr>
          <w:rFonts w:hint="eastAsia" w:cs="Times New Roman"/>
          <w:highlight w:val="none"/>
          <w:lang w:val="en-US" w:eastAsia="zh-CN"/>
        </w:rPr>
      </w:pPr>
      <w:r>
        <w:rPr>
          <w:rFonts w:hint="eastAsia" w:cs="Times New Roman"/>
          <w:highlight w:val="none"/>
          <w:lang w:val="en-US" w:eastAsia="zh-CN"/>
        </w:rPr>
        <w:t>表6.3-1 项目主要技术经济指标表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429"/>
        <w:gridCol w:w="1281"/>
        <w:gridCol w:w="1281"/>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指标名称</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单位</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数量</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项目总投资</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16639.57</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年利润总额</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3500</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净现值</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4800</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内部收益率</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28</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426"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全部投资回收期</w:t>
            </w:r>
          </w:p>
        </w:tc>
        <w:tc>
          <w:tcPr>
            <w:tcW w:w="752"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年</w:t>
            </w:r>
          </w:p>
        </w:tc>
        <w:tc>
          <w:tcPr>
            <w:tcW w:w="752" w:type="pct"/>
            <w:tcBorders>
              <w:tl2br w:val="nil"/>
              <w:tr2bl w:val="nil"/>
            </w:tcBorders>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4.75</w:t>
            </w:r>
          </w:p>
        </w:tc>
        <w:tc>
          <w:tcPr>
            <w:tcW w:w="1454" w:type="pct"/>
            <w:tcBorders>
              <w:tl2br w:val="nil"/>
              <w:tr2bl w:val="nil"/>
            </w:tcBorders>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税后，含建设期1年</w:t>
            </w:r>
          </w:p>
        </w:tc>
      </w:tr>
    </w:tbl>
    <w:p>
      <w:pPr>
        <w:pStyle w:val="7"/>
        <w:spacing w:before="66"/>
        <w:ind w:firstLine="482"/>
        <w:rPr>
          <w:rFonts w:hint="eastAsia"/>
          <w:highlight w:val="none"/>
        </w:rPr>
      </w:pPr>
      <w:r>
        <w:rPr>
          <w:rFonts w:hint="eastAsia"/>
          <w:highlight w:val="none"/>
          <w:lang w:val="en-US" w:eastAsia="zh-CN"/>
        </w:rPr>
        <w:t>6.3.2</w:t>
      </w:r>
      <w:r>
        <w:rPr>
          <w:rFonts w:hint="eastAsia"/>
          <w:highlight w:val="none"/>
        </w:rPr>
        <w:t>环保措施运行费用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sz w:val="24"/>
          <w:highlight w:val="none"/>
        </w:rPr>
      </w:pPr>
      <w:r>
        <w:rPr>
          <w:rFonts w:ascii="Times New Roman" w:hAnsi="Times New Roman"/>
          <w:bCs/>
          <w:kern w:val="0"/>
          <w:sz w:val="24"/>
          <w:highlight w:val="none"/>
        </w:rPr>
        <w:t>环保设施运行费用主要包括：电费，环保人员工资及设备折旧、维护费用。</w:t>
      </w:r>
    </w:p>
    <w:p>
      <w:pPr>
        <w:pStyle w:val="40"/>
        <w:rPr>
          <w:rFonts w:hint="eastAsia" w:cs="Times New Roman"/>
          <w:highlight w:val="none"/>
          <w:lang w:val="en-US" w:eastAsia="zh-CN"/>
        </w:rPr>
      </w:pPr>
      <w:r>
        <w:rPr>
          <w:rFonts w:hint="eastAsia" w:cs="Times New Roman"/>
          <w:highlight w:val="none"/>
          <w:lang w:val="en-US" w:eastAsia="zh-CN"/>
        </w:rPr>
        <w:t>表6.3-2 本项目环保措施运行费用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913"/>
        <w:gridCol w:w="1759"/>
        <w:gridCol w:w="1620"/>
        <w:gridCol w:w="3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39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569" w:type="pct"/>
            <w:gridSpan w:val="2"/>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费用名称</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费用（万元/年）</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废气</w:t>
            </w:r>
          </w:p>
        </w:tc>
        <w:tc>
          <w:tcPr>
            <w:tcW w:w="53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场区恶臭</w:t>
            </w: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除臭剂费用</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12</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环保人员工资</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1人，3万元/人.年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w:t>
            </w:r>
          </w:p>
        </w:tc>
        <w:tc>
          <w:tcPr>
            <w:tcW w:w="536" w:type="pct"/>
            <w:vMerge w:val="restar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养殖及生活废水</w:t>
            </w: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折旧费</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12.5</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总投资250万元，按20年折旧期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电费</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156</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260万kW·h/年，单价0.6元/kW·h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sz w:val="21"/>
                <w:szCs w:val="21"/>
                <w:highlight w:val="none"/>
                <w:lang w:val="en-US" w:eastAsia="zh-CN"/>
              </w:rPr>
            </w:pPr>
          </w:p>
        </w:tc>
        <w:tc>
          <w:tcPr>
            <w:tcW w:w="103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人工费</w:t>
            </w:r>
          </w:p>
        </w:tc>
        <w:tc>
          <w:tcPr>
            <w:tcW w:w="951"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人员按2人计，人员工资3万元/人·年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963" w:type="pct"/>
            <w:gridSpan w:val="3"/>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合计</w:t>
            </w:r>
          </w:p>
        </w:tc>
        <w:tc>
          <w:tcPr>
            <w:tcW w:w="951" w:type="pct"/>
            <w:noWrap w:val="0"/>
            <w:vAlign w:val="center"/>
          </w:tcPr>
          <w:p>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189.5</w:t>
            </w:r>
          </w:p>
        </w:tc>
        <w:tc>
          <w:tcPr>
            <w:tcW w:w="2084"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w:t>
            </w:r>
          </w:p>
        </w:tc>
      </w:tr>
    </w:tbl>
    <w:p>
      <w:pPr>
        <w:pStyle w:val="10"/>
        <w:rPr>
          <w:rFonts w:hint="eastAsia" w:eastAsia="宋体"/>
          <w:highlight w:val="none"/>
          <w:lang w:val="en-US" w:eastAsia="zh-CN"/>
        </w:rPr>
      </w:pPr>
      <w:r>
        <w:rPr>
          <w:rFonts w:ascii="Times New Roman" w:hAnsi="Times New Roman"/>
          <w:sz w:val="24"/>
          <w:szCs w:val="28"/>
          <w:highlight w:val="none"/>
        </w:rPr>
        <w:t>本项目年利润总额为</w:t>
      </w:r>
      <w:r>
        <w:rPr>
          <w:rFonts w:hint="eastAsia"/>
          <w:sz w:val="24"/>
          <w:szCs w:val="28"/>
          <w:highlight w:val="none"/>
          <w:lang w:val="en-US" w:eastAsia="zh-CN"/>
        </w:rPr>
        <w:t>3500</w:t>
      </w:r>
      <w:r>
        <w:rPr>
          <w:rFonts w:ascii="Times New Roman" w:hAnsi="Times New Roman"/>
          <w:sz w:val="24"/>
          <w:szCs w:val="28"/>
          <w:highlight w:val="none"/>
        </w:rPr>
        <w:t>万元，环保设施运行年费用为</w:t>
      </w:r>
      <w:r>
        <w:rPr>
          <w:rFonts w:hint="eastAsia" w:ascii="Times New Roman" w:hAnsi="Times New Roman"/>
          <w:sz w:val="24"/>
          <w:szCs w:val="28"/>
          <w:highlight w:val="none"/>
          <w:lang w:val="en-US" w:eastAsia="zh-CN"/>
        </w:rPr>
        <w:t>189.5</w:t>
      </w:r>
      <w:r>
        <w:rPr>
          <w:rFonts w:ascii="Times New Roman" w:hAnsi="Times New Roman"/>
          <w:sz w:val="24"/>
          <w:szCs w:val="28"/>
          <w:highlight w:val="none"/>
        </w:rPr>
        <w:t>万，占年利润总额的</w:t>
      </w:r>
      <w:r>
        <w:rPr>
          <w:rFonts w:hint="eastAsia"/>
          <w:sz w:val="24"/>
          <w:szCs w:val="28"/>
          <w:highlight w:val="none"/>
          <w:lang w:val="en-US" w:eastAsia="zh-CN"/>
        </w:rPr>
        <w:t>5.4</w:t>
      </w:r>
      <w:r>
        <w:rPr>
          <w:rFonts w:ascii="Times New Roman" w:hAnsi="Times New Roman"/>
          <w:sz w:val="24"/>
          <w:szCs w:val="28"/>
          <w:highlight w:val="none"/>
        </w:rPr>
        <w:t>%，本项目环保设施运行费用合理</w:t>
      </w:r>
      <w:r>
        <w:rPr>
          <w:rFonts w:hint="eastAsia" w:ascii="Times New Roman" w:hAnsi="Times New Roman"/>
          <w:sz w:val="24"/>
          <w:szCs w:val="28"/>
          <w:highlight w:val="none"/>
          <w:lang w:eastAsia="zh-CN"/>
        </w:rPr>
        <w:t>。</w:t>
      </w:r>
    </w:p>
    <w:p>
      <w:pPr>
        <w:pStyle w:val="6"/>
        <w:spacing w:before="132"/>
        <w:rPr>
          <w:rFonts w:hint="eastAsia"/>
          <w:highlight w:val="none"/>
          <w:lang w:val="en-US" w:eastAsia="zh-CN"/>
        </w:rPr>
      </w:pPr>
      <w:bookmarkStart w:id="59" w:name="_Toc22415"/>
      <w:r>
        <w:rPr>
          <w:rFonts w:hint="eastAsia"/>
          <w:highlight w:val="none"/>
          <w:lang w:val="en-US" w:eastAsia="zh-CN"/>
        </w:rPr>
        <w:t>6.4环境效益分析</w:t>
      </w:r>
      <w:bookmarkEnd w:id="59"/>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工程环保投资包括运行期的污染防治措施的总投资，预计该项费用总投资为</w:t>
      </w:r>
      <w:r>
        <w:rPr>
          <w:rFonts w:hint="eastAsia"/>
          <w:highlight w:val="none"/>
          <w:lang w:val="en-US" w:eastAsia="zh-CN"/>
        </w:rPr>
        <w:t>637</w:t>
      </w:r>
      <w:r>
        <w:rPr>
          <w:rFonts w:hint="eastAsia"/>
          <w:highlight w:val="none"/>
          <w:lang w:eastAsia="zh-CN"/>
        </w:rPr>
        <w:t>万元，占总投资的比例为</w:t>
      </w:r>
      <w:r>
        <w:rPr>
          <w:rFonts w:hint="eastAsia"/>
          <w:highlight w:val="none"/>
          <w:lang w:val="en-US" w:eastAsia="zh-CN"/>
        </w:rPr>
        <w:t>3.8</w:t>
      </w:r>
      <w:r>
        <w:rPr>
          <w:rFonts w:hint="eastAsia"/>
          <w:highlight w:val="none"/>
          <w:lang w:eastAsia="zh-CN"/>
        </w:rPr>
        <w:t>%。通过各项污染防治措施的实施和清洁生产技术的落实，可做到养殖区废水最大程度的综合利用和固体废物的资源化利用，可取得良好的环境效益。项目环境效益分析见表6</w:t>
      </w:r>
      <w:r>
        <w:rPr>
          <w:rFonts w:hint="eastAsia"/>
          <w:highlight w:val="none"/>
          <w:lang w:val="en-US" w:eastAsia="zh-CN"/>
        </w:rPr>
        <w:t>.3</w:t>
      </w:r>
      <w:r>
        <w:rPr>
          <w:rFonts w:hint="eastAsia"/>
          <w:highlight w:val="none"/>
          <w:lang w:eastAsia="zh-CN"/>
        </w:rPr>
        <w:t>-3。</w:t>
      </w:r>
    </w:p>
    <w:p>
      <w:pPr>
        <w:pStyle w:val="40"/>
        <w:rPr>
          <w:rFonts w:hint="eastAsia" w:cs="Times New Roman"/>
          <w:highlight w:val="none"/>
          <w:lang w:val="en-US" w:eastAsia="zh-CN"/>
        </w:rPr>
      </w:pPr>
      <w:r>
        <w:rPr>
          <w:rFonts w:hint="eastAsia" w:cs="Times New Roman"/>
          <w:highlight w:val="none"/>
          <w:lang w:val="en-US" w:eastAsia="zh-CN"/>
        </w:rPr>
        <w:t>表6.3-3 项目环境效益分析表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2056"/>
        <w:gridCol w:w="5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序号</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项目</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环境效益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废水沼气化处理工程</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厌氧无害化处理后，沼液储存池暂存，定期清理后综合利用；沼气用于食堂；沼渣脱水后作为有机肥基肥外售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猪粪综合利用</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制作固体有机肥基肥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沼气回收利用</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减少废气排放，实现资源的回收利用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废气处理</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恶臭废气采用相关措施处理后，实现达标排放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噪声处理</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采用设备基础减振及场房密闭隔声处理后，实现达标排放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1207"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雨污分流及“三防”措施</w:t>
            </w:r>
          </w:p>
        </w:tc>
        <w:tc>
          <w:tcPr>
            <w:tcW w:w="3179" w:type="pct"/>
            <w:noWrap w:val="0"/>
            <w:vAlign w:val="center"/>
          </w:tcPr>
          <w:p>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经过防渗和设置围堰防溢处置等措施后，不会对地下水、地表水及土壤造成直接污染</w:t>
            </w:r>
          </w:p>
        </w:tc>
      </w:tr>
    </w:tbl>
    <w:p>
      <w:pPr>
        <w:pStyle w:val="10"/>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b w:val="0"/>
          <w:bCs/>
          <w:kern w:val="2"/>
          <w:sz w:val="24"/>
          <w:szCs w:val="24"/>
          <w:highlight w:val="none"/>
          <w:lang w:val="en-US" w:eastAsia="zh-CN" w:bidi="ar-SA"/>
        </w:rPr>
      </w:pPr>
      <w:r>
        <w:rPr>
          <w:rFonts w:hint="eastAsia" w:ascii="Times New Roman" w:hAnsi="Times New Roman" w:eastAsia="宋体" w:cs="Times New Roman"/>
          <w:b w:val="0"/>
          <w:bCs/>
          <w:kern w:val="2"/>
          <w:sz w:val="24"/>
          <w:szCs w:val="24"/>
          <w:highlight w:val="none"/>
          <w:lang w:val="en-US" w:eastAsia="zh-CN" w:bidi="ar-SA"/>
        </w:rPr>
        <w:t>由上表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6"/>
        <w:spacing w:before="132"/>
        <w:rPr>
          <w:rFonts w:hint="eastAsia"/>
          <w:highlight w:val="none"/>
          <w:lang w:val="en-US" w:eastAsia="zh-CN"/>
        </w:rPr>
      </w:pPr>
      <w:bookmarkStart w:id="60" w:name="_Toc25776"/>
      <w:r>
        <w:rPr>
          <w:rFonts w:hint="eastAsia"/>
          <w:highlight w:val="none"/>
          <w:lang w:val="en-US" w:eastAsia="zh-CN"/>
        </w:rPr>
        <w:t>6.5社会效益分析</w:t>
      </w:r>
      <w:bookmarkEnd w:id="60"/>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lang w:eastAsia="zh-CN"/>
        </w:rPr>
      </w:pPr>
      <w:r>
        <w:rPr>
          <w:rFonts w:hint="eastAsia"/>
          <w:highlight w:val="none"/>
          <w:lang w:eastAsia="zh-CN"/>
        </w:rPr>
        <w:t>本项目的社会效益主要表现在以下几个方面：</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1）该项目的实施促进了养殖场的良性发展，增强了建设单位的市场竞争力。本项目利用养殖场尿液生成沼气用于收集调节池加热，降低能源费用，实现以沼气生产区为核心的物流循环和能源自供系统。养殖场的废物得到资源化的利用，促进了项目单位循环经济和生态经济的良性发展。同时，项目单位具有一定的母猪销售市场，养殖场的污染治理，实现了清洁养殖，为母猪的良性生长创造了较好卫生环境，增强了市场竞争力。</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（2）项目的清洁生产措施，很大程度上节约了资源和能源，起到了“节能、降耗、减污、增效”的作用，符合国家产业政策和环保治理要求。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（3）该项目未来的标准化、规模化建设将形成农村能源产业，由此所需的技术、管理队伍可就地吸纳农村剩余劳动力，有利于维护农村社会稳定，对提高人民生活水平起到积极作用。</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szCs w:val="24"/>
          <w:highlight w:val="none"/>
        </w:rPr>
      </w:pPr>
      <w:r>
        <w:rPr>
          <w:rFonts w:hint="eastAsia" w:ascii="Times New Roman" w:hAnsi="Times New Roman" w:eastAsia="宋体"/>
          <w:szCs w:val="24"/>
          <w:highlight w:val="none"/>
        </w:rPr>
        <w:t>（5）项目投产后，可增加当地财政收入，提高当地社会经济发展水平，对区域社会稳定发挥了较强作用。</w:t>
      </w:r>
    </w:p>
    <w:p>
      <w:pPr>
        <w:pStyle w:val="6"/>
        <w:spacing w:before="132"/>
        <w:rPr>
          <w:rFonts w:hint="eastAsia"/>
          <w:highlight w:val="none"/>
          <w:lang w:val="en-US" w:eastAsia="zh-CN"/>
        </w:rPr>
      </w:pPr>
      <w:bookmarkStart w:id="61" w:name="_Toc3165"/>
      <w:r>
        <w:rPr>
          <w:rFonts w:hint="eastAsia"/>
          <w:highlight w:val="none"/>
          <w:lang w:val="en-US" w:eastAsia="zh-CN"/>
        </w:rPr>
        <w:t>6.6生态效益分析</w:t>
      </w:r>
      <w:bookmarkEnd w:id="61"/>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项目完成后，养殖场将建成以种植业为基础，养殖业为主体，沼气为纽带，促进物质能量良性循环的生态养殖场，明显改善区域内农业生态环境，有利农业可持续发展。</w:t>
      </w:r>
    </w:p>
    <w:p>
      <w:pPr>
        <w:pStyle w:val="10"/>
        <w:keepNext w:val="0"/>
        <w:keepLines w:val="0"/>
        <w:pageBreakBefore w:val="0"/>
        <w:widowControl/>
        <w:kinsoku/>
        <w:wordWrap/>
        <w:overflowPunct/>
        <w:topLinePunct w:val="0"/>
        <w:autoSpaceDE/>
        <w:autoSpaceDN/>
        <w:bidi w:val="0"/>
        <w:adjustRightInd/>
        <w:snapToGrid/>
        <w:textAlignment w:val="auto"/>
        <w:rPr>
          <w:rFonts w:hint="eastAsia"/>
          <w:highlight w:val="none"/>
        </w:rPr>
      </w:pPr>
      <w:r>
        <w:rPr>
          <w:rFonts w:hint="eastAsia"/>
          <w:highlight w:val="none"/>
        </w:rPr>
        <w:t>猪粪、沼渣生产有机农肥，沼液作为农肥综合利用，沼气是清洁能源，替代燃煤作燃料，可减少大气污染物排放。</w:t>
      </w:r>
    </w:p>
    <w:p>
      <w:pPr>
        <w:pStyle w:val="10"/>
        <w:keepNext w:val="0"/>
        <w:keepLines w:val="0"/>
        <w:pageBreakBefore w:val="0"/>
        <w:widowControl/>
        <w:kinsoku/>
        <w:wordWrap/>
        <w:overflowPunct/>
        <w:topLinePunct w:val="0"/>
        <w:autoSpaceDE/>
        <w:autoSpaceDN/>
        <w:bidi w:val="0"/>
        <w:adjustRightInd/>
        <w:snapToGrid/>
        <w:textAlignment w:val="auto"/>
        <w:rPr>
          <w:rFonts w:hint="default" w:eastAsia="宋体"/>
          <w:highlight w:val="none"/>
          <w:lang w:val="en-US" w:eastAsia="zh-CN"/>
        </w:rPr>
      </w:pPr>
      <w:r>
        <w:rPr>
          <w:rFonts w:hint="eastAsia"/>
          <w:highlight w:val="none"/>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r>
        <w:rPr>
          <w:rFonts w:hint="eastAsia"/>
          <w:highlight w:val="none"/>
          <w:lang w:eastAsia="zh-CN"/>
        </w:rPr>
        <w:t>。</w:t>
      </w:r>
      <w:r>
        <w:rPr>
          <w:rFonts w:hint="eastAsia"/>
          <w:highlight w:val="none"/>
          <w:lang w:val="en-US" w:eastAsia="zh-CN"/>
        </w:rPr>
        <w:t>+</w:t>
      </w:r>
    </w:p>
    <w:p>
      <w:pPr>
        <w:pStyle w:val="6"/>
        <w:spacing w:before="132"/>
        <w:rPr>
          <w:highlight w:val="none"/>
        </w:rPr>
      </w:pPr>
      <w:bookmarkStart w:id="62" w:name="_Toc7258"/>
      <w:r>
        <w:rPr>
          <w:rFonts w:hint="eastAsia"/>
          <w:highlight w:val="none"/>
          <w:lang w:val="en-US" w:eastAsia="zh-CN"/>
        </w:rPr>
        <w:t>6.7</w:t>
      </w:r>
      <w:r>
        <w:rPr>
          <w:highlight w:val="none"/>
        </w:rPr>
        <w:t>环境经济损益分析结论</w:t>
      </w:r>
      <w:bookmarkEnd w:id="62"/>
    </w:p>
    <w:p>
      <w:pPr>
        <w:ind w:firstLine="480"/>
        <w:rPr>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highlight w:val="none"/>
        </w:rPr>
        <w:t>结合本项目的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相统一。</w:t>
      </w:r>
    </w:p>
    <w:p>
      <w:pPr>
        <w:pStyle w:val="5"/>
        <w:spacing w:before="166" w:after="166"/>
        <w:rPr>
          <w:highlight w:val="none"/>
        </w:rPr>
      </w:pPr>
      <w:bookmarkStart w:id="63" w:name="_Toc15052"/>
      <w:r>
        <w:rPr>
          <w:rFonts w:hint="eastAsia"/>
          <w:highlight w:val="none"/>
          <w:lang w:val="en-US" w:eastAsia="zh-CN"/>
        </w:rPr>
        <w:t>7</w:t>
      </w:r>
      <w:r>
        <w:rPr>
          <w:highlight w:val="none"/>
        </w:rPr>
        <w:t>环境管理与监测计划</w:t>
      </w:r>
      <w:bookmarkEnd w:id="63"/>
    </w:p>
    <w:p>
      <w:pPr>
        <w:pStyle w:val="6"/>
        <w:spacing w:before="132"/>
        <w:rPr>
          <w:rFonts w:cs="Times New Roman"/>
          <w:highlight w:val="none"/>
        </w:rPr>
      </w:pPr>
      <w:bookmarkStart w:id="64" w:name="_Toc2538"/>
      <w:r>
        <w:rPr>
          <w:rFonts w:hint="eastAsia" w:cs="Times New Roman"/>
          <w:highlight w:val="none"/>
          <w:lang w:val="en-US" w:eastAsia="zh-CN"/>
        </w:rPr>
        <w:t>7</w:t>
      </w:r>
      <w:r>
        <w:rPr>
          <w:rFonts w:cs="Times New Roman"/>
          <w:highlight w:val="none"/>
        </w:rPr>
        <w:t>.1环境管理</w:t>
      </w:r>
      <w:bookmarkEnd w:id="64"/>
    </w:p>
    <w:p>
      <w:pPr>
        <w:ind w:firstLine="480"/>
        <w:rPr>
          <w:highlight w:val="none"/>
        </w:rPr>
      </w:pPr>
      <w:r>
        <w:rPr>
          <w:rFonts w:hAnsi="宋体"/>
          <w:highlight w:val="none"/>
        </w:rPr>
        <w:t>对于项目来说，环境管理的基本任务是：控制污染物排放量，避免污染物对环境质量的损害。</w:t>
      </w:r>
    </w:p>
    <w:p>
      <w:pPr>
        <w:ind w:firstLine="480"/>
        <w:rPr>
          <w:highlight w:val="none"/>
        </w:rPr>
      </w:pPr>
      <w:r>
        <w:rPr>
          <w:rFonts w:hAnsi="宋体"/>
          <w:highlight w:val="none"/>
        </w:rPr>
        <w:t>为了控制污染物的排放，就需要加强计划、生产、技术、质量、设备、劳动、财务等方面的管理，把环境管理渗透到整个企业管理中，将环境管理溶合在一起，以减少从生产过程中各环节排出的污染物。</w:t>
      </w:r>
    </w:p>
    <w:p>
      <w:pPr>
        <w:ind w:firstLine="480"/>
        <w:rPr>
          <w:rFonts w:hAnsi="宋体"/>
          <w:highlight w:val="none"/>
        </w:rPr>
      </w:pPr>
      <w:r>
        <w:rPr>
          <w:rFonts w:hAnsi="宋体"/>
          <w:highlight w:val="none"/>
        </w:rPr>
        <w:t>项目应该将环境管理作为工业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r>
        <w:rPr>
          <w:rFonts w:hint="eastAsia" w:hAnsi="宋体"/>
          <w:highlight w:val="none"/>
        </w:rPr>
        <w:t>。</w:t>
      </w:r>
    </w:p>
    <w:p>
      <w:pPr>
        <w:pStyle w:val="7"/>
        <w:spacing w:before="66"/>
        <w:ind w:firstLine="482"/>
        <w:rPr>
          <w:highlight w:val="none"/>
        </w:rPr>
      </w:pPr>
      <w:r>
        <w:rPr>
          <w:rFonts w:hint="eastAsia"/>
          <w:highlight w:val="none"/>
          <w:lang w:val="en-US" w:eastAsia="zh-CN"/>
        </w:rPr>
        <w:t>7</w:t>
      </w:r>
      <w:r>
        <w:rPr>
          <w:rFonts w:hint="eastAsia"/>
          <w:highlight w:val="none"/>
        </w:rPr>
        <w:t>.1.1环境管理制度</w:t>
      </w:r>
    </w:p>
    <w:p>
      <w:pPr>
        <w:ind w:firstLine="480"/>
        <w:rPr>
          <w:highlight w:val="none"/>
        </w:rPr>
      </w:pPr>
      <w:r>
        <w:rPr>
          <w:rStyle w:val="122"/>
          <w:rFonts w:hint="eastAsia"/>
          <w:b w:val="0"/>
          <w:highlight w:val="none"/>
        </w:rPr>
        <w:t>有效的环境管理工作，是贯彻评价提出的清洁生产措施，实行“生产全过程污染控制”的重要手段，是最大限度减小工程运行后对环境带来的不利影响的有效措施。只有加强环境管理工作，将环境管理和环境监控纳入整个管理体系中，掌握工程运行过程对环境的影响，才能保证企业以最小的代价取得最大的环境和经济效益，使企业沿着高效、增产、减污的可持续发展道路发展，实现生产与环境保护协调发展</w:t>
      </w:r>
      <w:r>
        <w:rPr>
          <w:rFonts w:hint="eastAsia"/>
          <w:highlight w:val="none"/>
        </w:rPr>
        <w:t>。</w:t>
      </w:r>
    </w:p>
    <w:p>
      <w:pPr>
        <w:pStyle w:val="7"/>
        <w:spacing w:before="66"/>
        <w:ind w:firstLine="482"/>
        <w:rPr>
          <w:highlight w:val="none"/>
        </w:rPr>
      </w:pPr>
      <w:r>
        <w:rPr>
          <w:rFonts w:hint="eastAsia"/>
          <w:highlight w:val="none"/>
          <w:lang w:val="en-US" w:eastAsia="zh-CN"/>
        </w:rPr>
        <w:t>7</w:t>
      </w:r>
      <w:r>
        <w:rPr>
          <w:rFonts w:hint="eastAsia"/>
          <w:highlight w:val="none"/>
        </w:rPr>
        <w:t>.1.2</w:t>
      </w:r>
      <w:r>
        <w:rPr>
          <w:highlight w:val="none"/>
        </w:rPr>
        <w:t>环境管理机构设置</w:t>
      </w:r>
    </w:p>
    <w:p>
      <w:pPr>
        <w:pStyle w:val="105"/>
        <w:ind w:firstLine="480"/>
        <w:rPr>
          <w:highlight w:val="none"/>
        </w:rPr>
      </w:pPr>
      <w:r>
        <w:rPr>
          <w:highlight w:val="none"/>
        </w:rPr>
        <w:t>根据《建设项目环境保护设计规定》，新建、扩建企业应设置环境保护管理机构，负责组织、落实、监督本企业环保工作，因此，本工程需建成相应的管理机构，以落实和实施环境管理制度。</w:t>
      </w:r>
    </w:p>
    <w:p>
      <w:pPr>
        <w:pStyle w:val="105"/>
        <w:ind w:firstLine="480"/>
        <w:rPr>
          <w:highlight w:val="none"/>
        </w:rPr>
      </w:pPr>
      <w:r>
        <w:rPr>
          <w:highlight w:val="none"/>
        </w:rPr>
        <w:t>环境管理体系是企业生产管理体系的重要内容之一，其目的在于发展生产的同时节约能源、降低原材料的消耗，控制污染物总量排放，减少对环境的影响，有利于清洁生产促进法的实施。环境管理的实施能够帮助企业及早发现问题，降低生产成本，为企业创造更好的经济效益和环境效益，树立良好的社会形象。结合本工程实际，建议企业设置专职负责环境管理工作的部门，直接归属厂长领导，统一进行环境管理和安全生产管理。</w:t>
      </w:r>
    </w:p>
    <w:p>
      <w:pPr>
        <w:pStyle w:val="105"/>
        <w:ind w:firstLine="480"/>
        <w:rPr>
          <w:highlight w:val="none"/>
        </w:rPr>
      </w:pPr>
      <w:r>
        <w:rPr>
          <w:highlight w:val="none"/>
        </w:rPr>
        <w:t>环保管理人员应具备生产管理经验和环保基础知识和清洁生产知识，熟悉企业生产特点，由责任心、组织能力强的人员担任；同时培训若干有经验、责任心强的技术人员担任兼职环保管理人员，以随时掌握企业生产状况和各项环保设施的运行情况，同时也有利于环保措施的落实。</w:t>
      </w:r>
    </w:p>
    <w:p>
      <w:pPr>
        <w:pStyle w:val="7"/>
        <w:spacing w:before="66"/>
        <w:ind w:firstLine="482"/>
        <w:rPr>
          <w:highlight w:val="none"/>
        </w:rPr>
      </w:pPr>
      <w:r>
        <w:rPr>
          <w:rFonts w:hint="eastAsia"/>
          <w:highlight w:val="none"/>
          <w:lang w:val="en-US" w:eastAsia="zh-CN"/>
        </w:rPr>
        <w:t>7</w:t>
      </w:r>
      <w:r>
        <w:rPr>
          <w:rFonts w:hint="eastAsia"/>
          <w:highlight w:val="none"/>
        </w:rPr>
        <w:t xml:space="preserve">.1.3环境管理机构职责  </w:t>
      </w:r>
    </w:p>
    <w:p>
      <w:pPr>
        <w:pStyle w:val="105"/>
        <w:ind w:firstLine="480" w:firstLineChars="0"/>
        <w:rPr>
          <w:highlight w:val="none"/>
        </w:rPr>
      </w:pPr>
      <w:r>
        <w:rPr>
          <w:highlight w:val="none"/>
        </w:rPr>
        <w:t>（1）督促、检查本企业执行国家有关环境保护方针、政策、法规及企业环境保护制度，贯彻执行</w:t>
      </w:r>
      <w:r>
        <w:rPr>
          <w:rFonts w:hint="eastAsia"/>
          <w:highlight w:val="none"/>
        </w:rPr>
        <w:t>“</w:t>
      </w:r>
      <w:r>
        <w:rPr>
          <w:highlight w:val="none"/>
        </w:rPr>
        <w:t>三同时</w:t>
      </w:r>
      <w:r>
        <w:rPr>
          <w:rFonts w:hint="eastAsia"/>
          <w:highlight w:val="none"/>
        </w:rPr>
        <w:t>”</w:t>
      </w:r>
      <w:r>
        <w:rPr>
          <w:highlight w:val="none"/>
        </w:rPr>
        <w:t>的规定，并参加有关方案的审定及竣工验收工作；</w:t>
      </w:r>
    </w:p>
    <w:p>
      <w:pPr>
        <w:pStyle w:val="105"/>
        <w:ind w:firstLine="480" w:firstLineChars="0"/>
        <w:rPr>
          <w:highlight w:val="none"/>
        </w:rPr>
      </w:pPr>
      <w:r>
        <w:rPr>
          <w:highlight w:val="none"/>
        </w:rPr>
        <w:t>（2）根据项目生产特点和产污情况，制定全厂环境管理办法，按照国家和当地的有关规定，制定全厂污染综合防治的经济技术原则，制定切实可行的环保管理制度和条例；负责本企业污染事故的调查和处理；负责组织企业污染源调查，并按月或季度编写企业环境质量报告；把污染源监督和</w:t>
      </w:r>
      <w:r>
        <w:rPr>
          <w:rFonts w:hint="eastAsia"/>
          <w:highlight w:val="none"/>
        </w:rPr>
        <w:t>“</w:t>
      </w:r>
      <w:r>
        <w:rPr>
          <w:highlight w:val="none"/>
        </w:rPr>
        <w:t>三废</w:t>
      </w:r>
      <w:r>
        <w:rPr>
          <w:rFonts w:hint="eastAsia"/>
          <w:highlight w:val="none"/>
        </w:rPr>
        <w:t>”</w:t>
      </w:r>
      <w:r>
        <w:rPr>
          <w:highlight w:val="none"/>
        </w:rPr>
        <w:t>排放纳入日常管理工作；</w:t>
      </w:r>
    </w:p>
    <w:p>
      <w:pPr>
        <w:pStyle w:val="105"/>
        <w:ind w:firstLine="480"/>
        <w:rPr>
          <w:highlight w:val="none"/>
        </w:rPr>
      </w:pPr>
      <w:r>
        <w:rPr>
          <w:highlight w:val="none"/>
        </w:rPr>
        <w:t>（3）按照责、权、利实行奖罚制度，对违反制度的行为根据情节给予处罚，对有功人员给予奖励；配合上级环保主管部门，贯彻落实有关环保法规和规定；收集、整理和推广环保技术和经验，组织对本企业环保人员的培训和环保技术情报的交流，推广国内、外先进的污染防治技术和经验，对运行中出现的环保问题及时解决；做好环境统计工作，建立环保档案；与有关组织合作，积极开展清洁生产活动，广泛开展环保宣传教育活动，普及环境科学知识</w:t>
      </w:r>
      <w:r>
        <w:rPr>
          <w:rFonts w:hint="eastAsia"/>
          <w:highlight w:val="none"/>
        </w:rPr>
        <w:t>。</w:t>
      </w:r>
    </w:p>
    <w:p>
      <w:pPr>
        <w:pStyle w:val="6"/>
        <w:spacing w:before="132"/>
        <w:rPr>
          <w:rFonts w:cs="Times New Roman"/>
          <w:highlight w:val="none"/>
        </w:rPr>
      </w:pPr>
      <w:bookmarkStart w:id="65" w:name="_Toc7207"/>
      <w:r>
        <w:rPr>
          <w:rFonts w:hint="eastAsia" w:cs="Times New Roman"/>
          <w:highlight w:val="none"/>
          <w:lang w:val="en-US" w:eastAsia="zh-CN"/>
        </w:rPr>
        <w:t>7</w:t>
      </w:r>
      <w:r>
        <w:rPr>
          <w:rFonts w:hint="eastAsia" w:cs="Times New Roman"/>
          <w:highlight w:val="none"/>
        </w:rPr>
        <w:t>.2环境监测计划</w:t>
      </w:r>
      <w:bookmarkEnd w:id="65"/>
    </w:p>
    <w:p>
      <w:pPr>
        <w:pStyle w:val="105"/>
        <w:ind w:firstLine="480"/>
        <w:rPr>
          <w:bCs/>
          <w:highlight w:val="none"/>
        </w:rPr>
      </w:pPr>
      <w:r>
        <w:rPr>
          <w:rStyle w:val="132"/>
          <w:highlight w:val="none"/>
        </w:rPr>
        <w:t>环境监测是搞好环境管理工作的基础，为确保达到预期的环境保护目标，应建立相应的环境监测制度，实行环境监测与生产结合。为了保证项目运行过程各种排污行为能够实现达标排放，不对环境造成太大的不利影响，须制定</w:t>
      </w:r>
      <w:r>
        <w:rPr>
          <w:highlight w:val="none"/>
        </w:rPr>
        <w:t>全面的污染源监测和环境质量监控计划，对项目处理设施和环境敏感点进行监测，确保环境质量不因工程建设而恶化。根据项目特点，本工程运行期环境监测计划见表</w:t>
      </w:r>
      <w:r>
        <w:rPr>
          <w:rFonts w:hint="eastAsia"/>
          <w:highlight w:val="none"/>
          <w:lang w:val="en-US" w:eastAsia="zh-CN"/>
        </w:rPr>
        <w:t>7</w:t>
      </w:r>
      <w:r>
        <w:rPr>
          <w:rFonts w:hint="eastAsia"/>
          <w:highlight w:val="none"/>
        </w:rPr>
        <w:t>.2</w:t>
      </w:r>
      <w:r>
        <w:rPr>
          <w:highlight w:val="none"/>
        </w:rPr>
        <w:t>-1</w:t>
      </w:r>
      <w:r>
        <w:rPr>
          <w:rFonts w:hint="eastAsia"/>
          <w:highlight w:val="none"/>
          <w:lang w:eastAsia="zh-CN"/>
        </w:rPr>
        <w:t>至</w:t>
      </w:r>
      <w:r>
        <w:rPr>
          <w:rFonts w:hint="eastAsia"/>
          <w:highlight w:val="none"/>
          <w:lang w:val="en-US" w:eastAsia="zh-CN"/>
        </w:rPr>
        <w:t>-表7.2-4</w:t>
      </w:r>
      <w:r>
        <w:rPr>
          <w:highlight w:val="none"/>
        </w:rPr>
        <w:t>。</w:t>
      </w:r>
    </w:p>
    <w:p>
      <w:pPr>
        <w:pStyle w:val="40"/>
        <w:rPr>
          <w:rFonts w:cs="Times New Roman"/>
          <w:highlight w:val="none"/>
        </w:rPr>
      </w:pPr>
      <w:r>
        <w:rPr>
          <w:rFonts w:hint="eastAsia" w:cs="Times New Roman"/>
          <w:highlight w:val="none"/>
          <w:lang w:val="en-US" w:eastAsia="zh-CN"/>
        </w:rPr>
        <w:t>表7.2-1 有组织废气监测方案</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516"/>
        <w:gridCol w:w="1363"/>
        <w:gridCol w:w="4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89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618"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1#排气筒排放口</w:t>
            </w:r>
          </w:p>
        </w:tc>
        <w:tc>
          <w:tcPr>
            <w:tcW w:w="89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2#排气筒排放口</w:t>
            </w:r>
          </w:p>
        </w:tc>
        <w:tc>
          <w:tcPr>
            <w:tcW w:w="89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val="en-US" w:eastAsia="zh-CN"/>
              </w:rPr>
              <w:t>3</w:t>
            </w:r>
            <w:r>
              <w:rPr>
                <w:rFonts w:hint="eastAsia" w:ascii="Times New Roman" w:hAnsi="Times New Roman"/>
                <w:color w:val="auto"/>
                <w:sz w:val="21"/>
                <w:highlight w:val="none"/>
              </w:rPr>
              <w:t>#排气筒排放口</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stheme="minorBidi"/>
                <w:snapToGrid w:val="0"/>
                <w:color w:val="auto"/>
                <w:kern w:val="0"/>
                <w:sz w:val="21"/>
                <w:szCs w:val="9"/>
                <w:highlight w:val="none"/>
                <w:lang w:val="en-US" w:eastAsia="zh-CN" w:bidi="ar-SA"/>
              </w:rPr>
            </w:pP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val="en-US" w:eastAsia="zh-CN"/>
              </w:rPr>
              <w:t>4</w:t>
            </w:r>
            <w:r>
              <w:rPr>
                <w:rFonts w:hint="eastAsia" w:ascii="Times New Roman" w:hAnsi="Times New Roman"/>
                <w:color w:val="auto"/>
                <w:sz w:val="21"/>
                <w:highlight w:val="none"/>
              </w:rPr>
              <w:t>#排气筒排放口</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stheme="minorBidi"/>
                <w:snapToGrid w:val="0"/>
                <w:color w:val="auto"/>
                <w:kern w:val="0"/>
                <w:sz w:val="21"/>
                <w:szCs w:val="9"/>
                <w:highlight w:val="none"/>
                <w:lang w:val="en-US" w:eastAsia="zh-CN" w:bidi="ar-SA"/>
              </w:rPr>
            </w:pP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val="en-US" w:eastAsia="zh-CN"/>
              </w:rPr>
              <w:t>5</w:t>
            </w:r>
            <w:r>
              <w:rPr>
                <w:rFonts w:hint="eastAsia" w:ascii="Times New Roman" w:hAnsi="Times New Roman"/>
                <w:color w:val="auto"/>
                <w:sz w:val="21"/>
                <w:highlight w:val="none"/>
              </w:rPr>
              <w:t>#排气筒排放口</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stheme="minorBidi"/>
                <w:snapToGrid w:val="0"/>
                <w:color w:val="auto"/>
                <w:kern w:val="0"/>
                <w:sz w:val="21"/>
                <w:szCs w:val="9"/>
                <w:highlight w:val="none"/>
                <w:lang w:val="en-US" w:eastAsia="zh-CN" w:bidi="ar-SA"/>
              </w:rPr>
            </w:pP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val="en-US" w:eastAsia="zh-CN"/>
              </w:rPr>
              <w:t>6</w:t>
            </w:r>
            <w:r>
              <w:rPr>
                <w:rFonts w:hint="eastAsia" w:ascii="Times New Roman" w:hAnsi="Times New Roman"/>
                <w:color w:val="auto"/>
                <w:sz w:val="21"/>
                <w:highlight w:val="none"/>
              </w:rPr>
              <w:t>#排气筒排放口</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stheme="minorBidi"/>
                <w:snapToGrid w:val="0"/>
                <w:color w:val="auto"/>
                <w:kern w:val="0"/>
                <w:sz w:val="21"/>
                <w:szCs w:val="9"/>
                <w:highlight w:val="none"/>
                <w:lang w:val="en-US" w:eastAsia="zh-CN" w:bidi="ar-SA"/>
              </w:rPr>
            </w:pP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val="en-US" w:eastAsia="zh-CN"/>
              </w:rPr>
              <w:t>7</w:t>
            </w:r>
            <w:r>
              <w:rPr>
                <w:rFonts w:hint="eastAsia" w:ascii="Times New Roman" w:hAnsi="Times New Roman"/>
                <w:color w:val="auto"/>
                <w:sz w:val="21"/>
                <w:highlight w:val="none"/>
              </w:rPr>
              <w:t>#排气筒排放口</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p>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颗粒物执行《大气污染物综合排放标准》（GB16297-1996）表2中二级标准要求</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r>
              <w:rPr>
                <w:rFonts w:hint="eastAsia" w:ascii="Times New Roman" w:hAnsi="Times New Roman"/>
                <w:color w:val="auto"/>
                <w:sz w:val="21"/>
                <w:highlight w:val="none"/>
                <w:lang w:eastAsia="zh-CN"/>
              </w:rPr>
              <w:t>执行河南省生态环境厅《关于印发河南省工业大气污染防治6个专项方案的通知》（豫环文[2019]84号）中排放限值</w:t>
            </w:r>
          </w:p>
        </w:tc>
      </w:tr>
    </w:tbl>
    <w:p>
      <w:pPr>
        <w:pStyle w:val="40"/>
        <w:rPr>
          <w:rFonts w:hint="eastAsia" w:cs="Times New Roman"/>
          <w:highlight w:val="none"/>
          <w:lang w:val="en-US" w:eastAsia="zh-CN"/>
        </w:rPr>
      </w:pPr>
      <w:r>
        <w:rPr>
          <w:rFonts w:hint="eastAsia" w:cs="Times New Roman"/>
          <w:highlight w:val="none"/>
          <w:lang w:val="en-US" w:eastAsia="zh-CN"/>
        </w:rPr>
        <w:t>表7.2-2 无组织废气监测计划表</w:t>
      </w:r>
    </w:p>
    <w:tbl>
      <w:tblPr>
        <w:tblStyle w:val="24"/>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517"/>
        <w:gridCol w:w="1471"/>
        <w:gridCol w:w="43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78" w:type="dxa"/>
            <w:tcBorders>
              <w:tl2br w:val="nil"/>
              <w:tr2bl w:val="nil"/>
            </w:tcBorders>
            <w:vAlign w:val="center"/>
          </w:tcPr>
          <w:p>
            <w:pPr>
              <w:pStyle w:val="125"/>
              <w:spacing w:before="49" w:after="49" w:line="240" w:lineRule="auto"/>
              <w:ind w:firstLine="0" w:firstLineChars="0"/>
              <w:rPr>
                <w:rFonts w:ascii="Times New Roman" w:hAnsi="Times New Roman"/>
                <w:b w:val="0"/>
                <w:bCs/>
                <w:color w:val="auto"/>
                <w:sz w:val="21"/>
                <w:highlight w:val="none"/>
              </w:rPr>
            </w:pPr>
            <w:r>
              <w:rPr>
                <w:rFonts w:hint="eastAsia" w:ascii="Times New Roman" w:hAnsi="Times New Roman"/>
                <w:b w:val="0"/>
                <w:bCs/>
                <w:color w:val="auto"/>
                <w:sz w:val="21"/>
                <w:highlight w:val="none"/>
              </w:rPr>
              <w:t>监测点位</w:t>
            </w:r>
          </w:p>
        </w:tc>
        <w:tc>
          <w:tcPr>
            <w:tcW w:w="1517" w:type="dxa"/>
            <w:tcBorders>
              <w:tl2br w:val="nil"/>
              <w:tr2bl w:val="nil"/>
            </w:tcBorders>
            <w:vAlign w:val="center"/>
          </w:tcPr>
          <w:p>
            <w:pPr>
              <w:pStyle w:val="125"/>
              <w:spacing w:before="49" w:after="49" w:line="240" w:lineRule="auto"/>
              <w:ind w:firstLine="0" w:firstLineChars="0"/>
              <w:rPr>
                <w:rFonts w:ascii="Times New Roman" w:hAnsi="Times New Roman"/>
                <w:b w:val="0"/>
                <w:bCs/>
                <w:color w:val="auto"/>
                <w:sz w:val="21"/>
                <w:highlight w:val="none"/>
              </w:rPr>
            </w:pPr>
            <w:r>
              <w:rPr>
                <w:rFonts w:hint="eastAsia" w:ascii="Times New Roman" w:hAnsi="Times New Roman"/>
                <w:b w:val="0"/>
                <w:bCs/>
                <w:color w:val="auto"/>
                <w:sz w:val="21"/>
                <w:highlight w:val="none"/>
              </w:rPr>
              <w:t>监测指标</w:t>
            </w:r>
          </w:p>
        </w:tc>
        <w:tc>
          <w:tcPr>
            <w:tcW w:w="1471" w:type="dxa"/>
            <w:tcBorders>
              <w:tl2br w:val="nil"/>
              <w:tr2bl w:val="nil"/>
            </w:tcBorders>
            <w:vAlign w:val="center"/>
          </w:tcPr>
          <w:p>
            <w:pPr>
              <w:pStyle w:val="125"/>
              <w:spacing w:before="49" w:after="49" w:line="240" w:lineRule="auto"/>
              <w:ind w:firstLine="0" w:firstLineChars="0"/>
              <w:rPr>
                <w:rFonts w:ascii="Times New Roman" w:hAnsi="Times New Roman"/>
                <w:b w:val="0"/>
                <w:bCs/>
                <w:color w:val="auto"/>
                <w:sz w:val="21"/>
                <w:highlight w:val="none"/>
              </w:rPr>
            </w:pPr>
            <w:r>
              <w:rPr>
                <w:rFonts w:hint="eastAsia" w:ascii="Times New Roman" w:hAnsi="Times New Roman"/>
                <w:b w:val="0"/>
                <w:bCs/>
                <w:color w:val="auto"/>
                <w:sz w:val="21"/>
                <w:highlight w:val="none"/>
              </w:rPr>
              <w:t>监测频次</w:t>
            </w:r>
          </w:p>
        </w:tc>
        <w:tc>
          <w:tcPr>
            <w:tcW w:w="4350" w:type="dxa"/>
            <w:tcBorders>
              <w:tl2br w:val="nil"/>
              <w:tr2bl w:val="nil"/>
            </w:tcBorders>
            <w:vAlign w:val="center"/>
          </w:tcPr>
          <w:p>
            <w:pPr>
              <w:pStyle w:val="125"/>
              <w:spacing w:before="49" w:after="49" w:line="240" w:lineRule="auto"/>
              <w:ind w:firstLine="0" w:firstLineChars="0"/>
              <w:rPr>
                <w:rFonts w:ascii="Times New Roman" w:hAnsi="Times New Roman"/>
                <w:b w:val="0"/>
                <w:bCs/>
                <w:color w:val="auto"/>
                <w:sz w:val="21"/>
                <w:highlight w:val="none"/>
              </w:rPr>
            </w:pPr>
            <w:r>
              <w:rPr>
                <w:rFonts w:hint="eastAsia" w:ascii="Times New Roman" w:hAnsi="Times New Roman"/>
                <w:b w:val="0"/>
                <w:bCs/>
                <w:color w:val="auto"/>
                <w:sz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78" w:type="dxa"/>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厂区周边</w:t>
            </w:r>
          </w:p>
        </w:tc>
        <w:tc>
          <w:tcPr>
            <w:tcW w:w="1517" w:type="dxa"/>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S、颗粒物</w:t>
            </w:r>
          </w:p>
        </w:tc>
        <w:tc>
          <w:tcPr>
            <w:tcW w:w="1471" w:type="dxa"/>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4350" w:type="dxa"/>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颗粒物执行《大气污染物综合排放标准》（GB16297-1996）表2中二级标准要求</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S执行《恶臭污染物排放标准》（GB14554-93）表1限值要求</w:t>
            </w:r>
          </w:p>
        </w:tc>
      </w:tr>
    </w:tbl>
    <w:p>
      <w:pPr>
        <w:pStyle w:val="40"/>
        <w:rPr>
          <w:rFonts w:hint="eastAsia" w:cs="Times New Roman"/>
          <w:highlight w:val="none"/>
          <w:lang w:val="en-US" w:eastAsia="zh-CN"/>
        </w:rPr>
      </w:pPr>
      <w:r>
        <w:rPr>
          <w:rFonts w:hint="eastAsia" w:cs="Times New Roman"/>
          <w:highlight w:val="none"/>
          <w:lang w:val="en-US" w:eastAsia="zh-CN"/>
        </w:rPr>
        <w:t>表7.2-3 环境质量监测计划表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091"/>
        <w:gridCol w:w="2332"/>
        <w:gridCol w:w="824"/>
        <w:gridCol w:w="36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执行环境质量标准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地下水环境</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沼液消纳地</w:t>
            </w:r>
            <w:r>
              <w:rPr>
                <w:rFonts w:hint="eastAsia" w:ascii="Times New Roman" w:hAnsi="Times New Roman"/>
                <w:color w:val="auto"/>
                <w:sz w:val="21"/>
                <w:highlight w:val="none"/>
                <w:lang w:eastAsia="zh-CN"/>
              </w:rPr>
              <w:t>上游、下游</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pH、高锰酸盐指数、氨氮、总硬度、硝酸盐、亚硝酸盐、总大肠菌群等</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次/年</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土壤</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配套农田消纳地</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pH、镉、汞、铜、砷、锌等重金属及氮、磷、钾等土壤养分的跟踪监测</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建议5年监测一次</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执行《土壤环境质量农用地土壤污染风险管控标准》（GB15618-2018）二级标准</w:t>
            </w:r>
          </w:p>
        </w:tc>
      </w:tr>
    </w:tbl>
    <w:p>
      <w:pPr>
        <w:pStyle w:val="40"/>
        <w:rPr>
          <w:rFonts w:hint="eastAsia" w:cs="Times New Roman"/>
          <w:highlight w:val="none"/>
          <w:lang w:val="en-US" w:eastAsia="zh-CN"/>
        </w:rPr>
      </w:pPr>
      <w:r>
        <w:rPr>
          <w:rFonts w:hint="eastAsia" w:cs="Times New Roman"/>
          <w:highlight w:val="none"/>
          <w:lang w:val="en-US" w:eastAsia="zh-CN"/>
        </w:rPr>
        <w:t>表7.2-4  运行期监测计划表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124"/>
        <w:gridCol w:w="1373"/>
        <w:gridCol w:w="4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项目厂界噪声值</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dB</w:t>
            </w:r>
            <w:r>
              <w:rPr>
                <w:rFonts w:hint="eastAsia" w:ascii="Times New Roman" w:hAnsi="Times New Roman"/>
                <w:color w:val="auto"/>
                <w:sz w:val="21"/>
                <w:highlight w:val="none"/>
                <w:lang w:val="en-GB"/>
              </w:rPr>
              <w:t>（</w:t>
            </w:r>
            <w:r>
              <w:rPr>
                <w:rFonts w:hint="eastAsia" w:ascii="Times New Roman" w:hAnsi="Times New Roman"/>
                <w:color w:val="auto"/>
                <w:sz w:val="21"/>
                <w:highlight w:val="none"/>
              </w:rPr>
              <w:t>A</w:t>
            </w:r>
            <w:r>
              <w:rPr>
                <w:rFonts w:hint="eastAsia" w:ascii="Times New Roman" w:hAnsi="Times New Roman"/>
                <w:color w:val="auto"/>
                <w:sz w:val="21"/>
                <w:highlight w:val="none"/>
                <w:lang w:val="en-GB"/>
              </w:rPr>
              <w:t>）</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执行《工业企业厂界环境噪声排放标准》（GB12348-2008）</w:t>
            </w: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危险废物台帐统计，年报一次</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执行《危险废物贮存污染控制标准》（GB18597-2001）及2013年修改单标准。</w:t>
            </w:r>
          </w:p>
        </w:tc>
      </w:tr>
    </w:tbl>
    <w:p>
      <w:pPr>
        <w:pStyle w:val="105"/>
        <w:ind w:firstLine="480" w:firstLineChars="0"/>
        <w:rPr>
          <w:highlight w:val="none"/>
        </w:rPr>
      </w:pPr>
      <w:r>
        <w:rPr>
          <w:highlight w:val="none"/>
        </w:rPr>
        <w:t>监测工作可委托有资质的监测单位进行，专职环保管理人员要对监测结果统一进行管理，建立环境监测档案，以便发现事故时，可以及时查明事故发生的原因，使污染事故能够得到及时处理。项目建成后，环保部门应对该企业环境管理及监测的具体情况加以监督。</w:t>
      </w:r>
    </w:p>
    <w:p>
      <w:pPr>
        <w:pStyle w:val="6"/>
        <w:spacing w:before="132"/>
        <w:rPr>
          <w:rFonts w:cs="Times New Roman"/>
          <w:highlight w:val="none"/>
        </w:rPr>
      </w:pPr>
      <w:bookmarkStart w:id="66" w:name="_Toc10714"/>
      <w:r>
        <w:rPr>
          <w:rFonts w:hint="eastAsia" w:cs="Times New Roman"/>
          <w:highlight w:val="none"/>
          <w:lang w:val="en-US" w:eastAsia="zh-CN"/>
        </w:rPr>
        <w:t>7</w:t>
      </w:r>
      <w:r>
        <w:rPr>
          <w:rFonts w:hint="eastAsia" w:cs="Times New Roman"/>
          <w:highlight w:val="none"/>
        </w:rPr>
        <w:t>.3环保验收要求内容</w:t>
      </w:r>
      <w:bookmarkEnd w:id="66"/>
    </w:p>
    <w:p>
      <w:pPr>
        <w:pStyle w:val="105"/>
        <w:ind w:firstLine="480" w:firstLineChars="0"/>
        <w:rPr>
          <w:highlight w:val="none"/>
        </w:rPr>
      </w:pPr>
      <w:r>
        <w:rPr>
          <w:highlight w:val="none"/>
        </w:rPr>
        <w:t>为了便于环境保护主管部门对工程的环保验收以及日后生产的环境监督与环境管理，评价拟定</w:t>
      </w:r>
      <w:r>
        <w:rPr>
          <w:rFonts w:hint="eastAsia" w:ascii="宋体" w:hAnsi="宋体" w:cs="宋体"/>
          <w:highlight w:val="none"/>
        </w:rPr>
        <w:t>“三同时”</w:t>
      </w:r>
      <w:r>
        <w:rPr>
          <w:highlight w:val="none"/>
        </w:rPr>
        <w:t>验收计划如表</w:t>
      </w:r>
      <w:r>
        <w:rPr>
          <w:rFonts w:hint="eastAsia"/>
          <w:highlight w:val="none"/>
          <w:lang w:val="en-US" w:eastAsia="zh-CN"/>
        </w:rPr>
        <w:t>7</w:t>
      </w:r>
      <w:r>
        <w:rPr>
          <w:rFonts w:hint="eastAsia"/>
          <w:highlight w:val="none"/>
        </w:rPr>
        <w:t>.3</w:t>
      </w:r>
      <w:r>
        <w:rPr>
          <w:highlight w:val="none"/>
        </w:rPr>
        <w:t>-1</w:t>
      </w:r>
      <w:r>
        <w:rPr>
          <w:rFonts w:hint="eastAsia"/>
          <w:highlight w:val="none"/>
        </w:rPr>
        <w:t>。</w:t>
      </w:r>
    </w:p>
    <w:p>
      <w:pPr>
        <w:pStyle w:val="40"/>
        <w:rPr>
          <w:rFonts w:hint="eastAsia" w:cs="Times New Roman"/>
          <w:highlight w:val="none"/>
          <w:lang w:val="en-US" w:eastAsia="zh-CN"/>
        </w:rPr>
      </w:pPr>
      <w:r>
        <w:rPr>
          <w:rFonts w:hint="eastAsia" w:cs="Times New Roman"/>
          <w:highlight w:val="none"/>
          <w:lang w:val="en-US" w:eastAsia="zh-CN"/>
        </w:rPr>
        <w:t xml:space="preserve"> 表7.3-1环保验收要求</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661"/>
        <w:gridCol w:w="1470"/>
        <w:gridCol w:w="1502"/>
        <w:gridCol w:w="2575"/>
        <w:gridCol w:w="2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133" w:type="pct"/>
            <w:gridSpan w:val="3"/>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污染源</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环境保护措施</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48" w:hRule="atLeast"/>
          <w:jc w:val="center"/>
        </w:trPr>
        <w:tc>
          <w:tcPr>
            <w:tcW w:w="388"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废气</w:t>
            </w: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猪舍</w:t>
            </w:r>
          </w:p>
        </w:tc>
        <w:tc>
          <w:tcPr>
            <w:tcW w:w="882"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S和臭气浓度</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低氮饲料+干清粪+除臭剂+除臭装置</w:t>
            </w:r>
          </w:p>
        </w:tc>
        <w:tc>
          <w:tcPr>
            <w:tcW w:w="135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臭气浓度执行《畜禽养殖业污染物排放标准》（GB18596-2001），H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执行《恶臭污染物排放标准》（GB14554-1993）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污水处理站</w:t>
            </w: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封闭+除臭剂</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固粪处理区</w:t>
            </w: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rPr>
              <w:t>车间封闭、</w:t>
            </w:r>
            <w:r>
              <w:rPr>
                <w:rFonts w:hint="eastAsia" w:ascii="Times New Roman" w:hAnsi="Times New Roman"/>
                <w:b w:val="0"/>
                <w:bCs w:val="0"/>
                <w:color w:val="auto"/>
                <w:sz w:val="21"/>
                <w:highlight w:val="none"/>
                <w:lang w:eastAsia="zh-CN"/>
              </w:rPr>
              <w:t>除臭剂</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沼液储存池</w:t>
            </w: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封闭+除臭剂</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锅炉废气</w:t>
            </w:r>
          </w:p>
        </w:tc>
        <w:tc>
          <w:tcPr>
            <w:tcW w:w="88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颗粒物、SO</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、NO</w:t>
            </w:r>
            <w:r>
              <w:rPr>
                <w:rFonts w:hint="eastAsia" w:ascii="Times New Roman" w:hAnsi="Times New Roman"/>
                <w:b w:val="0"/>
                <w:bCs w:val="0"/>
                <w:color w:val="auto"/>
                <w:sz w:val="21"/>
                <w:highlight w:val="none"/>
                <w:vertAlign w:val="subscript"/>
              </w:rPr>
              <w:t>X</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eastAsia="宋体"/>
                <w:b w:val="0"/>
                <w:bCs w:val="0"/>
                <w:color w:val="auto"/>
                <w:sz w:val="21"/>
                <w:highlight w:val="none"/>
                <w:lang w:val="en-US" w:eastAsia="zh-CN"/>
              </w:rPr>
            </w:pPr>
            <w:r>
              <w:rPr>
                <w:rFonts w:hint="eastAsia" w:ascii="Times New Roman" w:hAnsi="Times New Roman"/>
                <w:b w:val="0"/>
                <w:bCs w:val="0"/>
                <w:color w:val="auto"/>
                <w:sz w:val="21"/>
                <w:highlight w:val="none"/>
              </w:rPr>
              <w:t>低氮燃烧</w:t>
            </w:r>
            <w:r>
              <w:rPr>
                <w:rFonts w:hint="eastAsia" w:ascii="Times New Roman" w:hAnsi="Times New Roman"/>
                <w:b w:val="0"/>
                <w:bCs w:val="0"/>
                <w:color w:val="auto"/>
                <w:sz w:val="21"/>
                <w:highlight w:val="none"/>
                <w:lang w:val="en-US" w:eastAsia="zh-CN"/>
              </w:rPr>
              <w:t>+8m排气筒</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《锅炉大气污染物排放标准》（GB13271-2014）及《</w:t>
            </w:r>
            <w:r>
              <w:rPr>
                <w:rFonts w:hint="eastAsia" w:ascii="Times New Roman" w:hAnsi="Times New Roman"/>
                <w:b w:val="0"/>
                <w:bCs w:val="0"/>
                <w:color w:val="auto"/>
                <w:sz w:val="21"/>
                <w:highlight w:val="none"/>
                <w:lang w:eastAsia="zh-CN"/>
              </w:rPr>
              <w:t>河南省</w:t>
            </w:r>
            <w:r>
              <w:rPr>
                <w:rFonts w:hint="eastAsia" w:ascii="Times New Roman" w:hAnsi="Times New Roman"/>
                <w:b w:val="0"/>
                <w:bCs w:val="0"/>
                <w:color w:val="auto"/>
                <w:sz w:val="21"/>
                <w:highlight w:val="none"/>
              </w:rPr>
              <w:t>2019年度锅炉综合整治方案》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87"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lang w:eastAsia="zh-CN"/>
              </w:rPr>
              <w:t>饲料加工区</w:t>
            </w:r>
          </w:p>
        </w:tc>
        <w:tc>
          <w:tcPr>
            <w:tcW w:w="882"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lang w:eastAsia="zh-CN"/>
              </w:rPr>
              <w:t>颗粒物</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接收工段粉尘</w:t>
            </w:r>
            <w:r>
              <w:rPr>
                <w:rFonts w:hint="eastAsia" w:ascii="Times New Roman" w:hAnsi="Times New Roman"/>
                <w:b w:val="0"/>
                <w:bCs w:val="0"/>
                <w:color w:val="auto"/>
                <w:sz w:val="21"/>
                <w:highlight w:val="none"/>
                <w:lang w:val="en-US" w:eastAsia="zh-CN"/>
              </w:rPr>
              <w:t>1</w:t>
            </w:r>
            <w:r>
              <w:rPr>
                <w:rFonts w:hint="default" w:ascii="Times New Roman" w:hAnsi="Times New Roman"/>
                <w:b w:val="0"/>
                <w:bCs w:val="0"/>
                <w:color w:val="auto"/>
                <w:sz w:val="21"/>
                <w:highlight w:val="none"/>
              </w:rPr>
              <w:t>经2套脉冲袋式除尘器处理后通过排气筒排放</w:t>
            </w:r>
          </w:p>
        </w:tc>
        <w:tc>
          <w:tcPr>
            <w:tcW w:w="135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《大气污染物综合排放标准》GB16297-1996 中二级排放标准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87"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接收工段粉尘</w:t>
            </w:r>
            <w:r>
              <w:rPr>
                <w:rFonts w:hint="eastAsia" w:ascii="Times New Roman" w:hAnsi="Times New Roman"/>
                <w:b w:val="0"/>
                <w:bCs w:val="0"/>
                <w:color w:val="auto"/>
                <w:sz w:val="21"/>
                <w:highlight w:val="none"/>
                <w:lang w:val="en-US" w:eastAsia="zh-CN"/>
              </w:rPr>
              <w:t>2</w:t>
            </w:r>
            <w:r>
              <w:rPr>
                <w:rFonts w:hint="default" w:ascii="Times New Roman" w:hAnsi="Times New Roman"/>
                <w:b w:val="0"/>
                <w:bCs w:val="0"/>
                <w:color w:val="auto"/>
                <w:sz w:val="21"/>
                <w:highlight w:val="none"/>
              </w:rPr>
              <w:t>经2套脉冲袋式除尘器处理后通过排气筒排放</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87"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清理工段粉尘</w:t>
            </w:r>
            <w:r>
              <w:rPr>
                <w:rFonts w:hint="default" w:ascii="Times New Roman" w:hAnsi="Times New Roman"/>
                <w:b w:val="0"/>
                <w:bCs w:val="0"/>
                <w:color w:val="auto"/>
                <w:sz w:val="21"/>
                <w:highlight w:val="none"/>
              </w:rPr>
              <w:t>经1套沙克龙除尘+脉冲袋式除尘器处理后通过排气筒排放</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87"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投料工段粉尘</w:t>
            </w:r>
            <w:r>
              <w:rPr>
                <w:rFonts w:hint="default" w:ascii="Times New Roman" w:hAnsi="Times New Roman"/>
                <w:b w:val="0"/>
                <w:bCs w:val="0"/>
                <w:color w:val="auto"/>
                <w:sz w:val="21"/>
                <w:highlight w:val="none"/>
              </w:rPr>
              <w:t>经1套脉冲袋式除尘器处理后通过排气筒排放</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87"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粉碎工段粉尘</w:t>
            </w:r>
            <w:r>
              <w:rPr>
                <w:rFonts w:hint="default" w:ascii="Times New Roman" w:hAnsi="Times New Roman"/>
                <w:b w:val="0"/>
                <w:bCs w:val="0"/>
                <w:color w:val="auto"/>
                <w:sz w:val="21"/>
                <w:highlight w:val="none"/>
              </w:rPr>
              <w:t>经1套脉冲袋式除尘器处理后通过排气筒排放</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87"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8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制粒工段粉尘</w:t>
            </w:r>
            <w:r>
              <w:rPr>
                <w:rFonts w:hint="default" w:ascii="Times New Roman" w:hAnsi="Times New Roman"/>
                <w:b w:val="0"/>
                <w:bCs w:val="0"/>
                <w:color w:val="auto"/>
                <w:sz w:val="21"/>
                <w:highlight w:val="none"/>
              </w:rPr>
              <w:t>经1套沙克龙除尘器处理后从室内经风网通向屋顶</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食堂油烟</w:t>
            </w:r>
          </w:p>
        </w:tc>
        <w:tc>
          <w:tcPr>
            <w:tcW w:w="88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油烟</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处理效率不低于90%的油烟净化器</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《餐饮业油烟污染物排放标准》（DB41/1604-2018）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废水</w:t>
            </w: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生活污水、生产废水</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1套污水处理系统，工艺为：收集池+固液分离+（生活污水经化粪池处理后进入黑膜沼气池）</w:t>
            </w:r>
            <w:r>
              <w:rPr>
                <w:rFonts w:hint="eastAsia" w:ascii="Times New Roman" w:hAnsi="Times New Roman"/>
                <w:b w:val="0"/>
                <w:bCs w:val="0"/>
                <w:color w:val="auto"/>
                <w:sz w:val="21"/>
                <w:highlight w:val="none"/>
                <w:lang w:val="en-US" w:eastAsia="zh-CN"/>
              </w:rPr>
              <w:t>170</w:t>
            </w:r>
            <w:r>
              <w:rPr>
                <w:rFonts w:hint="eastAsia" w:ascii="Times New Roman" w:hAnsi="Times New Roman"/>
                <w:b w:val="0"/>
                <w:bCs w:val="0"/>
                <w:color w:val="auto"/>
                <w:sz w:val="21"/>
                <w:highlight w:val="none"/>
              </w:rPr>
              <w:t>00m</w:t>
            </w:r>
            <w:r>
              <w:rPr>
                <w:rFonts w:hint="eastAsia" w:ascii="Times New Roman" w:hAnsi="Times New Roman"/>
                <w:b w:val="0"/>
                <w:bCs w:val="0"/>
                <w:color w:val="auto"/>
                <w:sz w:val="21"/>
                <w:highlight w:val="none"/>
                <w:vertAlign w:val="superscript"/>
              </w:rPr>
              <w:t>3</w:t>
            </w:r>
            <w:r>
              <w:rPr>
                <w:rFonts w:hint="eastAsia" w:ascii="Times New Roman" w:hAnsi="Times New Roman"/>
                <w:b w:val="0"/>
                <w:bCs w:val="0"/>
                <w:color w:val="auto"/>
                <w:sz w:val="21"/>
                <w:highlight w:val="none"/>
              </w:rPr>
              <w:t>黑膜沼气池+1</w:t>
            </w:r>
            <w:r>
              <w:rPr>
                <w:rFonts w:hint="eastAsia" w:ascii="Times New Roman" w:hAnsi="Times New Roman"/>
                <w:b w:val="0"/>
                <w:bCs w:val="0"/>
                <w:color w:val="auto"/>
                <w:sz w:val="21"/>
                <w:highlight w:val="none"/>
                <w:lang w:val="en-US" w:eastAsia="zh-CN"/>
              </w:rPr>
              <w:t>000</w:t>
            </w:r>
            <w:r>
              <w:rPr>
                <w:rFonts w:hint="eastAsia" w:ascii="Times New Roman" w:hAnsi="Times New Roman"/>
                <w:b w:val="0"/>
                <w:bCs w:val="0"/>
                <w:color w:val="auto"/>
                <w:sz w:val="21"/>
                <w:highlight w:val="none"/>
              </w:rPr>
              <w:t>00m</w:t>
            </w:r>
            <w:r>
              <w:rPr>
                <w:rFonts w:hint="eastAsia" w:ascii="Times New Roman" w:hAnsi="Times New Roman"/>
                <w:b w:val="0"/>
                <w:bCs w:val="0"/>
                <w:color w:val="auto"/>
                <w:sz w:val="21"/>
                <w:highlight w:val="none"/>
                <w:vertAlign w:val="superscript"/>
              </w:rPr>
              <w:t>3</w:t>
            </w:r>
            <w:r>
              <w:rPr>
                <w:rFonts w:hint="eastAsia" w:ascii="Times New Roman" w:hAnsi="Times New Roman"/>
                <w:b w:val="0"/>
                <w:bCs w:val="0"/>
                <w:color w:val="auto"/>
                <w:sz w:val="21"/>
                <w:highlight w:val="none"/>
              </w:rPr>
              <w:t>沼液储存池</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处理后定期用于周边配套的农田施肥，废水全部综合利用不外排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噪声</w:t>
            </w: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风机、水泵运行噪声、猪叫声等</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选用低噪声设备、采取建筑隔声、消声、减振等措施</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《工业企业厂界环境噪声排放标准》（GB12348-2008）</w:t>
            </w:r>
            <w:r>
              <w:rPr>
                <w:rFonts w:hint="eastAsia" w:ascii="Times New Roman" w:hAnsi="Times New Roman"/>
                <w:b w:val="0"/>
                <w:bCs w:val="0"/>
                <w:color w:val="auto"/>
                <w:sz w:val="21"/>
                <w:highlight w:val="none"/>
                <w:lang w:val="en-US" w:eastAsia="zh-CN"/>
              </w:rPr>
              <w:t>2</w:t>
            </w:r>
            <w:r>
              <w:rPr>
                <w:rFonts w:hint="eastAsia" w:ascii="Times New Roman" w:hAnsi="Times New Roman"/>
                <w:b w:val="0"/>
                <w:bCs w:val="0"/>
                <w:color w:val="auto"/>
                <w:sz w:val="21"/>
                <w:highlight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固废</w:t>
            </w: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猪粪</w:t>
            </w:r>
          </w:p>
        </w:tc>
        <w:tc>
          <w:tcPr>
            <w:tcW w:w="1512"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w:t>
            </w:r>
            <w:r>
              <w:rPr>
                <w:rFonts w:hint="eastAsia" w:ascii="Times New Roman" w:hAnsi="Times New Roman"/>
                <w:b w:val="0"/>
                <w:bCs w:val="0"/>
                <w:color w:val="auto"/>
                <w:sz w:val="21"/>
                <w:highlight w:val="none"/>
                <w:lang w:val="en-US" w:eastAsia="zh-CN"/>
              </w:rPr>
              <w:t>2个共1120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rPr>
              <w:t>固粪处理区，固粪发酵后与沼渣混合制作有机肥基料</w:t>
            </w:r>
          </w:p>
        </w:tc>
        <w:tc>
          <w:tcPr>
            <w:tcW w:w="1353"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资源化利用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沼渣</w:t>
            </w:r>
          </w:p>
        </w:tc>
        <w:tc>
          <w:tcPr>
            <w:tcW w:w="1512"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废脱硫剂</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设置1间15m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rPr>
              <w:t>一般固废暂存间，暂存后由上产厂家统一回收</w:t>
            </w:r>
          </w:p>
        </w:tc>
        <w:tc>
          <w:tcPr>
            <w:tcW w:w="1353"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rPr>
              <w:t>病死猪</w:t>
            </w:r>
            <w:r>
              <w:rPr>
                <w:rFonts w:hint="eastAsia" w:ascii="Times New Roman" w:hAnsi="Times New Roman"/>
                <w:b w:val="0"/>
                <w:bCs w:val="0"/>
                <w:color w:val="auto"/>
                <w:sz w:val="21"/>
                <w:highlight w:val="none"/>
                <w:lang w:eastAsia="zh-CN"/>
              </w:rPr>
              <w:t>及母猪胎盘</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病死猪经暂存后于当天送往</w:t>
            </w:r>
            <w:r>
              <w:rPr>
                <w:rFonts w:hint="eastAsia" w:ascii="Times New Roman" w:hAnsi="Times New Roman"/>
                <w:b w:val="0"/>
                <w:bCs w:val="0"/>
                <w:color w:val="auto"/>
                <w:sz w:val="21"/>
                <w:highlight w:val="none"/>
                <w:lang w:eastAsia="zh-CN"/>
              </w:rPr>
              <w:t>正阳一场</w:t>
            </w:r>
            <w:r>
              <w:rPr>
                <w:rFonts w:hint="eastAsia" w:ascii="Times New Roman" w:hAnsi="Times New Roman"/>
                <w:b w:val="0"/>
                <w:bCs w:val="0"/>
                <w:color w:val="auto"/>
                <w:sz w:val="21"/>
                <w:highlight w:val="none"/>
              </w:rPr>
              <w:t>无害化车间进行无害化处理</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满足《禽畜养殖业污染防治技术规范》（HJ/497-2009）的要求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eastAsia="宋体"/>
                <w:b w:val="0"/>
                <w:bCs w:val="0"/>
                <w:color w:val="auto"/>
                <w:sz w:val="21"/>
                <w:highlight w:val="none"/>
                <w:lang w:eastAsia="zh-CN"/>
              </w:rPr>
            </w:pPr>
            <w:r>
              <w:rPr>
                <w:rFonts w:hint="eastAsia" w:ascii="Times New Roman" w:hAnsi="Times New Roman"/>
                <w:b w:val="0"/>
                <w:bCs w:val="0"/>
                <w:color w:val="auto"/>
                <w:sz w:val="21"/>
                <w:highlight w:val="none"/>
                <w:lang w:eastAsia="zh-CN"/>
              </w:rPr>
              <w:t>医疗</w:t>
            </w:r>
            <w:r>
              <w:rPr>
                <w:rFonts w:hint="eastAsia" w:ascii="Times New Roman" w:hAnsi="Times New Roman"/>
                <w:b w:val="0"/>
                <w:bCs w:val="0"/>
                <w:color w:val="auto"/>
                <w:sz w:val="21"/>
                <w:highlight w:val="none"/>
              </w:rPr>
              <w:t>废物</w:t>
            </w:r>
            <w:r>
              <w:rPr>
                <w:rFonts w:hint="eastAsia" w:ascii="Times New Roman" w:hAnsi="Times New Roman"/>
                <w:b w:val="0"/>
                <w:bCs w:val="0"/>
                <w:color w:val="auto"/>
                <w:sz w:val="21"/>
                <w:highlight w:val="none"/>
                <w:lang w:eastAsia="zh-CN"/>
              </w:rPr>
              <w:t>、废离子交换树脂</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设置1间</w:t>
            </w:r>
            <w:r>
              <w:rPr>
                <w:rFonts w:hint="eastAsia" w:ascii="Times New Roman" w:hAnsi="Times New Roman"/>
                <w:b w:val="0"/>
                <w:bCs w:val="0"/>
                <w:color w:val="auto"/>
                <w:sz w:val="21"/>
                <w:highlight w:val="none"/>
                <w:lang w:val="en-US" w:eastAsia="zh-CN"/>
              </w:rPr>
              <w:t>20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rPr>
              <w:t>危废暂存间，暂存后交由新蔡县中绿环保科技有限公司处置</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《危险废物贮存污染控制标准》（GB18597-2001）及修改单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8"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745" w:type="pct"/>
            <w:gridSpan w:val="2"/>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生活垃圾</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设置垃圾桶，收集后送交环卫部门处理</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满足环境卫生要求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133" w:type="pct"/>
            <w:gridSpan w:val="3"/>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地下水监测</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在沼液消纳地上下游各设置1口监测井</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133" w:type="pct"/>
            <w:gridSpan w:val="3"/>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农田沼液施肥系统</w:t>
            </w:r>
          </w:p>
        </w:tc>
        <w:tc>
          <w:tcPr>
            <w:tcW w:w="1512"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沼液输送管网及水泵</w:t>
            </w:r>
          </w:p>
        </w:tc>
        <w:tc>
          <w:tcPr>
            <w:tcW w:w="1353"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bl>
    <w:p>
      <w:pPr>
        <w:pStyle w:val="10"/>
        <w:rPr>
          <w:rFonts w:hint="eastAsia" w:cs="Times New Roman"/>
          <w:b/>
          <w:highlight w:val="none"/>
        </w:rPr>
      </w:pPr>
    </w:p>
    <w:p>
      <w:pPr>
        <w:pStyle w:val="10"/>
        <w:rPr>
          <w:rFonts w:hint="eastAsia" w:cs="Times New Roman"/>
          <w:b/>
          <w:highlight w:val="none"/>
        </w:rPr>
      </w:pPr>
    </w:p>
    <w:p>
      <w:pPr>
        <w:pStyle w:val="10"/>
        <w:rPr>
          <w:rFonts w:hint="eastAsia" w:cs="Times New Roman"/>
          <w:b/>
          <w:highlight w:val="none"/>
        </w:rPr>
      </w:pPr>
    </w:p>
    <w:p>
      <w:pPr>
        <w:ind w:firstLine="482"/>
        <w:jc w:val="center"/>
        <w:rPr>
          <w:rFonts w:cs="Times New Roman"/>
          <w:b/>
          <w:highlight w:val="none"/>
        </w:rPr>
      </w:pPr>
    </w:p>
    <w:p>
      <w:pPr>
        <w:ind w:firstLine="480"/>
        <w:rPr>
          <w:rFonts w:cs="Times New Roman"/>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5"/>
        <w:spacing w:before="0" w:beforeLines="0" w:after="0" w:afterLines="0"/>
        <w:rPr>
          <w:rFonts w:cs="Times New Roman"/>
          <w:highlight w:val="none"/>
        </w:rPr>
      </w:pPr>
      <w:bookmarkStart w:id="67" w:name="_Toc10734"/>
      <w:r>
        <w:rPr>
          <w:rFonts w:hint="eastAsia" w:cs="Times New Roman"/>
          <w:highlight w:val="none"/>
          <w:lang w:val="en-US" w:eastAsia="zh-CN"/>
        </w:rPr>
        <w:t>8</w:t>
      </w:r>
      <w:r>
        <w:rPr>
          <w:rFonts w:cs="Times New Roman"/>
          <w:highlight w:val="none"/>
        </w:rPr>
        <w:t>结论</w:t>
      </w:r>
      <w:r>
        <w:rPr>
          <w:rFonts w:hint="eastAsia" w:cs="Times New Roman"/>
          <w:highlight w:val="none"/>
        </w:rPr>
        <w:t>与建议</w:t>
      </w:r>
      <w:bookmarkEnd w:id="67"/>
    </w:p>
    <w:p>
      <w:pPr>
        <w:pStyle w:val="6"/>
        <w:spacing w:before="132"/>
        <w:rPr>
          <w:highlight w:val="none"/>
        </w:rPr>
      </w:pPr>
      <w:bookmarkStart w:id="68" w:name="_Toc2772"/>
      <w:r>
        <w:rPr>
          <w:rFonts w:hint="eastAsia"/>
          <w:highlight w:val="none"/>
          <w:lang w:val="en-US" w:eastAsia="zh-CN"/>
        </w:rPr>
        <w:t>8</w:t>
      </w:r>
      <w:r>
        <w:rPr>
          <w:rFonts w:hint="eastAsia"/>
          <w:highlight w:val="none"/>
        </w:rPr>
        <w:t>.1结论</w:t>
      </w:r>
      <w:bookmarkEnd w:id="68"/>
    </w:p>
    <w:p>
      <w:pPr>
        <w:pStyle w:val="7"/>
        <w:spacing w:before="66"/>
        <w:ind w:firstLine="482"/>
        <w:rPr>
          <w:highlight w:val="none"/>
        </w:rPr>
      </w:pPr>
      <w:r>
        <w:rPr>
          <w:rFonts w:hint="eastAsia"/>
          <w:highlight w:val="none"/>
          <w:lang w:val="en-US" w:eastAsia="zh-CN"/>
        </w:rPr>
        <w:t>8</w:t>
      </w:r>
      <w:r>
        <w:rPr>
          <w:rFonts w:hint="eastAsia"/>
          <w:highlight w:val="none"/>
        </w:rPr>
        <w:t>.1.1</w:t>
      </w:r>
      <w:r>
        <w:rPr>
          <w:highlight w:val="none"/>
        </w:rPr>
        <w:t>项目概况</w:t>
      </w:r>
    </w:p>
    <w:p>
      <w:pPr>
        <w:ind w:firstLine="480"/>
        <w:rPr>
          <w:rFonts w:cs="Times New Roman"/>
          <w:highlight w:val="none"/>
        </w:rPr>
      </w:pPr>
      <w:r>
        <w:rPr>
          <w:rFonts w:cs="Times New Roman"/>
          <w:highlight w:val="none"/>
        </w:rPr>
        <w:t>项目名称：</w:t>
      </w:r>
      <w:r>
        <w:rPr>
          <w:rFonts w:hint="eastAsia" w:cs="Times New Roman"/>
          <w:highlight w:val="none"/>
        </w:rPr>
        <w:t>正阳牧原农牧有限公司八场生猪养殖项目</w:t>
      </w:r>
    </w:p>
    <w:p>
      <w:pPr>
        <w:ind w:firstLine="480"/>
        <w:rPr>
          <w:rFonts w:cs="Times New Roman"/>
          <w:highlight w:val="none"/>
        </w:rPr>
      </w:pPr>
      <w:r>
        <w:rPr>
          <w:rFonts w:cs="Times New Roman"/>
          <w:highlight w:val="none"/>
        </w:rPr>
        <w:t>建设单位：</w:t>
      </w:r>
      <w:r>
        <w:rPr>
          <w:rFonts w:hint="eastAsia" w:cs="Times New Roman"/>
          <w:highlight w:val="none"/>
        </w:rPr>
        <w:t>正阳牧原农牧有限公司</w:t>
      </w:r>
    </w:p>
    <w:p>
      <w:pPr>
        <w:ind w:firstLine="480"/>
        <w:rPr>
          <w:rFonts w:cs="Times New Roman"/>
          <w:highlight w:val="none"/>
        </w:rPr>
      </w:pPr>
      <w:r>
        <w:rPr>
          <w:rFonts w:cs="Times New Roman"/>
          <w:highlight w:val="none"/>
        </w:rPr>
        <w:t>建设性质：</w:t>
      </w:r>
      <w:r>
        <w:rPr>
          <w:rFonts w:hint="eastAsia" w:cs="Times New Roman"/>
          <w:highlight w:val="none"/>
        </w:rPr>
        <w:t>新建</w:t>
      </w:r>
    </w:p>
    <w:p>
      <w:pPr>
        <w:ind w:firstLine="480"/>
        <w:rPr>
          <w:rFonts w:hint="eastAsia" w:eastAsia="宋体" w:cs="Times New Roman"/>
          <w:highlight w:val="none"/>
          <w:lang w:eastAsia="zh-CN"/>
        </w:rPr>
      </w:pPr>
      <w:r>
        <w:rPr>
          <w:rFonts w:hint="eastAsia" w:cs="Times New Roman"/>
          <w:highlight w:val="none"/>
        </w:rPr>
        <w:t>建设地点</w:t>
      </w:r>
      <w:r>
        <w:rPr>
          <w:rFonts w:cs="Times New Roman"/>
          <w:highlight w:val="none"/>
        </w:rPr>
        <w:t>：</w:t>
      </w:r>
      <w:r>
        <w:rPr>
          <w:rFonts w:hint="eastAsia" w:cs="Times New Roman"/>
          <w:highlight w:val="none"/>
        </w:rPr>
        <w:t>正阳县铜钟镇</w:t>
      </w:r>
      <w:r>
        <w:rPr>
          <w:rFonts w:hint="eastAsia" w:cs="Times New Roman"/>
          <w:highlight w:val="none"/>
          <w:lang w:eastAsia="zh-CN"/>
        </w:rPr>
        <w:t>崔塘村</w:t>
      </w:r>
    </w:p>
    <w:p>
      <w:pPr>
        <w:ind w:firstLine="480"/>
        <w:rPr>
          <w:rFonts w:cs="Times New Roman"/>
          <w:highlight w:val="none"/>
        </w:rPr>
      </w:pPr>
      <w:r>
        <w:rPr>
          <w:rFonts w:hint="eastAsia" w:cs="Times New Roman"/>
          <w:highlight w:val="none"/>
        </w:rPr>
        <w:t>占地面积</w:t>
      </w:r>
      <w:r>
        <w:rPr>
          <w:rFonts w:cs="Times New Roman"/>
          <w:highlight w:val="none"/>
        </w:rPr>
        <w:t>：</w:t>
      </w:r>
      <w:r>
        <w:rPr>
          <w:rFonts w:hint="eastAsia" w:cs="Times New Roman"/>
          <w:highlight w:val="none"/>
        </w:rPr>
        <w:t>项目总占地面积362亩</w:t>
      </w:r>
    </w:p>
    <w:p>
      <w:pPr>
        <w:tabs>
          <w:tab w:val="left" w:pos="7180"/>
        </w:tabs>
        <w:ind w:firstLine="480"/>
        <w:rPr>
          <w:rFonts w:cs="Times New Roman"/>
          <w:highlight w:val="none"/>
        </w:rPr>
      </w:pPr>
      <w:r>
        <w:rPr>
          <w:rFonts w:hint="eastAsia" w:cs="Times New Roman"/>
          <w:highlight w:val="none"/>
        </w:rPr>
        <w:t>项目</w:t>
      </w:r>
      <w:r>
        <w:rPr>
          <w:rFonts w:cs="Times New Roman"/>
          <w:highlight w:val="none"/>
        </w:rPr>
        <w:t>投资：</w:t>
      </w:r>
      <w:r>
        <w:rPr>
          <w:rFonts w:hint="eastAsia" w:cs="Times New Roman"/>
          <w:highlight w:val="none"/>
        </w:rPr>
        <w:t>总投资</w:t>
      </w:r>
      <w:r>
        <w:rPr>
          <w:rFonts w:hint="eastAsia" w:cs="Times New Roman"/>
          <w:highlight w:val="none"/>
          <w:lang w:val="en-US" w:eastAsia="zh-CN"/>
        </w:rPr>
        <w:t>16639.57</w:t>
      </w:r>
      <w:r>
        <w:rPr>
          <w:rFonts w:hint="eastAsia" w:cs="Times New Roman"/>
          <w:highlight w:val="none"/>
        </w:rPr>
        <w:t>万元，其中</w:t>
      </w:r>
      <w:r>
        <w:rPr>
          <w:rFonts w:hint="eastAsia" w:cs="Times New Roman"/>
          <w:highlight w:val="none"/>
          <w:lang w:eastAsia="zh-CN"/>
        </w:rPr>
        <w:t>环保</w:t>
      </w:r>
      <w:r>
        <w:rPr>
          <w:rFonts w:hint="eastAsia" w:cs="Times New Roman"/>
          <w:highlight w:val="none"/>
        </w:rPr>
        <w:t>投资</w:t>
      </w:r>
      <w:r>
        <w:rPr>
          <w:rFonts w:hint="eastAsia" w:cs="Times New Roman"/>
          <w:highlight w:val="none"/>
          <w:lang w:val="en-US" w:eastAsia="zh-CN"/>
        </w:rPr>
        <w:t>637</w:t>
      </w:r>
      <w:r>
        <w:rPr>
          <w:rFonts w:hint="eastAsia" w:cs="Times New Roman"/>
          <w:highlight w:val="none"/>
        </w:rPr>
        <w:t>万元</w:t>
      </w:r>
    </w:p>
    <w:p>
      <w:pPr>
        <w:ind w:firstLine="480"/>
        <w:rPr>
          <w:highlight w:val="none"/>
        </w:rPr>
      </w:pPr>
      <w:r>
        <w:rPr>
          <w:rFonts w:hint="eastAsia" w:cs="Times New Roman"/>
          <w:highlight w:val="none"/>
        </w:rPr>
        <w:t>行业类别：</w:t>
      </w:r>
      <w:r>
        <w:rPr>
          <w:rFonts w:hint="eastAsia"/>
          <w:highlight w:val="none"/>
        </w:rPr>
        <w:t>C0313猪的饲养</w:t>
      </w:r>
    </w:p>
    <w:p>
      <w:pPr>
        <w:pStyle w:val="7"/>
        <w:spacing w:before="66"/>
        <w:ind w:firstLine="482"/>
        <w:rPr>
          <w:highlight w:val="none"/>
        </w:rPr>
      </w:pPr>
      <w:r>
        <w:rPr>
          <w:rFonts w:hint="eastAsia"/>
          <w:highlight w:val="none"/>
          <w:lang w:val="en-US" w:eastAsia="zh-CN"/>
        </w:rPr>
        <w:t>8</w:t>
      </w:r>
      <w:r>
        <w:rPr>
          <w:rFonts w:hint="eastAsia"/>
          <w:highlight w:val="none"/>
        </w:rPr>
        <w:t>.1.2</w:t>
      </w:r>
      <w:r>
        <w:rPr>
          <w:highlight w:val="none"/>
        </w:rPr>
        <w:t>项目</w:t>
      </w:r>
      <w:r>
        <w:rPr>
          <w:rFonts w:hint="eastAsia"/>
          <w:highlight w:val="none"/>
        </w:rPr>
        <w:t>可行性</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（1）与《产业结构调整指导目录（2011及2013年修改）》相符性分析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本项目为生猪规模化养殖建设项目，已经在正阳发展和改革委员会备案（见附件</w:t>
      </w:r>
      <w:r>
        <w:rPr>
          <w:rFonts w:hint="eastAsia"/>
          <w:highlight w:val="none"/>
          <w:lang w:eastAsia="zh-CN"/>
        </w:rPr>
        <w:t>二</w:t>
      </w:r>
      <w:r>
        <w:rPr>
          <w:rFonts w:hint="eastAsia"/>
          <w:highlight w:val="none"/>
        </w:rPr>
        <w:t>）</w:t>
      </w:r>
      <w:r>
        <w:rPr>
          <w:rFonts w:hint="eastAsia"/>
          <w:highlight w:val="none"/>
          <w:lang w:eastAsia="zh-CN"/>
        </w:rPr>
        <w:t>。</w:t>
      </w:r>
      <w:r>
        <w:rPr>
          <w:rFonts w:hint="eastAsia"/>
          <w:highlight w:val="none"/>
        </w:rPr>
        <w:t>根据国家发展和改革委员会第9号令《产业结构调整指导目录》（2011年本）（2013年修正版），本项目属于鼓励类“一、农林业5、畜禽标准化规模养殖技术开发与应用”，工艺、设备均不在限制类和淘汰类范围内，符合国家产业政策</w:t>
      </w:r>
      <w:r>
        <w:rPr>
          <w:highlight w:val="none"/>
        </w:rPr>
        <w:t>。</w:t>
      </w:r>
    </w:p>
    <w:p>
      <w:pPr>
        <w:keepNext w:val="0"/>
        <w:keepLines w:val="0"/>
        <w:pageBreakBefore w:val="0"/>
        <w:widowControl/>
        <w:numPr>
          <w:ilvl w:val="0"/>
          <w:numId w:val="18"/>
        </w:numPr>
        <w:kinsoku/>
        <w:wordWrap/>
        <w:overflowPunct/>
        <w:topLinePunct w:val="0"/>
        <w:autoSpaceDE/>
        <w:autoSpaceDN/>
        <w:bidi w:val="0"/>
        <w:adjustRightInd/>
        <w:snapToGrid/>
        <w:ind w:left="0" w:leftChars="0" w:firstLine="480" w:firstLineChars="200"/>
        <w:textAlignment w:val="auto"/>
        <w:rPr>
          <w:rFonts w:hint="eastAsia"/>
          <w:highlight w:val="none"/>
        </w:rPr>
      </w:pPr>
      <w:r>
        <w:rPr>
          <w:rFonts w:hint="eastAsia"/>
          <w:highlight w:val="none"/>
        </w:rPr>
        <w:t>与饮用水水源地保护区划相符性分析</w:t>
      </w:r>
    </w:p>
    <w:p>
      <w:pPr>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highlight w:val="none"/>
        </w:rPr>
      </w:pPr>
      <w:r>
        <w:rPr>
          <w:rFonts w:hint="eastAsia"/>
          <w:highlight w:val="none"/>
        </w:rPr>
        <w:t>本项目位于正阳县铜钟镇</w:t>
      </w:r>
      <w:r>
        <w:rPr>
          <w:rFonts w:hint="eastAsia"/>
          <w:highlight w:val="none"/>
          <w:lang w:eastAsia="zh-CN"/>
        </w:rPr>
        <w:t>崔塘村</w:t>
      </w:r>
      <w:r>
        <w:rPr>
          <w:rFonts w:hint="eastAsia"/>
          <w:highlight w:val="none"/>
        </w:rPr>
        <w:t>，距离县城规划区约22.7km，不在正阳县饮用水水源保护区范围内，故项目的建设与正阳县饮用水水源地保护区划是相符的。本项目位于正阳县铜钟镇</w:t>
      </w:r>
      <w:r>
        <w:rPr>
          <w:rFonts w:hint="eastAsia"/>
          <w:highlight w:val="none"/>
          <w:lang w:eastAsia="zh-CN"/>
        </w:rPr>
        <w:t>崔塘村</w:t>
      </w:r>
      <w:r>
        <w:rPr>
          <w:rFonts w:hint="eastAsia"/>
          <w:highlight w:val="none"/>
        </w:rPr>
        <w:t>，距离正阳县铜钟镇地下水井1.3km，本项目不在其一级保护范围。</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（3）与正阳县畜禽养殖禁养区划定方案相符性分析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highlight w:val="none"/>
        </w:rPr>
      </w:pPr>
      <w:r>
        <w:rPr>
          <w:rFonts w:hint="eastAsia"/>
          <w:highlight w:val="none"/>
        </w:rPr>
        <w:t>本项目位于正阳县铜钟镇</w:t>
      </w:r>
      <w:r>
        <w:rPr>
          <w:rFonts w:hint="eastAsia"/>
          <w:highlight w:val="none"/>
          <w:lang w:eastAsia="zh-CN"/>
        </w:rPr>
        <w:t>崔塘村</w:t>
      </w:r>
      <w:r>
        <w:rPr>
          <w:rFonts w:hint="eastAsia"/>
          <w:highlight w:val="none"/>
        </w:rPr>
        <w:t>，场区四周均为农耕地，根据现场勘踏，经与《正阳县畜禽养殖禁养区限养区划分方案》、《正阳县畜禽养殖禁养区划定调整实施方案》（上政〔2020〕2号）比对可知，距离最近的村庄为项目西侧230m处的黎刘庄，不在正阳县划定的禁养区范围内，正阳县畜牧局关于本项目不在禁养区、限养区的证明见附件</w:t>
      </w:r>
      <w:r>
        <w:rPr>
          <w:rFonts w:hint="eastAsia"/>
          <w:highlight w:val="none"/>
          <w:lang w:eastAsia="zh-CN"/>
        </w:rPr>
        <w:t>五</w:t>
      </w:r>
      <w:r>
        <w:rPr>
          <w:rFonts w:hint="eastAsia"/>
          <w:highlight w:val="none"/>
        </w:rPr>
        <w:t>，因此项目建设符合选址要求。</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综上，</w:t>
      </w:r>
      <w:r>
        <w:rPr>
          <w:highlight w:val="none"/>
        </w:rPr>
        <w:t>本项目符合国家产业和环保政策，项目</w:t>
      </w:r>
      <w:r>
        <w:rPr>
          <w:rFonts w:hint="eastAsia"/>
          <w:highlight w:val="none"/>
        </w:rPr>
        <w:t>用地</w:t>
      </w:r>
      <w:r>
        <w:rPr>
          <w:highlight w:val="none"/>
        </w:rPr>
        <w:t>符合</w:t>
      </w:r>
      <w:r>
        <w:rPr>
          <w:rFonts w:hint="eastAsia"/>
          <w:highlight w:val="none"/>
        </w:rPr>
        <w:t>相关规划</w:t>
      </w:r>
      <w:r>
        <w:rPr>
          <w:highlight w:val="none"/>
        </w:rPr>
        <w:t>，平面布置合理。从环保角度出发，项目可行。</w:t>
      </w:r>
    </w:p>
    <w:p>
      <w:pPr>
        <w:pStyle w:val="7"/>
        <w:spacing w:before="66"/>
        <w:ind w:firstLine="482"/>
        <w:rPr>
          <w:highlight w:val="none"/>
        </w:rPr>
      </w:pPr>
      <w:r>
        <w:rPr>
          <w:rFonts w:hint="eastAsia"/>
          <w:highlight w:val="none"/>
          <w:lang w:val="en-US" w:eastAsia="zh-CN"/>
        </w:rPr>
        <w:t>8</w:t>
      </w:r>
      <w:r>
        <w:rPr>
          <w:rFonts w:hint="eastAsia"/>
          <w:highlight w:val="none"/>
        </w:rPr>
        <w:t>.1.3</w:t>
      </w:r>
      <w:r>
        <w:rPr>
          <w:highlight w:val="none"/>
        </w:rPr>
        <w:t>区域环境质量现状</w:t>
      </w:r>
    </w:p>
    <w:p>
      <w:pPr>
        <w:ind w:firstLine="480"/>
        <w:rPr>
          <w:highlight w:val="none"/>
        </w:rPr>
      </w:pPr>
      <w:r>
        <w:rPr>
          <w:highlight w:val="none"/>
        </w:rPr>
        <w:t>大气环境：</w:t>
      </w:r>
      <w:r>
        <w:rPr>
          <w:rFonts w:hint="eastAsia" w:ascii="Times New Roman" w:hAnsi="Times New Roman"/>
          <w:sz w:val="24"/>
          <w:szCs w:val="28"/>
          <w:highlight w:val="none"/>
        </w:rPr>
        <w:t>正阳县区域</w:t>
      </w:r>
      <w:r>
        <w:rPr>
          <w:rFonts w:ascii="Times New Roman" w:hAnsi="Times New Roman"/>
          <w:sz w:val="24"/>
          <w:szCs w:val="28"/>
          <w:highlight w:val="none"/>
        </w:rPr>
        <w:t>SO</w:t>
      </w:r>
      <w:r>
        <w:rPr>
          <w:rFonts w:ascii="Times New Roman" w:hAnsi="Times New Roman"/>
          <w:sz w:val="24"/>
          <w:szCs w:val="28"/>
          <w:highlight w:val="none"/>
          <w:vertAlign w:val="subscript"/>
        </w:rPr>
        <w:t>2</w:t>
      </w:r>
      <w:r>
        <w:rPr>
          <w:rFonts w:ascii="Times New Roman" w:hAnsi="Times New Roman"/>
          <w:sz w:val="24"/>
          <w:szCs w:val="28"/>
          <w:highlight w:val="none"/>
        </w:rPr>
        <w:t>、PM</w:t>
      </w:r>
      <w:r>
        <w:rPr>
          <w:rFonts w:ascii="Times New Roman" w:hAnsi="Times New Roman"/>
          <w:sz w:val="24"/>
          <w:szCs w:val="28"/>
          <w:highlight w:val="none"/>
          <w:vertAlign w:val="subscript"/>
        </w:rPr>
        <w:t>10</w:t>
      </w:r>
      <w:r>
        <w:rPr>
          <w:rFonts w:ascii="Times New Roman" w:hAnsi="Times New Roman"/>
          <w:sz w:val="24"/>
          <w:szCs w:val="28"/>
          <w:highlight w:val="none"/>
        </w:rPr>
        <w:t>、</w:t>
      </w:r>
      <w:r>
        <w:rPr>
          <w:rFonts w:hint="eastAsia" w:ascii="Times New Roman" w:hAnsi="Times New Roman"/>
          <w:sz w:val="24"/>
          <w:szCs w:val="28"/>
          <w:highlight w:val="none"/>
        </w:rPr>
        <w:t>CO、</w:t>
      </w:r>
      <w:r>
        <w:rPr>
          <w:rFonts w:ascii="Times New Roman" w:hAnsi="Times New Roman"/>
          <w:sz w:val="24"/>
          <w:szCs w:val="28"/>
          <w:highlight w:val="none"/>
        </w:rPr>
        <w:t>NO</w:t>
      </w:r>
      <w:r>
        <w:rPr>
          <w:rFonts w:ascii="Times New Roman" w:hAnsi="Times New Roman"/>
          <w:sz w:val="24"/>
          <w:szCs w:val="28"/>
          <w:highlight w:val="none"/>
          <w:vertAlign w:val="subscript"/>
        </w:rPr>
        <w:t>2</w:t>
      </w:r>
      <w:r>
        <w:rPr>
          <w:rFonts w:hint="eastAsia" w:ascii="Times New Roman" w:hAnsi="Times New Roman"/>
          <w:sz w:val="24"/>
          <w:szCs w:val="28"/>
          <w:highlight w:val="none"/>
        </w:rPr>
        <w:t>、</w:t>
      </w:r>
      <w:r>
        <w:rPr>
          <w:rFonts w:ascii="Times New Roman" w:hAnsi="Times New Roman"/>
          <w:szCs w:val="28"/>
          <w:highlight w:val="none"/>
        </w:rPr>
        <w:t>PM</w:t>
      </w:r>
      <w:r>
        <w:rPr>
          <w:rFonts w:ascii="Times New Roman" w:hAnsi="Times New Roman"/>
          <w:szCs w:val="28"/>
          <w:highlight w:val="none"/>
          <w:vertAlign w:val="subscript"/>
        </w:rPr>
        <w:t>2.5</w:t>
      </w:r>
      <w:r>
        <w:rPr>
          <w:rFonts w:ascii="Times New Roman" w:hAnsi="Times New Roman"/>
          <w:sz w:val="24"/>
          <w:szCs w:val="28"/>
          <w:highlight w:val="none"/>
        </w:rPr>
        <w:t>、</w:t>
      </w:r>
      <w:r>
        <w:rPr>
          <w:rFonts w:hint="eastAsia" w:ascii="Times New Roman" w:hAnsi="Times New Roman"/>
          <w:sz w:val="24"/>
          <w:szCs w:val="28"/>
          <w:highlight w:val="none"/>
        </w:rPr>
        <w:t>O</w:t>
      </w:r>
      <w:r>
        <w:rPr>
          <w:rFonts w:hint="eastAsia" w:ascii="Times New Roman" w:hAnsi="Times New Roman"/>
          <w:sz w:val="24"/>
          <w:szCs w:val="28"/>
          <w:highlight w:val="none"/>
          <w:vertAlign w:val="subscript"/>
        </w:rPr>
        <w:t>3</w:t>
      </w:r>
      <w:r>
        <w:rPr>
          <w:rFonts w:hint="eastAsia" w:ascii="Times New Roman" w:hAnsi="Times New Roman"/>
          <w:sz w:val="24"/>
          <w:szCs w:val="28"/>
          <w:highlight w:val="none"/>
        </w:rPr>
        <w:t>年均</w:t>
      </w:r>
      <w:r>
        <w:rPr>
          <w:rFonts w:ascii="Times New Roman" w:hAnsi="Times New Roman"/>
          <w:sz w:val="24"/>
          <w:szCs w:val="28"/>
          <w:highlight w:val="none"/>
        </w:rPr>
        <w:t>浓度</w:t>
      </w:r>
      <w:r>
        <w:rPr>
          <w:rFonts w:hint="eastAsia" w:ascii="Times New Roman" w:hAnsi="Times New Roman"/>
          <w:sz w:val="24"/>
          <w:szCs w:val="28"/>
          <w:highlight w:val="none"/>
        </w:rPr>
        <w:t>全部达标</w:t>
      </w:r>
      <w:r>
        <w:rPr>
          <w:rFonts w:ascii="Times New Roman" w:hAnsi="Times New Roman"/>
          <w:sz w:val="24"/>
          <w:highlight w:val="none"/>
        </w:rPr>
        <w:t>，项目所在</w:t>
      </w:r>
      <w:r>
        <w:rPr>
          <w:rFonts w:hint="eastAsia" w:ascii="Times New Roman" w:hAnsi="Times New Roman"/>
          <w:sz w:val="24"/>
          <w:highlight w:val="none"/>
        </w:rPr>
        <w:t>区域</w:t>
      </w:r>
      <w:r>
        <w:rPr>
          <w:rFonts w:ascii="Times New Roman" w:hAnsi="Times New Roman"/>
          <w:sz w:val="24"/>
          <w:highlight w:val="none"/>
        </w:rPr>
        <w:t>属于达标区</w:t>
      </w:r>
      <w:r>
        <w:rPr>
          <w:rFonts w:hint="eastAsia"/>
          <w:highlight w:val="none"/>
        </w:rPr>
        <w:t>监测结果表明</w:t>
      </w:r>
      <w:r>
        <w:rPr>
          <w:rFonts w:hint="eastAsia"/>
          <w:highlight w:val="none"/>
          <w:lang w:eastAsia="zh-CN"/>
        </w:rPr>
        <w:t>。补充</w:t>
      </w:r>
      <w:r>
        <w:rPr>
          <w:rFonts w:hint="eastAsia"/>
          <w:highlight w:val="none"/>
        </w:rPr>
        <w:t>监测点</w:t>
      </w:r>
      <w:r>
        <w:rPr>
          <w:rFonts w:hint="eastAsia"/>
          <w:highlight w:val="none"/>
          <w:lang w:eastAsia="zh-CN"/>
        </w:rPr>
        <w:t>黎刘庄、崔堂、刘小庄</w:t>
      </w:r>
      <w:r>
        <w:rPr>
          <w:rFonts w:hint="eastAsia" w:ascii="Times New Roman" w:hAnsi="Times New Roman"/>
          <w:sz w:val="24"/>
          <w:szCs w:val="28"/>
          <w:highlight w:val="none"/>
        </w:rPr>
        <w:t>环境空气中</w:t>
      </w:r>
      <w:r>
        <w:rPr>
          <w:sz w:val="24"/>
          <w:highlight w:val="none"/>
        </w:rPr>
        <w:t>H</w:t>
      </w:r>
      <w:r>
        <w:rPr>
          <w:sz w:val="24"/>
          <w:highlight w:val="none"/>
          <w:vertAlign w:val="subscript"/>
        </w:rPr>
        <w:t>2</w:t>
      </w:r>
      <w:r>
        <w:rPr>
          <w:sz w:val="24"/>
          <w:highlight w:val="none"/>
        </w:rPr>
        <w:t>S、NH</w:t>
      </w:r>
      <w:r>
        <w:rPr>
          <w:sz w:val="24"/>
          <w:highlight w:val="none"/>
          <w:vertAlign w:val="subscript"/>
        </w:rPr>
        <w:t>3</w:t>
      </w:r>
      <w:r>
        <w:rPr>
          <w:rFonts w:hint="eastAsia"/>
          <w:highlight w:val="none"/>
        </w:rPr>
        <w:t>小时值均能达到《环境空气质量标准》（GB3095-96）的二级标准</w:t>
      </w:r>
      <w:r>
        <w:rPr>
          <w:highlight w:val="none"/>
        </w:rPr>
        <w:t>。</w:t>
      </w:r>
    </w:p>
    <w:p>
      <w:pPr>
        <w:ind w:firstLine="480"/>
        <w:rPr>
          <w:highlight w:val="none"/>
        </w:rPr>
      </w:pPr>
      <w:r>
        <w:rPr>
          <w:highlight w:val="none"/>
        </w:rPr>
        <w:t>地表水环境：</w:t>
      </w:r>
      <w:r>
        <w:rPr>
          <w:rFonts w:hint="eastAsia"/>
          <w:highlight w:val="none"/>
          <w:lang w:eastAsia="zh-CN"/>
        </w:rPr>
        <w:t>项目不排放废水，</w:t>
      </w:r>
      <w:r>
        <w:rPr>
          <w:rFonts w:hint="eastAsia"/>
          <w:sz w:val="24"/>
          <w:szCs w:val="28"/>
          <w:highlight w:val="none"/>
          <w:lang w:eastAsia="zh-CN"/>
        </w:rPr>
        <w:t>除</w:t>
      </w:r>
      <w:r>
        <w:rPr>
          <w:rFonts w:hint="eastAsia"/>
          <w:highlight w:val="none"/>
        </w:rPr>
        <w:t>COD</w:t>
      </w:r>
      <w:r>
        <w:rPr>
          <w:rFonts w:hint="eastAsia"/>
          <w:highlight w:val="none"/>
          <w:lang w:eastAsia="zh-CN"/>
        </w:rPr>
        <w:t>、氨氮、总磷、总氮</w:t>
      </w:r>
      <w:r>
        <w:rPr>
          <w:rFonts w:hint="eastAsia"/>
          <w:sz w:val="24"/>
          <w:szCs w:val="28"/>
          <w:highlight w:val="none"/>
        </w:rPr>
        <w:t>浓度出现超标</w:t>
      </w:r>
      <w:r>
        <w:rPr>
          <w:rFonts w:hint="eastAsia"/>
          <w:sz w:val="24"/>
          <w:szCs w:val="28"/>
          <w:highlight w:val="none"/>
          <w:lang w:eastAsia="zh-CN"/>
        </w:rPr>
        <w:t>外，</w:t>
      </w:r>
      <w:r>
        <w:rPr>
          <w:sz w:val="24"/>
          <w:szCs w:val="28"/>
          <w:highlight w:val="none"/>
        </w:rPr>
        <w:t>监测点位的</w:t>
      </w:r>
      <w:r>
        <w:rPr>
          <w:rFonts w:hint="eastAsia"/>
          <w:sz w:val="24"/>
          <w:szCs w:val="28"/>
          <w:highlight w:val="none"/>
          <w:lang w:eastAsia="zh-CN"/>
        </w:rPr>
        <w:t>其他</w:t>
      </w:r>
      <w:r>
        <w:rPr>
          <w:sz w:val="24"/>
          <w:szCs w:val="28"/>
          <w:highlight w:val="none"/>
        </w:rPr>
        <w:t>监测因子均能满足《地表水环境质量标准》（GB3838-2002）中III类水质标准要求</w:t>
      </w:r>
      <w:r>
        <w:rPr>
          <w:rFonts w:hint="eastAsia"/>
          <w:highlight w:val="none"/>
        </w:rPr>
        <w:t>。</w:t>
      </w:r>
    </w:p>
    <w:p>
      <w:pPr>
        <w:ind w:firstLine="480"/>
        <w:rPr>
          <w:rFonts w:cs="Times New Roman"/>
          <w:kern w:val="0"/>
          <w:highlight w:val="none"/>
        </w:rPr>
      </w:pPr>
      <w:r>
        <w:rPr>
          <w:highlight w:val="none"/>
        </w:rPr>
        <w:t>地下水环境：监测结果表明，</w:t>
      </w:r>
      <w:r>
        <w:rPr>
          <w:rFonts w:hint="eastAsia"/>
          <w:highlight w:val="none"/>
        </w:rPr>
        <w:t>各点位</w:t>
      </w:r>
      <w:r>
        <w:rPr>
          <w:rFonts w:hint="eastAsia" w:cs="Times New Roman"/>
          <w:kern w:val="0"/>
          <w:highlight w:val="none"/>
        </w:rPr>
        <w:t>所监测的各监测因子均能达到《地下水质量标准》（GB/T14848-2017）Ⅲ类水质要求。</w:t>
      </w:r>
      <w:bookmarkStart w:id="76" w:name="_GoBack"/>
      <w:bookmarkEnd w:id="76"/>
    </w:p>
    <w:p>
      <w:pPr>
        <w:ind w:firstLine="480"/>
        <w:rPr>
          <w:highlight w:val="none"/>
        </w:rPr>
      </w:pPr>
      <w:r>
        <w:rPr>
          <w:highlight w:val="none"/>
        </w:rPr>
        <w:t>声环境：监测结果表明，</w:t>
      </w:r>
      <w:r>
        <w:rPr>
          <w:rFonts w:hint="eastAsia"/>
          <w:highlight w:val="none"/>
        </w:rPr>
        <w:t>区域噪声监测结果昼间、夜间均符合《声环境质量标准》（GB3096-2008）中</w:t>
      </w:r>
      <w:r>
        <w:rPr>
          <w:rFonts w:hint="eastAsia"/>
          <w:highlight w:val="none"/>
          <w:lang w:val="en-US" w:eastAsia="zh-CN"/>
        </w:rPr>
        <w:t>2</w:t>
      </w:r>
      <w:r>
        <w:rPr>
          <w:rFonts w:hint="eastAsia"/>
          <w:highlight w:val="none"/>
        </w:rPr>
        <w:t>类标准要求，</w:t>
      </w:r>
      <w:r>
        <w:rPr>
          <w:highlight w:val="none"/>
        </w:rPr>
        <w:t>区域声环境质量较好。</w:t>
      </w:r>
    </w:p>
    <w:p>
      <w:pPr>
        <w:ind w:firstLine="480"/>
        <w:rPr>
          <w:highlight w:val="none"/>
        </w:rPr>
      </w:pPr>
      <w:r>
        <w:rPr>
          <w:rFonts w:hint="eastAsia"/>
          <w:highlight w:val="none"/>
        </w:rPr>
        <w:t>土壤环境：</w:t>
      </w:r>
      <w:r>
        <w:rPr>
          <w:highlight w:val="none"/>
        </w:rPr>
        <w:t>监测结果表明，</w:t>
      </w:r>
      <w:r>
        <w:rPr>
          <w:rFonts w:hint="eastAsia"/>
          <w:highlight w:val="none"/>
        </w:rPr>
        <w:t>各土壤监测点所有监测因子均能达到《土壤环境质量农用地土壤污染风险管控标准》（GB15618-2018）二级标准</w:t>
      </w:r>
      <w:r>
        <w:rPr>
          <w:highlight w:val="none"/>
        </w:rPr>
        <w:t>要求</w:t>
      </w:r>
      <w:r>
        <w:rPr>
          <w:rFonts w:hint="eastAsia"/>
          <w:highlight w:val="none"/>
        </w:rPr>
        <w:t>，区域土壤环境质量良好。</w:t>
      </w:r>
    </w:p>
    <w:p>
      <w:pPr>
        <w:pStyle w:val="7"/>
        <w:spacing w:before="66"/>
        <w:ind w:firstLine="482"/>
        <w:rPr>
          <w:highlight w:val="none"/>
        </w:rPr>
      </w:pPr>
      <w:r>
        <w:rPr>
          <w:rFonts w:hint="eastAsia"/>
          <w:highlight w:val="none"/>
          <w:lang w:val="en-US" w:eastAsia="zh-CN"/>
        </w:rPr>
        <w:t>8</w:t>
      </w:r>
      <w:r>
        <w:rPr>
          <w:rFonts w:hint="eastAsia"/>
          <w:highlight w:val="none"/>
        </w:rPr>
        <w:t>.1.4工程分析结论</w:t>
      </w:r>
    </w:p>
    <w:p>
      <w:pPr>
        <w:pStyle w:val="8"/>
        <w:ind w:firstLine="482"/>
        <w:rPr>
          <w:highlight w:val="none"/>
        </w:rPr>
      </w:pPr>
      <w:r>
        <w:rPr>
          <w:rFonts w:hint="eastAsia"/>
          <w:highlight w:val="none"/>
          <w:lang w:val="en-US" w:eastAsia="zh-CN"/>
        </w:rPr>
        <w:t>8</w:t>
      </w:r>
      <w:r>
        <w:rPr>
          <w:rFonts w:hint="eastAsia"/>
          <w:highlight w:val="none"/>
        </w:rPr>
        <w:t>.1.4.1废气</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highlight w:val="none"/>
        </w:rPr>
      </w:pPr>
      <w:r>
        <w:rPr>
          <w:rFonts w:hint="eastAsia" w:cs="Times New Roman"/>
          <w:highlight w:val="none"/>
        </w:rPr>
        <w:t>项目运行过程中产生的大气污染物主要为养殖过程猪舍产生的恶臭气体、污水处理过程及固粪处理区产生的恶臭气体、沼气燃烧废气、饲料加工废气及食堂油烟等</w:t>
      </w:r>
      <w:r>
        <w:rPr>
          <w:rFonts w:cs="Times New Roman"/>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kern w:val="0"/>
          <w:szCs w:val="20"/>
          <w:highlight w:val="none"/>
        </w:rPr>
      </w:pPr>
      <w:r>
        <w:rPr>
          <w:rFonts w:hint="eastAsia"/>
          <w:highlight w:val="none"/>
        </w:rPr>
        <w:t>废气根据不同产生单元，采取相应的处理方式，①猪舍：猪舍定期冲洗、饲料添加除臭剂；②臭气产生单元周围加强绿化工作。③食堂油烟经油烟净化装置处理后经高于食堂所在建筑物顶部烟囱排放。</w:t>
      </w:r>
      <w:r>
        <w:rPr>
          <w:rFonts w:hint="eastAsia" w:ascii="宋体" w:hAnsi="宋体" w:eastAsia="宋体" w:cs="宋体"/>
          <w:highlight w:val="none"/>
        </w:rPr>
        <w:t>④</w:t>
      </w:r>
      <w:r>
        <w:rPr>
          <w:rFonts w:hint="eastAsia" w:ascii="宋体" w:hAnsi="宋体" w:cs="宋体"/>
          <w:highlight w:val="none"/>
          <w:lang w:eastAsia="zh-CN"/>
        </w:rPr>
        <w:t>锅炉燃烧废气经</w:t>
      </w:r>
      <w:r>
        <w:rPr>
          <w:rFonts w:hint="eastAsia" w:ascii="宋体" w:hAnsi="宋体" w:cs="宋体"/>
          <w:highlight w:val="none"/>
          <w:lang w:val="en-US" w:eastAsia="zh-CN"/>
        </w:rPr>
        <w:t>8米排气筒排放。</w:t>
      </w:r>
      <w:r>
        <w:rPr>
          <w:rFonts w:hint="eastAsia" w:ascii="宋体" w:hAnsi="宋体" w:eastAsia="宋体" w:cs="宋体"/>
          <w:highlight w:val="none"/>
          <w:lang w:eastAsia="zh-CN"/>
        </w:rPr>
        <w:t>⑤</w:t>
      </w:r>
      <w:r>
        <w:rPr>
          <w:rFonts w:hint="eastAsia"/>
          <w:highlight w:val="none"/>
          <w:lang w:eastAsia="zh-CN"/>
        </w:rPr>
        <w:t>饲料加工生产线锅炉燃烧废气采取低氮技术处理后经</w:t>
      </w:r>
      <w:r>
        <w:rPr>
          <w:rFonts w:hint="eastAsia"/>
          <w:highlight w:val="none"/>
          <w:lang w:val="en-US" w:eastAsia="zh-CN"/>
        </w:rPr>
        <w:t>8米高排气筒排放；接收过程产生的粉尘经负压收集后经4套脉冲除尘器处理后分别通过2台风机送入投料棚侧面2根15m高排气筒排放；清理过程产生的粉尘经集气罩收集后经1套沙克龙除尘器+脉冲除尘器处理后通过1台风机送入投料棚侧面1根15m高排气筒排放；辅料投料过程产生的粉尘经集气罩收集后经1套脉冲除尘器处理后通过1台风机送入主车间的1根15m高排气筒排放；粉碎过程产生的粉尘经集气罩收集后经1套脉冲除尘器处理后通过1台风机送入主车间的1根15m高排气筒排放；制粒过程产生的粉尘经集气罩收集后经1套沙克龙除尘器处理后通过1台风机送入主车间的1根20m高排气筒排放</w:t>
      </w:r>
      <w:r>
        <w:rPr>
          <w:rFonts w:cs="Times New Roman"/>
          <w:kern w:val="0"/>
          <w:szCs w:val="20"/>
          <w:highlight w:val="none"/>
        </w:rPr>
        <w:t>。</w:t>
      </w:r>
    </w:p>
    <w:p>
      <w:pPr>
        <w:pStyle w:val="8"/>
        <w:ind w:firstLine="482"/>
        <w:rPr>
          <w:highlight w:val="none"/>
        </w:rPr>
      </w:pPr>
      <w:r>
        <w:rPr>
          <w:rFonts w:hint="eastAsia"/>
          <w:highlight w:val="none"/>
          <w:lang w:val="en-US" w:eastAsia="zh-CN"/>
        </w:rPr>
        <w:t>8</w:t>
      </w:r>
      <w:r>
        <w:rPr>
          <w:rFonts w:hint="eastAsia"/>
          <w:highlight w:val="none"/>
        </w:rPr>
        <w:t>.1.4.2废水</w:t>
      </w:r>
    </w:p>
    <w:p>
      <w:pPr>
        <w:ind w:firstLine="480"/>
        <w:rPr>
          <w:rFonts w:hint="eastAsia" w:cs="Times New Roman"/>
          <w:highlight w:val="none"/>
        </w:rPr>
      </w:pPr>
      <w:r>
        <w:rPr>
          <w:rFonts w:hint="eastAsia" w:cs="Times New Roman"/>
          <w:highlight w:val="none"/>
        </w:rPr>
        <w:t>运营期产生的废水主要为工程废水主要为养殖废水、生活污水。</w:t>
      </w:r>
    </w:p>
    <w:p>
      <w:pPr>
        <w:ind w:firstLine="480"/>
        <w:rPr>
          <w:rFonts w:hint="eastAsia" w:cs="Times New Roman"/>
          <w:highlight w:val="none"/>
        </w:rPr>
      </w:pPr>
      <w:r>
        <w:rPr>
          <w:rFonts w:hint="eastAsia" w:cs="Times New Roman"/>
          <w:highlight w:val="none"/>
        </w:rPr>
        <w:t>养殖区废水为猪舍冲洗废水、尿液的混合废水。生活污水</w:t>
      </w:r>
      <w:r>
        <w:rPr>
          <w:rFonts w:hint="eastAsia" w:cs="Times New Roman"/>
          <w:highlight w:val="none"/>
          <w:lang w:eastAsia="zh-CN"/>
        </w:rPr>
        <w:t>和养殖区废水一起</w:t>
      </w:r>
      <w:r>
        <w:rPr>
          <w:rFonts w:hint="eastAsia" w:cs="Times New Roman"/>
          <w:highlight w:val="none"/>
        </w:rPr>
        <w:t>经污水处理系统处理后做农肥，不外排。</w:t>
      </w:r>
    </w:p>
    <w:p>
      <w:pPr>
        <w:ind w:firstLine="480"/>
        <w:rPr>
          <w:rFonts w:cs="Times New Roman"/>
          <w:highlight w:val="none"/>
        </w:rPr>
      </w:pPr>
      <w:r>
        <w:rPr>
          <w:rFonts w:hint="eastAsia" w:cs="Times New Roman"/>
          <w:highlight w:val="none"/>
        </w:rPr>
        <w:t>经上述措施处理后，废水实现资源化利用不排入地表水体，措施可行</w:t>
      </w:r>
      <w:r>
        <w:rPr>
          <w:rFonts w:hint="eastAsia" w:ascii="宋体" w:hAnsi="宋体" w:cs="宋体"/>
          <w:highlight w:val="none"/>
          <w:lang w:bidi="ar"/>
        </w:rPr>
        <w:t>。</w:t>
      </w:r>
    </w:p>
    <w:p>
      <w:pPr>
        <w:pStyle w:val="8"/>
        <w:ind w:firstLine="482"/>
        <w:rPr>
          <w:highlight w:val="none"/>
        </w:rPr>
      </w:pPr>
      <w:r>
        <w:rPr>
          <w:rFonts w:hint="eastAsia"/>
          <w:highlight w:val="none"/>
          <w:lang w:val="en-US" w:eastAsia="zh-CN"/>
        </w:rPr>
        <w:t>8</w:t>
      </w:r>
      <w:r>
        <w:rPr>
          <w:rFonts w:hint="eastAsia"/>
          <w:highlight w:val="none"/>
        </w:rPr>
        <w:t>.1.4.3固废</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cs="Times New Roman"/>
          <w:highlight w:val="none"/>
        </w:rPr>
        <w:t>本项目产生的固体废物主要包括猪粪固形物、厌氧发酵后的沼渣、疾病防疫产生的医疗废物、职工生活垃圾、废脱硫剂</w:t>
      </w:r>
      <w:r>
        <w:rPr>
          <w:rFonts w:hint="eastAsia" w:cs="Times New Roman"/>
          <w:highlight w:val="none"/>
          <w:lang w:eastAsia="zh-CN"/>
        </w:rPr>
        <w:t>、饲料加工过程产生的杂质、除尘器收集的粉尘</w:t>
      </w:r>
      <w:r>
        <w:rPr>
          <w:rFonts w:hint="eastAsia" w:cs="Times New Roman"/>
          <w:highlight w:val="none"/>
        </w:rPr>
        <w:t>等</w:t>
      </w:r>
      <w:r>
        <w:rPr>
          <w:rFonts w:cs="Times New Roman"/>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highlight w:val="none"/>
        </w:rPr>
      </w:pPr>
      <w:r>
        <w:rPr>
          <w:rFonts w:hint="eastAsia"/>
          <w:highlight w:val="none"/>
        </w:rPr>
        <w:t>全场猪粪在场区内发酵场进行发酵，制成有机肥基肥直接出售。沼渣脱水后作为有机肥基肥外售。病死猪尸及母猪胎盘场区当日送正阳一场的无害化处理车间进行高温化制处理，病死猪产生后做到日产日处理，本项目厂区不再采取病死猪暂存措施；医疗废物和废离子交换树脂定期交由新蔡县中绿环保科技有限公司处置；废脱硫剂由生产厂家统一回收处置；生活垃圾环卫部门定期收集后运往垃圾填埋场；收集的粉尘回用于饲料加工生产；清理产生的尘土收集后用于场区平整；金属杂质收集后外售</w:t>
      </w:r>
      <w:r>
        <w:rPr>
          <w:rFonts w:hint="eastAsia" w:cs="Times New Roman"/>
          <w:highlight w:val="none"/>
        </w:rPr>
        <w:t>。</w:t>
      </w:r>
    </w:p>
    <w:p>
      <w:pPr>
        <w:pStyle w:val="8"/>
        <w:ind w:firstLine="482"/>
        <w:rPr>
          <w:highlight w:val="none"/>
        </w:rPr>
      </w:pPr>
      <w:r>
        <w:rPr>
          <w:rFonts w:hint="eastAsia"/>
          <w:highlight w:val="none"/>
          <w:lang w:val="en-US" w:eastAsia="zh-CN"/>
        </w:rPr>
        <w:t>8</w:t>
      </w:r>
      <w:r>
        <w:rPr>
          <w:rFonts w:hint="eastAsia"/>
          <w:highlight w:val="none"/>
        </w:rPr>
        <w:t>.1.4.4</w:t>
      </w:r>
      <w:r>
        <w:rPr>
          <w:highlight w:val="none"/>
        </w:rPr>
        <w:t>噪声</w:t>
      </w:r>
    </w:p>
    <w:p>
      <w:pPr>
        <w:ind w:firstLine="480"/>
        <w:rPr>
          <w:rFonts w:cs="Times New Roman"/>
          <w:highlight w:val="none"/>
        </w:rPr>
      </w:pPr>
      <w:r>
        <w:rPr>
          <w:rFonts w:hint="eastAsia" w:cs="Times New Roman"/>
          <w:highlight w:val="none"/>
        </w:rPr>
        <w:t>噪声主要为猪叫声、清洗猪舍时高压水枪配套空压机、猪舍降温配套负压风机、粪污处理设施等设备运行时产生的噪声，根据类比调查，其源强为</w:t>
      </w:r>
      <w:r>
        <w:rPr>
          <w:rFonts w:hint="eastAsia" w:cs="Times New Roman"/>
          <w:highlight w:val="none"/>
          <w:lang w:val="en-US" w:eastAsia="zh-CN"/>
        </w:rPr>
        <w:t>65</w:t>
      </w:r>
      <w:r>
        <w:rPr>
          <w:rFonts w:hint="eastAsia" w:cs="Times New Roman"/>
          <w:highlight w:val="none"/>
        </w:rPr>
        <w:t>～90dB(A)。在采取相应的隔声减振措施后，噪声能够达标排放，措施可行。</w:t>
      </w:r>
    </w:p>
    <w:p>
      <w:pPr>
        <w:pStyle w:val="7"/>
        <w:spacing w:before="66"/>
        <w:ind w:firstLine="482"/>
        <w:rPr>
          <w:highlight w:val="none"/>
        </w:rPr>
      </w:pPr>
      <w:r>
        <w:rPr>
          <w:rFonts w:hint="eastAsia"/>
          <w:highlight w:val="none"/>
          <w:lang w:val="en-US" w:eastAsia="zh-CN"/>
        </w:rPr>
        <w:t>8</w:t>
      </w:r>
      <w:r>
        <w:rPr>
          <w:rFonts w:hint="eastAsia"/>
          <w:highlight w:val="none"/>
        </w:rPr>
        <w:t>.1.5环境影响预测与评价结论</w:t>
      </w:r>
    </w:p>
    <w:p>
      <w:pPr>
        <w:pStyle w:val="8"/>
        <w:ind w:firstLine="482"/>
        <w:rPr>
          <w:highlight w:val="none"/>
        </w:rPr>
      </w:pPr>
      <w:r>
        <w:rPr>
          <w:rFonts w:hint="eastAsia"/>
          <w:highlight w:val="none"/>
          <w:lang w:val="en-US" w:eastAsia="zh-CN"/>
        </w:rPr>
        <w:t>8</w:t>
      </w:r>
      <w:r>
        <w:rPr>
          <w:rFonts w:hint="eastAsia"/>
          <w:highlight w:val="none"/>
        </w:rPr>
        <w:t>.1.5.1大气</w:t>
      </w:r>
    </w:p>
    <w:p>
      <w:pPr>
        <w:ind w:firstLine="480"/>
        <w:rPr>
          <w:rFonts w:hint="eastAsia" w:cs="Times New Roman"/>
          <w:highlight w:val="none"/>
        </w:rPr>
      </w:pPr>
      <w:r>
        <w:rPr>
          <w:highlight w:val="none"/>
        </w:rPr>
        <w:t>由估算模式可知，经相应措施处理后</w:t>
      </w:r>
      <w:r>
        <w:rPr>
          <w:rFonts w:hint="eastAsia"/>
          <w:highlight w:val="none"/>
        </w:rPr>
        <w:t>排放的H</w:t>
      </w:r>
      <w:r>
        <w:rPr>
          <w:rFonts w:hint="eastAsia"/>
          <w:highlight w:val="none"/>
          <w:vertAlign w:val="subscript"/>
        </w:rPr>
        <w:t>2</w:t>
      </w:r>
      <w:r>
        <w:rPr>
          <w:rFonts w:hint="eastAsia"/>
          <w:highlight w:val="none"/>
        </w:rPr>
        <w:t>S、NH</w:t>
      </w:r>
      <w:r>
        <w:rPr>
          <w:rFonts w:hint="eastAsia"/>
          <w:highlight w:val="none"/>
          <w:vertAlign w:val="subscript"/>
        </w:rPr>
        <w:t>3</w:t>
      </w:r>
      <w:r>
        <w:rPr>
          <w:rFonts w:hint="eastAsia"/>
          <w:highlight w:val="none"/>
        </w:rPr>
        <w:t>在污染物最大落地浓度均能满足《环境影响评价技术导则 大气环境（HJ2.2-2018）》中附录D中有害物质的最高允许浓度，颗粒物、SO</w:t>
      </w:r>
      <w:r>
        <w:rPr>
          <w:rFonts w:hint="eastAsia"/>
          <w:highlight w:val="none"/>
          <w:vertAlign w:val="subscript"/>
        </w:rPr>
        <w:t>2</w:t>
      </w:r>
      <w:r>
        <w:rPr>
          <w:rFonts w:hint="eastAsia"/>
          <w:highlight w:val="none"/>
        </w:rPr>
        <w:t>、NO</w:t>
      </w:r>
      <w:r>
        <w:rPr>
          <w:rFonts w:hint="eastAsia"/>
          <w:highlight w:val="none"/>
          <w:vertAlign w:val="subscript"/>
          <w:lang w:val="en-US" w:eastAsia="zh-CN"/>
        </w:rPr>
        <w:t>X</w:t>
      </w:r>
      <w:r>
        <w:rPr>
          <w:rFonts w:hint="eastAsia"/>
          <w:highlight w:val="none"/>
        </w:rPr>
        <w:t>在污染物最大浓度均能满足《环境空气质量标准》（GB3095-2012）中二级标准要求，对环境影响较小</w:t>
      </w:r>
      <w:r>
        <w:rPr>
          <w:highlight w:val="none"/>
        </w:rPr>
        <w:t>。本次评价认为本项目排放的大气污染物对周围地区空气质量影响较小，不会造成这些区域空气环境质量超标现象。经计算，本项目无需设置大气环境防护距离</w:t>
      </w:r>
      <w:r>
        <w:rPr>
          <w:rFonts w:hint="eastAsia"/>
          <w:highlight w:val="none"/>
        </w:rPr>
        <w:t>，本项目最终的防护距离为100m，防护距离内无人口集中区、医院、学校等敏感点存在，满足项目防护距离要求，同时评价建议在该防护距离内不得建设敏感点。</w:t>
      </w:r>
    </w:p>
    <w:p>
      <w:pPr>
        <w:pStyle w:val="8"/>
        <w:ind w:firstLine="482"/>
        <w:rPr>
          <w:highlight w:val="none"/>
        </w:rPr>
      </w:pPr>
      <w:r>
        <w:rPr>
          <w:rFonts w:hint="eastAsia"/>
          <w:highlight w:val="none"/>
          <w:lang w:val="en-US" w:eastAsia="zh-CN"/>
        </w:rPr>
        <w:t>8</w:t>
      </w:r>
      <w:r>
        <w:rPr>
          <w:rFonts w:hint="eastAsia"/>
          <w:highlight w:val="none"/>
        </w:rPr>
        <w:t>.1.5.2地表水</w:t>
      </w:r>
    </w:p>
    <w:p>
      <w:pPr>
        <w:tabs>
          <w:tab w:val="left" w:pos="2640"/>
        </w:tabs>
        <w:ind w:firstLine="480"/>
        <w:rPr>
          <w:highlight w:val="none"/>
        </w:rPr>
      </w:pPr>
      <w:r>
        <w:rPr>
          <w:rFonts w:hint="eastAsia"/>
          <w:highlight w:val="none"/>
        </w:rPr>
        <w:t>项目营运期废水主要为工程废水主要为养殖废水、生活污水</w:t>
      </w:r>
      <w:r>
        <w:rPr>
          <w:rFonts w:hint="eastAsia"/>
          <w:highlight w:val="none"/>
          <w:lang w:eastAsia="zh-CN"/>
        </w:rPr>
        <w:t>；混合后的</w:t>
      </w:r>
      <w:r>
        <w:rPr>
          <w:rFonts w:hint="eastAsia"/>
          <w:highlight w:val="none"/>
        </w:rPr>
        <w:t>废水经场区污水处理工程进行处理，该污水处理工程采用“</w:t>
      </w:r>
      <w:r>
        <w:rPr>
          <w:rFonts w:hint="eastAsia"/>
          <w:highlight w:val="none"/>
          <w:lang w:eastAsia="zh-CN"/>
        </w:rPr>
        <w:t>黑膜</w:t>
      </w:r>
      <w:r>
        <w:rPr>
          <w:rFonts w:hint="eastAsia"/>
          <w:highlight w:val="none"/>
        </w:rPr>
        <w:t>沼气池”的处理工艺。经处理后废水成为肥料，达到《粪便无害化卫生标准》（GB7959-87），全部用于还田。因此本项目运营期产生的养殖废水，对周边环境的影响不大。</w:t>
      </w:r>
    </w:p>
    <w:p>
      <w:pPr>
        <w:pStyle w:val="8"/>
        <w:ind w:firstLine="482"/>
        <w:rPr>
          <w:highlight w:val="none"/>
        </w:rPr>
      </w:pPr>
      <w:r>
        <w:rPr>
          <w:rFonts w:hint="eastAsia"/>
          <w:highlight w:val="none"/>
          <w:lang w:val="en-US" w:eastAsia="zh-CN"/>
        </w:rPr>
        <w:t>8</w:t>
      </w:r>
      <w:r>
        <w:rPr>
          <w:rFonts w:hint="eastAsia"/>
          <w:highlight w:val="none"/>
        </w:rPr>
        <w:t>.1.5.4噪声</w:t>
      </w:r>
    </w:p>
    <w:p>
      <w:pPr>
        <w:ind w:firstLine="480"/>
        <w:rPr>
          <w:highlight w:val="none"/>
        </w:rPr>
      </w:pPr>
      <w:r>
        <w:rPr>
          <w:highlight w:val="none"/>
        </w:rPr>
        <w:t>根据</w:t>
      </w:r>
      <w:r>
        <w:rPr>
          <w:rFonts w:hint="eastAsia"/>
          <w:highlight w:val="none"/>
        </w:rPr>
        <w:t>噪声预测结果</w:t>
      </w:r>
      <w:r>
        <w:rPr>
          <w:highlight w:val="none"/>
        </w:rPr>
        <w:t>，</w:t>
      </w:r>
      <w:r>
        <w:rPr>
          <w:rFonts w:hint="eastAsia"/>
          <w:highlight w:val="none"/>
        </w:rPr>
        <w:t>东</w:t>
      </w:r>
      <w:r>
        <w:rPr>
          <w:highlight w:val="none"/>
        </w:rPr>
        <w:t>、</w:t>
      </w:r>
      <w:r>
        <w:rPr>
          <w:rFonts w:hint="eastAsia"/>
          <w:highlight w:val="none"/>
        </w:rPr>
        <w:t>西、南、北</w:t>
      </w:r>
      <w:r>
        <w:rPr>
          <w:highlight w:val="none"/>
        </w:rPr>
        <w:t>厂界</w:t>
      </w:r>
      <w:r>
        <w:rPr>
          <w:rFonts w:hint="eastAsia"/>
          <w:highlight w:val="none"/>
        </w:rPr>
        <w:t>及居民点处均</w:t>
      </w:r>
      <w:r>
        <w:rPr>
          <w:highlight w:val="none"/>
        </w:rPr>
        <w:t>达到《工业</w:t>
      </w:r>
      <w:r>
        <w:rPr>
          <w:rFonts w:hint="eastAsia"/>
          <w:highlight w:val="none"/>
        </w:rPr>
        <w:t>企业</w:t>
      </w:r>
      <w:r>
        <w:rPr>
          <w:highlight w:val="none"/>
        </w:rPr>
        <w:t>厂界环境噪声排放标准》（GB12348-2008）</w:t>
      </w:r>
      <w:r>
        <w:rPr>
          <w:rFonts w:hint="eastAsia"/>
          <w:highlight w:val="none"/>
          <w:lang w:val="en-US" w:eastAsia="zh-CN"/>
        </w:rPr>
        <w:t>2</w:t>
      </w:r>
      <w:r>
        <w:rPr>
          <w:highlight w:val="none"/>
        </w:rPr>
        <w:t>类标准，项目不会对厂址周围声环境产生明显不利影响。</w:t>
      </w:r>
    </w:p>
    <w:p>
      <w:pPr>
        <w:pStyle w:val="8"/>
        <w:ind w:firstLine="482"/>
        <w:rPr>
          <w:highlight w:val="none"/>
        </w:rPr>
      </w:pPr>
      <w:r>
        <w:rPr>
          <w:rFonts w:hint="eastAsia"/>
          <w:highlight w:val="none"/>
          <w:lang w:val="en-US" w:eastAsia="zh-CN"/>
        </w:rPr>
        <w:t>8</w:t>
      </w:r>
      <w:r>
        <w:rPr>
          <w:rFonts w:hint="eastAsia"/>
          <w:highlight w:val="none"/>
        </w:rPr>
        <w:t>.1.5.5</w:t>
      </w:r>
      <w:r>
        <w:rPr>
          <w:highlight w:val="none"/>
        </w:rPr>
        <w:t>固废</w:t>
      </w:r>
    </w:p>
    <w:p>
      <w:pPr>
        <w:ind w:firstLine="480"/>
        <w:rPr>
          <w:rFonts w:cs="Times New Roman"/>
          <w:highlight w:val="none"/>
        </w:rPr>
      </w:pPr>
      <w:r>
        <w:rPr>
          <w:rFonts w:hint="eastAsia" w:cs="Times New Roman"/>
          <w:highlight w:val="none"/>
        </w:rPr>
        <w:t>本项目产生的固体废物主要包括猪粪固形物、厌氧发酵后的沼渣、疾病防疫产生的医疗废物、职工生活垃圾、废脱硫剂</w:t>
      </w:r>
      <w:r>
        <w:rPr>
          <w:rFonts w:hint="eastAsia" w:cs="Times New Roman"/>
          <w:highlight w:val="none"/>
          <w:lang w:eastAsia="zh-CN"/>
        </w:rPr>
        <w:t>、</w:t>
      </w:r>
      <w:r>
        <w:rPr>
          <w:rFonts w:hint="eastAsia" w:cs="Times New Roman"/>
          <w:highlight w:val="none"/>
        </w:rPr>
        <w:t>饲料加工过程产生的杂质、除尘器收集的粉尘等</w:t>
      </w:r>
      <w:r>
        <w:rPr>
          <w:rFonts w:cs="Times New Roman"/>
          <w:highlight w:val="none"/>
        </w:rPr>
        <w:t>。</w:t>
      </w:r>
    </w:p>
    <w:p>
      <w:pPr>
        <w:ind w:firstLine="480"/>
        <w:rPr>
          <w:highlight w:val="none"/>
        </w:rPr>
      </w:pPr>
      <w:r>
        <w:rPr>
          <w:rFonts w:hint="eastAsia"/>
          <w:highlight w:val="none"/>
        </w:rPr>
        <w:t>项目产生的固体废物均得到合理处理、处置，不会对周围环境造成二次污染。</w:t>
      </w:r>
    </w:p>
    <w:p>
      <w:pPr>
        <w:pStyle w:val="7"/>
        <w:spacing w:before="66"/>
        <w:ind w:firstLine="482"/>
        <w:rPr>
          <w:highlight w:val="none"/>
        </w:rPr>
      </w:pPr>
      <w:r>
        <w:rPr>
          <w:rFonts w:hint="eastAsia"/>
          <w:highlight w:val="none"/>
          <w:lang w:val="en-US" w:eastAsia="zh-CN"/>
        </w:rPr>
        <w:t>8</w:t>
      </w:r>
      <w:r>
        <w:rPr>
          <w:rFonts w:hint="eastAsia"/>
          <w:highlight w:val="none"/>
        </w:rPr>
        <w:t>.1.7环境风险评价</w:t>
      </w:r>
    </w:p>
    <w:p>
      <w:pPr>
        <w:ind w:firstLine="480"/>
        <w:rPr>
          <w:highlight w:val="none"/>
        </w:rPr>
      </w:pPr>
      <w:r>
        <w:rPr>
          <w:rFonts w:hAnsi="宋体"/>
          <w:highlight w:val="none"/>
        </w:rPr>
        <w:t>经物质及生产设施危险性分析，本项目无重大风险源。在积极落实妥善的风险防范措施基础上，本项目环境风险较小</w:t>
      </w:r>
      <w:r>
        <w:rPr>
          <w:rFonts w:hint="eastAsia"/>
          <w:highlight w:val="none"/>
        </w:rPr>
        <w:t>。</w:t>
      </w:r>
    </w:p>
    <w:p>
      <w:pPr>
        <w:pStyle w:val="7"/>
        <w:spacing w:before="66"/>
        <w:ind w:firstLine="482"/>
        <w:rPr>
          <w:highlight w:val="none"/>
        </w:rPr>
      </w:pPr>
      <w:r>
        <w:rPr>
          <w:rFonts w:hint="eastAsia"/>
          <w:highlight w:val="none"/>
          <w:lang w:val="en-US" w:eastAsia="zh-CN"/>
        </w:rPr>
        <w:t>8</w:t>
      </w:r>
      <w:r>
        <w:rPr>
          <w:rFonts w:hint="eastAsia"/>
          <w:highlight w:val="none"/>
        </w:rPr>
        <w:t>.1.8清洁生产与总量控制</w:t>
      </w:r>
    </w:p>
    <w:p>
      <w:pPr>
        <w:ind w:firstLine="480"/>
        <w:rPr>
          <w:highlight w:val="none"/>
        </w:rPr>
      </w:pPr>
      <w:r>
        <w:rPr>
          <w:rFonts w:hint="eastAsia"/>
          <w:highlight w:val="none"/>
        </w:rPr>
        <w:t>本工程具有一定清洁生产水平，此外，强化企业管理是推行清洁生产应该优先考虑的措施。建设方应提高环境管理水平，制定严格的环保管理制度，确保工程各环保设施正常、可靠地运行，以此不断提高工程的清洁生产水平。</w:t>
      </w:r>
    </w:p>
    <w:p>
      <w:pPr>
        <w:ind w:firstLine="480"/>
        <w:rPr>
          <w:highlight w:val="none"/>
        </w:rPr>
      </w:pPr>
      <w:r>
        <w:rPr>
          <w:rFonts w:hint="eastAsia"/>
          <w:highlight w:val="none"/>
        </w:rPr>
        <w:t>根据</w:t>
      </w:r>
      <w:r>
        <w:rPr>
          <w:rFonts w:hint="eastAsia"/>
          <w:highlight w:val="none"/>
          <w:lang w:eastAsia="zh-CN"/>
        </w:rPr>
        <w:t>河</w:t>
      </w:r>
      <w:r>
        <w:rPr>
          <w:rFonts w:hint="eastAsia"/>
          <w:highlight w:val="none"/>
        </w:rPr>
        <w:t>省总量控制的要求，结合本项目排污特点，确定总量控制因子为：</w:t>
      </w:r>
      <w:r>
        <w:rPr>
          <w:rFonts w:hint="eastAsia" w:cs="Times New Roman"/>
          <w:highlight w:val="none"/>
        </w:rPr>
        <w:t>气型污染物</w:t>
      </w:r>
      <w:r>
        <w:rPr>
          <w:rFonts w:ascii="Times New Roman" w:hAnsi="Times New Roman" w:eastAsia="宋体" w:cs="Times New Roman"/>
          <w:kern w:val="0"/>
          <w:sz w:val="24"/>
          <w:szCs w:val="24"/>
          <w:highlight w:val="none"/>
        </w:rPr>
        <w:t>SO</w:t>
      </w:r>
      <w:r>
        <w:rPr>
          <w:rFonts w:ascii="Times New Roman" w:hAnsi="Times New Roman" w:eastAsia="宋体" w:cs="Times New Roman"/>
          <w:kern w:val="0"/>
          <w:sz w:val="24"/>
          <w:szCs w:val="24"/>
          <w:highlight w:val="none"/>
          <w:vertAlign w:val="subscript"/>
        </w:rPr>
        <w:t>2</w:t>
      </w:r>
      <w:r>
        <w:rPr>
          <w:rFonts w:ascii="Times New Roman" w:hAnsi="Times New Roman" w:eastAsia="宋体" w:cs="Times New Roman"/>
          <w:kern w:val="0"/>
          <w:sz w:val="24"/>
          <w:szCs w:val="24"/>
          <w:highlight w:val="none"/>
        </w:rPr>
        <w:t>：</w:t>
      </w:r>
      <w:r>
        <w:rPr>
          <w:rFonts w:hint="eastAsia" w:ascii="Times New Roman" w:hAnsi="Times New Roman" w:eastAsia="宋体" w:cs="Times New Roman"/>
          <w:kern w:val="0"/>
          <w:sz w:val="24"/>
          <w:szCs w:val="24"/>
          <w:highlight w:val="none"/>
        </w:rPr>
        <w:t>0.</w:t>
      </w:r>
      <w:r>
        <w:rPr>
          <w:rFonts w:hint="eastAsia" w:ascii="Times New Roman" w:hAnsi="Times New Roman" w:cs="Times New Roman"/>
          <w:kern w:val="0"/>
          <w:sz w:val="24"/>
          <w:szCs w:val="24"/>
          <w:highlight w:val="none"/>
          <w:lang w:val="en-US" w:eastAsia="zh-CN"/>
        </w:rPr>
        <w:t>0</w:t>
      </w:r>
      <w:r>
        <w:rPr>
          <w:rFonts w:hint="eastAsia" w:cs="Times New Roman"/>
          <w:kern w:val="0"/>
          <w:sz w:val="24"/>
          <w:szCs w:val="24"/>
          <w:highlight w:val="none"/>
          <w:lang w:val="en-US" w:eastAsia="zh-CN"/>
        </w:rPr>
        <w:t>28</w:t>
      </w:r>
      <w:r>
        <w:rPr>
          <w:rFonts w:ascii="Times New Roman" w:hAnsi="Times New Roman" w:eastAsia="宋体" w:cs="Times New Roman"/>
          <w:kern w:val="0"/>
          <w:sz w:val="24"/>
          <w:szCs w:val="24"/>
          <w:highlight w:val="none"/>
        </w:rPr>
        <w:t>t/a</w:t>
      </w:r>
      <w:r>
        <w:rPr>
          <w:rFonts w:hint="eastAsia" w:cs="Times New Roman"/>
          <w:kern w:val="0"/>
          <w:sz w:val="24"/>
          <w:szCs w:val="24"/>
          <w:highlight w:val="none"/>
          <w:lang w:eastAsia="zh-CN"/>
        </w:rPr>
        <w:t>；</w:t>
      </w:r>
      <w:r>
        <w:rPr>
          <w:rFonts w:ascii="Times New Roman" w:hAnsi="Times New Roman" w:eastAsia="宋体" w:cs="Times New Roman"/>
          <w:kern w:val="0"/>
          <w:sz w:val="24"/>
          <w:szCs w:val="24"/>
          <w:highlight w:val="none"/>
        </w:rPr>
        <w:t>NO</w:t>
      </w:r>
      <w:r>
        <w:rPr>
          <w:rFonts w:ascii="Times New Roman" w:hAnsi="Times New Roman" w:eastAsia="宋体" w:cs="Times New Roman"/>
          <w:kern w:val="0"/>
          <w:sz w:val="24"/>
          <w:szCs w:val="24"/>
          <w:highlight w:val="none"/>
          <w:vertAlign w:val="subscript"/>
        </w:rPr>
        <w:t>X</w:t>
      </w:r>
      <w:r>
        <w:rPr>
          <w:rFonts w:ascii="Times New Roman" w:hAnsi="Times New Roman" w:eastAsia="宋体" w:cs="Times New Roman"/>
          <w:kern w:val="0"/>
          <w:sz w:val="24"/>
          <w:szCs w:val="24"/>
          <w:highlight w:val="none"/>
        </w:rPr>
        <w:t>：</w:t>
      </w:r>
      <w:r>
        <w:rPr>
          <w:rFonts w:hint="eastAsia" w:ascii="Times New Roman" w:hAnsi="Times New Roman" w:eastAsia="宋体" w:cs="Times New Roman"/>
          <w:kern w:val="0"/>
          <w:sz w:val="24"/>
          <w:szCs w:val="24"/>
          <w:highlight w:val="none"/>
        </w:rPr>
        <w:t>0.</w:t>
      </w:r>
      <w:r>
        <w:rPr>
          <w:rFonts w:hint="eastAsia" w:cs="Times New Roman"/>
          <w:kern w:val="0"/>
          <w:sz w:val="24"/>
          <w:szCs w:val="24"/>
          <w:highlight w:val="none"/>
          <w:lang w:val="en-US" w:eastAsia="zh-CN"/>
        </w:rPr>
        <w:t>252</w:t>
      </w:r>
      <w:r>
        <w:rPr>
          <w:rFonts w:ascii="Times New Roman" w:hAnsi="Times New Roman" w:eastAsia="宋体" w:cs="Times New Roman"/>
          <w:kern w:val="0"/>
          <w:sz w:val="24"/>
          <w:szCs w:val="24"/>
          <w:highlight w:val="none"/>
        </w:rPr>
        <w:t>t/a</w:t>
      </w:r>
      <w:r>
        <w:rPr>
          <w:rFonts w:hint="eastAsia" w:cs="Times New Roman"/>
          <w:highlight w:val="none"/>
        </w:rPr>
        <w:t>。</w:t>
      </w:r>
    </w:p>
    <w:p>
      <w:pPr>
        <w:pStyle w:val="7"/>
        <w:spacing w:before="66"/>
        <w:ind w:firstLine="482"/>
        <w:rPr>
          <w:highlight w:val="none"/>
        </w:rPr>
      </w:pPr>
      <w:r>
        <w:rPr>
          <w:rFonts w:hint="eastAsia"/>
          <w:highlight w:val="none"/>
          <w:lang w:val="en-US" w:eastAsia="zh-CN"/>
        </w:rPr>
        <w:t>8</w:t>
      </w:r>
      <w:r>
        <w:rPr>
          <w:rFonts w:hint="eastAsia"/>
          <w:highlight w:val="none"/>
        </w:rPr>
        <w:t>.1.9</w:t>
      </w:r>
      <w:r>
        <w:rPr>
          <w:highlight w:val="none"/>
        </w:rPr>
        <w:t>公众参与</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正阳牧原农牧有限公司于2020年5月22日~2020年5月28日在环评互联网网站（https://www.eiabbs.net/forum-91-1.html）发布第一次公众参与信息，并在当地公众易于接触的报纸（天中晚报）进行登报公示，正阳牧原农牧有限公司于2020年5月29日~2020年6月4日在环评互联网网站（https://www.eiabbs.net/forum-91-1.html）发布第二次公众参与信息，并在项目周边敏感点张贴公告进行信息公示，项目公示期间未收到公众反馈意见。</w:t>
      </w:r>
    </w:p>
    <w:p>
      <w:pPr>
        <w:pStyle w:val="7"/>
        <w:spacing w:before="66"/>
        <w:ind w:firstLine="482"/>
        <w:rPr>
          <w:highlight w:val="none"/>
        </w:rPr>
      </w:pPr>
      <w:r>
        <w:rPr>
          <w:rFonts w:hint="eastAsia"/>
          <w:highlight w:val="none"/>
          <w:lang w:val="en-US" w:eastAsia="zh-CN"/>
        </w:rPr>
        <w:t>8</w:t>
      </w:r>
      <w:r>
        <w:rPr>
          <w:rFonts w:hint="eastAsia"/>
          <w:highlight w:val="none"/>
        </w:rPr>
        <w:t>.1.11环境管理与监测计划</w:t>
      </w:r>
    </w:p>
    <w:p>
      <w:pPr>
        <w:ind w:firstLine="480"/>
        <w:rPr>
          <w:highlight w:val="none"/>
        </w:rPr>
      </w:pPr>
      <w:r>
        <w:rPr>
          <w:rFonts w:hint="eastAsia"/>
          <w:highlight w:val="none"/>
        </w:rPr>
        <w:t>环评要求建设单位设立安全环保部，负责日常的环保管理。本工程日常环境监测可委托具备环境监测资质的监测单位进行。</w:t>
      </w:r>
    </w:p>
    <w:p>
      <w:pPr>
        <w:pStyle w:val="6"/>
        <w:spacing w:before="132"/>
        <w:rPr>
          <w:highlight w:val="none"/>
        </w:rPr>
      </w:pPr>
      <w:bookmarkStart w:id="69" w:name="_Toc320695785"/>
      <w:bookmarkStart w:id="70" w:name="_Toc303972334"/>
      <w:bookmarkStart w:id="71" w:name="_Toc18340"/>
      <w:bookmarkStart w:id="72" w:name="_Toc359572161"/>
      <w:bookmarkStart w:id="73" w:name="_Toc345004016"/>
      <w:bookmarkStart w:id="74" w:name="_Toc28334"/>
      <w:r>
        <w:rPr>
          <w:rFonts w:hint="eastAsia"/>
          <w:highlight w:val="none"/>
          <w:lang w:val="en-US" w:eastAsia="zh-CN"/>
        </w:rPr>
        <w:t>8</w:t>
      </w:r>
      <w:r>
        <w:rPr>
          <w:highlight w:val="none"/>
        </w:rPr>
        <w:t>.2建议</w:t>
      </w:r>
      <w:bookmarkEnd w:id="69"/>
      <w:bookmarkEnd w:id="70"/>
      <w:bookmarkEnd w:id="71"/>
      <w:bookmarkEnd w:id="72"/>
      <w:bookmarkEnd w:id="73"/>
      <w:bookmarkEnd w:id="74"/>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（1）企业必须落实本环评提出的各项污染防治措施，并严格执行“三同时制度”在本项目各项环保措施完成竣工验收后方可投入运行。</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（2）企业必须在实际生产操作过程中，严格按照操作规程进行，并保证废气处理设施的处理效率，杜绝非正常工况的发生。</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3）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4）加强全场卫生管理，防止疫病传播与扩散；定期对场区进行消毒，防止蝇、蛆滋生，防止病原体的传播与扩散；场区应合理布局，实现安全生产和无害化管理；病死猪及母猪胎盘送至场区配套建设的病死猪处理设施处置。</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5）企业应积极稳妥地采取措施，按《畜禽养殖业污染防治技术规范》（HJ/T81－2001）要求强化流程管理，防止各主要环节恶臭污染物的产生。在规定的500m控制距离内，规划部门不得再规划建设居民区、学校、医院、疗养院等环境敏感点。</w:t>
      </w:r>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int="eastAsia"/>
          <w:highlight w:val="none"/>
        </w:rPr>
        <w:t>（6）重视安全生产、环保治理、卫生防护，提高风险防范和管理意识，加强防毒、防腐、防火措施和对有毒、有害、易燃原材料等管理。加强对易腐蚀的管道、阀门等维护，定期更换，杜绝由此引发的各类事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highlight w:val="none"/>
        </w:rPr>
      </w:pPr>
      <w:r>
        <w:rPr>
          <w:rFonts w:hint="eastAsia"/>
          <w:highlight w:val="none"/>
        </w:rPr>
        <w:t>（7）如产品方案、工艺、设备、原辅材料消耗等生产情况有大的变动，应及时向有关部门及时申报。</w:t>
      </w:r>
    </w:p>
    <w:p>
      <w:pPr>
        <w:pStyle w:val="6"/>
        <w:spacing w:before="132"/>
        <w:rPr>
          <w:rFonts w:hint="eastAsia"/>
          <w:highlight w:val="none"/>
          <w:lang w:val="en-US" w:eastAsia="zh-CN"/>
        </w:rPr>
      </w:pPr>
      <w:bookmarkStart w:id="75" w:name="_Toc29104"/>
      <w:r>
        <w:rPr>
          <w:rFonts w:hint="eastAsia"/>
          <w:highlight w:val="none"/>
          <w:lang w:val="en-US" w:eastAsia="zh-CN"/>
        </w:rPr>
        <w:t>8.3总结论</w:t>
      </w:r>
      <w:bookmarkEnd w:id="75"/>
    </w:p>
    <w:p>
      <w:pPr>
        <w:keepNext w:val="0"/>
        <w:keepLines w:val="0"/>
        <w:pageBreakBefore w:val="0"/>
        <w:widowControl/>
        <w:kinsoku/>
        <w:wordWrap/>
        <w:overflowPunct/>
        <w:topLinePunct w:val="0"/>
        <w:autoSpaceDE/>
        <w:autoSpaceDN/>
        <w:bidi w:val="0"/>
        <w:adjustRightInd/>
        <w:snapToGrid/>
        <w:ind w:firstLine="480"/>
        <w:textAlignment w:val="auto"/>
        <w:rPr>
          <w:highlight w:val="none"/>
        </w:rPr>
      </w:pPr>
      <w:r>
        <w:rPr>
          <w:rFonts w:hAnsi="宋体"/>
          <w:highlight w:val="none"/>
        </w:rPr>
        <w:t>综上所述，项目符合国家产业政策，选址</w:t>
      </w:r>
      <w:r>
        <w:rPr>
          <w:rFonts w:hint="eastAsia" w:hAnsi="宋体"/>
          <w:highlight w:val="none"/>
        </w:rPr>
        <w:t>可行</w:t>
      </w:r>
      <w:r>
        <w:rPr>
          <w:rFonts w:hAnsi="宋体"/>
          <w:highlight w:val="none"/>
        </w:rPr>
        <w:t>，污染物达标排放，总量在可控制的范围内平衡，在杜绝设备故障的情况下，项目对评价区域环境影响较小，不会降低区域的环境质量现状，清洁生产水平</w:t>
      </w:r>
      <w:r>
        <w:rPr>
          <w:rFonts w:hint="eastAsia" w:hAnsi="宋体"/>
          <w:highlight w:val="none"/>
        </w:rPr>
        <w:t>满足</w:t>
      </w:r>
      <w:r>
        <w:rPr>
          <w:rFonts w:hAnsi="宋体"/>
          <w:highlight w:val="none"/>
        </w:rPr>
        <w:t>要求，周围居民对建设项目的建设持支持态度，因此，从环保角度来讲，该项目在拟建地建设是可行的。</w:t>
      </w:r>
    </w:p>
    <w:p>
      <w:pPr>
        <w:pStyle w:val="2"/>
        <w:rPr>
          <w:highlight w:val="none"/>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1FF" w:csb1="00000000"/>
  </w:font>
  <w:font w:name="Alaska">
    <w:altName w:val="Arial"/>
    <w:panose1 w:val="00000000000000000000"/>
    <w:charset w:val="00"/>
    <w:family w:val="swiss"/>
    <w:pitch w:val="default"/>
    <w:sig w:usb0="00000000" w:usb1="00000000" w:usb2="00000000" w:usb3="00000000" w:csb0="00000011" w:csb1="00000000"/>
  </w:font>
  <w:font w:name="华文新魏">
    <w:altName w:val="微软雅黑"/>
    <w:panose1 w:val="02010800040101010101"/>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p>
    <w:pPr>
      <w:pStyle w:val="16"/>
      <w:ind w:firstLine="360"/>
      <w:jc w:val="center"/>
    </w:pPr>
    <w:r>
      <mc:AlternateContent>
        <mc:Choice Requires="wps">
          <w:drawing>
            <wp:anchor distT="0" distB="0" distL="114300" distR="114300" simplePos="0" relativeHeight="251660288" behindDoc="0" locked="0" layoutInCell="1" allowOverlap="1">
              <wp:simplePos x="0" y="0"/>
              <wp:positionH relativeFrom="margin">
                <wp:posOffset>2467610</wp:posOffset>
              </wp:positionH>
              <wp:positionV relativeFrom="paragraph">
                <wp:posOffset>0</wp:posOffset>
              </wp:positionV>
              <wp:extent cx="522605"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522605" cy="1828800"/>
                      </a:xfrm>
                      <a:prstGeom prst="rect">
                        <a:avLst/>
                      </a:prstGeom>
                      <a:noFill/>
                      <a:ln w="15875">
                        <a:noFill/>
                      </a:ln>
                    </wps:spPr>
                    <wps:txbx>
                      <w:txbxContent>
                        <w:p>
                          <w:pPr>
                            <w:ind w:firstLine="480"/>
                          </w:pPr>
                        </w:p>
                      </w:txbxContent>
                    </wps:txbx>
                    <wps:bodyPr lIns="0" tIns="0" rIns="0" bIns="0">
                      <a:spAutoFit/>
                    </wps:bodyPr>
                  </wps:wsp>
                </a:graphicData>
              </a:graphic>
            </wp:anchor>
          </w:drawing>
        </mc:Choice>
        <mc:Fallback>
          <w:pict>
            <v:shape id="文本框 1" o:spid="_x0000_s1026" o:spt="202" type="#_x0000_t202" style="position:absolute;left:0pt;margin-left:194.3pt;margin-top:0pt;height:144pt;width:41.15pt;mso-position-horizontal-relative:margin;z-index:251660288;mso-width-relative:page;mso-height-relative:page;" filled="f" stroked="f" coordsize="21600,21600" o:gfxdata="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pEqVtgA&#10;AAAIAQAADwAAAAAAAAABACAAAAAiAAAAZHJzL2Rvd25yZXYueG1sUEsBAhQAFAAAAAgAh07iQMP1&#10;P8CtAQAAPAMAAA4AAAAAAAAAAQAgAAAAJwEAAGRycy9lMm9Eb2MueG1sUEsFBgAAAAAGAAYAWQEA&#10;AEYFAAAAAA==&#10;">
              <v:fill on="f" focussize="0,0"/>
              <v:stroke on="f" weight="1.25pt"/>
              <v:imagedata o:title=""/>
              <o:lock v:ext="edit" aspectratio="f"/>
              <v:textbox inset="0mm,0mm,0mm,0mm" style="mso-fit-shape-to-text:t;">
                <w:txbxContent>
                  <w:p>
                    <w:pPr>
                      <w:ind w:firstLine="48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ind w:firstLine="0" w:firstLineChars="0"/>
      <w:jc w:val="center"/>
    </w:pPr>
    <w:r>
      <w:rPr>
        <w:rFonts w:hint="eastAsia"/>
      </w:rPr>
      <w:t>正阳牧原农牧有限公司八场生猪养殖项目环境影响报告书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8D41F"/>
    <w:multiLevelType w:val="singleLevel"/>
    <w:tmpl w:val="9158D41F"/>
    <w:lvl w:ilvl="0" w:tentative="0">
      <w:start w:val="1"/>
      <w:numFmt w:val="decimal"/>
      <w:suff w:val="nothing"/>
      <w:lvlText w:val="%1）"/>
      <w:lvlJc w:val="left"/>
    </w:lvl>
  </w:abstractNum>
  <w:abstractNum w:abstractNumId="1">
    <w:nsid w:val="9C0C3096"/>
    <w:multiLevelType w:val="singleLevel"/>
    <w:tmpl w:val="9C0C3096"/>
    <w:lvl w:ilvl="0" w:tentative="0">
      <w:start w:val="2"/>
      <w:numFmt w:val="decimal"/>
      <w:suff w:val="nothing"/>
      <w:lvlText w:val="%1、"/>
      <w:lvlJc w:val="left"/>
    </w:lvl>
  </w:abstractNum>
  <w:abstractNum w:abstractNumId="2">
    <w:nsid w:val="A9FF0ABE"/>
    <w:multiLevelType w:val="singleLevel"/>
    <w:tmpl w:val="A9FF0ABE"/>
    <w:lvl w:ilvl="0" w:tentative="0">
      <w:start w:val="8"/>
      <w:numFmt w:val="decimal"/>
      <w:suff w:val="nothing"/>
      <w:lvlText w:val="%1、"/>
      <w:lvlJc w:val="left"/>
    </w:lvl>
  </w:abstractNum>
  <w:abstractNum w:abstractNumId="3">
    <w:nsid w:val="F051F747"/>
    <w:multiLevelType w:val="singleLevel"/>
    <w:tmpl w:val="F051F747"/>
    <w:lvl w:ilvl="0" w:tentative="0">
      <w:start w:val="1"/>
      <w:numFmt w:val="decimal"/>
      <w:suff w:val="nothing"/>
      <w:lvlText w:val="%1、"/>
      <w:lvlJc w:val="left"/>
    </w:lvl>
  </w:abstractNum>
  <w:abstractNum w:abstractNumId="4">
    <w:nsid w:val="F16E90EC"/>
    <w:multiLevelType w:val="singleLevel"/>
    <w:tmpl w:val="F16E90EC"/>
    <w:lvl w:ilvl="0" w:tentative="0">
      <w:start w:val="1"/>
      <w:numFmt w:val="decimal"/>
      <w:suff w:val="nothing"/>
      <w:lvlText w:val="%1、"/>
      <w:lvlJc w:val="left"/>
    </w:lvl>
  </w:abstractNum>
  <w:abstractNum w:abstractNumId="5">
    <w:nsid w:val="0AFD01CF"/>
    <w:multiLevelType w:val="singleLevel"/>
    <w:tmpl w:val="0AFD01CF"/>
    <w:lvl w:ilvl="0" w:tentative="0">
      <w:start w:val="1"/>
      <w:numFmt w:val="upperLetter"/>
      <w:suff w:val="nothing"/>
      <w:lvlText w:val="%1、"/>
      <w:lvlJc w:val="left"/>
    </w:lvl>
  </w:abstractNum>
  <w:abstractNum w:abstractNumId="6">
    <w:nsid w:val="3CC4F21D"/>
    <w:multiLevelType w:val="singleLevel"/>
    <w:tmpl w:val="3CC4F21D"/>
    <w:lvl w:ilvl="0" w:tentative="0">
      <w:start w:val="1"/>
      <w:numFmt w:val="lowerLetter"/>
      <w:suff w:val="nothing"/>
      <w:lvlText w:val="%1、"/>
      <w:lvlJc w:val="left"/>
    </w:lvl>
  </w:abstractNum>
  <w:abstractNum w:abstractNumId="7">
    <w:nsid w:val="454EF475"/>
    <w:multiLevelType w:val="singleLevel"/>
    <w:tmpl w:val="454EF475"/>
    <w:lvl w:ilvl="0" w:tentative="0">
      <w:start w:val="1"/>
      <w:numFmt w:val="decimal"/>
      <w:suff w:val="nothing"/>
      <w:lvlText w:val="（%1）"/>
      <w:lvlJc w:val="left"/>
    </w:lvl>
  </w:abstractNum>
  <w:abstractNum w:abstractNumId="8">
    <w:nsid w:val="596E177E"/>
    <w:multiLevelType w:val="singleLevel"/>
    <w:tmpl w:val="596E177E"/>
    <w:lvl w:ilvl="0" w:tentative="0">
      <w:start w:val="1"/>
      <w:numFmt w:val="decimal"/>
      <w:suff w:val="nothing"/>
      <w:lvlText w:val="（%1）"/>
      <w:lvlJc w:val="left"/>
    </w:lvl>
  </w:abstractNum>
  <w:abstractNum w:abstractNumId="9">
    <w:nsid w:val="59CDA8B9"/>
    <w:multiLevelType w:val="singleLevel"/>
    <w:tmpl w:val="59CDA8B9"/>
    <w:lvl w:ilvl="0" w:tentative="0">
      <w:start w:val="1"/>
      <w:numFmt w:val="chineseCounting"/>
      <w:suff w:val="nothing"/>
      <w:lvlText w:val="%1、"/>
      <w:lvlJc w:val="left"/>
    </w:lvl>
  </w:abstractNum>
  <w:abstractNum w:abstractNumId="10">
    <w:nsid w:val="59E5A237"/>
    <w:multiLevelType w:val="singleLevel"/>
    <w:tmpl w:val="59E5A237"/>
    <w:lvl w:ilvl="0" w:tentative="0">
      <w:start w:val="1"/>
      <w:numFmt w:val="decimal"/>
      <w:suff w:val="nothing"/>
      <w:lvlText w:val="（%1）"/>
      <w:lvlJc w:val="left"/>
    </w:lvl>
  </w:abstractNum>
  <w:abstractNum w:abstractNumId="11">
    <w:nsid w:val="5A1BC8EB"/>
    <w:multiLevelType w:val="singleLevel"/>
    <w:tmpl w:val="5A1BC8EB"/>
    <w:lvl w:ilvl="0" w:tentative="0">
      <w:start w:val="2"/>
      <w:numFmt w:val="decimal"/>
      <w:suff w:val="nothing"/>
      <w:lvlText w:val="（%1）"/>
      <w:lvlJc w:val="left"/>
    </w:lvl>
  </w:abstractNum>
  <w:abstractNum w:abstractNumId="12">
    <w:nsid w:val="5A1BDAA0"/>
    <w:multiLevelType w:val="singleLevel"/>
    <w:tmpl w:val="5A1BDAA0"/>
    <w:lvl w:ilvl="0" w:tentative="0">
      <w:start w:val="1"/>
      <w:numFmt w:val="decimal"/>
      <w:suff w:val="nothing"/>
      <w:lvlText w:val="（%1）"/>
      <w:lvlJc w:val="left"/>
    </w:lvl>
  </w:abstractNum>
  <w:abstractNum w:abstractNumId="13">
    <w:nsid w:val="664535DC"/>
    <w:multiLevelType w:val="singleLevel"/>
    <w:tmpl w:val="664535DC"/>
    <w:lvl w:ilvl="0" w:tentative="0">
      <w:start w:val="2"/>
      <w:numFmt w:val="decimal"/>
      <w:suff w:val="nothing"/>
      <w:lvlText w:val="%1）"/>
      <w:lvlJc w:val="left"/>
    </w:lvl>
  </w:abstractNum>
  <w:abstractNum w:abstractNumId="14">
    <w:nsid w:val="66AF94FD"/>
    <w:multiLevelType w:val="singleLevel"/>
    <w:tmpl w:val="66AF94FD"/>
    <w:lvl w:ilvl="0" w:tentative="0">
      <w:start w:val="1"/>
      <w:numFmt w:val="decimal"/>
      <w:suff w:val="nothing"/>
      <w:lvlText w:val="%1、"/>
      <w:lvlJc w:val="left"/>
    </w:lvl>
  </w:abstractNum>
  <w:abstractNum w:abstractNumId="15">
    <w:nsid w:val="6814D890"/>
    <w:multiLevelType w:val="singleLevel"/>
    <w:tmpl w:val="6814D890"/>
    <w:lvl w:ilvl="0" w:tentative="0">
      <w:start w:val="1"/>
      <w:numFmt w:val="decimal"/>
      <w:suff w:val="nothing"/>
      <w:lvlText w:val="%1）"/>
      <w:lvlJc w:val="left"/>
    </w:lvl>
  </w:abstractNum>
  <w:abstractNum w:abstractNumId="16">
    <w:nsid w:val="6F0F98BC"/>
    <w:multiLevelType w:val="singleLevel"/>
    <w:tmpl w:val="6F0F98BC"/>
    <w:lvl w:ilvl="0" w:tentative="0">
      <w:start w:val="1"/>
      <w:numFmt w:val="decimal"/>
      <w:suff w:val="nothing"/>
      <w:lvlText w:val="（%1）"/>
      <w:lvlJc w:val="left"/>
    </w:lvl>
  </w:abstractNum>
  <w:abstractNum w:abstractNumId="17">
    <w:nsid w:val="7EEF75B5"/>
    <w:multiLevelType w:val="singleLevel"/>
    <w:tmpl w:val="7EEF75B5"/>
    <w:lvl w:ilvl="0" w:tentative="0">
      <w:start w:val="7"/>
      <w:numFmt w:val="chineseCounting"/>
      <w:suff w:val="nothing"/>
      <w:lvlText w:val="（%1）"/>
      <w:lvlJc w:val="left"/>
      <w:rPr>
        <w:rFonts w:hint="eastAsia"/>
      </w:rPr>
    </w:lvl>
  </w:abstractNum>
  <w:num w:numId="1">
    <w:abstractNumId w:val="9"/>
  </w:num>
  <w:num w:numId="2">
    <w:abstractNumId w:val="7"/>
  </w:num>
  <w:num w:numId="3">
    <w:abstractNumId w:val="10"/>
  </w:num>
  <w:num w:numId="4">
    <w:abstractNumId w:val="11"/>
  </w:num>
  <w:num w:numId="5">
    <w:abstractNumId w:val="12"/>
  </w:num>
  <w:num w:numId="6">
    <w:abstractNumId w:val="15"/>
  </w:num>
  <w:num w:numId="7">
    <w:abstractNumId w:val="0"/>
  </w:num>
  <w:num w:numId="8">
    <w:abstractNumId w:val="6"/>
  </w:num>
  <w:num w:numId="9">
    <w:abstractNumId w:val="4"/>
  </w:num>
  <w:num w:numId="10">
    <w:abstractNumId w:val="14"/>
  </w:num>
  <w:num w:numId="11">
    <w:abstractNumId w:val="8"/>
    <w:lvlOverride w:ilvl="0">
      <w:startOverride w:val="1"/>
    </w:lvlOverride>
  </w:num>
  <w:num w:numId="12">
    <w:abstractNumId w:val="3"/>
  </w:num>
  <w:num w:numId="13">
    <w:abstractNumId w:val="17"/>
  </w:num>
  <w:num w:numId="14">
    <w:abstractNumId w:val="13"/>
  </w:num>
  <w:num w:numId="15">
    <w:abstractNumId w:val="5"/>
  </w:num>
  <w:num w:numId="16">
    <w:abstractNumId w:val="1"/>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hideGrammaticalErrors/>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F4"/>
    <w:rsid w:val="000048B6"/>
    <w:rsid w:val="00010747"/>
    <w:rsid w:val="000111F4"/>
    <w:rsid w:val="000118A8"/>
    <w:rsid w:val="000141CC"/>
    <w:rsid w:val="00020B01"/>
    <w:rsid w:val="0003280A"/>
    <w:rsid w:val="00033D6B"/>
    <w:rsid w:val="00036BD0"/>
    <w:rsid w:val="00037A06"/>
    <w:rsid w:val="000416C4"/>
    <w:rsid w:val="00042D96"/>
    <w:rsid w:val="00052506"/>
    <w:rsid w:val="000607EE"/>
    <w:rsid w:val="00061A71"/>
    <w:rsid w:val="00062073"/>
    <w:rsid w:val="00062469"/>
    <w:rsid w:val="00062F52"/>
    <w:rsid w:val="00064613"/>
    <w:rsid w:val="00067DB1"/>
    <w:rsid w:val="00072F11"/>
    <w:rsid w:val="00074359"/>
    <w:rsid w:val="00075D99"/>
    <w:rsid w:val="00082808"/>
    <w:rsid w:val="00090DB7"/>
    <w:rsid w:val="00094334"/>
    <w:rsid w:val="000A0044"/>
    <w:rsid w:val="000A1D19"/>
    <w:rsid w:val="000A51E5"/>
    <w:rsid w:val="000B485C"/>
    <w:rsid w:val="000C2D16"/>
    <w:rsid w:val="000C4EC2"/>
    <w:rsid w:val="000C7992"/>
    <w:rsid w:val="000D10AA"/>
    <w:rsid w:val="000D2199"/>
    <w:rsid w:val="000D4C8C"/>
    <w:rsid w:val="000D6DD3"/>
    <w:rsid w:val="000E23C9"/>
    <w:rsid w:val="000E4DED"/>
    <w:rsid w:val="000E5341"/>
    <w:rsid w:val="000E6106"/>
    <w:rsid w:val="000F1D44"/>
    <w:rsid w:val="000F672D"/>
    <w:rsid w:val="000F6FA9"/>
    <w:rsid w:val="000F7740"/>
    <w:rsid w:val="00100D52"/>
    <w:rsid w:val="00101BD0"/>
    <w:rsid w:val="001039BF"/>
    <w:rsid w:val="00106CA8"/>
    <w:rsid w:val="00110F64"/>
    <w:rsid w:val="0011418D"/>
    <w:rsid w:val="00116FAD"/>
    <w:rsid w:val="0012026A"/>
    <w:rsid w:val="001275AF"/>
    <w:rsid w:val="00127D4B"/>
    <w:rsid w:val="00131DAF"/>
    <w:rsid w:val="001335BC"/>
    <w:rsid w:val="00133B09"/>
    <w:rsid w:val="00134349"/>
    <w:rsid w:val="001361F1"/>
    <w:rsid w:val="0014120A"/>
    <w:rsid w:val="00141BDF"/>
    <w:rsid w:val="00141D8F"/>
    <w:rsid w:val="00141EB6"/>
    <w:rsid w:val="00151027"/>
    <w:rsid w:val="001513F4"/>
    <w:rsid w:val="001533F5"/>
    <w:rsid w:val="00154DB5"/>
    <w:rsid w:val="00155371"/>
    <w:rsid w:val="00160A67"/>
    <w:rsid w:val="00163716"/>
    <w:rsid w:val="001640A2"/>
    <w:rsid w:val="001647CC"/>
    <w:rsid w:val="00164FA6"/>
    <w:rsid w:val="00165365"/>
    <w:rsid w:val="00171144"/>
    <w:rsid w:val="0017138F"/>
    <w:rsid w:val="00172A27"/>
    <w:rsid w:val="00177DE9"/>
    <w:rsid w:val="00182C9D"/>
    <w:rsid w:val="001844F0"/>
    <w:rsid w:val="0018705F"/>
    <w:rsid w:val="001911B8"/>
    <w:rsid w:val="00195726"/>
    <w:rsid w:val="00196B8E"/>
    <w:rsid w:val="00197755"/>
    <w:rsid w:val="001A2E90"/>
    <w:rsid w:val="001A7D23"/>
    <w:rsid w:val="001B2F41"/>
    <w:rsid w:val="001B468C"/>
    <w:rsid w:val="001B5C47"/>
    <w:rsid w:val="001C18C1"/>
    <w:rsid w:val="001C2FF6"/>
    <w:rsid w:val="001C5593"/>
    <w:rsid w:val="001C669E"/>
    <w:rsid w:val="001D2D7A"/>
    <w:rsid w:val="001D5761"/>
    <w:rsid w:val="001D6339"/>
    <w:rsid w:val="001D7BCF"/>
    <w:rsid w:val="001E0AB0"/>
    <w:rsid w:val="001E0CAC"/>
    <w:rsid w:val="001E18DF"/>
    <w:rsid w:val="001E59AA"/>
    <w:rsid w:val="001E5A8E"/>
    <w:rsid w:val="001F3855"/>
    <w:rsid w:val="00204B54"/>
    <w:rsid w:val="002062F9"/>
    <w:rsid w:val="00210549"/>
    <w:rsid w:val="00225885"/>
    <w:rsid w:val="0022693E"/>
    <w:rsid w:val="002342B3"/>
    <w:rsid w:val="00234EBE"/>
    <w:rsid w:val="00236208"/>
    <w:rsid w:val="00236841"/>
    <w:rsid w:val="00240EC3"/>
    <w:rsid w:val="00241888"/>
    <w:rsid w:val="00247D24"/>
    <w:rsid w:val="002505AF"/>
    <w:rsid w:val="00251E83"/>
    <w:rsid w:val="00256306"/>
    <w:rsid w:val="00256FA1"/>
    <w:rsid w:val="00260CF1"/>
    <w:rsid w:val="00261E20"/>
    <w:rsid w:val="002644E2"/>
    <w:rsid w:val="00273155"/>
    <w:rsid w:val="0027397D"/>
    <w:rsid w:val="002819A4"/>
    <w:rsid w:val="002870C3"/>
    <w:rsid w:val="002873CA"/>
    <w:rsid w:val="0029017F"/>
    <w:rsid w:val="0029145F"/>
    <w:rsid w:val="00292A71"/>
    <w:rsid w:val="00294237"/>
    <w:rsid w:val="002967A9"/>
    <w:rsid w:val="0029765D"/>
    <w:rsid w:val="002A2E15"/>
    <w:rsid w:val="002A31B3"/>
    <w:rsid w:val="002A4411"/>
    <w:rsid w:val="002A5525"/>
    <w:rsid w:val="002A58B7"/>
    <w:rsid w:val="002B1980"/>
    <w:rsid w:val="002B490F"/>
    <w:rsid w:val="002C07AA"/>
    <w:rsid w:val="002C0BA6"/>
    <w:rsid w:val="002C2AD4"/>
    <w:rsid w:val="002C3575"/>
    <w:rsid w:val="002C6EE7"/>
    <w:rsid w:val="002C7EDA"/>
    <w:rsid w:val="002D0C90"/>
    <w:rsid w:val="002D2179"/>
    <w:rsid w:val="002D3E5A"/>
    <w:rsid w:val="002D416A"/>
    <w:rsid w:val="002E2378"/>
    <w:rsid w:val="002E3A42"/>
    <w:rsid w:val="002E4295"/>
    <w:rsid w:val="002E48B9"/>
    <w:rsid w:val="002E4969"/>
    <w:rsid w:val="002F3803"/>
    <w:rsid w:val="002F5A6C"/>
    <w:rsid w:val="002F699C"/>
    <w:rsid w:val="00300A1D"/>
    <w:rsid w:val="00302EC7"/>
    <w:rsid w:val="00303B9F"/>
    <w:rsid w:val="003042E9"/>
    <w:rsid w:val="00310104"/>
    <w:rsid w:val="00313723"/>
    <w:rsid w:val="00315001"/>
    <w:rsid w:val="003253C8"/>
    <w:rsid w:val="0033020A"/>
    <w:rsid w:val="003341B2"/>
    <w:rsid w:val="00335B5A"/>
    <w:rsid w:val="00337157"/>
    <w:rsid w:val="0034109E"/>
    <w:rsid w:val="003416BD"/>
    <w:rsid w:val="00342531"/>
    <w:rsid w:val="00346B64"/>
    <w:rsid w:val="0035095E"/>
    <w:rsid w:val="00351F6D"/>
    <w:rsid w:val="003547F4"/>
    <w:rsid w:val="00355445"/>
    <w:rsid w:val="00357B8E"/>
    <w:rsid w:val="0036276F"/>
    <w:rsid w:val="00362859"/>
    <w:rsid w:val="00363EEF"/>
    <w:rsid w:val="0036467A"/>
    <w:rsid w:val="00365E34"/>
    <w:rsid w:val="00365EB1"/>
    <w:rsid w:val="003667D3"/>
    <w:rsid w:val="00367494"/>
    <w:rsid w:val="0038200B"/>
    <w:rsid w:val="00386B54"/>
    <w:rsid w:val="00390506"/>
    <w:rsid w:val="003914E6"/>
    <w:rsid w:val="003A2D35"/>
    <w:rsid w:val="003A7462"/>
    <w:rsid w:val="003A7801"/>
    <w:rsid w:val="003B12C7"/>
    <w:rsid w:val="003B16AD"/>
    <w:rsid w:val="003B3F62"/>
    <w:rsid w:val="003B544E"/>
    <w:rsid w:val="003B654E"/>
    <w:rsid w:val="003B6920"/>
    <w:rsid w:val="003C269B"/>
    <w:rsid w:val="003C32AE"/>
    <w:rsid w:val="003C4515"/>
    <w:rsid w:val="003C7B81"/>
    <w:rsid w:val="003D1CAB"/>
    <w:rsid w:val="003D44DA"/>
    <w:rsid w:val="003D64AF"/>
    <w:rsid w:val="003E2697"/>
    <w:rsid w:val="003E466F"/>
    <w:rsid w:val="003E799C"/>
    <w:rsid w:val="003F5970"/>
    <w:rsid w:val="004029AF"/>
    <w:rsid w:val="00414706"/>
    <w:rsid w:val="00417356"/>
    <w:rsid w:val="0042149D"/>
    <w:rsid w:val="004220C4"/>
    <w:rsid w:val="00427930"/>
    <w:rsid w:val="004302CD"/>
    <w:rsid w:val="004378F6"/>
    <w:rsid w:val="00442784"/>
    <w:rsid w:val="00442D47"/>
    <w:rsid w:val="00443B95"/>
    <w:rsid w:val="0044519A"/>
    <w:rsid w:val="0044653D"/>
    <w:rsid w:val="00447E6D"/>
    <w:rsid w:val="004506CF"/>
    <w:rsid w:val="00450F74"/>
    <w:rsid w:val="00451768"/>
    <w:rsid w:val="0045433D"/>
    <w:rsid w:val="00456BE0"/>
    <w:rsid w:val="004618FD"/>
    <w:rsid w:val="00464227"/>
    <w:rsid w:val="00470D1B"/>
    <w:rsid w:val="00471623"/>
    <w:rsid w:val="004716AF"/>
    <w:rsid w:val="00472F5E"/>
    <w:rsid w:val="004750BE"/>
    <w:rsid w:val="00480C74"/>
    <w:rsid w:val="00482399"/>
    <w:rsid w:val="00490156"/>
    <w:rsid w:val="00493B74"/>
    <w:rsid w:val="004968AE"/>
    <w:rsid w:val="00496B72"/>
    <w:rsid w:val="004A2A40"/>
    <w:rsid w:val="004A3675"/>
    <w:rsid w:val="004A4A93"/>
    <w:rsid w:val="004A5DF1"/>
    <w:rsid w:val="004A6618"/>
    <w:rsid w:val="004A69E3"/>
    <w:rsid w:val="004A7401"/>
    <w:rsid w:val="004A78E9"/>
    <w:rsid w:val="004B01BD"/>
    <w:rsid w:val="004B063C"/>
    <w:rsid w:val="004B0973"/>
    <w:rsid w:val="004B0A6A"/>
    <w:rsid w:val="004B3C6C"/>
    <w:rsid w:val="004B6098"/>
    <w:rsid w:val="004C31A3"/>
    <w:rsid w:val="004C379A"/>
    <w:rsid w:val="004C5D07"/>
    <w:rsid w:val="004C6DCD"/>
    <w:rsid w:val="004D3E06"/>
    <w:rsid w:val="004E509F"/>
    <w:rsid w:val="004E7B57"/>
    <w:rsid w:val="004F1FE5"/>
    <w:rsid w:val="004F3038"/>
    <w:rsid w:val="004F3182"/>
    <w:rsid w:val="004F6ACB"/>
    <w:rsid w:val="00503AF6"/>
    <w:rsid w:val="00504CD8"/>
    <w:rsid w:val="0051304F"/>
    <w:rsid w:val="00513C8A"/>
    <w:rsid w:val="00516203"/>
    <w:rsid w:val="0051787C"/>
    <w:rsid w:val="00517CDC"/>
    <w:rsid w:val="00521A5B"/>
    <w:rsid w:val="00522E04"/>
    <w:rsid w:val="0052360B"/>
    <w:rsid w:val="00525C77"/>
    <w:rsid w:val="0052672D"/>
    <w:rsid w:val="00531834"/>
    <w:rsid w:val="00531A87"/>
    <w:rsid w:val="00541218"/>
    <w:rsid w:val="005516D3"/>
    <w:rsid w:val="005569C8"/>
    <w:rsid w:val="00557F4C"/>
    <w:rsid w:val="00563BDD"/>
    <w:rsid w:val="00565EB7"/>
    <w:rsid w:val="005675CD"/>
    <w:rsid w:val="0057603C"/>
    <w:rsid w:val="0057746E"/>
    <w:rsid w:val="005778EA"/>
    <w:rsid w:val="0058323B"/>
    <w:rsid w:val="00583EC0"/>
    <w:rsid w:val="00590132"/>
    <w:rsid w:val="0059435C"/>
    <w:rsid w:val="005A2AC6"/>
    <w:rsid w:val="005A4703"/>
    <w:rsid w:val="005A53C3"/>
    <w:rsid w:val="005B089A"/>
    <w:rsid w:val="005B276E"/>
    <w:rsid w:val="005B34F4"/>
    <w:rsid w:val="005C5394"/>
    <w:rsid w:val="005C6CB0"/>
    <w:rsid w:val="005D2D51"/>
    <w:rsid w:val="005D4B3F"/>
    <w:rsid w:val="005D4CCF"/>
    <w:rsid w:val="005D63F3"/>
    <w:rsid w:val="005E0398"/>
    <w:rsid w:val="005E0BC6"/>
    <w:rsid w:val="005E36B4"/>
    <w:rsid w:val="005E3FE2"/>
    <w:rsid w:val="005F2ED8"/>
    <w:rsid w:val="005F7A46"/>
    <w:rsid w:val="00601298"/>
    <w:rsid w:val="00601BBB"/>
    <w:rsid w:val="006036AD"/>
    <w:rsid w:val="006052DA"/>
    <w:rsid w:val="006113D4"/>
    <w:rsid w:val="00612173"/>
    <w:rsid w:val="0062080C"/>
    <w:rsid w:val="00622C6E"/>
    <w:rsid w:val="00625843"/>
    <w:rsid w:val="00625A4B"/>
    <w:rsid w:val="00630D43"/>
    <w:rsid w:val="00631D6E"/>
    <w:rsid w:val="006320EA"/>
    <w:rsid w:val="006353BF"/>
    <w:rsid w:val="00637CA7"/>
    <w:rsid w:val="00642268"/>
    <w:rsid w:val="006451ED"/>
    <w:rsid w:val="0064564A"/>
    <w:rsid w:val="00652942"/>
    <w:rsid w:val="00653C3E"/>
    <w:rsid w:val="00654CBB"/>
    <w:rsid w:val="00654D19"/>
    <w:rsid w:val="00654EE2"/>
    <w:rsid w:val="006562F1"/>
    <w:rsid w:val="00660060"/>
    <w:rsid w:val="00662DA4"/>
    <w:rsid w:val="006645C5"/>
    <w:rsid w:val="0066668E"/>
    <w:rsid w:val="00666B4F"/>
    <w:rsid w:val="006703C3"/>
    <w:rsid w:val="00671BF6"/>
    <w:rsid w:val="00682401"/>
    <w:rsid w:val="00683678"/>
    <w:rsid w:val="00684F8E"/>
    <w:rsid w:val="0068569C"/>
    <w:rsid w:val="00691CCC"/>
    <w:rsid w:val="00694884"/>
    <w:rsid w:val="006A1C71"/>
    <w:rsid w:val="006A4A35"/>
    <w:rsid w:val="006A63DA"/>
    <w:rsid w:val="006B7E10"/>
    <w:rsid w:val="006C2B43"/>
    <w:rsid w:val="006C31A4"/>
    <w:rsid w:val="006C4B8D"/>
    <w:rsid w:val="006C4EC1"/>
    <w:rsid w:val="006C794C"/>
    <w:rsid w:val="006D2AA2"/>
    <w:rsid w:val="006D2B8F"/>
    <w:rsid w:val="006E217C"/>
    <w:rsid w:val="006E4559"/>
    <w:rsid w:val="006F08CB"/>
    <w:rsid w:val="00703244"/>
    <w:rsid w:val="007100A4"/>
    <w:rsid w:val="00710421"/>
    <w:rsid w:val="00710540"/>
    <w:rsid w:val="00712FE3"/>
    <w:rsid w:val="0071316E"/>
    <w:rsid w:val="00713404"/>
    <w:rsid w:val="00713648"/>
    <w:rsid w:val="00713D3B"/>
    <w:rsid w:val="00727683"/>
    <w:rsid w:val="0073179B"/>
    <w:rsid w:val="007326A7"/>
    <w:rsid w:val="0073580E"/>
    <w:rsid w:val="00741F38"/>
    <w:rsid w:val="00744746"/>
    <w:rsid w:val="00745610"/>
    <w:rsid w:val="00746366"/>
    <w:rsid w:val="00746B74"/>
    <w:rsid w:val="00750388"/>
    <w:rsid w:val="0075128C"/>
    <w:rsid w:val="007540BA"/>
    <w:rsid w:val="007560E3"/>
    <w:rsid w:val="007616C5"/>
    <w:rsid w:val="00764788"/>
    <w:rsid w:val="00765F9E"/>
    <w:rsid w:val="007667DF"/>
    <w:rsid w:val="00766808"/>
    <w:rsid w:val="007668A2"/>
    <w:rsid w:val="00766C98"/>
    <w:rsid w:val="007729D2"/>
    <w:rsid w:val="00775466"/>
    <w:rsid w:val="00775B8B"/>
    <w:rsid w:val="00781B7A"/>
    <w:rsid w:val="007847B6"/>
    <w:rsid w:val="00786768"/>
    <w:rsid w:val="007911B1"/>
    <w:rsid w:val="00795ACB"/>
    <w:rsid w:val="007A5EC8"/>
    <w:rsid w:val="007A61A2"/>
    <w:rsid w:val="007A7A79"/>
    <w:rsid w:val="007B5E0D"/>
    <w:rsid w:val="007B6BE1"/>
    <w:rsid w:val="007B729E"/>
    <w:rsid w:val="007C07CA"/>
    <w:rsid w:val="007C2044"/>
    <w:rsid w:val="007C205E"/>
    <w:rsid w:val="007C392C"/>
    <w:rsid w:val="007C421D"/>
    <w:rsid w:val="007C50C8"/>
    <w:rsid w:val="007D19A7"/>
    <w:rsid w:val="007D6763"/>
    <w:rsid w:val="007E2408"/>
    <w:rsid w:val="007E246A"/>
    <w:rsid w:val="007E2657"/>
    <w:rsid w:val="007E336E"/>
    <w:rsid w:val="007F0248"/>
    <w:rsid w:val="007F0F92"/>
    <w:rsid w:val="007F2EEB"/>
    <w:rsid w:val="007F35B7"/>
    <w:rsid w:val="008017CF"/>
    <w:rsid w:val="00801ABA"/>
    <w:rsid w:val="008044C6"/>
    <w:rsid w:val="008062D0"/>
    <w:rsid w:val="008100E3"/>
    <w:rsid w:val="008101EB"/>
    <w:rsid w:val="00810464"/>
    <w:rsid w:val="0081180C"/>
    <w:rsid w:val="008118D6"/>
    <w:rsid w:val="00816351"/>
    <w:rsid w:val="00816743"/>
    <w:rsid w:val="00816EB1"/>
    <w:rsid w:val="00821981"/>
    <w:rsid w:val="0082247F"/>
    <w:rsid w:val="00825310"/>
    <w:rsid w:val="00826471"/>
    <w:rsid w:val="008301D3"/>
    <w:rsid w:val="00830DF2"/>
    <w:rsid w:val="008332A2"/>
    <w:rsid w:val="00833FEC"/>
    <w:rsid w:val="008430B9"/>
    <w:rsid w:val="00846386"/>
    <w:rsid w:val="00851B5C"/>
    <w:rsid w:val="00853BBB"/>
    <w:rsid w:val="00854B53"/>
    <w:rsid w:val="00854CD0"/>
    <w:rsid w:val="00855B37"/>
    <w:rsid w:val="0085682B"/>
    <w:rsid w:val="00856C20"/>
    <w:rsid w:val="00860B50"/>
    <w:rsid w:val="00862616"/>
    <w:rsid w:val="00863482"/>
    <w:rsid w:val="00863A3D"/>
    <w:rsid w:val="00863AD3"/>
    <w:rsid w:val="00866423"/>
    <w:rsid w:val="0087024D"/>
    <w:rsid w:val="00870D39"/>
    <w:rsid w:val="0087603C"/>
    <w:rsid w:val="00883717"/>
    <w:rsid w:val="00883917"/>
    <w:rsid w:val="0088694E"/>
    <w:rsid w:val="0089104A"/>
    <w:rsid w:val="008917B6"/>
    <w:rsid w:val="00892BD8"/>
    <w:rsid w:val="008A5839"/>
    <w:rsid w:val="008A708E"/>
    <w:rsid w:val="008B1147"/>
    <w:rsid w:val="008B38AE"/>
    <w:rsid w:val="008B4E74"/>
    <w:rsid w:val="008B58B0"/>
    <w:rsid w:val="008B6376"/>
    <w:rsid w:val="008C0E82"/>
    <w:rsid w:val="008C213D"/>
    <w:rsid w:val="008C349C"/>
    <w:rsid w:val="008C44DC"/>
    <w:rsid w:val="008C698D"/>
    <w:rsid w:val="008C7478"/>
    <w:rsid w:val="008D0A34"/>
    <w:rsid w:val="008D1003"/>
    <w:rsid w:val="008D35BF"/>
    <w:rsid w:val="008D43D2"/>
    <w:rsid w:val="008D6274"/>
    <w:rsid w:val="008D76EB"/>
    <w:rsid w:val="008E6021"/>
    <w:rsid w:val="008E6DE6"/>
    <w:rsid w:val="008F08AF"/>
    <w:rsid w:val="008F1DE6"/>
    <w:rsid w:val="008F2951"/>
    <w:rsid w:val="008F4E2E"/>
    <w:rsid w:val="008F5EE5"/>
    <w:rsid w:val="00900511"/>
    <w:rsid w:val="009054DF"/>
    <w:rsid w:val="00905674"/>
    <w:rsid w:val="00905756"/>
    <w:rsid w:val="009101B7"/>
    <w:rsid w:val="00911F72"/>
    <w:rsid w:val="00913DFD"/>
    <w:rsid w:val="00914339"/>
    <w:rsid w:val="00917495"/>
    <w:rsid w:val="00917E57"/>
    <w:rsid w:val="009200D5"/>
    <w:rsid w:val="009201AD"/>
    <w:rsid w:val="0092218D"/>
    <w:rsid w:val="009247B2"/>
    <w:rsid w:val="0092480B"/>
    <w:rsid w:val="009253ED"/>
    <w:rsid w:val="00930AFA"/>
    <w:rsid w:val="009323F3"/>
    <w:rsid w:val="00933326"/>
    <w:rsid w:val="00934394"/>
    <w:rsid w:val="009344CC"/>
    <w:rsid w:val="00934AD7"/>
    <w:rsid w:val="00941D49"/>
    <w:rsid w:val="009436E2"/>
    <w:rsid w:val="009440F7"/>
    <w:rsid w:val="009471D5"/>
    <w:rsid w:val="00952187"/>
    <w:rsid w:val="009575C7"/>
    <w:rsid w:val="00960C91"/>
    <w:rsid w:val="00961828"/>
    <w:rsid w:val="00962EBF"/>
    <w:rsid w:val="0096319E"/>
    <w:rsid w:val="00963DF7"/>
    <w:rsid w:val="00964199"/>
    <w:rsid w:val="0096448A"/>
    <w:rsid w:val="00964925"/>
    <w:rsid w:val="00967645"/>
    <w:rsid w:val="009713A6"/>
    <w:rsid w:val="00975591"/>
    <w:rsid w:val="009814EA"/>
    <w:rsid w:val="00981716"/>
    <w:rsid w:val="00986177"/>
    <w:rsid w:val="009944A0"/>
    <w:rsid w:val="00994789"/>
    <w:rsid w:val="00994A64"/>
    <w:rsid w:val="00997C6A"/>
    <w:rsid w:val="009A1003"/>
    <w:rsid w:val="009A12AE"/>
    <w:rsid w:val="009A20BB"/>
    <w:rsid w:val="009A4144"/>
    <w:rsid w:val="009B03BE"/>
    <w:rsid w:val="009B6E67"/>
    <w:rsid w:val="009B799F"/>
    <w:rsid w:val="009C127C"/>
    <w:rsid w:val="009C558B"/>
    <w:rsid w:val="009C6660"/>
    <w:rsid w:val="009C703F"/>
    <w:rsid w:val="009C79B5"/>
    <w:rsid w:val="009D073C"/>
    <w:rsid w:val="009D49B6"/>
    <w:rsid w:val="009E0BA2"/>
    <w:rsid w:val="009E17F3"/>
    <w:rsid w:val="009E29FB"/>
    <w:rsid w:val="009E6A7E"/>
    <w:rsid w:val="009E76C8"/>
    <w:rsid w:val="009F20C5"/>
    <w:rsid w:val="00A01A9E"/>
    <w:rsid w:val="00A038B6"/>
    <w:rsid w:val="00A13A9B"/>
    <w:rsid w:val="00A140E0"/>
    <w:rsid w:val="00A20655"/>
    <w:rsid w:val="00A20969"/>
    <w:rsid w:val="00A20E29"/>
    <w:rsid w:val="00A241DC"/>
    <w:rsid w:val="00A24AE0"/>
    <w:rsid w:val="00A24C6C"/>
    <w:rsid w:val="00A27281"/>
    <w:rsid w:val="00A272A1"/>
    <w:rsid w:val="00A31B66"/>
    <w:rsid w:val="00A353E9"/>
    <w:rsid w:val="00A37B90"/>
    <w:rsid w:val="00A43642"/>
    <w:rsid w:val="00A44634"/>
    <w:rsid w:val="00A475C4"/>
    <w:rsid w:val="00A4790D"/>
    <w:rsid w:val="00A54E27"/>
    <w:rsid w:val="00A55FC7"/>
    <w:rsid w:val="00A60083"/>
    <w:rsid w:val="00A60178"/>
    <w:rsid w:val="00A6221C"/>
    <w:rsid w:val="00A70CD4"/>
    <w:rsid w:val="00A75D06"/>
    <w:rsid w:val="00A818D3"/>
    <w:rsid w:val="00A8420E"/>
    <w:rsid w:val="00AA10C2"/>
    <w:rsid w:val="00AB124B"/>
    <w:rsid w:val="00AB13F7"/>
    <w:rsid w:val="00AB21CA"/>
    <w:rsid w:val="00AB7958"/>
    <w:rsid w:val="00AC0DAD"/>
    <w:rsid w:val="00AC20D4"/>
    <w:rsid w:val="00AC3A83"/>
    <w:rsid w:val="00AC4084"/>
    <w:rsid w:val="00AC62C6"/>
    <w:rsid w:val="00AC711F"/>
    <w:rsid w:val="00AD046F"/>
    <w:rsid w:val="00AD6879"/>
    <w:rsid w:val="00AD690C"/>
    <w:rsid w:val="00AD6D3A"/>
    <w:rsid w:val="00AE1F3C"/>
    <w:rsid w:val="00AE1FDD"/>
    <w:rsid w:val="00AE55D7"/>
    <w:rsid w:val="00AF09D6"/>
    <w:rsid w:val="00AF0C44"/>
    <w:rsid w:val="00AF1C36"/>
    <w:rsid w:val="00AF49D2"/>
    <w:rsid w:val="00AF6E89"/>
    <w:rsid w:val="00B01C0F"/>
    <w:rsid w:val="00B037B9"/>
    <w:rsid w:val="00B0424B"/>
    <w:rsid w:val="00B05154"/>
    <w:rsid w:val="00B0623E"/>
    <w:rsid w:val="00B11D8C"/>
    <w:rsid w:val="00B157F3"/>
    <w:rsid w:val="00B1620F"/>
    <w:rsid w:val="00B16258"/>
    <w:rsid w:val="00B16A33"/>
    <w:rsid w:val="00B16C79"/>
    <w:rsid w:val="00B17CF8"/>
    <w:rsid w:val="00B229A0"/>
    <w:rsid w:val="00B30240"/>
    <w:rsid w:val="00B4091F"/>
    <w:rsid w:val="00B40AE0"/>
    <w:rsid w:val="00B42064"/>
    <w:rsid w:val="00B45F64"/>
    <w:rsid w:val="00B47304"/>
    <w:rsid w:val="00B51F80"/>
    <w:rsid w:val="00B52D98"/>
    <w:rsid w:val="00B54163"/>
    <w:rsid w:val="00B55C56"/>
    <w:rsid w:val="00B56F03"/>
    <w:rsid w:val="00B614A8"/>
    <w:rsid w:val="00B628D0"/>
    <w:rsid w:val="00B66F24"/>
    <w:rsid w:val="00B76D40"/>
    <w:rsid w:val="00B76D65"/>
    <w:rsid w:val="00B81A60"/>
    <w:rsid w:val="00B81C41"/>
    <w:rsid w:val="00B83593"/>
    <w:rsid w:val="00B83FFF"/>
    <w:rsid w:val="00B919DE"/>
    <w:rsid w:val="00B91EF2"/>
    <w:rsid w:val="00B92361"/>
    <w:rsid w:val="00B934D1"/>
    <w:rsid w:val="00B941E4"/>
    <w:rsid w:val="00BA123B"/>
    <w:rsid w:val="00BA3917"/>
    <w:rsid w:val="00BA3B0B"/>
    <w:rsid w:val="00BA4B9E"/>
    <w:rsid w:val="00BA63E4"/>
    <w:rsid w:val="00BB1A45"/>
    <w:rsid w:val="00BB7C96"/>
    <w:rsid w:val="00BC4705"/>
    <w:rsid w:val="00BC5763"/>
    <w:rsid w:val="00BD3167"/>
    <w:rsid w:val="00BE796B"/>
    <w:rsid w:val="00BF0350"/>
    <w:rsid w:val="00BF0CDD"/>
    <w:rsid w:val="00C037AE"/>
    <w:rsid w:val="00C03A3E"/>
    <w:rsid w:val="00C04E60"/>
    <w:rsid w:val="00C060BC"/>
    <w:rsid w:val="00C06C96"/>
    <w:rsid w:val="00C205F3"/>
    <w:rsid w:val="00C21513"/>
    <w:rsid w:val="00C23CFC"/>
    <w:rsid w:val="00C36AC5"/>
    <w:rsid w:val="00C3777A"/>
    <w:rsid w:val="00C404B3"/>
    <w:rsid w:val="00C4169B"/>
    <w:rsid w:val="00C41F32"/>
    <w:rsid w:val="00C42001"/>
    <w:rsid w:val="00C42F3A"/>
    <w:rsid w:val="00C471D3"/>
    <w:rsid w:val="00C47758"/>
    <w:rsid w:val="00C51099"/>
    <w:rsid w:val="00C516CA"/>
    <w:rsid w:val="00C5181E"/>
    <w:rsid w:val="00C52156"/>
    <w:rsid w:val="00C55B72"/>
    <w:rsid w:val="00C5745B"/>
    <w:rsid w:val="00C7423C"/>
    <w:rsid w:val="00C748DD"/>
    <w:rsid w:val="00C74CB4"/>
    <w:rsid w:val="00C74DA4"/>
    <w:rsid w:val="00C75318"/>
    <w:rsid w:val="00C87D87"/>
    <w:rsid w:val="00C93E42"/>
    <w:rsid w:val="00C94D36"/>
    <w:rsid w:val="00C96668"/>
    <w:rsid w:val="00CA068E"/>
    <w:rsid w:val="00CA218D"/>
    <w:rsid w:val="00CA5EA8"/>
    <w:rsid w:val="00CA7BBF"/>
    <w:rsid w:val="00CB1C0D"/>
    <w:rsid w:val="00CB2F09"/>
    <w:rsid w:val="00CB3420"/>
    <w:rsid w:val="00CC0153"/>
    <w:rsid w:val="00CC46B1"/>
    <w:rsid w:val="00CC7C8C"/>
    <w:rsid w:val="00CD06DC"/>
    <w:rsid w:val="00CD3DA6"/>
    <w:rsid w:val="00CD3E50"/>
    <w:rsid w:val="00CD62BE"/>
    <w:rsid w:val="00CE0F00"/>
    <w:rsid w:val="00CE2B16"/>
    <w:rsid w:val="00CE4471"/>
    <w:rsid w:val="00CE5649"/>
    <w:rsid w:val="00CF0B24"/>
    <w:rsid w:val="00CF0CD2"/>
    <w:rsid w:val="00CF508D"/>
    <w:rsid w:val="00CF6FA8"/>
    <w:rsid w:val="00D02E1C"/>
    <w:rsid w:val="00D05BB2"/>
    <w:rsid w:val="00D1528F"/>
    <w:rsid w:val="00D209EE"/>
    <w:rsid w:val="00D26181"/>
    <w:rsid w:val="00D26C34"/>
    <w:rsid w:val="00D279CF"/>
    <w:rsid w:val="00D301F5"/>
    <w:rsid w:val="00D35EC6"/>
    <w:rsid w:val="00D43094"/>
    <w:rsid w:val="00D44DED"/>
    <w:rsid w:val="00D516C5"/>
    <w:rsid w:val="00D617B5"/>
    <w:rsid w:val="00D624EC"/>
    <w:rsid w:val="00D71F43"/>
    <w:rsid w:val="00D7265B"/>
    <w:rsid w:val="00D81155"/>
    <w:rsid w:val="00D819D9"/>
    <w:rsid w:val="00D86401"/>
    <w:rsid w:val="00D87BBD"/>
    <w:rsid w:val="00D92569"/>
    <w:rsid w:val="00D93BF7"/>
    <w:rsid w:val="00D94AFB"/>
    <w:rsid w:val="00D95A04"/>
    <w:rsid w:val="00D97A18"/>
    <w:rsid w:val="00D97F2F"/>
    <w:rsid w:val="00DA40BB"/>
    <w:rsid w:val="00DA76A9"/>
    <w:rsid w:val="00DB25A3"/>
    <w:rsid w:val="00DB527E"/>
    <w:rsid w:val="00DB5426"/>
    <w:rsid w:val="00DB671F"/>
    <w:rsid w:val="00DC347A"/>
    <w:rsid w:val="00DC57CA"/>
    <w:rsid w:val="00DD0D73"/>
    <w:rsid w:val="00DD15D2"/>
    <w:rsid w:val="00DD238F"/>
    <w:rsid w:val="00DD2921"/>
    <w:rsid w:val="00DD3FFC"/>
    <w:rsid w:val="00DD445F"/>
    <w:rsid w:val="00DD6725"/>
    <w:rsid w:val="00DE170D"/>
    <w:rsid w:val="00DE50FC"/>
    <w:rsid w:val="00DF142D"/>
    <w:rsid w:val="00DF75E5"/>
    <w:rsid w:val="00E0171A"/>
    <w:rsid w:val="00E07005"/>
    <w:rsid w:val="00E101EA"/>
    <w:rsid w:val="00E10E0D"/>
    <w:rsid w:val="00E128A6"/>
    <w:rsid w:val="00E13D85"/>
    <w:rsid w:val="00E14D21"/>
    <w:rsid w:val="00E21D66"/>
    <w:rsid w:val="00E34035"/>
    <w:rsid w:val="00E34545"/>
    <w:rsid w:val="00E3553D"/>
    <w:rsid w:val="00E4070D"/>
    <w:rsid w:val="00E41E7C"/>
    <w:rsid w:val="00E4219B"/>
    <w:rsid w:val="00E4395C"/>
    <w:rsid w:val="00E4560A"/>
    <w:rsid w:val="00E456FE"/>
    <w:rsid w:val="00E45A61"/>
    <w:rsid w:val="00E4606D"/>
    <w:rsid w:val="00E46E83"/>
    <w:rsid w:val="00E4761A"/>
    <w:rsid w:val="00E476CF"/>
    <w:rsid w:val="00E50291"/>
    <w:rsid w:val="00E50D20"/>
    <w:rsid w:val="00E50E97"/>
    <w:rsid w:val="00E5193E"/>
    <w:rsid w:val="00E5222C"/>
    <w:rsid w:val="00E612E8"/>
    <w:rsid w:val="00E72D07"/>
    <w:rsid w:val="00E76F25"/>
    <w:rsid w:val="00E81B75"/>
    <w:rsid w:val="00E81DFE"/>
    <w:rsid w:val="00E84501"/>
    <w:rsid w:val="00E875C6"/>
    <w:rsid w:val="00EA318B"/>
    <w:rsid w:val="00EA40C2"/>
    <w:rsid w:val="00EA4BB0"/>
    <w:rsid w:val="00EA7763"/>
    <w:rsid w:val="00EB19EA"/>
    <w:rsid w:val="00EB478D"/>
    <w:rsid w:val="00EB5FE3"/>
    <w:rsid w:val="00EB6A70"/>
    <w:rsid w:val="00EC08BD"/>
    <w:rsid w:val="00EC2893"/>
    <w:rsid w:val="00EC450E"/>
    <w:rsid w:val="00EC54B6"/>
    <w:rsid w:val="00EC5C02"/>
    <w:rsid w:val="00EC6DFD"/>
    <w:rsid w:val="00ED4F0E"/>
    <w:rsid w:val="00EE4ACA"/>
    <w:rsid w:val="00EF1800"/>
    <w:rsid w:val="00EF3E22"/>
    <w:rsid w:val="00EF4B24"/>
    <w:rsid w:val="00F00EFD"/>
    <w:rsid w:val="00F018B3"/>
    <w:rsid w:val="00F03884"/>
    <w:rsid w:val="00F049A1"/>
    <w:rsid w:val="00F06D9B"/>
    <w:rsid w:val="00F07F44"/>
    <w:rsid w:val="00F11449"/>
    <w:rsid w:val="00F1148A"/>
    <w:rsid w:val="00F1507E"/>
    <w:rsid w:val="00F15FF7"/>
    <w:rsid w:val="00F20003"/>
    <w:rsid w:val="00F21845"/>
    <w:rsid w:val="00F21B66"/>
    <w:rsid w:val="00F21EEB"/>
    <w:rsid w:val="00F23DEA"/>
    <w:rsid w:val="00F2537A"/>
    <w:rsid w:val="00F255D7"/>
    <w:rsid w:val="00F25B1B"/>
    <w:rsid w:val="00F261D6"/>
    <w:rsid w:val="00F26411"/>
    <w:rsid w:val="00F31002"/>
    <w:rsid w:val="00F31643"/>
    <w:rsid w:val="00F32B00"/>
    <w:rsid w:val="00F3449B"/>
    <w:rsid w:val="00F34B88"/>
    <w:rsid w:val="00F35BF6"/>
    <w:rsid w:val="00F369FA"/>
    <w:rsid w:val="00F36C89"/>
    <w:rsid w:val="00F37660"/>
    <w:rsid w:val="00F419BE"/>
    <w:rsid w:val="00F43C42"/>
    <w:rsid w:val="00F440A5"/>
    <w:rsid w:val="00F5023F"/>
    <w:rsid w:val="00F50BB8"/>
    <w:rsid w:val="00F51972"/>
    <w:rsid w:val="00F53A23"/>
    <w:rsid w:val="00F554A0"/>
    <w:rsid w:val="00F557B9"/>
    <w:rsid w:val="00F610E8"/>
    <w:rsid w:val="00F61B14"/>
    <w:rsid w:val="00F6224F"/>
    <w:rsid w:val="00F6306A"/>
    <w:rsid w:val="00F634B6"/>
    <w:rsid w:val="00F6514A"/>
    <w:rsid w:val="00F65E69"/>
    <w:rsid w:val="00F71350"/>
    <w:rsid w:val="00F726B9"/>
    <w:rsid w:val="00F72FDB"/>
    <w:rsid w:val="00F76660"/>
    <w:rsid w:val="00F80468"/>
    <w:rsid w:val="00F949A3"/>
    <w:rsid w:val="00F97F6C"/>
    <w:rsid w:val="00FA000D"/>
    <w:rsid w:val="00FA1E0B"/>
    <w:rsid w:val="00FA2798"/>
    <w:rsid w:val="00FA3B7A"/>
    <w:rsid w:val="00FA5E1A"/>
    <w:rsid w:val="00FA62D2"/>
    <w:rsid w:val="00FA72FC"/>
    <w:rsid w:val="00FB05D4"/>
    <w:rsid w:val="00FB6033"/>
    <w:rsid w:val="00FC0B1F"/>
    <w:rsid w:val="00FC1A3E"/>
    <w:rsid w:val="00FC25CE"/>
    <w:rsid w:val="00FC376E"/>
    <w:rsid w:val="00FC3DE3"/>
    <w:rsid w:val="00FC5D04"/>
    <w:rsid w:val="00FD4826"/>
    <w:rsid w:val="00FD5F2A"/>
    <w:rsid w:val="00FD6658"/>
    <w:rsid w:val="00FE0869"/>
    <w:rsid w:val="00FE1019"/>
    <w:rsid w:val="00FE2EBE"/>
    <w:rsid w:val="00FE57B7"/>
    <w:rsid w:val="00FE60D0"/>
    <w:rsid w:val="00FE66D5"/>
    <w:rsid w:val="00FF2EEB"/>
    <w:rsid w:val="00FF3A31"/>
    <w:rsid w:val="00FF60D9"/>
    <w:rsid w:val="0105239C"/>
    <w:rsid w:val="010E5F26"/>
    <w:rsid w:val="011153B6"/>
    <w:rsid w:val="011A5736"/>
    <w:rsid w:val="011F21C4"/>
    <w:rsid w:val="01244A5A"/>
    <w:rsid w:val="01273879"/>
    <w:rsid w:val="012B0376"/>
    <w:rsid w:val="0132080A"/>
    <w:rsid w:val="01346C3D"/>
    <w:rsid w:val="01467320"/>
    <w:rsid w:val="014C4B41"/>
    <w:rsid w:val="015B31DB"/>
    <w:rsid w:val="0173262F"/>
    <w:rsid w:val="0174384F"/>
    <w:rsid w:val="017656B1"/>
    <w:rsid w:val="017E0EF4"/>
    <w:rsid w:val="018205F3"/>
    <w:rsid w:val="0182264E"/>
    <w:rsid w:val="018955D4"/>
    <w:rsid w:val="01A471A6"/>
    <w:rsid w:val="01AA7FA5"/>
    <w:rsid w:val="01B46114"/>
    <w:rsid w:val="01B91D37"/>
    <w:rsid w:val="01C53017"/>
    <w:rsid w:val="01D24E06"/>
    <w:rsid w:val="01D82F28"/>
    <w:rsid w:val="01DB005C"/>
    <w:rsid w:val="01DC69C2"/>
    <w:rsid w:val="01DD6A5E"/>
    <w:rsid w:val="01E41994"/>
    <w:rsid w:val="01E710D5"/>
    <w:rsid w:val="01F927C7"/>
    <w:rsid w:val="01FB5B89"/>
    <w:rsid w:val="01FF6227"/>
    <w:rsid w:val="0201360D"/>
    <w:rsid w:val="02025A9A"/>
    <w:rsid w:val="02044E17"/>
    <w:rsid w:val="02277E7E"/>
    <w:rsid w:val="023038DF"/>
    <w:rsid w:val="023103CF"/>
    <w:rsid w:val="02363648"/>
    <w:rsid w:val="02365DED"/>
    <w:rsid w:val="02443D58"/>
    <w:rsid w:val="02616AE6"/>
    <w:rsid w:val="02667CFD"/>
    <w:rsid w:val="0269746D"/>
    <w:rsid w:val="026C1A66"/>
    <w:rsid w:val="026C4602"/>
    <w:rsid w:val="026C59D2"/>
    <w:rsid w:val="026E2AF7"/>
    <w:rsid w:val="02732F74"/>
    <w:rsid w:val="027779DB"/>
    <w:rsid w:val="02837AA6"/>
    <w:rsid w:val="028D28C3"/>
    <w:rsid w:val="02912D06"/>
    <w:rsid w:val="0294725C"/>
    <w:rsid w:val="029F5EEF"/>
    <w:rsid w:val="02AD4AF3"/>
    <w:rsid w:val="02BD04FA"/>
    <w:rsid w:val="02BD200F"/>
    <w:rsid w:val="02C324AF"/>
    <w:rsid w:val="02C47338"/>
    <w:rsid w:val="02C9338E"/>
    <w:rsid w:val="02CA0BCF"/>
    <w:rsid w:val="02CE3A42"/>
    <w:rsid w:val="02D3461F"/>
    <w:rsid w:val="02D71FCC"/>
    <w:rsid w:val="02DF464D"/>
    <w:rsid w:val="02E8004B"/>
    <w:rsid w:val="02E82B9E"/>
    <w:rsid w:val="02E94A40"/>
    <w:rsid w:val="02F47E2A"/>
    <w:rsid w:val="02FA2AB1"/>
    <w:rsid w:val="030A4CB5"/>
    <w:rsid w:val="03144E51"/>
    <w:rsid w:val="0319528F"/>
    <w:rsid w:val="031C7564"/>
    <w:rsid w:val="03216536"/>
    <w:rsid w:val="0323129E"/>
    <w:rsid w:val="03264DE0"/>
    <w:rsid w:val="03372811"/>
    <w:rsid w:val="033B2C05"/>
    <w:rsid w:val="03403F83"/>
    <w:rsid w:val="03426864"/>
    <w:rsid w:val="034E35E1"/>
    <w:rsid w:val="035B24BC"/>
    <w:rsid w:val="035D0B65"/>
    <w:rsid w:val="035D5D98"/>
    <w:rsid w:val="0364131F"/>
    <w:rsid w:val="03675A4B"/>
    <w:rsid w:val="03686636"/>
    <w:rsid w:val="036B0651"/>
    <w:rsid w:val="0372194E"/>
    <w:rsid w:val="03732CB8"/>
    <w:rsid w:val="03755455"/>
    <w:rsid w:val="03807A8D"/>
    <w:rsid w:val="03A25CC8"/>
    <w:rsid w:val="03A54059"/>
    <w:rsid w:val="03AB514D"/>
    <w:rsid w:val="03AD77C6"/>
    <w:rsid w:val="03CA018D"/>
    <w:rsid w:val="03D25CA8"/>
    <w:rsid w:val="03D67FD0"/>
    <w:rsid w:val="03DD7349"/>
    <w:rsid w:val="03F53EDB"/>
    <w:rsid w:val="03FC7783"/>
    <w:rsid w:val="03FE7DE0"/>
    <w:rsid w:val="03FF79C9"/>
    <w:rsid w:val="041018FB"/>
    <w:rsid w:val="04150240"/>
    <w:rsid w:val="04154934"/>
    <w:rsid w:val="041B688C"/>
    <w:rsid w:val="042E6F70"/>
    <w:rsid w:val="042F2D7E"/>
    <w:rsid w:val="043D6AD2"/>
    <w:rsid w:val="04412D2B"/>
    <w:rsid w:val="0449227C"/>
    <w:rsid w:val="04506777"/>
    <w:rsid w:val="04535A69"/>
    <w:rsid w:val="045C62D4"/>
    <w:rsid w:val="04600322"/>
    <w:rsid w:val="04645760"/>
    <w:rsid w:val="046D0F6D"/>
    <w:rsid w:val="04752EB4"/>
    <w:rsid w:val="047640F5"/>
    <w:rsid w:val="04796861"/>
    <w:rsid w:val="04874B8A"/>
    <w:rsid w:val="04901A82"/>
    <w:rsid w:val="0492316A"/>
    <w:rsid w:val="04A544CC"/>
    <w:rsid w:val="04AE2496"/>
    <w:rsid w:val="04BA2FDE"/>
    <w:rsid w:val="04BE12C6"/>
    <w:rsid w:val="04BE2C71"/>
    <w:rsid w:val="04C91B26"/>
    <w:rsid w:val="04CA5721"/>
    <w:rsid w:val="04CC5546"/>
    <w:rsid w:val="04D15528"/>
    <w:rsid w:val="04E541F9"/>
    <w:rsid w:val="04E86190"/>
    <w:rsid w:val="04EC1685"/>
    <w:rsid w:val="050C7005"/>
    <w:rsid w:val="05110889"/>
    <w:rsid w:val="05133F2A"/>
    <w:rsid w:val="05201371"/>
    <w:rsid w:val="05207225"/>
    <w:rsid w:val="05297F64"/>
    <w:rsid w:val="052C5D19"/>
    <w:rsid w:val="052F0E41"/>
    <w:rsid w:val="053E1155"/>
    <w:rsid w:val="053F38E0"/>
    <w:rsid w:val="05413F4C"/>
    <w:rsid w:val="0556748A"/>
    <w:rsid w:val="055922D8"/>
    <w:rsid w:val="056E6D98"/>
    <w:rsid w:val="057230C1"/>
    <w:rsid w:val="0573427B"/>
    <w:rsid w:val="05797566"/>
    <w:rsid w:val="058C6C5D"/>
    <w:rsid w:val="058F648E"/>
    <w:rsid w:val="05974400"/>
    <w:rsid w:val="059E0BEF"/>
    <w:rsid w:val="05A6686F"/>
    <w:rsid w:val="05A82560"/>
    <w:rsid w:val="05A96C58"/>
    <w:rsid w:val="05AF4F9A"/>
    <w:rsid w:val="05BF571F"/>
    <w:rsid w:val="05C25F11"/>
    <w:rsid w:val="05C4399A"/>
    <w:rsid w:val="05C66030"/>
    <w:rsid w:val="05CD2E0B"/>
    <w:rsid w:val="05D058CD"/>
    <w:rsid w:val="05D65E11"/>
    <w:rsid w:val="05D94B87"/>
    <w:rsid w:val="05DB741E"/>
    <w:rsid w:val="05E51E6C"/>
    <w:rsid w:val="05EE65ED"/>
    <w:rsid w:val="05F9694F"/>
    <w:rsid w:val="05FA26D7"/>
    <w:rsid w:val="060F4B5D"/>
    <w:rsid w:val="06195220"/>
    <w:rsid w:val="061B4D1D"/>
    <w:rsid w:val="062262F5"/>
    <w:rsid w:val="06235502"/>
    <w:rsid w:val="062B41BF"/>
    <w:rsid w:val="06414867"/>
    <w:rsid w:val="06431949"/>
    <w:rsid w:val="06516022"/>
    <w:rsid w:val="06583275"/>
    <w:rsid w:val="065F030F"/>
    <w:rsid w:val="06613EA1"/>
    <w:rsid w:val="06621E7D"/>
    <w:rsid w:val="06646C62"/>
    <w:rsid w:val="066D013B"/>
    <w:rsid w:val="066E779E"/>
    <w:rsid w:val="066F1F3B"/>
    <w:rsid w:val="068A6A5E"/>
    <w:rsid w:val="0690632F"/>
    <w:rsid w:val="069E3DBD"/>
    <w:rsid w:val="06B944C0"/>
    <w:rsid w:val="06C431B3"/>
    <w:rsid w:val="06C90190"/>
    <w:rsid w:val="06C9366A"/>
    <w:rsid w:val="06D41631"/>
    <w:rsid w:val="06D9693A"/>
    <w:rsid w:val="06E2534F"/>
    <w:rsid w:val="06E51553"/>
    <w:rsid w:val="06E903C9"/>
    <w:rsid w:val="06EA5678"/>
    <w:rsid w:val="06EC5B1D"/>
    <w:rsid w:val="06ED4B9C"/>
    <w:rsid w:val="06F27311"/>
    <w:rsid w:val="06FD01CB"/>
    <w:rsid w:val="06FD6322"/>
    <w:rsid w:val="070A57C2"/>
    <w:rsid w:val="0722341E"/>
    <w:rsid w:val="072D682D"/>
    <w:rsid w:val="072F0AFE"/>
    <w:rsid w:val="073A6FE2"/>
    <w:rsid w:val="073B25FE"/>
    <w:rsid w:val="073F3310"/>
    <w:rsid w:val="07402B2D"/>
    <w:rsid w:val="07462558"/>
    <w:rsid w:val="07502415"/>
    <w:rsid w:val="0762528C"/>
    <w:rsid w:val="07632683"/>
    <w:rsid w:val="07662EC1"/>
    <w:rsid w:val="07664FB4"/>
    <w:rsid w:val="076A6482"/>
    <w:rsid w:val="07752A33"/>
    <w:rsid w:val="077757D3"/>
    <w:rsid w:val="07854B82"/>
    <w:rsid w:val="078851AD"/>
    <w:rsid w:val="07900E5B"/>
    <w:rsid w:val="07945522"/>
    <w:rsid w:val="07971F86"/>
    <w:rsid w:val="07A04A13"/>
    <w:rsid w:val="07A360C0"/>
    <w:rsid w:val="07A87057"/>
    <w:rsid w:val="07AC0C6A"/>
    <w:rsid w:val="07DE6559"/>
    <w:rsid w:val="07F116BA"/>
    <w:rsid w:val="07FB22E7"/>
    <w:rsid w:val="08004C72"/>
    <w:rsid w:val="08047C45"/>
    <w:rsid w:val="080F605D"/>
    <w:rsid w:val="081A62B5"/>
    <w:rsid w:val="08215285"/>
    <w:rsid w:val="08235DA8"/>
    <w:rsid w:val="08324500"/>
    <w:rsid w:val="08363F27"/>
    <w:rsid w:val="083C2DEC"/>
    <w:rsid w:val="083D11D5"/>
    <w:rsid w:val="084766ED"/>
    <w:rsid w:val="084A2905"/>
    <w:rsid w:val="084A370E"/>
    <w:rsid w:val="08531577"/>
    <w:rsid w:val="085D6F5D"/>
    <w:rsid w:val="085F2466"/>
    <w:rsid w:val="087D2A7A"/>
    <w:rsid w:val="087E571F"/>
    <w:rsid w:val="08894FE2"/>
    <w:rsid w:val="088C32F7"/>
    <w:rsid w:val="0899774E"/>
    <w:rsid w:val="08A55A69"/>
    <w:rsid w:val="08AF51CA"/>
    <w:rsid w:val="08B31FF6"/>
    <w:rsid w:val="08B67A04"/>
    <w:rsid w:val="08C04C02"/>
    <w:rsid w:val="08C31496"/>
    <w:rsid w:val="08C42250"/>
    <w:rsid w:val="08CC13A0"/>
    <w:rsid w:val="08D55D04"/>
    <w:rsid w:val="08D74BFF"/>
    <w:rsid w:val="08E926F2"/>
    <w:rsid w:val="08ED7148"/>
    <w:rsid w:val="08F1350A"/>
    <w:rsid w:val="08F408A2"/>
    <w:rsid w:val="08FA66E5"/>
    <w:rsid w:val="08FD4850"/>
    <w:rsid w:val="0912531D"/>
    <w:rsid w:val="091529B0"/>
    <w:rsid w:val="09192BD0"/>
    <w:rsid w:val="091C0DC1"/>
    <w:rsid w:val="09295415"/>
    <w:rsid w:val="092A5199"/>
    <w:rsid w:val="092C22CC"/>
    <w:rsid w:val="09366060"/>
    <w:rsid w:val="09403AB4"/>
    <w:rsid w:val="094365D0"/>
    <w:rsid w:val="094709E1"/>
    <w:rsid w:val="094B42A2"/>
    <w:rsid w:val="094C609E"/>
    <w:rsid w:val="09581D2B"/>
    <w:rsid w:val="09595902"/>
    <w:rsid w:val="09620F0A"/>
    <w:rsid w:val="097A695A"/>
    <w:rsid w:val="097B2CD4"/>
    <w:rsid w:val="097E3A42"/>
    <w:rsid w:val="098B2F3F"/>
    <w:rsid w:val="098D132A"/>
    <w:rsid w:val="09922F20"/>
    <w:rsid w:val="09927BDD"/>
    <w:rsid w:val="099601B6"/>
    <w:rsid w:val="099B76AE"/>
    <w:rsid w:val="09A2759E"/>
    <w:rsid w:val="09DA6F79"/>
    <w:rsid w:val="09EF0710"/>
    <w:rsid w:val="09F328E2"/>
    <w:rsid w:val="09F35A73"/>
    <w:rsid w:val="09F56745"/>
    <w:rsid w:val="09F63E66"/>
    <w:rsid w:val="09FE17C9"/>
    <w:rsid w:val="0A096088"/>
    <w:rsid w:val="0A13019E"/>
    <w:rsid w:val="0A1A298B"/>
    <w:rsid w:val="0A243983"/>
    <w:rsid w:val="0A2F2137"/>
    <w:rsid w:val="0A343E61"/>
    <w:rsid w:val="0A4311F5"/>
    <w:rsid w:val="0A495E5A"/>
    <w:rsid w:val="0A4F37A1"/>
    <w:rsid w:val="0A514A08"/>
    <w:rsid w:val="0A64700A"/>
    <w:rsid w:val="0A654671"/>
    <w:rsid w:val="0A827EF0"/>
    <w:rsid w:val="0A8F5957"/>
    <w:rsid w:val="0A95385D"/>
    <w:rsid w:val="0A9F0202"/>
    <w:rsid w:val="0AB41C7F"/>
    <w:rsid w:val="0AB626F0"/>
    <w:rsid w:val="0AB86691"/>
    <w:rsid w:val="0AC12474"/>
    <w:rsid w:val="0AC13F19"/>
    <w:rsid w:val="0AC5230C"/>
    <w:rsid w:val="0AD03288"/>
    <w:rsid w:val="0AD86A63"/>
    <w:rsid w:val="0AF44993"/>
    <w:rsid w:val="0AF90788"/>
    <w:rsid w:val="0B0317B5"/>
    <w:rsid w:val="0B07340B"/>
    <w:rsid w:val="0B1204FB"/>
    <w:rsid w:val="0B162842"/>
    <w:rsid w:val="0B183135"/>
    <w:rsid w:val="0B1B74D5"/>
    <w:rsid w:val="0B1C43CE"/>
    <w:rsid w:val="0B256902"/>
    <w:rsid w:val="0B2735B7"/>
    <w:rsid w:val="0B3564C3"/>
    <w:rsid w:val="0B397C0C"/>
    <w:rsid w:val="0B49592B"/>
    <w:rsid w:val="0B504FCC"/>
    <w:rsid w:val="0B5F0614"/>
    <w:rsid w:val="0B702D7D"/>
    <w:rsid w:val="0B707A73"/>
    <w:rsid w:val="0B802C8D"/>
    <w:rsid w:val="0B816AE7"/>
    <w:rsid w:val="0B8F4DCB"/>
    <w:rsid w:val="0B96109F"/>
    <w:rsid w:val="0BA13C6C"/>
    <w:rsid w:val="0BA308F9"/>
    <w:rsid w:val="0BA46F7B"/>
    <w:rsid w:val="0BA572C2"/>
    <w:rsid w:val="0BA910A3"/>
    <w:rsid w:val="0BB1226F"/>
    <w:rsid w:val="0BB42C2E"/>
    <w:rsid w:val="0BB655F3"/>
    <w:rsid w:val="0BBA49D9"/>
    <w:rsid w:val="0BC45055"/>
    <w:rsid w:val="0BC4708B"/>
    <w:rsid w:val="0BCD6E67"/>
    <w:rsid w:val="0BE21A24"/>
    <w:rsid w:val="0BE46BFC"/>
    <w:rsid w:val="0BEC59F3"/>
    <w:rsid w:val="0BF5719F"/>
    <w:rsid w:val="0BFF7166"/>
    <w:rsid w:val="0C013C1A"/>
    <w:rsid w:val="0C023307"/>
    <w:rsid w:val="0C0412E2"/>
    <w:rsid w:val="0C06352D"/>
    <w:rsid w:val="0C0E26AD"/>
    <w:rsid w:val="0C182F31"/>
    <w:rsid w:val="0C1A5457"/>
    <w:rsid w:val="0C227529"/>
    <w:rsid w:val="0C2A5F2B"/>
    <w:rsid w:val="0C2B1493"/>
    <w:rsid w:val="0C2D0D6E"/>
    <w:rsid w:val="0C37507B"/>
    <w:rsid w:val="0C3E5D9D"/>
    <w:rsid w:val="0C466EB7"/>
    <w:rsid w:val="0C53683A"/>
    <w:rsid w:val="0C5A7961"/>
    <w:rsid w:val="0C6A3144"/>
    <w:rsid w:val="0C6F0A41"/>
    <w:rsid w:val="0C8427B8"/>
    <w:rsid w:val="0C8455B9"/>
    <w:rsid w:val="0C85502E"/>
    <w:rsid w:val="0C857981"/>
    <w:rsid w:val="0C906B0B"/>
    <w:rsid w:val="0C932385"/>
    <w:rsid w:val="0C970C11"/>
    <w:rsid w:val="0CA505E0"/>
    <w:rsid w:val="0CB250D2"/>
    <w:rsid w:val="0CC0189C"/>
    <w:rsid w:val="0CCC41A3"/>
    <w:rsid w:val="0CD23D65"/>
    <w:rsid w:val="0CD301FE"/>
    <w:rsid w:val="0CDD3309"/>
    <w:rsid w:val="0CE1742B"/>
    <w:rsid w:val="0CEB4EEC"/>
    <w:rsid w:val="0CEF6ABC"/>
    <w:rsid w:val="0CFF223F"/>
    <w:rsid w:val="0D004CE5"/>
    <w:rsid w:val="0D0461B2"/>
    <w:rsid w:val="0D067829"/>
    <w:rsid w:val="0D20160F"/>
    <w:rsid w:val="0D264998"/>
    <w:rsid w:val="0D2957A3"/>
    <w:rsid w:val="0D330CD9"/>
    <w:rsid w:val="0D405AE7"/>
    <w:rsid w:val="0D4402DF"/>
    <w:rsid w:val="0D440D8D"/>
    <w:rsid w:val="0D440F5C"/>
    <w:rsid w:val="0D462EFA"/>
    <w:rsid w:val="0D4B26B6"/>
    <w:rsid w:val="0D513253"/>
    <w:rsid w:val="0D6A3846"/>
    <w:rsid w:val="0D6E6DB9"/>
    <w:rsid w:val="0D703E0F"/>
    <w:rsid w:val="0D706335"/>
    <w:rsid w:val="0D724A53"/>
    <w:rsid w:val="0D772A5D"/>
    <w:rsid w:val="0D7C5649"/>
    <w:rsid w:val="0D8317F5"/>
    <w:rsid w:val="0D852D78"/>
    <w:rsid w:val="0D853922"/>
    <w:rsid w:val="0D8F74E5"/>
    <w:rsid w:val="0D9200B9"/>
    <w:rsid w:val="0D9476EB"/>
    <w:rsid w:val="0D964482"/>
    <w:rsid w:val="0D990A49"/>
    <w:rsid w:val="0DA04C28"/>
    <w:rsid w:val="0DA06B86"/>
    <w:rsid w:val="0DA73E26"/>
    <w:rsid w:val="0DB13208"/>
    <w:rsid w:val="0DCE20F5"/>
    <w:rsid w:val="0DDD244C"/>
    <w:rsid w:val="0DDF7646"/>
    <w:rsid w:val="0DE75D6B"/>
    <w:rsid w:val="0DEB482A"/>
    <w:rsid w:val="0DF1465B"/>
    <w:rsid w:val="0DF24CE4"/>
    <w:rsid w:val="0DFE6C09"/>
    <w:rsid w:val="0E0676A3"/>
    <w:rsid w:val="0E0908F9"/>
    <w:rsid w:val="0E127D30"/>
    <w:rsid w:val="0E1F4D34"/>
    <w:rsid w:val="0E2B2583"/>
    <w:rsid w:val="0E2C3D18"/>
    <w:rsid w:val="0E330B42"/>
    <w:rsid w:val="0E3957A9"/>
    <w:rsid w:val="0E4252A7"/>
    <w:rsid w:val="0E500C9D"/>
    <w:rsid w:val="0E515FE8"/>
    <w:rsid w:val="0E557936"/>
    <w:rsid w:val="0E566E2E"/>
    <w:rsid w:val="0E597CD7"/>
    <w:rsid w:val="0E5F2F08"/>
    <w:rsid w:val="0E681EEC"/>
    <w:rsid w:val="0E6C6213"/>
    <w:rsid w:val="0E6C6E11"/>
    <w:rsid w:val="0E6D48AE"/>
    <w:rsid w:val="0E73066B"/>
    <w:rsid w:val="0E73521B"/>
    <w:rsid w:val="0E76079A"/>
    <w:rsid w:val="0E764592"/>
    <w:rsid w:val="0E7A62A1"/>
    <w:rsid w:val="0E823B84"/>
    <w:rsid w:val="0EA50BDC"/>
    <w:rsid w:val="0EAF4202"/>
    <w:rsid w:val="0EBB1AE8"/>
    <w:rsid w:val="0EC82890"/>
    <w:rsid w:val="0ED96372"/>
    <w:rsid w:val="0EDA1291"/>
    <w:rsid w:val="0EDE187D"/>
    <w:rsid w:val="0EE77947"/>
    <w:rsid w:val="0EEB5205"/>
    <w:rsid w:val="0EFD2CB9"/>
    <w:rsid w:val="0F0A05CF"/>
    <w:rsid w:val="0F2942FD"/>
    <w:rsid w:val="0F3231BB"/>
    <w:rsid w:val="0F3E1A66"/>
    <w:rsid w:val="0F504ED0"/>
    <w:rsid w:val="0F5C612F"/>
    <w:rsid w:val="0F60764C"/>
    <w:rsid w:val="0F61208D"/>
    <w:rsid w:val="0F661083"/>
    <w:rsid w:val="0F762E5A"/>
    <w:rsid w:val="0F826997"/>
    <w:rsid w:val="0F8D498A"/>
    <w:rsid w:val="0F966914"/>
    <w:rsid w:val="0F9952D1"/>
    <w:rsid w:val="0FA15539"/>
    <w:rsid w:val="0FC23B5B"/>
    <w:rsid w:val="0FC270A3"/>
    <w:rsid w:val="0FD74B4E"/>
    <w:rsid w:val="0FE56AE9"/>
    <w:rsid w:val="0FF11248"/>
    <w:rsid w:val="0FF43610"/>
    <w:rsid w:val="0FF67FCE"/>
    <w:rsid w:val="0FFF5116"/>
    <w:rsid w:val="1014482F"/>
    <w:rsid w:val="10163F07"/>
    <w:rsid w:val="10275165"/>
    <w:rsid w:val="1029205D"/>
    <w:rsid w:val="102A66DA"/>
    <w:rsid w:val="102D7F8B"/>
    <w:rsid w:val="103502F0"/>
    <w:rsid w:val="1037153F"/>
    <w:rsid w:val="10394926"/>
    <w:rsid w:val="10410AB3"/>
    <w:rsid w:val="104E5FED"/>
    <w:rsid w:val="106046FD"/>
    <w:rsid w:val="10693AA9"/>
    <w:rsid w:val="107F040D"/>
    <w:rsid w:val="108414CC"/>
    <w:rsid w:val="108636D4"/>
    <w:rsid w:val="108717D6"/>
    <w:rsid w:val="1088661F"/>
    <w:rsid w:val="10966E48"/>
    <w:rsid w:val="10974AE7"/>
    <w:rsid w:val="109E7E72"/>
    <w:rsid w:val="109F724C"/>
    <w:rsid w:val="10A4061E"/>
    <w:rsid w:val="10A968CE"/>
    <w:rsid w:val="10AA1628"/>
    <w:rsid w:val="10B21C9C"/>
    <w:rsid w:val="10BE5697"/>
    <w:rsid w:val="10CC659F"/>
    <w:rsid w:val="10F34437"/>
    <w:rsid w:val="10FA5876"/>
    <w:rsid w:val="11077F9B"/>
    <w:rsid w:val="1111523E"/>
    <w:rsid w:val="11251A56"/>
    <w:rsid w:val="112A755A"/>
    <w:rsid w:val="113523DF"/>
    <w:rsid w:val="113B4D98"/>
    <w:rsid w:val="11516197"/>
    <w:rsid w:val="1155009B"/>
    <w:rsid w:val="115B6C28"/>
    <w:rsid w:val="1169240B"/>
    <w:rsid w:val="116947D9"/>
    <w:rsid w:val="116A3474"/>
    <w:rsid w:val="11800568"/>
    <w:rsid w:val="11886764"/>
    <w:rsid w:val="11906582"/>
    <w:rsid w:val="11933F5E"/>
    <w:rsid w:val="11A06C58"/>
    <w:rsid w:val="11AA1463"/>
    <w:rsid w:val="11B97057"/>
    <w:rsid w:val="11BB74BD"/>
    <w:rsid w:val="11BE0433"/>
    <w:rsid w:val="11BE21AB"/>
    <w:rsid w:val="11C30441"/>
    <w:rsid w:val="11C565F2"/>
    <w:rsid w:val="11C90A61"/>
    <w:rsid w:val="11CA27FE"/>
    <w:rsid w:val="11DB4393"/>
    <w:rsid w:val="11DE7E47"/>
    <w:rsid w:val="11E07189"/>
    <w:rsid w:val="11E200D7"/>
    <w:rsid w:val="11F60796"/>
    <w:rsid w:val="11FE40FB"/>
    <w:rsid w:val="11FF6A63"/>
    <w:rsid w:val="1218105F"/>
    <w:rsid w:val="121E6AA6"/>
    <w:rsid w:val="12270374"/>
    <w:rsid w:val="12374264"/>
    <w:rsid w:val="12437C16"/>
    <w:rsid w:val="124704E0"/>
    <w:rsid w:val="124B128A"/>
    <w:rsid w:val="124E76CE"/>
    <w:rsid w:val="12516EAE"/>
    <w:rsid w:val="12613210"/>
    <w:rsid w:val="12617A82"/>
    <w:rsid w:val="126C31A5"/>
    <w:rsid w:val="12796110"/>
    <w:rsid w:val="12812AB2"/>
    <w:rsid w:val="12842D21"/>
    <w:rsid w:val="128B6BAC"/>
    <w:rsid w:val="128D5D6D"/>
    <w:rsid w:val="12912B4A"/>
    <w:rsid w:val="129246E6"/>
    <w:rsid w:val="129326D7"/>
    <w:rsid w:val="12964287"/>
    <w:rsid w:val="12977BDD"/>
    <w:rsid w:val="129E5547"/>
    <w:rsid w:val="12AF26E3"/>
    <w:rsid w:val="12C078D8"/>
    <w:rsid w:val="12C1384C"/>
    <w:rsid w:val="12C4496C"/>
    <w:rsid w:val="12C64424"/>
    <w:rsid w:val="12D05F5C"/>
    <w:rsid w:val="12D6150C"/>
    <w:rsid w:val="12D80EE0"/>
    <w:rsid w:val="12E20A90"/>
    <w:rsid w:val="12F1467D"/>
    <w:rsid w:val="12F215DF"/>
    <w:rsid w:val="1306493A"/>
    <w:rsid w:val="130E5FFB"/>
    <w:rsid w:val="131628B0"/>
    <w:rsid w:val="132E70BB"/>
    <w:rsid w:val="133D4E4F"/>
    <w:rsid w:val="13444149"/>
    <w:rsid w:val="134C2830"/>
    <w:rsid w:val="1379314B"/>
    <w:rsid w:val="13997E48"/>
    <w:rsid w:val="139F7EA6"/>
    <w:rsid w:val="13A0010E"/>
    <w:rsid w:val="13A66BF1"/>
    <w:rsid w:val="13AF219E"/>
    <w:rsid w:val="13B43247"/>
    <w:rsid w:val="13BC56F2"/>
    <w:rsid w:val="13C25340"/>
    <w:rsid w:val="13C735CB"/>
    <w:rsid w:val="13C91066"/>
    <w:rsid w:val="13EC2485"/>
    <w:rsid w:val="13FD0AFD"/>
    <w:rsid w:val="140B4B4C"/>
    <w:rsid w:val="141B4ECA"/>
    <w:rsid w:val="14401AC4"/>
    <w:rsid w:val="14495DE7"/>
    <w:rsid w:val="144A3DDD"/>
    <w:rsid w:val="145E715B"/>
    <w:rsid w:val="14632A4D"/>
    <w:rsid w:val="14657FE4"/>
    <w:rsid w:val="14700486"/>
    <w:rsid w:val="14734707"/>
    <w:rsid w:val="147F644B"/>
    <w:rsid w:val="14812261"/>
    <w:rsid w:val="148C224C"/>
    <w:rsid w:val="148D25DC"/>
    <w:rsid w:val="148F7DB3"/>
    <w:rsid w:val="149B423F"/>
    <w:rsid w:val="14AA3F75"/>
    <w:rsid w:val="14AF634C"/>
    <w:rsid w:val="14B256FC"/>
    <w:rsid w:val="14B74937"/>
    <w:rsid w:val="14B771CD"/>
    <w:rsid w:val="14C27B6E"/>
    <w:rsid w:val="14C44B68"/>
    <w:rsid w:val="14C545C2"/>
    <w:rsid w:val="14D551F0"/>
    <w:rsid w:val="14D71007"/>
    <w:rsid w:val="14D9013C"/>
    <w:rsid w:val="14DC265E"/>
    <w:rsid w:val="14E26680"/>
    <w:rsid w:val="14EF6FDF"/>
    <w:rsid w:val="14F11156"/>
    <w:rsid w:val="150A33E5"/>
    <w:rsid w:val="15242230"/>
    <w:rsid w:val="15250A46"/>
    <w:rsid w:val="15286AB3"/>
    <w:rsid w:val="152A2F49"/>
    <w:rsid w:val="153321E6"/>
    <w:rsid w:val="15397219"/>
    <w:rsid w:val="154830A9"/>
    <w:rsid w:val="155903EB"/>
    <w:rsid w:val="155A7070"/>
    <w:rsid w:val="156E1C2E"/>
    <w:rsid w:val="158A737B"/>
    <w:rsid w:val="15A83F65"/>
    <w:rsid w:val="15B82B9F"/>
    <w:rsid w:val="15BE2C94"/>
    <w:rsid w:val="15BF355E"/>
    <w:rsid w:val="15C478C0"/>
    <w:rsid w:val="15C74873"/>
    <w:rsid w:val="15C972E9"/>
    <w:rsid w:val="15D973DE"/>
    <w:rsid w:val="15DA7D8D"/>
    <w:rsid w:val="15E60C28"/>
    <w:rsid w:val="15F32E5D"/>
    <w:rsid w:val="160426BE"/>
    <w:rsid w:val="16061828"/>
    <w:rsid w:val="1624731D"/>
    <w:rsid w:val="16340A51"/>
    <w:rsid w:val="163E493A"/>
    <w:rsid w:val="164840A4"/>
    <w:rsid w:val="16524F36"/>
    <w:rsid w:val="165349CE"/>
    <w:rsid w:val="165602D1"/>
    <w:rsid w:val="16657F9A"/>
    <w:rsid w:val="167B7D06"/>
    <w:rsid w:val="167E1879"/>
    <w:rsid w:val="16872E24"/>
    <w:rsid w:val="169B1495"/>
    <w:rsid w:val="169B1B2B"/>
    <w:rsid w:val="16AC4C43"/>
    <w:rsid w:val="16B05BE2"/>
    <w:rsid w:val="16B7376F"/>
    <w:rsid w:val="16B82EF8"/>
    <w:rsid w:val="16BB1996"/>
    <w:rsid w:val="16D414F1"/>
    <w:rsid w:val="16E0443D"/>
    <w:rsid w:val="16EB5A80"/>
    <w:rsid w:val="17000164"/>
    <w:rsid w:val="17050D1A"/>
    <w:rsid w:val="1706273C"/>
    <w:rsid w:val="170E24D1"/>
    <w:rsid w:val="170F1916"/>
    <w:rsid w:val="171E5FF3"/>
    <w:rsid w:val="172057B0"/>
    <w:rsid w:val="17235A7C"/>
    <w:rsid w:val="172E77AF"/>
    <w:rsid w:val="173002B7"/>
    <w:rsid w:val="17382F76"/>
    <w:rsid w:val="173A044C"/>
    <w:rsid w:val="173E0ABE"/>
    <w:rsid w:val="17422C24"/>
    <w:rsid w:val="17424810"/>
    <w:rsid w:val="174562EC"/>
    <w:rsid w:val="174E1F52"/>
    <w:rsid w:val="17550F70"/>
    <w:rsid w:val="1762296C"/>
    <w:rsid w:val="17687D80"/>
    <w:rsid w:val="17705219"/>
    <w:rsid w:val="177866CC"/>
    <w:rsid w:val="177A7C8F"/>
    <w:rsid w:val="179474E9"/>
    <w:rsid w:val="1796067C"/>
    <w:rsid w:val="17994DEC"/>
    <w:rsid w:val="179E173F"/>
    <w:rsid w:val="17A204D2"/>
    <w:rsid w:val="17B04F70"/>
    <w:rsid w:val="17B07BAE"/>
    <w:rsid w:val="17B118C1"/>
    <w:rsid w:val="17B71AA5"/>
    <w:rsid w:val="17BA5C0B"/>
    <w:rsid w:val="17BB30FF"/>
    <w:rsid w:val="17C3611A"/>
    <w:rsid w:val="17C74EBA"/>
    <w:rsid w:val="17E060B5"/>
    <w:rsid w:val="17F608AD"/>
    <w:rsid w:val="17F6143D"/>
    <w:rsid w:val="17FB2A9C"/>
    <w:rsid w:val="18021C66"/>
    <w:rsid w:val="1809525E"/>
    <w:rsid w:val="180F65C1"/>
    <w:rsid w:val="18150B98"/>
    <w:rsid w:val="18196068"/>
    <w:rsid w:val="181D3A57"/>
    <w:rsid w:val="181E3BFF"/>
    <w:rsid w:val="18221BE6"/>
    <w:rsid w:val="182626F7"/>
    <w:rsid w:val="18275569"/>
    <w:rsid w:val="18312109"/>
    <w:rsid w:val="18316543"/>
    <w:rsid w:val="183C2FC4"/>
    <w:rsid w:val="183D13A6"/>
    <w:rsid w:val="18447D14"/>
    <w:rsid w:val="184E0A26"/>
    <w:rsid w:val="185523CC"/>
    <w:rsid w:val="185A349C"/>
    <w:rsid w:val="18615388"/>
    <w:rsid w:val="18772219"/>
    <w:rsid w:val="187A6648"/>
    <w:rsid w:val="18916DE8"/>
    <w:rsid w:val="18996C5A"/>
    <w:rsid w:val="189D15D7"/>
    <w:rsid w:val="189D1D0E"/>
    <w:rsid w:val="18A164EF"/>
    <w:rsid w:val="18AA04D7"/>
    <w:rsid w:val="18AB0920"/>
    <w:rsid w:val="18AF356D"/>
    <w:rsid w:val="18B3486A"/>
    <w:rsid w:val="18BC2E22"/>
    <w:rsid w:val="18C16D28"/>
    <w:rsid w:val="18C5043A"/>
    <w:rsid w:val="18C75543"/>
    <w:rsid w:val="18C75C11"/>
    <w:rsid w:val="18DA698D"/>
    <w:rsid w:val="18DD6E9B"/>
    <w:rsid w:val="190E1054"/>
    <w:rsid w:val="190E2D72"/>
    <w:rsid w:val="190E5C71"/>
    <w:rsid w:val="190F5E3F"/>
    <w:rsid w:val="19114BE5"/>
    <w:rsid w:val="19157B7F"/>
    <w:rsid w:val="191642E3"/>
    <w:rsid w:val="193E3604"/>
    <w:rsid w:val="193E4033"/>
    <w:rsid w:val="1942550B"/>
    <w:rsid w:val="194C275F"/>
    <w:rsid w:val="194C6A55"/>
    <w:rsid w:val="19682B32"/>
    <w:rsid w:val="19771D01"/>
    <w:rsid w:val="1983673A"/>
    <w:rsid w:val="199616A5"/>
    <w:rsid w:val="199A7660"/>
    <w:rsid w:val="199D054E"/>
    <w:rsid w:val="19B11026"/>
    <w:rsid w:val="19B464A8"/>
    <w:rsid w:val="19BB37C0"/>
    <w:rsid w:val="19D27EFD"/>
    <w:rsid w:val="19D50607"/>
    <w:rsid w:val="19D872B0"/>
    <w:rsid w:val="19D9343E"/>
    <w:rsid w:val="19DC673B"/>
    <w:rsid w:val="19DE526E"/>
    <w:rsid w:val="19E2032D"/>
    <w:rsid w:val="19E82932"/>
    <w:rsid w:val="19EE4CF1"/>
    <w:rsid w:val="19EE6538"/>
    <w:rsid w:val="19F6362A"/>
    <w:rsid w:val="19FA4850"/>
    <w:rsid w:val="19FF79FF"/>
    <w:rsid w:val="1A01573A"/>
    <w:rsid w:val="1A0870B3"/>
    <w:rsid w:val="1A0C2216"/>
    <w:rsid w:val="1A137851"/>
    <w:rsid w:val="1A197D4A"/>
    <w:rsid w:val="1A235778"/>
    <w:rsid w:val="1A2A16CA"/>
    <w:rsid w:val="1A2E3F9D"/>
    <w:rsid w:val="1A3A4AF5"/>
    <w:rsid w:val="1A414A1D"/>
    <w:rsid w:val="1A4D1D65"/>
    <w:rsid w:val="1A4F044F"/>
    <w:rsid w:val="1A52380B"/>
    <w:rsid w:val="1A725A7E"/>
    <w:rsid w:val="1A733456"/>
    <w:rsid w:val="1A77452D"/>
    <w:rsid w:val="1A7B4C51"/>
    <w:rsid w:val="1A7C10E3"/>
    <w:rsid w:val="1A9B76C4"/>
    <w:rsid w:val="1A9F7144"/>
    <w:rsid w:val="1AA20CD9"/>
    <w:rsid w:val="1AA548F7"/>
    <w:rsid w:val="1AA65E6B"/>
    <w:rsid w:val="1AB97A8C"/>
    <w:rsid w:val="1AD01BAA"/>
    <w:rsid w:val="1AD30C51"/>
    <w:rsid w:val="1AD6059B"/>
    <w:rsid w:val="1ADA187B"/>
    <w:rsid w:val="1AE021B6"/>
    <w:rsid w:val="1AE02D2D"/>
    <w:rsid w:val="1AE12A8F"/>
    <w:rsid w:val="1AE664BB"/>
    <w:rsid w:val="1AF9590E"/>
    <w:rsid w:val="1B007129"/>
    <w:rsid w:val="1B15074F"/>
    <w:rsid w:val="1B443326"/>
    <w:rsid w:val="1B4A0CAD"/>
    <w:rsid w:val="1B50452D"/>
    <w:rsid w:val="1B542026"/>
    <w:rsid w:val="1B5529E0"/>
    <w:rsid w:val="1B5C6561"/>
    <w:rsid w:val="1B6049D1"/>
    <w:rsid w:val="1B621726"/>
    <w:rsid w:val="1B6C6079"/>
    <w:rsid w:val="1B702178"/>
    <w:rsid w:val="1B7429E0"/>
    <w:rsid w:val="1B7C16C8"/>
    <w:rsid w:val="1B7C511E"/>
    <w:rsid w:val="1B8363E9"/>
    <w:rsid w:val="1B847F25"/>
    <w:rsid w:val="1B8D4B2A"/>
    <w:rsid w:val="1B8F179B"/>
    <w:rsid w:val="1B8F4B27"/>
    <w:rsid w:val="1B973664"/>
    <w:rsid w:val="1B981C8D"/>
    <w:rsid w:val="1B9B49EC"/>
    <w:rsid w:val="1BA673EA"/>
    <w:rsid w:val="1BA758C1"/>
    <w:rsid w:val="1BAA2009"/>
    <w:rsid w:val="1BAA633F"/>
    <w:rsid w:val="1BB51FE1"/>
    <w:rsid w:val="1BC524E0"/>
    <w:rsid w:val="1BD11957"/>
    <w:rsid w:val="1BD86C55"/>
    <w:rsid w:val="1BE2063B"/>
    <w:rsid w:val="1BEE3E39"/>
    <w:rsid w:val="1C125FE1"/>
    <w:rsid w:val="1C13200C"/>
    <w:rsid w:val="1C133E06"/>
    <w:rsid w:val="1C1602B2"/>
    <w:rsid w:val="1C170C93"/>
    <w:rsid w:val="1C1B5D7C"/>
    <w:rsid w:val="1C1D2E4E"/>
    <w:rsid w:val="1C1F0CCD"/>
    <w:rsid w:val="1C2373A1"/>
    <w:rsid w:val="1C24079B"/>
    <w:rsid w:val="1C48484D"/>
    <w:rsid w:val="1C491ACA"/>
    <w:rsid w:val="1C4A7D94"/>
    <w:rsid w:val="1C5126E4"/>
    <w:rsid w:val="1C554D37"/>
    <w:rsid w:val="1C5D70DB"/>
    <w:rsid w:val="1C6462AE"/>
    <w:rsid w:val="1C6731E0"/>
    <w:rsid w:val="1C696758"/>
    <w:rsid w:val="1C6C6468"/>
    <w:rsid w:val="1C713FAF"/>
    <w:rsid w:val="1C7846D0"/>
    <w:rsid w:val="1C800607"/>
    <w:rsid w:val="1C8200AB"/>
    <w:rsid w:val="1C897F8F"/>
    <w:rsid w:val="1C8A18EC"/>
    <w:rsid w:val="1C8B0133"/>
    <w:rsid w:val="1C8B1559"/>
    <w:rsid w:val="1C8D3198"/>
    <w:rsid w:val="1C9755B9"/>
    <w:rsid w:val="1CAF7DA4"/>
    <w:rsid w:val="1CC67B54"/>
    <w:rsid w:val="1CCC326F"/>
    <w:rsid w:val="1CD12AFE"/>
    <w:rsid w:val="1CD5621D"/>
    <w:rsid w:val="1CE328B7"/>
    <w:rsid w:val="1CEE7DA2"/>
    <w:rsid w:val="1CF168C7"/>
    <w:rsid w:val="1CF82E94"/>
    <w:rsid w:val="1CF86D91"/>
    <w:rsid w:val="1D0470E9"/>
    <w:rsid w:val="1D0F2715"/>
    <w:rsid w:val="1D121F85"/>
    <w:rsid w:val="1D1E2F74"/>
    <w:rsid w:val="1D302EE8"/>
    <w:rsid w:val="1D3C3E33"/>
    <w:rsid w:val="1D4F4231"/>
    <w:rsid w:val="1D6305E6"/>
    <w:rsid w:val="1D637462"/>
    <w:rsid w:val="1D713443"/>
    <w:rsid w:val="1D7419E6"/>
    <w:rsid w:val="1D761344"/>
    <w:rsid w:val="1D7715D8"/>
    <w:rsid w:val="1D9035D3"/>
    <w:rsid w:val="1D9A605D"/>
    <w:rsid w:val="1D9B2E58"/>
    <w:rsid w:val="1D9E0C11"/>
    <w:rsid w:val="1D9E1D1E"/>
    <w:rsid w:val="1DA27B36"/>
    <w:rsid w:val="1DB5537D"/>
    <w:rsid w:val="1DC151B1"/>
    <w:rsid w:val="1DC34F38"/>
    <w:rsid w:val="1DCA697E"/>
    <w:rsid w:val="1DCE02B0"/>
    <w:rsid w:val="1DD7330F"/>
    <w:rsid w:val="1DD934BC"/>
    <w:rsid w:val="1DE33498"/>
    <w:rsid w:val="1DEC177B"/>
    <w:rsid w:val="1DFB1A58"/>
    <w:rsid w:val="1E0837E2"/>
    <w:rsid w:val="1E112498"/>
    <w:rsid w:val="1E140C39"/>
    <w:rsid w:val="1E1A6DFA"/>
    <w:rsid w:val="1E381CE3"/>
    <w:rsid w:val="1E3866AD"/>
    <w:rsid w:val="1E3D7C43"/>
    <w:rsid w:val="1E3F3F91"/>
    <w:rsid w:val="1E414967"/>
    <w:rsid w:val="1E4819ED"/>
    <w:rsid w:val="1E537ECB"/>
    <w:rsid w:val="1E67318E"/>
    <w:rsid w:val="1E6A44EB"/>
    <w:rsid w:val="1E874B5B"/>
    <w:rsid w:val="1E8D7F78"/>
    <w:rsid w:val="1E911178"/>
    <w:rsid w:val="1E955AA4"/>
    <w:rsid w:val="1E9D24D1"/>
    <w:rsid w:val="1EA6355D"/>
    <w:rsid w:val="1EA857A4"/>
    <w:rsid w:val="1EAA6491"/>
    <w:rsid w:val="1EB24D1B"/>
    <w:rsid w:val="1EB63967"/>
    <w:rsid w:val="1EB7524D"/>
    <w:rsid w:val="1ECE545D"/>
    <w:rsid w:val="1EE862E1"/>
    <w:rsid w:val="1EEB7F01"/>
    <w:rsid w:val="1EF67CD5"/>
    <w:rsid w:val="1EFE0B46"/>
    <w:rsid w:val="1EFF7C25"/>
    <w:rsid w:val="1F0475F4"/>
    <w:rsid w:val="1F0B7EC0"/>
    <w:rsid w:val="1F2853FC"/>
    <w:rsid w:val="1F2B5855"/>
    <w:rsid w:val="1F3B5C87"/>
    <w:rsid w:val="1F417C5C"/>
    <w:rsid w:val="1F461096"/>
    <w:rsid w:val="1F483478"/>
    <w:rsid w:val="1F534A02"/>
    <w:rsid w:val="1F5466DC"/>
    <w:rsid w:val="1F550108"/>
    <w:rsid w:val="1F553729"/>
    <w:rsid w:val="1F692E09"/>
    <w:rsid w:val="1F6A5F47"/>
    <w:rsid w:val="1F83417E"/>
    <w:rsid w:val="1F9401C7"/>
    <w:rsid w:val="1F9854CE"/>
    <w:rsid w:val="1F9A31A5"/>
    <w:rsid w:val="1FA13D6F"/>
    <w:rsid w:val="1FA67764"/>
    <w:rsid w:val="1FAF6668"/>
    <w:rsid w:val="1FC34347"/>
    <w:rsid w:val="1FC60211"/>
    <w:rsid w:val="1FC714F2"/>
    <w:rsid w:val="1FC811D1"/>
    <w:rsid w:val="1FC86D59"/>
    <w:rsid w:val="1FCF2B21"/>
    <w:rsid w:val="1FCF4973"/>
    <w:rsid w:val="1FD27DEC"/>
    <w:rsid w:val="1FDC3D12"/>
    <w:rsid w:val="1FE84333"/>
    <w:rsid w:val="1FEB069A"/>
    <w:rsid w:val="1FEC40D9"/>
    <w:rsid w:val="1FEC6420"/>
    <w:rsid w:val="1FF746A4"/>
    <w:rsid w:val="1FFE471B"/>
    <w:rsid w:val="200318D0"/>
    <w:rsid w:val="2005408B"/>
    <w:rsid w:val="2008463E"/>
    <w:rsid w:val="200B3C86"/>
    <w:rsid w:val="20190493"/>
    <w:rsid w:val="20281E6D"/>
    <w:rsid w:val="20295F06"/>
    <w:rsid w:val="203358E6"/>
    <w:rsid w:val="203477A1"/>
    <w:rsid w:val="2036029E"/>
    <w:rsid w:val="20396FAB"/>
    <w:rsid w:val="20405CD7"/>
    <w:rsid w:val="2045276B"/>
    <w:rsid w:val="2046431D"/>
    <w:rsid w:val="20506A57"/>
    <w:rsid w:val="20671C36"/>
    <w:rsid w:val="206C1DB5"/>
    <w:rsid w:val="207427BB"/>
    <w:rsid w:val="20763979"/>
    <w:rsid w:val="208062C7"/>
    <w:rsid w:val="20806B27"/>
    <w:rsid w:val="20855879"/>
    <w:rsid w:val="209018B1"/>
    <w:rsid w:val="209E020F"/>
    <w:rsid w:val="20B76EC2"/>
    <w:rsid w:val="20BC5D53"/>
    <w:rsid w:val="20BE4273"/>
    <w:rsid w:val="20C219E1"/>
    <w:rsid w:val="20CF3117"/>
    <w:rsid w:val="20D14270"/>
    <w:rsid w:val="20D14E29"/>
    <w:rsid w:val="20D20CC0"/>
    <w:rsid w:val="20D22907"/>
    <w:rsid w:val="20D31688"/>
    <w:rsid w:val="20DA4D96"/>
    <w:rsid w:val="20E810A3"/>
    <w:rsid w:val="20F277EB"/>
    <w:rsid w:val="20F341A4"/>
    <w:rsid w:val="20F945EB"/>
    <w:rsid w:val="20FF59BA"/>
    <w:rsid w:val="210003FA"/>
    <w:rsid w:val="21084552"/>
    <w:rsid w:val="210A3AF0"/>
    <w:rsid w:val="210E0515"/>
    <w:rsid w:val="211851BD"/>
    <w:rsid w:val="211B1940"/>
    <w:rsid w:val="212237C5"/>
    <w:rsid w:val="212257B7"/>
    <w:rsid w:val="212748A3"/>
    <w:rsid w:val="21293A01"/>
    <w:rsid w:val="213A0A70"/>
    <w:rsid w:val="213E1962"/>
    <w:rsid w:val="214F576E"/>
    <w:rsid w:val="216410AB"/>
    <w:rsid w:val="21723131"/>
    <w:rsid w:val="21727DAF"/>
    <w:rsid w:val="217E16B5"/>
    <w:rsid w:val="218A341B"/>
    <w:rsid w:val="2198178B"/>
    <w:rsid w:val="219A166F"/>
    <w:rsid w:val="219B2367"/>
    <w:rsid w:val="21A04166"/>
    <w:rsid w:val="21AF3339"/>
    <w:rsid w:val="21AF6B23"/>
    <w:rsid w:val="21B640CD"/>
    <w:rsid w:val="21D36522"/>
    <w:rsid w:val="21D97F30"/>
    <w:rsid w:val="21E1767F"/>
    <w:rsid w:val="21EC4A10"/>
    <w:rsid w:val="21F162C9"/>
    <w:rsid w:val="21F25F68"/>
    <w:rsid w:val="21FB293A"/>
    <w:rsid w:val="220245DA"/>
    <w:rsid w:val="22034B7E"/>
    <w:rsid w:val="220479AF"/>
    <w:rsid w:val="220B0115"/>
    <w:rsid w:val="221D6EFD"/>
    <w:rsid w:val="221E2340"/>
    <w:rsid w:val="22412AEB"/>
    <w:rsid w:val="22421450"/>
    <w:rsid w:val="22441147"/>
    <w:rsid w:val="22535623"/>
    <w:rsid w:val="225B5DD9"/>
    <w:rsid w:val="225D3A60"/>
    <w:rsid w:val="225F3EB5"/>
    <w:rsid w:val="22633776"/>
    <w:rsid w:val="22691BDC"/>
    <w:rsid w:val="2282008D"/>
    <w:rsid w:val="22851ED6"/>
    <w:rsid w:val="228735AD"/>
    <w:rsid w:val="228D1E61"/>
    <w:rsid w:val="22961F82"/>
    <w:rsid w:val="229E6C7D"/>
    <w:rsid w:val="22A5405F"/>
    <w:rsid w:val="22A8470F"/>
    <w:rsid w:val="22AD0D9D"/>
    <w:rsid w:val="22AF5FF7"/>
    <w:rsid w:val="22B02B4A"/>
    <w:rsid w:val="22B26CEF"/>
    <w:rsid w:val="22BD2723"/>
    <w:rsid w:val="22D04F82"/>
    <w:rsid w:val="22D97C33"/>
    <w:rsid w:val="22DB5CE3"/>
    <w:rsid w:val="22E6275E"/>
    <w:rsid w:val="22F33BCF"/>
    <w:rsid w:val="22F657F3"/>
    <w:rsid w:val="22F96A57"/>
    <w:rsid w:val="22FA2D03"/>
    <w:rsid w:val="22FD3DCE"/>
    <w:rsid w:val="230D66B2"/>
    <w:rsid w:val="230F45CC"/>
    <w:rsid w:val="23107D71"/>
    <w:rsid w:val="231228E5"/>
    <w:rsid w:val="231D218B"/>
    <w:rsid w:val="23202EBF"/>
    <w:rsid w:val="232472E9"/>
    <w:rsid w:val="232A6A8F"/>
    <w:rsid w:val="232C31D6"/>
    <w:rsid w:val="232C7FAC"/>
    <w:rsid w:val="233504F1"/>
    <w:rsid w:val="23390ACD"/>
    <w:rsid w:val="23444436"/>
    <w:rsid w:val="234510EE"/>
    <w:rsid w:val="234B7F28"/>
    <w:rsid w:val="235E241F"/>
    <w:rsid w:val="23672A35"/>
    <w:rsid w:val="2368125A"/>
    <w:rsid w:val="236853B3"/>
    <w:rsid w:val="236A35DC"/>
    <w:rsid w:val="23700EB9"/>
    <w:rsid w:val="23746EF4"/>
    <w:rsid w:val="23804E5A"/>
    <w:rsid w:val="238340EF"/>
    <w:rsid w:val="238952F9"/>
    <w:rsid w:val="23A027FB"/>
    <w:rsid w:val="23A062CB"/>
    <w:rsid w:val="23A321D5"/>
    <w:rsid w:val="23A54425"/>
    <w:rsid w:val="23A54BA8"/>
    <w:rsid w:val="23A74984"/>
    <w:rsid w:val="23AA2ABC"/>
    <w:rsid w:val="23BB521A"/>
    <w:rsid w:val="23BC73A9"/>
    <w:rsid w:val="23C554CD"/>
    <w:rsid w:val="23CC6384"/>
    <w:rsid w:val="23D53D4A"/>
    <w:rsid w:val="23DE0E74"/>
    <w:rsid w:val="23DF075D"/>
    <w:rsid w:val="23E62E9F"/>
    <w:rsid w:val="23EF54BF"/>
    <w:rsid w:val="23F808AA"/>
    <w:rsid w:val="23F86A03"/>
    <w:rsid w:val="24097F81"/>
    <w:rsid w:val="240D03A1"/>
    <w:rsid w:val="241240B1"/>
    <w:rsid w:val="2418063B"/>
    <w:rsid w:val="241B02CA"/>
    <w:rsid w:val="24281370"/>
    <w:rsid w:val="242F6B4F"/>
    <w:rsid w:val="243A4DBB"/>
    <w:rsid w:val="243D564D"/>
    <w:rsid w:val="243F3B28"/>
    <w:rsid w:val="244516B0"/>
    <w:rsid w:val="2457461D"/>
    <w:rsid w:val="245F60D2"/>
    <w:rsid w:val="2468111B"/>
    <w:rsid w:val="2472214C"/>
    <w:rsid w:val="247C042D"/>
    <w:rsid w:val="247D4883"/>
    <w:rsid w:val="24923C2B"/>
    <w:rsid w:val="249763B3"/>
    <w:rsid w:val="249A7478"/>
    <w:rsid w:val="249D6B27"/>
    <w:rsid w:val="24AA3B7F"/>
    <w:rsid w:val="24B41EDE"/>
    <w:rsid w:val="24BC391F"/>
    <w:rsid w:val="24BC3CB9"/>
    <w:rsid w:val="24C534A0"/>
    <w:rsid w:val="24C80496"/>
    <w:rsid w:val="24CB128B"/>
    <w:rsid w:val="24CC37DF"/>
    <w:rsid w:val="24D171E9"/>
    <w:rsid w:val="24EA628E"/>
    <w:rsid w:val="24F41A1C"/>
    <w:rsid w:val="24FE796D"/>
    <w:rsid w:val="2505300E"/>
    <w:rsid w:val="250832D8"/>
    <w:rsid w:val="251012FD"/>
    <w:rsid w:val="251E1E5D"/>
    <w:rsid w:val="25222796"/>
    <w:rsid w:val="25232216"/>
    <w:rsid w:val="25257688"/>
    <w:rsid w:val="25275547"/>
    <w:rsid w:val="25305D20"/>
    <w:rsid w:val="253A2C60"/>
    <w:rsid w:val="254145F0"/>
    <w:rsid w:val="2542723F"/>
    <w:rsid w:val="25583B9B"/>
    <w:rsid w:val="25585729"/>
    <w:rsid w:val="25603970"/>
    <w:rsid w:val="256465A5"/>
    <w:rsid w:val="256A142E"/>
    <w:rsid w:val="256B5C00"/>
    <w:rsid w:val="25716131"/>
    <w:rsid w:val="257240F0"/>
    <w:rsid w:val="2576009D"/>
    <w:rsid w:val="25927B0F"/>
    <w:rsid w:val="259715F4"/>
    <w:rsid w:val="259C649D"/>
    <w:rsid w:val="259D23F7"/>
    <w:rsid w:val="25A162A8"/>
    <w:rsid w:val="25A83B80"/>
    <w:rsid w:val="25A957F7"/>
    <w:rsid w:val="25B56D8C"/>
    <w:rsid w:val="25B726F3"/>
    <w:rsid w:val="25C34078"/>
    <w:rsid w:val="25CC0C40"/>
    <w:rsid w:val="25D23729"/>
    <w:rsid w:val="25D7789A"/>
    <w:rsid w:val="25D85A35"/>
    <w:rsid w:val="25E21982"/>
    <w:rsid w:val="25EA0958"/>
    <w:rsid w:val="25EA5FD8"/>
    <w:rsid w:val="25FB648F"/>
    <w:rsid w:val="26097E66"/>
    <w:rsid w:val="261F0380"/>
    <w:rsid w:val="261F6540"/>
    <w:rsid w:val="26203AAA"/>
    <w:rsid w:val="26234859"/>
    <w:rsid w:val="262350EE"/>
    <w:rsid w:val="26364F62"/>
    <w:rsid w:val="263A3C95"/>
    <w:rsid w:val="263D257E"/>
    <w:rsid w:val="263F55C4"/>
    <w:rsid w:val="2649455B"/>
    <w:rsid w:val="264F27EB"/>
    <w:rsid w:val="26554479"/>
    <w:rsid w:val="26574AB3"/>
    <w:rsid w:val="265C43E8"/>
    <w:rsid w:val="265F2B7C"/>
    <w:rsid w:val="26711D72"/>
    <w:rsid w:val="26807CFC"/>
    <w:rsid w:val="269123E4"/>
    <w:rsid w:val="26967A27"/>
    <w:rsid w:val="269A355D"/>
    <w:rsid w:val="269C047A"/>
    <w:rsid w:val="26A067FA"/>
    <w:rsid w:val="26AA7E9A"/>
    <w:rsid w:val="26AC1A5A"/>
    <w:rsid w:val="26B66776"/>
    <w:rsid w:val="26B829B5"/>
    <w:rsid w:val="26B921C5"/>
    <w:rsid w:val="26BB281D"/>
    <w:rsid w:val="26C515B6"/>
    <w:rsid w:val="26CC0FD1"/>
    <w:rsid w:val="26CC4F89"/>
    <w:rsid w:val="26CC6EDC"/>
    <w:rsid w:val="26D10FB9"/>
    <w:rsid w:val="26DF0581"/>
    <w:rsid w:val="26E23A32"/>
    <w:rsid w:val="26E40E31"/>
    <w:rsid w:val="26EA6335"/>
    <w:rsid w:val="26EF2C05"/>
    <w:rsid w:val="26F511D2"/>
    <w:rsid w:val="26F75AEA"/>
    <w:rsid w:val="26FC77D8"/>
    <w:rsid w:val="270F7193"/>
    <w:rsid w:val="271201B8"/>
    <w:rsid w:val="271379FD"/>
    <w:rsid w:val="273D4CBF"/>
    <w:rsid w:val="2747083A"/>
    <w:rsid w:val="275657D3"/>
    <w:rsid w:val="2757255D"/>
    <w:rsid w:val="275A3CC6"/>
    <w:rsid w:val="27640FBF"/>
    <w:rsid w:val="27656006"/>
    <w:rsid w:val="27691D55"/>
    <w:rsid w:val="276C0318"/>
    <w:rsid w:val="277127DA"/>
    <w:rsid w:val="277229E2"/>
    <w:rsid w:val="27917CEA"/>
    <w:rsid w:val="27B60D85"/>
    <w:rsid w:val="27CE1CB6"/>
    <w:rsid w:val="27DF700C"/>
    <w:rsid w:val="27F21C59"/>
    <w:rsid w:val="27F555C4"/>
    <w:rsid w:val="27FC50BB"/>
    <w:rsid w:val="27FF736B"/>
    <w:rsid w:val="28003728"/>
    <w:rsid w:val="28051425"/>
    <w:rsid w:val="28083BED"/>
    <w:rsid w:val="28122E5B"/>
    <w:rsid w:val="28162A07"/>
    <w:rsid w:val="281C378B"/>
    <w:rsid w:val="281C4005"/>
    <w:rsid w:val="28283E15"/>
    <w:rsid w:val="283C4858"/>
    <w:rsid w:val="283F6281"/>
    <w:rsid w:val="284B436E"/>
    <w:rsid w:val="284D02F8"/>
    <w:rsid w:val="284F0AB2"/>
    <w:rsid w:val="285457C5"/>
    <w:rsid w:val="285C5699"/>
    <w:rsid w:val="285E045D"/>
    <w:rsid w:val="28610681"/>
    <w:rsid w:val="286A2AEA"/>
    <w:rsid w:val="2872485F"/>
    <w:rsid w:val="28774440"/>
    <w:rsid w:val="287C7ECC"/>
    <w:rsid w:val="28807006"/>
    <w:rsid w:val="28886EA4"/>
    <w:rsid w:val="28897056"/>
    <w:rsid w:val="288C0355"/>
    <w:rsid w:val="28974537"/>
    <w:rsid w:val="28AB3964"/>
    <w:rsid w:val="28B306B7"/>
    <w:rsid w:val="28B63004"/>
    <w:rsid w:val="28B8223A"/>
    <w:rsid w:val="28C13D33"/>
    <w:rsid w:val="28CD2726"/>
    <w:rsid w:val="28D76A55"/>
    <w:rsid w:val="28DF72C9"/>
    <w:rsid w:val="28E40842"/>
    <w:rsid w:val="28EC2B72"/>
    <w:rsid w:val="28F3085A"/>
    <w:rsid w:val="28F449E9"/>
    <w:rsid w:val="290077E1"/>
    <w:rsid w:val="290760ED"/>
    <w:rsid w:val="290A1135"/>
    <w:rsid w:val="291034BE"/>
    <w:rsid w:val="29136977"/>
    <w:rsid w:val="29140D6E"/>
    <w:rsid w:val="29244535"/>
    <w:rsid w:val="292A6C1A"/>
    <w:rsid w:val="292E06AC"/>
    <w:rsid w:val="292F1302"/>
    <w:rsid w:val="292F3AC6"/>
    <w:rsid w:val="29331098"/>
    <w:rsid w:val="295B531A"/>
    <w:rsid w:val="29725760"/>
    <w:rsid w:val="29757B80"/>
    <w:rsid w:val="297F640D"/>
    <w:rsid w:val="29805701"/>
    <w:rsid w:val="29973EC7"/>
    <w:rsid w:val="299B3F37"/>
    <w:rsid w:val="299D4E77"/>
    <w:rsid w:val="299F3A93"/>
    <w:rsid w:val="29A5317E"/>
    <w:rsid w:val="29A611B6"/>
    <w:rsid w:val="29B44E16"/>
    <w:rsid w:val="29B67D1F"/>
    <w:rsid w:val="29C33A82"/>
    <w:rsid w:val="29CD1027"/>
    <w:rsid w:val="29CE6EAC"/>
    <w:rsid w:val="29D9271A"/>
    <w:rsid w:val="29D9298D"/>
    <w:rsid w:val="29DB35E0"/>
    <w:rsid w:val="29E31020"/>
    <w:rsid w:val="29EA6F83"/>
    <w:rsid w:val="29F83579"/>
    <w:rsid w:val="2A0C02E8"/>
    <w:rsid w:val="2A0D7FD7"/>
    <w:rsid w:val="2A11223C"/>
    <w:rsid w:val="2A125345"/>
    <w:rsid w:val="2A30217B"/>
    <w:rsid w:val="2A35026D"/>
    <w:rsid w:val="2A38559E"/>
    <w:rsid w:val="2A4976A1"/>
    <w:rsid w:val="2A4B3546"/>
    <w:rsid w:val="2A4B75F1"/>
    <w:rsid w:val="2A5219C0"/>
    <w:rsid w:val="2A5231F3"/>
    <w:rsid w:val="2A571430"/>
    <w:rsid w:val="2A5E267B"/>
    <w:rsid w:val="2A6A7F92"/>
    <w:rsid w:val="2A6C1175"/>
    <w:rsid w:val="2A7941B4"/>
    <w:rsid w:val="2A7F7480"/>
    <w:rsid w:val="2A7F77AF"/>
    <w:rsid w:val="2A824F85"/>
    <w:rsid w:val="2A842AF5"/>
    <w:rsid w:val="2A906D1E"/>
    <w:rsid w:val="2A9514E8"/>
    <w:rsid w:val="2A962984"/>
    <w:rsid w:val="2AAE4D20"/>
    <w:rsid w:val="2AB15DD2"/>
    <w:rsid w:val="2AB35C22"/>
    <w:rsid w:val="2AB571A1"/>
    <w:rsid w:val="2ABC26A5"/>
    <w:rsid w:val="2AC37AD7"/>
    <w:rsid w:val="2ACF6B7E"/>
    <w:rsid w:val="2AD66909"/>
    <w:rsid w:val="2ADE1E36"/>
    <w:rsid w:val="2AFD56AE"/>
    <w:rsid w:val="2B0319C4"/>
    <w:rsid w:val="2B0664EC"/>
    <w:rsid w:val="2B06749D"/>
    <w:rsid w:val="2B10450D"/>
    <w:rsid w:val="2B2B1E32"/>
    <w:rsid w:val="2B316259"/>
    <w:rsid w:val="2B341681"/>
    <w:rsid w:val="2B38040A"/>
    <w:rsid w:val="2B386317"/>
    <w:rsid w:val="2B3A1D31"/>
    <w:rsid w:val="2B3D1BAA"/>
    <w:rsid w:val="2B3E220D"/>
    <w:rsid w:val="2B4375B8"/>
    <w:rsid w:val="2B4B4899"/>
    <w:rsid w:val="2B510FE1"/>
    <w:rsid w:val="2B5A0A39"/>
    <w:rsid w:val="2B617989"/>
    <w:rsid w:val="2B655187"/>
    <w:rsid w:val="2B686986"/>
    <w:rsid w:val="2B6D7AB2"/>
    <w:rsid w:val="2B6E0EB7"/>
    <w:rsid w:val="2B757987"/>
    <w:rsid w:val="2B760535"/>
    <w:rsid w:val="2B8308D1"/>
    <w:rsid w:val="2B887644"/>
    <w:rsid w:val="2B8A19D4"/>
    <w:rsid w:val="2B8D21C1"/>
    <w:rsid w:val="2B901565"/>
    <w:rsid w:val="2BA2010C"/>
    <w:rsid w:val="2BA27197"/>
    <w:rsid w:val="2BAA6800"/>
    <w:rsid w:val="2BAD013A"/>
    <w:rsid w:val="2BB12EB2"/>
    <w:rsid w:val="2BC16E75"/>
    <w:rsid w:val="2BCB44CE"/>
    <w:rsid w:val="2BDE6102"/>
    <w:rsid w:val="2BE26456"/>
    <w:rsid w:val="2BE76410"/>
    <w:rsid w:val="2BF441DC"/>
    <w:rsid w:val="2BF5490C"/>
    <w:rsid w:val="2C022387"/>
    <w:rsid w:val="2C084E0E"/>
    <w:rsid w:val="2C176260"/>
    <w:rsid w:val="2C23357A"/>
    <w:rsid w:val="2C234844"/>
    <w:rsid w:val="2C2D16B9"/>
    <w:rsid w:val="2C392B24"/>
    <w:rsid w:val="2C3F0B60"/>
    <w:rsid w:val="2C4817EF"/>
    <w:rsid w:val="2C541FC6"/>
    <w:rsid w:val="2C5C745D"/>
    <w:rsid w:val="2C5D7148"/>
    <w:rsid w:val="2C63601D"/>
    <w:rsid w:val="2C683E3C"/>
    <w:rsid w:val="2C6A1763"/>
    <w:rsid w:val="2C712652"/>
    <w:rsid w:val="2C75189F"/>
    <w:rsid w:val="2C852B11"/>
    <w:rsid w:val="2C874919"/>
    <w:rsid w:val="2C886908"/>
    <w:rsid w:val="2C914F3F"/>
    <w:rsid w:val="2CB72DA9"/>
    <w:rsid w:val="2CB767EE"/>
    <w:rsid w:val="2CBA09BD"/>
    <w:rsid w:val="2CBE6DAE"/>
    <w:rsid w:val="2CC701D6"/>
    <w:rsid w:val="2CC8480A"/>
    <w:rsid w:val="2CD357D6"/>
    <w:rsid w:val="2CD37363"/>
    <w:rsid w:val="2CD666FA"/>
    <w:rsid w:val="2CD807BB"/>
    <w:rsid w:val="2CD931CC"/>
    <w:rsid w:val="2CDA0CF2"/>
    <w:rsid w:val="2CE635A1"/>
    <w:rsid w:val="2CF24429"/>
    <w:rsid w:val="2CFA4EC6"/>
    <w:rsid w:val="2CFC7268"/>
    <w:rsid w:val="2D0217BF"/>
    <w:rsid w:val="2D062C04"/>
    <w:rsid w:val="2D0F7C93"/>
    <w:rsid w:val="2D2F51A3"/>
    <w:rsid w:val="2D406579"/>
    <w:rsid w:val="2D56486A"/>
    <w:rsid w:val="2D746643"/>
    <w:rsid w:val="2D764A18"/>
    <w:rsid w:val="2D773FDE"/>
    <w:rsid w:val="2D7A59F2"/>
    <w:rsid w:val="2D8032FA"/>
    <w:rsid w:val="2D861B43"/>
    <w:rsid w:val="2D864B79"/>
    <w:rsid w:val="2D96614B"/>
    <w:rsid w:val="2D9F006E"/>
    <w:rsid w:val="2DA7004A"/>
    <w:rsid w:val="2DAE010F"/>
    <w:rsid w:val="2DAF4326"/>
    <w:rsid w:val="2DBB5916"/>
    <w:rsid w:val="2DC84F93"/>
    <w:rsid w:val="2DCC2F57"/>
    <w:rsid w:val="2DCE173B"/>
    <w:rsid w:val="2DD22820"/>
    <w:rsid w:val="2DDB64AC"/>
    <w:rsid w:val="2DDC6E4B"/>
    <w:rsid w:val="2DE03C4C"/>
    <w:rsid w:val="2DE425E5"/>
    <w:rsid w:val="2DE831DF"/>
    <w:rsid w:val="2DEA06ED"/>
    <w:rsid w:val="2DF266DB"/>
    <w:rsid w:val="2DF91820"/>
    <w:rsid w:val="2DFC0551"/>
    <w:rsid w:val="2E022259"/>
    <w:rsid w:val="2E093271"/>
    <w:rsid w:val="2E181E84"/>
    <w:rsid w:val="2E32220F"/>
    <w:rsid w:val="2E3246D5"/>
    <w:rsid w:val="2E403E99"/>
    <w:rsid w:val="2E462F49"/>
    <w:rsid w:val="2E5120A4"/>
    <w:rsid w:val="2E573296"/>
    <w:rsid w:val="2E8A11E8"/>
    <w:rsid w:val="2E8E4348"/>
    <w:rsid w:val="2E8E7054"/>
    <w:rsid w:val="2E927342"/>
    <w:rsid w:val="2E9B4FFB"/>
    <w:rsid w:val="2EA3470A"/>
    <w:rsid w:val="2EA8751D"/>
    <w:rsid w:val="2EAD2CC2"/>
    <w:rsid w:val="2EAE792C"/>
    <w:rsid w:val="2EB37744"/>
    <w:rsid w:val="2EBB0A4E"/>
    <w:rsid w:val="2EBC2991"/>
    <w:rsid w:val="2EC60C4D"/>
    <w:rsid w:val="2EC93387"/>
    <w:rsid w:val="2ECE2C04"/>
    <w:rsid w:val="2ED12DC0"/>
    <w:rsid w:val="2EED216A"/>
    <w:rsid w:val="2F0343BC"/>
    <w:rsid w:val="2F08780C"/>
    <w:rsid w:val="2F1316AB"/>
    <w:rsid w:val="2F1714EE"/>
    <w:rsid w:val="2F185100"/>
    <w:rsid w:val="2F1A2059"/>
    <w:rsid w:val="2F224A4F"/>
    <w:rsid w:val="2F2273E8"/>
    <w:rsid w:val="2F231BC1"/>
    <w:rsid w:val="2F2C117D"/>
    <w:rsid w:val="2F2E26A5"/>
    <w:rsid w:val="2F32079C"/>
    <w:rsid w:val="2F3553E7"/>
    <w:rsid w:val="2F3944FD"/>
    <w:rsid w:val="2F4836F4"/>
    <w:rsid w:val="2F483AA1"/>
    <w:rsid w:val="2F4E286D"/>
    <w:rsid w:val="2F524957"/>
    <w:rsid w:val="2F5529B8"/>
    <w:rsid w:val="2F573700"/>
    <w:rsid w:val="2F584B93"/>
    <w:rsid w:val="2F6570BB"/>
    <w:rsid w:val="2F6B0D59"/>
    <w:rsid w:val="2F7D626E"/>
    <w:rsid w:val="2F81652E"/>
    <w:rsid w:val="2F816D95"/>
    <w:rsid w:val="2F843EF3"/>
    <w:rsid w:val="2F925447"/>
    <w:rsid w:val="2F9B249E"/>
    <w:rsid w:val="2FA71FDD"/>
    <w:rsid w:val="2FB63D59"/>
    <w:rsid w:val="2FBB671A"/>
    <w:rsid w:val="2FC16274"/>
    <w:rsid w:val="2FC346F2"/>
    <w:rsid w:val="2FCC4112"/>
    <w:rsid w:val="2FD61E21"/>
    <w:rsid w:val="2FD61F4A"/>
    <w:rsid w:val="2FD65C89"/>
    <w:rsid w:val="2FDE4A06"/>
    <w:rsid w:val="2FE51D1F"/>
    <w:rsid w:val="2FFF5E7B"/>
    <w:rsid w:val="30012CA0"/>
    <w:rsid w:val="300D699B"/>
    <w:rsid w:val="300D7E7C"/>
    <w:rsid w:val="302E064E"/>
    <w:rsid w:val="303C3859"/>
    <w:rsid w:val="30444F26"/>
    <w:rsid w:val="304F3F15"/>
    <w:rsid w:val="3056216E"/>
    <w:rsid w:val="30586896"/>
    <w:rsid w:val="306F4FD5"/>
    <w:rsid w:val="30705000"/>
    <w:rsid w:val="3077159C"/>
    <w:rsid w:val="307E1341"/>
    <w:rsid w:val="308868A7"/>
    <w:rsid w:val="308D4A59"/>
    <w:rsid w:val="308D7893"/>
    <w:rsid w:val="309541F4"/>
    <w:rsid w:val="3096200D"/>
    <w:rsid w:val="30A34C44"/>
    <w:rsid w:val="30A57388"/>
    <w:rsid w:val="30B325CC"/>
    <w:rsid w:val="30BB6C86"/>
    <w:rsid w:val="30C2410A"/>
    <w:rsid w:val="30D100BD"/>
    <w:rsid w:val="30D52128"/>
    <w:rsid w:val="30DA566C"/>
    <w:rsid w:val="30E24E63"/>
    <w:rsid w:val="30E36C10"/>
    <w:rsid w:val="30E40980"/>
    <w:rsid w:val="30E944F6"/>
    <w:rsid w:val="30ED5881"/>
    <w:rsid w:val="30FD1B66"/>
    <w:rsid w:val="31062CD8"/>
    <w:rsid w:val="31142198"/>
    <w:rsid w:val="313660FB"/>
    <w:rsid w:val="31462D4D"/>
    <w:rsid w:val="31474241"/>
    <w:rsid w:val="314B08BB"/>
    <w:rsid w:val="31725A9A"/>
    <w:rsid w:val="31726B21"/>
    <w:rsid w:val="31737FDB"/>
    <w:rsid w:val="31745DCB"/>
    <w:rsid w:val="317C03D6"/>
    <w:rsid w:val="317E47F8"/>
    <w:rsid w:val="31810F1A"/>
    <w:rsid w:val="318734BD"/>
    <w:rsid w:val="318B5A90"/>
    <w:rsid w:val="31926074"/>
    <w:rsid w:val="3196765A"/>
    <w:rsid w:val="319D55D4"/>
    <w:rsid w:val="31B57213"/>
    <w:rsid w:val="31CE6707"/>
    <w:rsid w:val="31D632E6"/>
    <w:rsid w:val="31E562E7"/>
    <w:rsid w:val="31EC7860"/>
    <w:rsid w:val="31F30A07"/>
    <w:rsid w:val="31F53EE9"/>
    <w:rsid w:val="320A7994"/>
    <w:rsid w:val="320D6D48"/>
    <w:rsid w:val="32117DD2"/>
    <w:rsid w:val="32141A1D"/>
    <w:rsid w:val="32190D14"/>
    <w:rsid w:val="321936BC"/>
    <w:rsid w:val="322357FD"/>
    <w:rsid w:val="322442C5"/>
    <w:rsid w:val="3225278A"/>
    <w:rsid w:val="32262C4E"/>
    <w:rsid w:val="322A0B95"/>
    <w:rsid w:val="322A67D1"/>
    <w:rsid w:val="322E23FB"/>
    <w:rsid w:val="32346B96"/>
    <w:rsid w:val="32375CB4"/>
    <w:rsid w:val="323943D6"/>
    <w:rsid w:val="323A669D"/>
    <w:rsid w:val="323A7E37"/>
    <w:rsid w:val="323C6B17"/>
    <w:rsid w:val="32436D48"/>
    <w:rsid w:val="3253308A"/>
    <w:rsid w:val="32617E4C"/>
    <w:rsid w:val="32647892"/>
    <w:rsid w:val="32650447"/>
    <w:rsid w:val="326E5A3D"/>
    <w:rsid w:val="326E5DCB"/>
    <w:rsid w:val="326E744E"/>
    <w:rsid w:val="32727707"/>
    <w:rsid w:val="3277713B"/>
    <w:rsid w:val="327A4A40"/>
    <w:rsid w:val="328430AD"/>
    <w:rsid w:val="328B4838"/>
    <w:rsid w:val="3291580A"/>
    <w:rsid w:val="329C216C"/>
    <w:rsid w:val="329C2670"/>
    <w:rsid w:val="329C451B"/>
    <w:rsid w:val="329C6AC8"/>
    <w:rsid w:val="32A93E7B"/>
    <w:rsid w:val="32C63180"/>
    <w:rsid w:val="32D214D2"/>
    <w:rsid w:val="32D228CC"/>
    <w:rsid w:val="32D46C58"/>
    <w:rsid w:val="32DA16DE"/>
    <w:rsid w:val="32E01DAE"/>
    <w:rsid w:val="32E56373"/>
    <w:rsid w:val="32E92651"/>
    <w:rsid w:val="32EB084D"/>
    <w:rsid w:val="32EE076F"/>
    <w:rsid w:val="32F56364"/>
    <w:rsid w:val="3302161D"/>
    <w:rsid w:val="33065A84"/>
    <w:rsid w:val="330D4CDA"/>
    <w:rsid w:val="331022F7"/>
    <w:rsid w:val="3311498A"/>
    <w:rsid w:val="33215F5F"/>
    <w:rsid w:val="332B6E01"/>
    <w:rsid w:val="33476776"/>
    <w:rsid w:val="334933ED"/>
    <w:rsid w:val="334B1124"/>
    <w:rsid w:val="334C564D"/>
    <w:rsid w:val="3350148E"/>
    <w:rsid w:val="335B234F"/>
    <w:rsid w:val="336932CE"/>
    <w:rsid w:val="336B1F1D"/>
    <w:rsid w:val="336E205F"/>
    <w:rsid w:val="33781E7D"/>
    <w:rsid w:val="337A7CF9"/>
    <w:rsid w:val="337C27DF"/>
    <w:rsid w:val="338367B8"/>
    <w:rsid w:val="338522AB"/>
    <w:rsid w:val="338C276A"/>
    <w:rsid w:val="338C6186"/>
    <w:rsid w:val="338F682D"/>
    <w:rsid w:val="33902DC8"/>
    <w:rsid w:val="339040CF"/>
    <w:rsid w:val="339A6519"/>
    <w:rsid w:val="33A07B1F"/>
    <w:rsid w:val="33A5061B"/>
    <w:rsid w:val="33AD529A"/>
    <w:rsid w:val="33B7438D"/>
    <w:rsid w:val="33C130CA"/>
    <w:rsid w:val="33C40046"/>
    <w:rsid w:val="33C760EC"/>
    <w:rsid w:val="33D12891"/>
    <w:rsid w:val="33D17EAB"/>
    <w:rsid w:val="33D92511"/>
    <w:rsid w:val="33DA41B3"/>
    <w:rsid w:val="33DC1398"/>
    <w:rsid w:val="33E0206F"/>
    <w:rsid w:val="33E8173C"/>
    <w:rsid w:val="33E82887"/>
    <w:rsid w:val="33EB30C5"/>
    <w:rsid w:val="33F34B60"/>
    <w:rsid w:val="33F42855"/>
    <w:rsid w:val="33F96969"/>
    <w:rsid w:val="33FC5E61"/>
    <w:rsid w:val="3401173A"/>
    <w:rsid w:val="34125AC6"/>
    <w:rsid w:val="341318B8"/>
    <w:rsid w:val="341F03E7"/>
    <w:rsid w:val="3420760C"/>
    <w:rsid w:val="34212424"/>
    <w:rsid w:val="342922DB"/>
    <w:rsid w:val="34294D21"/>
    <w:rsid w:val="342B2C34"/>
    <w:rsid w:val="3434756E"/>
    <w:rsid w:val="34371A18"/>
    <w:rsid w:val="343B21A8"/>
    <w:rsid w:val="343C1BFD"/>
    <w:rsid w:val="34496FA3"/>
    <w:rsid w:val="344D2E3E"/>
    <w:rsid w:val="34525195"/>
    <w:rsid w:val="34621775"/>
    <w:rsid w:val="347662BF"/>
    <w:rsid w:val="349D597D"/>
    <w:rsid w:val="34A03BEA"/>
    <w:rsid w:val="34A369EF"/>
    <w:rsid w:val="34A50D03"/>
    <w:rsid w:val="34A949D4"/>
    <w:rsid w:val="34AD2454"/>
    <w:rsid w:val="34C463B7"/>
    <w:rsid w:val="34DF0648"/>
    <w:rsid w:val="34E566AF"/>
    <w:rsid w:val="34E65023"/>
    <w:rsid w:val="35010FC5"/>
    <w:rsid w:val="351035CC"/>
    <w:rsid w:val="3511226A"/>
    <w:rsid w:val="351946E9"/>
    <w:rsid w:val="3534119B"/>
    <w:rsid w:val="35347833"/>
    <w:rsid w:val="35391C56"/>
    <w:rsid w:val="35393EFE"/>
    <w:rsid w:val="353B5509"/>
    <w:rsid w:val="354572D5"/>
    <w:rsid w:val="354923FE"/>
    <w:rsid w:val="35584855"/>
    <w:rsid w:val="355D5F19"/>
    <w:rsid w:val="357B2352"/>
    <w:rsid w:val="358176A5"/>
    <w:rsid w:val="3587022D"/>
    <w:rsid w:val="358B1E93"/>
    <w:rsid w:val="358E3B92"/>
    <w:rsid w:val="3594498F"/>
    <w:rsid w:val="35952CED"/>
    <w:rsid w:val="359D1263"/>
    <w:rsid w:val="35AB060F"/>
    <w:rsid w:val="35AD296A"/>
    <w:rsid w:val="35C13CC3"/>
    <w:rsid w:val="35C96B2F"/>
    <w:rsid w:val="35D7523C"/>
    <w:rsid w:val="35D85E8E"/>
    <w:rsid w:val="35DD4043"/>
    <w:rsid w:val="35E3577E"/>
    <w:rsid w:val="35E528D8"/>
    <w:rsid w:val="35EB5F9F"/>
    <w:rsid w:val="35F27075"/>
    <w:rsid w:val="35F46A12"/>
    <w:rsid w:val="35FE3B50"/>
    <w:rsid w:val="360E18B7"/>
    <w:rsid w:val="36180054"/>
    <w:rsid w:val="361E62DC"/>
    <w:rsid w:val="36214BC9"/>
    <w:rsid w:val="362551F2"/>
    <w:rsid w:val="363035A5"/>
    <w:rsid w:val="3636265F"/>
    <w:rsid w:val="363B2729"/>
    <w:rsid w:val="365D33AE"/>
    <w:rsid w:val="366A21B1"/>
    <w:rsid w:val="366C4841"/>
    <w:rsid w:val="36787022"/>
    <w:rsid w:val="3679431E"/>
    <w:rsid w:val="36795D1B"/>
    <w:rsid w:val="36797E29"/>
    <w:rsid w:val="367B255A"/>
    <w:rsid w:val="367C714C"/>
    <w:rsid w:val="368910F0"/>
    <w:rsid w:val="369C3BED"/>
    <w:rsid w:val="369D3AA9"/>
    <w:rsid w:val="36A332F2"/>
    <w:rsid w:val="36A87A67"/>
    <w:rsid w:val="36AB08AC"/>
    <w:rsid w:val="36AE2EAA"/>
    <w:rsid w:val="36B01D8F"/>
    <w:rsid w:val="36C164D6"/>
    <w:rsid w:val="36C400DA"/>
    <w:rsid w:val="36C57A44"/>
    <w:rsid w:val="36C84255"/>
    <w:rsid w:val="36CB6743"/>
    <w:rsid w:val="36E524EF"/>
    <w:rsid w:val="36F11ADB"/>
    <w:rsid w:val="36F70C4E"/>
    <w:rsid w:val="37052FCC"/>
    <w:rsid w:val="371152F1"/>
    <w:rsid w:val="37153D17"/>
    <w:rsid w:val="372600A7"/>
    <w:rsid w:val="3747315D"/>
    <w:rsid w:val="374A2952"/>
    <w:rsid w:val="375D4B62"/>
    <w:rsid w:val="375F4F37"/>
    <w:rsid w:val="37697BDC"/>
    <w:rsid w:val="3776023F"/>
    <w:rsid w:val="377B279F"/>
    <w:rsid w:val="378635CE"/>
    <w:rsid w:val="3789415F"/>
    <w:rsid w:val="37933858"/>
    <w:rsid w:val="37984634"/>
    <w:rsid w:val="37993CD6"/>
    <w:rsid w:val="379A56A3"/>
    <w:rsid w:val="379C3D4F"/>
    <w:rsid w:val="37A53E2F"/>
    <w:rsid w:val="37B94280"/>
    <w:rsid w:val="37C163B4"/>
    <w:rsid w:val="37C2350A"/>
    <w:rsid w:val="37C97FF9"/>
    <w:rsid w:val="37D27696"/>
    <w:rsid w:val="37ED7092"/>
    <w:rsid w:val="37F147CE"/>
    <w:rsid w:val="37F7777D"/>
    <w:rsid w:val="37FE684E"/>
    <w:rsid w:val="38087A5E"/>
    <w:rsid w:val="380958AD"/>
    <w:rsid w:val="380D00FE"/>
    <w:rsid w:val="380F3E7E"/>
    <w:rsid w:val="3814563D"/>
    <w:rsid w:val="381717CA"/>
    <w:rsid w:val="38204845"/>
    <w:rsid w:val="383F7D0B"/>
    <w:rsid w:val="3849416F"/>
    <w:rsid w:val="384B35F8"/>
    <w:rsid w:val="38507C21"/>
    <w:rsid w:val="385E02F5"/>
    <w:rsid w:val="38670C09"/>
    <w:rsid w:val="386C19A9"/>
    <w:rsid w:val="3871326F"/>
    <w:rsid w:val="38764FD6"/>
    <w:rsid w:val="38815F1B"/>
    <w:rsid w:val="38854560"/>
    <w:rsid w:val="38891DDC"/>
    <w:rsid w:val="38894C41"/>
    <w:rsid w:val="38995451"/>
    <w:rsid w:val="389C6171"/>
    <w:rsid w:val="38A52457"/>
    <w:rsid w:val="38A56733"/>
    <w:rsid w:val="38AB1829"/>
    <w:rsid w:val="38AD4A09"/>
    <w:rsid w:val="38AE375F"/>
    <w:rsid w:val="38AE79D3"/>
    <w:rsid w:val="38AF298D"/>
    <w:rsid w:val="38C52323"/>
    <w:rsid w:val="38C539C5"/>
    <w:rsid w:val="38CF59C6"/>
    <w:rsid w:val="38D01061"/>
    <w:rsid w:val="38D26151"/>
    <w:rsid w:val="38D71F4D"/>
    <w:rsid w:val="38DA6141"/>
    <w:rsid w:val="38DC00F0"/>
    <w:rsid w:val="38EE26C9"/>
    <w:rsid w:val="38F25CB6"/>
    <w:rsid w:val="38F55D24"/>
    <w:rsid w:val="38F63641"/>
    <w:rsid w:val="38FC43DE"/>
    <w:rsid w:val="38FD0064"/>
    <w:rsid w:val="38FE12CA"/>
    <w:rsid w:val="390E2C58"/>
    <w:rsid w:val="390F1047"/>
    <w:rsid w:val="391766EF"/>
    <w:rsid w:val="391A7BAB"/>
    <w:rsid w:val="39221E4F"/>
    <w:rsid w:val="393336D9"/>
    <w:rsid w:val="39335A35"/>
    <w:rsid w:val="393B1112"/>
    <w:rsid w:val="39445CF9"/>
    <w:rsid w:val="395363FC"/>
    <w:rsid w:val="395C3F7C"/>
    <w:rsid w:val="395F6D00"/>
    <w:rsid w:val="39667982"/>
    <w:rsid w:val="396950E6"/>
    <w:rsid w:val="396A4292"/>
    <w:rsid w:val="396C5A2C"/>
    <w:rsid w:val="39777FEC"/>
    <w:rsid w:val="397A77A5"/>
    <w:rsid w:val="398A4CA9"/>
    <w:rsid w:val="39916B3D"/>
    <w:rsid w:val="39A004FC"/>
    <w:rsid w:val="39A047CE"/>
    <w:rsid w:val="39A45D32"/>
    <w:rsid w:val="39A52A6C"/>
    <w:rsid w:val="39A64C0C"/>
    <w:rsid w:val="39BA5667"/>
    <w:rsid w:val="39BE4216"/>
    <w:rsid w:val="39C358E9"/>
    <w:rsid w:val="39C572F6"/>
    <w:rsid w:val="39C80D6F"/>
    <w:rsid w:val="39D74416"/>
    <w:rsid w:val="39DC75A2"/>
    <w:rsid w:val="3A0A0620"/>
    <w:rsid w:val="3A142208"/>
    <w:rsid w:val="3A1E514C"/>
    <w:rsid w:val="3A2065A5"/>
    <w:rsid w:val="3A2B09A8"/>
    <w:rsid w:val="3A412614"/>
    <w:rsid w:val="3A4137B5"/>
    <w:rsid w:val="3A585005"/>
    <w:rsid w:val="3A5A551A"/>
    <w:rsid w:val="3A5F0364"/>
    <w:rsid w:val="3A5F4A57"/>
    <w:rsid w:val="3A626844"/>
    <w:rsid w:val="3A672006"/>
    <w:rsid w:val="3A6E563E"/>
    <w:rsid w:val="3A6F6656"/>
    <w:rsid w:val="3A7216FA"/>
    <w:rsid w:val="3A760A7E"/>
    <w:rsid w:val="3A81607D"/>
    <w:rsid w:val="3A850EC7"/>
    <w:rsid w:val="3A937B40"/>
    <w:rsid w:val="3A9E1018"/>
    <w:rsid w:val="3AA741B8"/>
    <w:rsid w:val="3AB4415E"/>
    <w:rsid w:val="3AB856AB"/>
    <w:rsid w:val="3AC1368B"/>
    <w:rsid w:val="3AC77D40"/>
    <w:rsid w:val="3AD12D60"/>
    <w:rsid w:val="3AD4370B"/>
    <w:rsid w:val="3AD55864"/>
    <w:rsid w:val="3AE452A0"/>
    <w:rsid w:val="3AE62226"/>
    <w:rsid w:val="3AF411D4"/>
    <w:rsid w:val="3AFF2473"/>
    <w:rsid w:val="3B073169"/>
    <w:rsid w:val="3B0B5891"/>
    <w:rsid w:val="3B125DD3"/>
    <w:rsid w:val="3B196A66"/>
    <w:rsid w:val="3B1C7ABA"/>
    <w:rsid w:val="3B2170B0"/>
    <w:rsid w:val="3B262626"/>
    <w:rsid w:val="3B2F5646"/>
    <w:rsid w:val="3B335A56"/>
    <w:rsid w:val="3B351197"/>
    <w:rsid w:val="3B37253B"/>
    <w:rsid w:val="3B38410B"/>
    <w:rsid w:val="3B387158"/>
    <w:rsid w:val="3B3C7648"/>
    <w:rsid w:val="3B51716E"/>
    <w:rsid w:val="3B530220"/>
    <w:rsid w:val="3B647DC5"/>
    <w:rsid w:val="3B655E78"/>
    <w:rsid w:val="3B6B2335"/>
    <w:rsid w:val="3B6D3E78"/>
    <w:rsid w:val="3B6F06AC"/>
    <w:rsid w:val="3B720C23"/>
    <w:rsid w:val="3B7622DC"/>
    <w:rsid w:val="3B9178B9"/>
    <w:rsid w:val="3B924BF0"/>
    <w:rsid w:val="3B952740"/>
    <w:rsid w:val="3BA40E06"/>
    <w:rsid w:val="3BB12FFA"/>
    <w:rsid w:val="3BB473F7"/>
    <w:rsid w:val="3BB549D7"/>
    <w:rsid w:val="3BB63C62"/>
    <w:rsid w:val="3BB66E20"/>
    <w:rsid w:val="3BD7081B"/>
    <w:rsid w:val="3BE04236"/>
    <w:rsid w:val="3BE36904"/>
    <w:rsid w:val="3BE56DA2"/>
    <w:rsid w:val="3BEB38F3"/>
    <w:rsid w:val="3BED109F"/>
    <w:rsid w:val="3C05689A"/>
    <w:rsid w:val="3C070728"/>
    <w:rsid w:val="3C1507FD"/>
    <w:rsid w:val="3C1D4A27"/>
    <w:rsid w:val="3C2336EB"/>
    <w:rsid w:val="3C2601A9"/>
    <w:rsid w:val="3C2C0504"/>
    <w:rsid w:val="3C301549"/>
    <w:rsid w:val="3C322F73"/>
    <w:rsid w:val="3C467147"/>
    <w:rsid w:val="3C4A7453"/>
    <w:rsid w:val="3C505FFF"/>
    <w:rsid w:val="3C542CBC"/>
    <w:rsid w:val="3C57358A"/>
    <w:rsid w:val="3C5C7A73"/>
    <w:rsid w:val="3C5F5083"/>
    <w:rsid w:val="3C5F7C87"/>
    <w:rsid w:val="3C601C1A"/>
    <w:rsid w:val="3C6A027C"/>
    <w:rsid w:val="3C6E7A56"/>
    <w:rsid w:val="3C7C0720"/>
    <w:rsid w:val="3C7C54EB"/>
    <w:rsid w:val="3C86135F"/>
    <w:rsid w:val="3C867B19"/>
    <w:rsid w:val="3C8B22AA"/>
    <w:rsid w:val="3C9102ED"/>
    <w:rsid w:val="3C953429"/>
    <w:rsid w:val="3C9C2689"/>
    <w:rsid w:val="3CA151F3"/>
    <w:rsid w:val="3CA76B68"/>
    <w:rsid w:val="3CAD0513"/>
    <w:rsid w:val="3CAD503B"/>
    <w:rsid w:val="3CB57A4E"/>
    <w:rsid w:val="3CBB6F58"/>
    <w:rsid w:val="3CC15A51"/>
    <w:rsid w:val="3CC94920"/>
    <w:rsid w:val="3CCE38F3"/>
    <w:rsid w:val="3CCF4634"/>
    <w:rsid w:val="3CD24A9A"/>
    <w:rsid w:val="3CD52CA6"/>
    <w:rsid w:val="3CE45128"/>
    <w:rsid w:val="3CEB5755"/>
    <w:rsid w:val="3CFB6491"/>
    <w:rsid w:val="3D123467"/>
    <w:rsid w:val="3D140AAE"/>
    <w:rsid w:val="3D1515C8"/>
    <w:rsid w:val="3D194B0E"/>
    <w:rsid w:val="3D1D4F1D"/>
    <w:rsid w:val="3D1F7038"/>
    <w:rsid w:val="3D244F44"/>
    <w:rsid w:val="3D287909"/>
    <w:rsid w:val="3D2E0BBD"/>
    <w:rsid w:val="3D4E1D83"/>
    <w:rsid w:val="3D515D95"/>
    <w:rsid w:val="3D57024E"/>
    <w:rsid w:val="3D622E9D"/>
    <w:rsid w:val="3D6876C7"/>
    <w:rsid w:val="3D6F3FE0"/>
    <w:rsid w:val="3D786B63"/>
    <w:rsid w:val="3D836DD1"/>
    <w:rsid w:val="3D9A01D9"/>
    <w:rsid w:val="3D9C75E4"/>
    <w:rsid w:val="3D9E4295"/>
    <w:rsid w:val="3DA15405"/>
    <w:rsid w:val="3DB01A22"/>
    <w:rsid w:val="3DBA21B2"/>
    <w:rsid w:val="3DBB6DDA"/>
    <w:rsid w:val="3DC00DD7"/>
    <w:rsid w:val="3DC44A40"/>
    <w:rsid w:val="3DC515D8"/>
    <w:rsid w:val="3DCD3A41"/>
    <w:rsid w:val="3DD07B3E"/>
    <w:rsid w:val="3DD647DE"/>
    <w:rsid w:val="3DD70663"/>
    <w:rsid w:val="3DDC1F86"/>
    <w:rsid w:val="3DE90771"/>
    <w:rsid w:val="3DFD49D0"/>
    <w:rsid w:val="3DFE04F8"/>
    <w:rsid w:val="3E075B70"/>
    <w:rsid w:val="3E082012"/>
    <w:rsid w:val="3E147BD1"/>
    <w:rsid w:val="3E32224E"/>
    <w:rsid w:val="3E324DE8"/>
    <w:rsid w:val="3E354519"/>
    <w:rsid w:val="3E3C4098"/>
    <w:rsid w:val="3E3F06D9"/>
    <w:rsid w:val="3E484AF5"/>
    <w:rsid w:val="3E5023E3"/>
    <w:rsid w:val="3E58563A"/>
    <w:rsid w:val="3E5D4F77"/>
    <w:rsid w:val="3E632FA1"/>
    <w:rsid w:val="3E661F87"/>
    <w:rsid w:val="3E803409"/>
    <w:rsid w:val="3E80712B"/>
    <w:rsid w:val="3E844945"/>
    <w:rsid w:val="3E862F33"/>
    <w:rsid w:val="3E89179B"/>
    <w:rsid w:val="3E943720"/>
    <w:rsid w:val="3E972F66"/>
    <w:rsid w:val="3E97522A"/>
    <w:rsid w:val="3E9A348E"/>
    <w:rsid w:val="3E9A5575"/>
    <w:rsid w:val="3E9E1760"/>
    <w:rsid w:val="3E9F1FC7"/>
    <w:rsid w:val="3E9F5301"/>
    <w:rsid w:val="3EB931B3"/>
    <w:rsid w:val="3EC62CEB"/>
    <w:rsid w:val="3ED07587"/>
    <w:rsid w:val="3ED60BAE"/>
    <w:rsid w:val="3ED97411"/>
    <w:rsid w:val="3EDF3B6B"/>
    <w:rsid w:val="3EE3588C"/>
    <w:rsid w:val="3EEA4878"/>
    <w:rsid w:val="3EEC446B"/>
    <w:rsid w:val="3EF02B50"/>
    <w:rsid w:val="3EF5734D"/>
    <w:rsid w:val="3EF8686A"/>
    <w:rsid w:val="3EF91394"/>
    <w:rsid w:val="3EFC5931"/>
    <w:rsid w:val="3EFE50D4"/>
    <w:rsid w:val="3F007CBC"/>
    <w:rsid w:val="3F041977"/>
    <w:rsid w:val="3F0D2637"/>
    <w:rsid w:val="3F182804"/>
    <w:rsid w:val="3F20454F"/>
    <w:rsid w:val="3F2F56C3"/>
    <w:rsid w:val="3F342835"/>
    <w:rsid w:val="3F3D1A35"/>
    <w:rsid w:val="3F426DC3"/>
    <w:rsid w:val="3F4365D3"/>
    <w:rsid w:val="3F4D405B"/>
    <w:rsid w:val="3F5310F0"/>
    <w:rsid w:val="3F591DF1"/>
    <w:rsid w:val="3F5A15DC"/>
    <w:rsid w:val="3F6214D6"/>
    <w:rsid w:val="3F6B39B8"/>
    <w:rsid w:val="3F753376"/>
    <w:rsid w:val="3F82437F"/>
    <w:rsid w:val="3F831449"/>
    <w:rsid w:val="3F841D5E"/>
    <w:rsid w:val="3F8466D5"/>
    <w:rsid w:val="3F86118F"/>
    <w:rsid w:val="3F8806C8"/>
    <w:rsid w:val="3F8C6829"/>
    <w:rsid w:val="3F964C10"/>
    <w:rsid w:val="3F9A1E23"/>
    <w:rsid w:val="3F9F7A0B"/>
    <w:rsid w:val="3FA65862"/>
    <w:rsid w:val="3FA86104"/>
    <w:rsid w:val="3FAA6525"/>
    <w:rsid w:val="3FBE1335"/>
    <w:rsid w:val="3FBE3018"/>
    <w:rsid w:val="3FCF6B15"/>
    <w:rsid w:val="3FE53DC8"/>
    <w:rsid w:val="3FEB0807"/>
    <w:rsid w:val="3FF06F47"/>
    <w:rsid w:val="400261E1"/>
    <w:rsid w:val="400A35B9"/>
    <w:rsid w:val="40114832"/>
    <w:rsid w:val="4011582A"/>
    <w:rsid w:val="4018714D"/>
    <w:rsid w:val="40255C03"/>
    <w:rsid w:val="40291C0C"/>
    <w:rsid w:val="402A254D"/>
    <w:rsid w:val="402B35C4"/>
    <w:rsid w:val="402E4337"/>
    <w:rsid w:val="40374CC6"/>
    <w:rsid w:val="40515ABA"/>
    <w:rsid w:val="405624EA"/>
    <w:rsid w:val="405C1621"/>
    <w:rsid w:val="40605228"/>
    <w:rsid w:val="406C2533"/>
    <w:rsid w:val="40720AF1"/>
    <w:rsid w:val="40731FF1"/>
    <w:rsid w:val="40740BDB"/>
    <w:rsid w:val="408031EC"/>
    <w:rsid w:val="40810483"/>
    <w:rsid w:val="408C4596"/>
    <w:rsid w:val="408F6F42"/>
    <w:rsid w:val="40937359"/>
    <w:rsid w:val="40964F7C"/>
    <w:rsid w:val="409E26EF"/>
    <w:rsid w:val="40AB2A5D"/>
    <w:rsid w:val="40AF2651"/>
    <w:rsid w:val="40B876EF"/>
    <w:rsid w:val="40C0102C"/>
    <w:rsid w:val="40C32313"/>
    <w:rsid w:val="40C44C47"/>
    <w:rsid w:val="40C52A4F"/>
    <w:rsid w:val="40D255FB"/>
    <w:rsid w:val="40E12B4C"/>
    <w:rsid w:val="40FA3602"/>
    <w:rsid w:val="410215CF"/>
    <w:rsid w:val="4109222E"/>
    <w:rsid w:val="41116C39"/>
    <w:rsid w:val="41146B5F"/>
    <w:rsid w:val="412004FF"/>
    <w:rsid w:val="412C385E"/>
    <w:rsid w:val="413B6EAA"/>
    <w:rsid w:val="4140117D"/>
    <w:rsid w:val="414B5707"/>
    <w:rsid w:val="414E4F55"/>
    <w:rsid w:val="41502B1D"/>
    <w:rsid w:val="4158526E"/>
    <w:rsid w:val="415C532F"/>
    <w:rsid w:val="415C59F5"/>
    <w:rsid w:val="41696C85"/>
    <w:rsid w:val="417869CB"/>
    <w:rsid w:val="417E67D8"/>
    <w:rsid w:val="41A23805"/>
    <w:rsid w:val="41A353C5"/>
    <w:rsid w:val="41A3567C"/>
    <w:rsid w:val="41C174AB"/>
    <w:rsid w:val="41CE5193"/>
    <w:rsid w:val="41D2581B"/>
    <w:rsid w:val="41D402E9"/>
    <w:rsid w:val="41DD0F43"/>
    <w:rsid w:val="41E778C1"/>
    <w:rsid w:val="41EE2637"/>
    <w:rsid w:val="41EF259E"/>
    <w:rsid w:val="41F52096"/>
    <w:rsid w:val="41F82BE6"/>
    <w:rsid w:val="41F9059C"/>
    <w:rsid w:val="41FA3AE0"/>
    <w:rsid w:val="42017866"/>
    <w:rsid w:val="42063BD4"/>
    <w:rsid w:val="420A343C"/>
    <w:rsid w:val="42136639"/>
    <w:rsid w:val="4217235A"/>
    <w:rsid w:val="421C0548"/>
    <w:rsid w:val="421C68C0"/>
    <w:rsid w:val="4230466E"/>
    <w:rsid w:val="42345A0E"/>
    <w:rsid w:val="42383886"/>
    <w:rsid w:val="423B732C"/>
    <w:rsid w:val="423E5714"/>
    <w:rsid w:val="42402815"/>
    <w:rsid w:val="42415F32"/>
    <w:rsid w:val="42450F62"/>
    <w:rsid w:val="424518B9"/>
    <w:rsid w:val="424D5271"/>
    <w:rsid w:val="425747A7"/>
    <w:rsid w:val="42584CC8"/>
    <w:rsid w:val="4259608D"/>
    <w:rsid w:val="425A5F4E"/>
    <w:rsid w:val="425E7118"/>
    <w:rsid w:val="426056E6"/>
    <w:rsid w:val="426D011E"/>
    <w:rsid w:val="427C3E56"/>
    <w:rsid w:val="42816977"/>
    <w:rsid w:val="428D25AD"/>
    <w:rsid w:val="4295176C"/>
    <w:rsid w:val="42982ABF"/>
    <w:rsid w:val="429E1C59"/>
    <w:rsid w:val="42B94490"/>
    <w:rsid w:val="42D52C05"/>
    <w:rsid w:val="42DF29F8"/>
    <w:rsid w:val="42E6035A"/>
    <w:rsid w:val="42EC2FA0"/>
    <w:rsid w:val="42EE343B"/>
    <w:rsid w:val="42F35633"/>
    <w:rsid w:val="42F500DF"/>
    <w:rsid w:val="42F55A77"/>
    <w:rsid w:val="4305145B"/>
    <w:rsid w:val="43102217"/>
    <w:rsid w:val="431063C1"/>
    <w:rsid w:val="431479C6"/>
    <w:rsid w:val="43173EB2"/>
    <w:rsid w:val="431903ED"/>
    <w:rsid w:val="43332192"/>
    <w:rsid w:val="43364548"/>
    <w:rsid w:val="43395087"/>
    <w:rsid w:val="4346049E"/>
    <w:rsid w:val="4353468B"/>
    <w:rsid w:val="435369AD"/>
    <w:rsid w:val="435E21A0"/>
    <w:rsid w:val="43615ED5"/>
    <w:rsid w:val="436B73BE"/>
    <w:rsid w:val="43763962"/>
    <w:rsid w:val="438A48F4"/>
    <w:rsid w:val="43905916"/>
    <w:rsid w:val="43987869"/>
    <w:rsid w:val="43A102F3"/>
    <w:rsid w:val="43AD5010"/>
    <w:rsid w:val="43AE37A1"/>
    <w:rsid w:val="43B32A1D"/>
    <w:rsid w:val="43B860A4"/>
    <w:rsid w:val="43BD5A98"/>
    <w:rsid w:val="43BE0702"/>
    <w:rsid w:val="43C95EB1"/>
    <w:rsid w:val="43D338AD"/>
    <w:rsid w:val="43D51A84"/>
    <w:rsid w:val="43D60067"/>
    <w:rsid w:val="43DA4D7A"/>
    <w:rsid w:val="43DB361C"/>
    <w:rsid w:val="43E01D53"/>
    <w:rsid w:val="43E64727"/>
    <w:rsid w:val="43F00D21"/>
    <w:rsid w:val="43F11822"/>
    <w:rsid w:val="4403619D"/>
    <w:rsid w:val="44117EA6"/>
    <w:rsid w:val="442B5EA6"/>
    <w:rsid w:val="442F5C30"/>
    <w:rsid w:val="44382F2E"/>
    <w:rsid w:val="443C0A80"/>
    <w:rsid w:val="444637BC"/>
    <w:rsid w:val="444B7B80"/>
    <w:rsid w:val="44642217"/>
    <w:rsid w:val="446920AD"/>
    <w:rsid w:val="446B365E"/>
    <w:rsid w:val="446B763D"/>
    <w:rsid w:val="446E2871"/>
    <w:rsid w:val="44704DFC"/>
    <w:rsid w:val="44724EF5"/>
    <w:rsid w:val="44776A33"/>
    <w:rsid w:val="44846BD7"/>
    <w:rsid w:val="448914F2"/>
    <w:rsid w:val="448C6B75"/>
    <w:rsid w:val="448E0ADC"/>
    <w:rsid w:val="44990344"/>
    <w:rsid w:val="449E51DA"/>
    <w:rsid w:val="44A063C0"/>
    <w:rsid w:val="44A17F47"/>
    <w:rsid w:val="44A356C8"/>
    <w:rsid w:val="44A95BA1"/>
    <w:rsid w:val="44AA46B4"/>
    <w:rsid w:val="44BB2F80"/>
    <w:rsid w:val="44C046B2"/>
    <w:rsid w:val="44C95B2A"/>
    <w:rsid w:val="44CD1DFD"/>
    <w:rsid w:val="44D17196"/>
    <w:rsid w:val="44D83E0D"/>
    <w:rsid w:val="44DC728C"/>
    <w:rsid w:val="44E159E2"/>
    <w:rsid w:val="44E2586F"/>
    <w:rsid w:val="44E32F90"/>
    <w:rsid w:val="44ED6B85"/>
    <w:rsid w:val="45052A0E"/>
    <w:rsid w:val="450E3618"/>
    <w:rsid w:val="45245ED8"/>
    <w:rsid w:val="453039B4"/>
    <w:rsid w:val="45352CE0"/>
    <w:rsid w:val="45573855"/>
    <w:rsid w:val="456504C4"/>
    <w:rsid w:val="45653FDD"/>
    <w:rsid w:val="4568260F"/>
    <w:rsid w:val="45773B80"/>
    <w:rsid w:val="45774B97"/>
    <w:rsid w:val="457A6FD7"/>
    <w:rsid w:val="457E0D7F"/>
    <w:rsid w:val="45856D67"/>
    <w:rsid w:val="45860512"/>
    <w:rsid w:val="45862872"/>
    <w:rsid w:val="45864116"/>
    <w:rsid w:val="458732A6"/>
    <w:rsid w:val="45897044"/>
    <w:rsid w:val="458E416B"/>
    <w:rsid w:val="45997D91"/>
    <w:rsid w:val="45B673BC"/>
    <w:rsid w:val="45CB3D64"/>
    <w:rsid w:val="45D63CA5"/>
    <w:rsid w:val="45DC630E"/>
    <w:rsid w:val="45E160E9"/>
    <w:rsid w:val="45EB1B2D"/>
    <w:rsid w:val="45EB31A2"/>
    <w:rsid w:val="45ED4D1C"/>
    <w:rsid w:val="45EF5470"/>
    <w:rsid w:val="45F40010"/>
    <w:rsid w:val="45F51F73"/>
    <w:rsid w:val="460132D8"/>
    <w:rsid w:val="46043B8F"/>
    <w:rsid w:val="46047194"/>
    <w:rsid w:val="461C1CEA"/>
    <w:rsid w:val="461F0983"/>
    <w:rsid w:val="46217F3A"/>
    <w:rsid w:val="462367D7"/>
    <w:rsid w:val="463D6FAF"/>
    <w:rsid w:val="46452CB8"/>
    <w:rsid w:val="465352B4"/>
    <w:rsid w:val="466011A4"/>
    <w:rsid w:val="46657623"/>
    <w:rsid w:val="467D3661"/>
    <w:rsid w:val="467E0993"/>
    <w:rsid w:val="468608F3"/>
    <w:rsid w:val="46940860"/>
    <w:rsid w:val="46950959"/>
    <w:rsid w:val="46A603F2"/>
    <w:rsid w:val="46AE1C52"/>
    <w:rsid w:val="46B804C2"/>
    <w:rsid w:val="46C55FE3"/>
    <w:rsid w:val="46CF7EA2"/>
    <w:rsid w:val="46DF1EFB"/>
    <w:rsid w:val="46F3477C"/>
    <w:rsid w:val="46F75336"/>
    <w:rsid w:val="46FA600A"/>
    <w:rsid w:val="4700276C"/>
    <w:rsid w:val="470332F2"/>
    <w:rsid w:val="47057F86"/>
    <w:rsid w:val="47063804"/>
    <w:rsid w:val="47094E31"/>
    <w:rsid w:val="47120116"/>
    <w:rsid w:val="47223412"/>
    <w:rsid w:val="47226452"/>
    <w:rsid w:val="472320E8"/>
    <w:rsid w:val="47232EEF"/>
    <w:rsid w:val="4731346A"/>
    <w:rsid w:val="47395AEB"/>
    <w:rsid w:val="473D5C96"/>
    <w:rsid w:val="473E5F03"/>
    <w:rsid w:val="473F6951"/>
    <w:rsid w:val="474C369A"/>
    <w:rsid w:val="474F12F3"/>
    <w:rsid w:val="47577DA2"/>
    <w:rsid w:val="475D5FF1"/>
    <w:rsid w:val="476420F4"/>
    <w:rsid w:val="4783023F"/>
    <w:rsid w:val="478A63FF"/>
    <w:rsid w:val="478B2990"/>
    <w:rsid w:val="478F4C6C"/>
    <w:rsid w:val="479A4D1D"/>
    <w:rsid w:val="479C694F"/>
    <w:rsid w:val="47A03DFB"/>
    <w:rsid w:val="47A55171"/>
    <w:rsid w:val="47B229A6"/>
    <w:rsid w:val="47B30C29"/>
    <w:rsid w:val="47BB08C7"/>
    <w:rsid w:val="47C00BCA"/>
    <w:rsid w:val="47D71C68"/>
    <w:rsid w:val="47DC368C"/>
    <w:rsid w:val="47DD784C"/>
    <w:rsid w:val="47EB34E8"/>
    <w:rsid w:val="47F97B91"/>
    <w:rsid w:val="480E7848"/>
    <w:rsid w:val="481642BE"/>
    <w:rsid w:val="48230021"/>
    <w:rsid w:val="483374CA"/>
    <w:rsid w:val="48425A9F"/>
    <w:rsid w:val="4855644A"/>
    <w:rsid w:val="48577020"/>
    <w:rsid w:val="485815EA"/>
    <w:rsid w:val="48676B7E"/>
    <w:rsid w:val="486F6DF6"/>
    <w:rsid w:val="48866814"/>
    <w:rsid w:val="48871317"/>
    <w:rsid w:val="488745E2"/>
    <w:rsid w:val="488F1E8C"/>
    <w:rsid w:val="48940F47"/>
    <w:rsid w:val="48971899"/>
    <w:rsid w:val="48A05721"/>
    <w:rsid w:val="48A14DD2"/>
    <w:rsid w:val="48AF5904"/>
    <w:rsid w:val="48C34F52"/>
    <w:rsid w:val="48DC7235"/>
    <w:rsid w:val="48E612BC"/>
    <w:rsid w:val="48EA1F2C"/>
    <w:rsid w:val="48EE53EA"/>
    <w:rsid w:val="49204792"/>
    <w:rsid w:val="49221EB7"/>
    <w:rsid w:val="49243635"/>
    <w:rsid w:val="492508A9"/>
    <w:rsid w:val="4926770D"/>
    <w:rsid w:val="492A5442"/>
    <w:rsid w:val="493416BE"/>
    <w:rsid w:val="493806D1"/>
    <w:rsid w:val="493859BF"/>
    <w:rsid w:val="493F7BDA"/>
    <w:rsid w:val="494060F7"/>
    <w:rsid w:val="494E1DB0"/>
    <w:rsid w:val="49502612"/>
    <w:rsid w:val="495E380B"/>
    <w:rsid w:val="49722611"/>
    <w:rsid w:val="497D1254"/>
    <w:rsid w:val="498278DF"/>
    <w:rsid w:val="4983528F"/>
    <w:rsid w:val="498A11F0"/>
    <w:rsid w:val="498D308C"/>
    <w:rsid w:val="49925977"/>
    <w:rsid w:val="49963E18"/>
    <w:rsid w:val="49A23516"/>
    <w:rsid w:val="49A73251"/>
    <w:rsid w:val="49A802DE"/>
    <w:rsid w:val="49A93D1A"/>
    <w:rsid w:val="49AC5D90"/>
    <w:rsid w:val="49AE76AF"/>
    <w:rsid w:val="49BB5E40"/>
    <w:rsid w:val="49D43A79"/>
    <w:rsid w:val="49D505C6"/>
    <w:rsid w:val="49DA6BF4"/>
    <w:rsid w:val="49E2506A"/>
    <w:rsid w:val="49E3017F"/>
    <w:rsid w:val="49E67DFD"/>
    <w:rsid w:val="49E75789"/>
    <w:rsid w:val="49E86119"/>
    <w:rsid w:val="49EA7E99"/>
    <w:rsid w:val="49F15216"/>
    <w:rsid w:val="49F93747"/>
    <w:rsid w:val="49FB4F1D"/>
    <w:rsid w:val="49FF19D2"/>
    <w:rsid w:val="4A0D705B"/>
    <w:rsid w:val="4A120F49"/>
    <w:rsid w:val="4A157DEA"/>
    <w:rsid w:val="4A164CE8"/>
    <w:rsid w:val="4A166975"/>
    <w:rsid w:val="4A1D50FC"/>
    <w:rsid w:val="4A2378D1"/>
    <w:rsid w:val="4A241438"/>
    <w:rsid w:val="4A247565"/>
    <w:rsid w:val="4A2F0FA4"/>
    <w:rsid w:val="4A3376D3"/>
    <w:rsid w:val="4A4332E8"/>
    <w:rsid w:val="4A4746EE"/>
    <w:rsid w:val="4A5E51A0"/>
    <w:rsid w:val="4A6511D0"/>
    <w:rsid w:val="4A6648B9"/>
    <w:rsid w:val="4A701705"/>
    <w:rsid w:val="4A7377C1"/>
    <w:rsid w:val="4A741092"/>
    <w:rsid w:val="4A790305"/>
    <w:rsid w:val="4A816E5D"/>
    <w:rsid w:val="4A8C1FAC"/>
    <w:rsid w:val="4A8C4426"/>
    <w:rsid w:val="4A8D3B24"/>
    <w:rsid w:val="4A8D5BDC"/>
    <w:rsid w:val="4A9B602A"/>
    <w:rsid w:val="4A9E01BE"/>
    <w:rsid w:val="4AA30189"/>
    <w:rsid w:val="4AAB41D3"/>
    <w:rsid w:val="4AAC1F97"/>
    <w:rsid w:val="4AAE3B3C"/>
    <w:rsid w:val="4ABF4D7F"/>
    <w:rsid w:val="4AC15395"/>
    <w:rsid w:val="4AC542F5"/>
    <w:rsid w:val="4AC62202"/>
    <w:rsid w:val="4ACE1816"/>
    <w:rsid w:val="4ACF43B1"/>
    <w:rsid w:val="4AD05B2E"/>
    <w:rsid w:val="4AD21838"/>
    <w:rsid w:val="4AD425A3"/>
    <w:rsid w:val="4AD8469D"/>
    <w:rsid w:val="4AE33EFF"/>
    <w:rsid w:val="4AE631EE"/>
    <w:rsid w:val="4AE662B3"/>
    <w:rsid w:val="4AE86583"/>
    <w:rsid w:val="4AEA18D0"/>
    <w:rsid w:val="4AEF3B60"/>
    <w:rsid w:val="4AF3011B"/>
    <w:rsid w:val="4AF51391"/>
    <w:rsid w:val="4AFB24BD"/>
    <w:rsid w:val="4AFD150F"/>
    <w:rsid w:val="4AFE5AC8"/>
    <w:rsid w:val="4AFF1033"/>
    <w:rsid w:val="4B022681"/>
    <w:rsid w:val="4B0514D8"/>
    <w:rsid w:val="4B0D4819"/>
    <w:rsid w:val="4B187BD7"/>
    <w:rsid w:val="4B1C0448"/>
    <w:rsid w:val="4B280D0D"/>
    <w:rsid w:val="4B30572A"/>
    <w:rsid w:val="4B333BD9"/>
    <w:rsid w:val="4B3E04B4"/>
    <w:rsid w:val="4B3E164B"/>
    <w:rsid w:val="4B411CA4"/>
    <w:rsid w:val="4B494E20"/>
    <w:rsid w:val="4B512BFA"/>
    <w:rsid w:val="4B593465"/>
    <w:rsid w:val="4B6E107A"/>
    <w:rsid w:val="4B7C0090"/>
    <w:rsid w:val="4B7C4CA5"/>
    <w:rsid w:val="4B7D1DC5"/>
    <w:rsid w:val="4B837E30"/>
    <w:rsid w:val="4B8C1077"/>
    <w:rsid w:val="4BA21370"/>
    <w:rsid w:val="4BA65D83"/>
    <w:rsid w:val="4BCE6A60"/>
    <w:rsid w:val="4BEA6C5A"/>
    <w:rsid w:val="4BF474D0"/>
    <w:rsid w:val="4C026775"/>
    <w:rsid w:val="4C05036E"/>
    <w:rsid w:val="4C0F38E6"/>
    <w:rsid w:val="4C1622CF"/>
    <w:rsid w:val="4C1714F8"/>
    <w:rsid w:val="4C1946F6"/>
    <w:rsid w:val="4C321362"/>
    <w:rsid w:val="4C40395E"/>
    <w:rsid w:val="4C537F25"/>
    <w:rsid w:val="4C5C554C"/>
    <w:rsid w:val="4C6128BB"/>
    <w:rsid w:val="4C630746"/>
    <w:rsid w:val="4C64102E"/>
    <w:rsid w:val="4C6613CF"/>
    <w:rsid w:val="4C673ED4"/>
    <w:rsid w:val="4C6B09D6"/>
    <w:rsid w:val="4C6B30E3"/>
    <w:rsid w:val="4C6B425C"/>
    <w:rsid w:val="4C6D2FA0"/>
    <w:rsid w:val="4C6D30AC"/>
    <w:rsid w:val="4C77487A"/>
    <w:rsid w:val="4C7F0F12"/>
    <w:rsid w:val="4C8674E6"/>
    <w:rsid w:val="4C890662"/>
    <w:rsid w:val="4C8D023B"/>
    <w:rsid w:val="4C903DDE"/>
    <w:rsid w:val="4C944004"/>
    <w:rsid w:val="4C9A7AA9"/>
    <w:rsid w:val="4CA36226"/>
    <w:rsid w:val="4CC071CA"/>
    <w:rsid w:val="4CC36427"/>
    <w:rsid w:val="4CC4144B"/>
    <w:rsid w:val="4CD038F3"/>
    <w:rsid w:val="4CD40EFF"/>
    <w:rsid w:val="4CE66A43"/>
    <w:rsid w:val="4CF8661F"/>
    <w:rsid w:val="4CF96440"/>
    <w:rsid w:val="4D0F131F"/>
    <w:rsid w:val="4D1342F0"/>
    <w:rsid w:val="4D1C26A9"/>
    <w:rsid w:val="4D1C5AE5"/>
    <w:rsid w:val="4D2C051F"/>
    <w:rsid w:val="4D2F3E88"/>
    <w:rsid w:val="4D3F6678"/>
    <w:rsid w:val="4D4149FD"/>
    <w:rsid w:val="4D46160E"/>
    <w:rsid w:val="4D4D0B5F"/>
    <w:rsid w:val="4D4F44DA"/>
    <w:rsid w:val="4D602562"/>
    <w:rsid w:val="4D614491"/>
    <w:rsid w:val="4D674088"/>
    <w:rsid w:val="4D702EF7"/>
    <w:rsid w:val="4D746B0D"/>
    <w:rsid w:val="4D7704E0"/>
    <w:rsid w:val="4D775BAD"/>
    <w:rsid w:val="4D7E57B4"/>
    <w:rsid w:val="4D7F10D8"/>
    <w:rsid w:val="4D8552A4"/>
    <w:rsid w:val="4D913721"/>
    <w:rsid w:val="4D992436"/>
    <w:rsid w:val="4D9949DF"/>
    <w:rsid w:val="4D9A54F0"/>
    <w:rsid w:val="4DA41BAF"/>
    <w:rsid w:val="4DA60E88"/>
    <w:rsid w:val="4DAC4F2D"/>
    <w:rsid w:val="4DB771B3"/>
    <w:rsid w:val="4DC73662"/>
    <w:rsid w:val="4DC90CB9"/>
    <w:rsid w:val="4DD073D9"/>
    <w:rsid w:val="4DD134B8"/>
    <w:rsid w:val="4DEF44E8"/>
    <w:rsid w:val="4DF24962"/>
    <w:rsid w:val="4DF932DB"/>
    <w:rsid w:val="4E054522"/>
    <w:rsid w:val="4E0B6BE8"/>
    <w:rsid w:val="4E0E4A2D"/>
    <w:rsid w:val="4E1B35A3"/>
    <w:rsid w:val="4E2165DF"/>
    <w:rsid w:val="4E2B1B94"/>
    <w:rsid w:val="4E39245D"/>
    <w:rsid w:val="4E3B62EA"/>
    <w:rsid w:val="4E470E7D"/>
    <w:rsid w:val="4E51453F"/>
    <w:rsid w:val="4E5879C4"/>
    <w:rsid w:val="4E6738AC"/>
    <w:rsid w:val="4E6869E9"/>
    <w:rsid w:val="4E6E3027"/>
    <w:rsid w:val="4E716423"/>
    <w:rsid w:val="4E7B4A4A"/>
    <w:rsid w:val="4E8508EC"/>
    <w:rsid w:val="4E85667B"/>
    <w:rsid w:val="4E860CDD"/>
    <w:rsid w:val="4E8A0707"/>
    <w:rsid w:val="4E911029"/>
    <w:rsid w:val="4E9268E6"/>
    <w:rsid w:val="4E92774F"/>
    <w:rsid w:val="4E96157E"/>
    <w:rsid w:val="4E9D3740"/>
    <w:rsid w:val="4E9E7391"/>
    <w:rsid w:val="4EA45778"/>
    <w:rsid w:val="4EA80E44"/>
    <w:rsid w:val="4EB04EBE"/>
    <w:rsid w:val="4EB70BFE"/>
    <w:rsid w:val="4EB73159"/>
    <w:rsid w:val="4EBB2AE5"/>
    <w:rsid w:val="4EC240E0"/>
    <w:rsid w:val="4EC5468D"/>
    <w:rsid w:val="4EC5523A"/>
    <w:rsid w:val="4ECC2135"/>
    <w:rsid w:val="4ED35BF7"/>
    <w:rsid w:val="4ED841AA"/>
    <w:rsid w:val="4EDC47E2"/>
    <w:rsid w:val="4EEE545E"/>
    <w:rsid w:val="4EF3058C"/>
    <w:rsid w:val="4EF966A6"/>
    <w:rsid w:val="4F0B104D"/>
    <w:rsid w:val="4F0C618B"/>
    <w:rsid w:val="4F1653BF"/>
    <w:rsid w:val="4F1C5456"/>
    <w:rsid w:val="4F1E4112"/>
    <w:rsid w:val="4F21558F"/>
    <w:rsid w:val="4F220E3D"/>
    <w:rsid w:val="4F233B59"/>
    <w:rsid w:val="4F314810"/>
    <w:rsid w:val="4F3817DF"/>
    <w:rsid w:val="4F3A6FAB"/>
    <w:rsid w:val="4F3E5AA8"/>
    <w:rsid w:val="4F5254C5"/>
    <w:rsid w:val="4F59320E"/>
    <w:rsid w:val="4F5D7D2C"/>
    <w:rsid w:val="4F617C8D"/>
    <w:rsid w:val="4F6A2979"/>
    <w:rsid w:val="4F700FC4"/>
    <w:rsid w:val="4F7441EB"/>
    <w:rsid w:val="4F7D6EB2"/>
    <w:rsid w:val="4F816ABE"/>
    <w:rsid w:val="4F871B8C"/>
    <w:rsid w:val="4F8950BF"/>
    <w:rsid w:val="4F8E4608"/>
    <w:rsid w:val="4F96419C"/>
    <w:rsid w:val="4F985D98"/>
    <w:rsid w:val="4FA04A27"/>
    <w:rsid w:val="4FA25440"/>
    <w:rsid w:val="4FA3486A"/>
    <w:rsid w:val="4FAF69AE"/>
    <w:rsid w:val="4FB123D7"/>
    <w:rsid w:val="4FB26B09"/>
    <w:rsid w:val="4FB838AD"/>
    <w:rsid w:val="4FB947D5"/>
    <w:rsid w:val="4FC135F0"/>
    <w:rsid w:val="4FCE47C0"/>
    <w:rsid w:val="4FCF4362"/>
    <w:rsid w:val="4FE625A4"/>
    <w:rsid w:val="4FF62EF5"/>
    <w:rsid w:val="4FF70452"/>
    <w:rsid w:val="4FFA0307"/>
    <w:rsid w:val="4FFE0AEF"/>
    <w:rsid w:val="500A5603"/>
    <w:rsid w:val="50213726"/>
    <w:rsid w:val="5024665A"/>
    <w:rsid w:val="5029567D"/>
    <w:rsid w:val="502F40C0"/>
    <w:rsid w:val="503D7156"/>
    <w:rsid w:val="504C1EC1"/>
    <w:rsid w:val="504C28F0"/>
    <w:rsid w:val="50581BA3"/>
    <w:rsid w:val="505B334A"/>
    <w:rsid w:val="506B6411"/>
    <w:rsid w:val="50737694"/>
    <w:rsid w:val="50805716"/>
    <w:rsid w:val="50893800"/>
    <w:rsid w:val="509077CC"/>
    <w:rsid w:val="509167C7"/>
    <w:rsid w:val="50A23519"/>
    <w:rsid w:val="50A908BE"/>
    <w:rsid w:val="50BB0067"/>
    <w:rsid w:val="50C81E54"/>
    <w:rsid w:val="50CC0D90"/>
    <w:rsid w:val="50D44935"/>
    <w:rsid w:val="50D77B36"/>
    <w:rsid w:val="50DC0519"/>
    <w:rsid w:val="50DE33B2"/>
    <w:rsid w:val="50E41136"/>
    <w:rsid w:val="50E95E16"/>
    <w:rsid w:val="50F00968"/>
    <w:rsid w:val="511029E2"/>
    <w:rsid w:val="51112138"/>
    <w:rsid w:val="511724E5"/>
    <w:rsid w:val="512D4832"/>
    <w:rsid w:val="512E2D31"/>
    <w:rsid w:val="513D294C"/>
    <w:rsid w:val="514222E9"/>
    <w:rsid w:val="51445257"/>
    <w:rsid w:val="51452F2F"/>
    <w:rsid w:val="5149382D"/>
    <w:rsid w:val="51530DC8"/>
    <w:rsid w:val="515677F6"/>
    <w:rsid w:val="515C08A7"/>
    <w:rsid w:val="51641D64"/>
    <w:rsid w:val="51660250"/>
    <w:rsid w:val="51AF1E03"/>
    <w:rsid w:val="51B24875"/>
    <w:rsid w:val="51B97880"/>
    <w:rsid w:val="51C205EE"/>
    <w:rsid w:val="51C26775"/>
    <w:rsid w:val="51CA291A"/>
    <w:rsid w:val="51CE3365"/>
    <w:rsid w:val="51CE5B48"/>
    <w:rsid w:val="51E269F7"/>
    <w:rsid w:val="51E639BC"/>
    <w:rsid w:val="51E84A35"/>
    <w:rsid w:val="51EC13D8"/>
    <w:rsid w:val="51EC5FDF"/>
    <w:rsid w:val="51FC6C22"/>
    <w:rsid w:val="51FD54C5"/>
    <w:rsid w:val="51FD5CA2"/>
    <w:rsid w:val="52075B3D"/>
    <w:rsid w:val="520936AC"/>
    <w:rsid w:val="520D068E"/>
    <w:rsid w:val="52166688"/>
    <w:rsid w:val="52170343"/>
    <w:rsid w:val="5217125B"/>
    <w:rsid w:val="52204ADB"/>
    <w:rsid w:val="522820E3"/>
    <w:rsid w:val="523C226D"/>
    <w:rsid w:val="52420F10"/>
    <w:rsid w:val="524475FD"/>
    <w:rsid w:val="524618E0"/>
    <w:rsid w:val="524A1088"/>
    <w:rsid w:val="52535710"/>
    <w:rsid w:val="525D57B7"/>
    <w:rsid w:val="5264016E"/>
    <w:rsid w:val="5266428F"/>
    <w:rsid w:val="526647F1"/>
    <w:rsid w:val="52712025"/>
    <w:rsid w:val="5280046C"/>
    <w:rsid w:val="52817688"/>
    <w:rsid w:val="529F4F4A"/>
    <w:rsid w:val="529F54C4"/>
    <w:rsid w:val="52A72C5C"/>
    <w:rsid w:val="52B247F2"/>
    <w:rsid w:val="52B60F35"/>
    <w:rsid w:val="52BE537A"/>
    <w:rsid w:val="52BE548C"/>
    <w:rsid w:val="52C85C31"/>
    <w:rsid w:val="52C912B1"/>
    <w:rsid w:val="52CA397B"/>
    <w:rsid w:val="52CA57F2"/>
    <w:rsid w:val="52CC7A21"/>
    <w:rsid w:val="52D4744D"/>
    <w:rsid w:val="52F51E94"/>
    <w:rsid w:val="52F61A9E"/>
    <w:rsid w:val="52F76868"/>
    <w:rsid w:val="52FA7CF7"/>
    <w:rsid w:val="530222AF"/>
    <w:rsid w:val="53217701"/>
    <w:rsid w:val="53275316"/>
    <w:rsid w:val="532C6A1C"/>
    <w:rsid w:val="53424997"/>
    <w:rsid w:val="53425C66"/>
    <w:rsid w:val="534A0B30"/>
    <w:rsid w:val="534A691E"/>
    <w:rsid w:val="535965A3"/>
    <w:rsid w:val="53675C86"/>
    <w:rsid w:val="53745E85"/>
    <w:rsid w:val="537A60AB"/>
    <w:rsid w:val="537C27EF"/>
    <w:rsid w:val="537C4E74"/>
    <w:rsid w:val="538115C8"/>
    <w:rsid w:val="53821E5E"/>
    <w:rsid w:val="538B5A9F"/>
    <w:rsid w:val="53BE48F2"/>
    <w:rsid w:val="53C5778E"/>
    <w:rsid w:val="53C94F4A"/>
    <w:rsid w:val="53CA7E80"/>
    <w:rsid w:val="53D14E2E"/>
    <w:rsid w:val="53D97A32"/>
    <w:rsid w:val="53E31091"/>
    <w:rsid w:val="53E67D6A"/>
    <w:rsid w:val="53ED77BD"/>
    <w:rsid w:val="53FD533C"/>
    <w:rsid w:val="54063394"/>
    <w:rsid w:val="540E2071"/>
    <w:rsid w:val="5412427C"/>
    <w:rsid w:val="54150A07"/>
    <w:rsid w:val="54175F4E"/>
    <w:rsid w:val="5418474D"/>
    <w:rsid w:val="54276A5E"/>
    <w:rsid w:val="542A4E14"/>
    <w:rsid w:val="542F1A22"/>
    <w:rsid w:val="54327775"/>
    <w:rsid w:val="544762B9"/>
    <w:rsid w:val="544D5200"/>
    <w:rsid w:val="544E1CDD"/>
    <w:rsid w:val="545A6B6B"/>
    <w:rsid w:val="545F3210"/>
    <w:rsid w:val="546A2671"/>
    <w:rsid w:val="546B0CCA"/>
    <w:rsid w:val="547E6935"/>
    <w:rsid w:val="54823691"/>
    <w:rsid w:val="549C3A06"/>
    <w:rsid w:val="54A96601"/>
    <w:rsid w:val="54AD2A25"/>
    <w:rsid w:val="54B1696D"/>
    <w:rsid w:val="54B16A3E"/>
    <w:rsid w:val="54B93B17"/>
    <w:rsid w:val="54BE3A60"/>
    <w:rsid w:val="54C167A8"/>
    <w:rsid w:val="54C927C7"/>
    <w:rsid w:val="54C92963"/>
    <w:rsid w:val="54CB05E9"/>
    <w:rsid w:val="54CC4E8F"/>
    <w:rsid w:val="54DC0B4A"/>
    <w:rsid w:val="54E77EE2"/>
    <w:rsid w:val="54E868A6"/>
    <w:rsid w:val="54EF0061"/>
    <w:rsid w:val="54F77EE7"/>
    <w:rsid w:val="54FC56ED"/>
    <w:rsid w:val="54FE6060"/>
    <w:rsid w:val="54FF277B"/>
    <w:rsid w:val="54FF50A0"/>
    <w:rsid w:val="550100B6"/>
    <w:rsid w:val="550934C0"/>
    <w:rsid w:val="55161516"/>
    <w:rsid w:val="55197A9E"/>
    <w:rsid w:val="551C5322"/>
    <w:rsid w:val="551C5A39"/>
    <w:rsid w:val="551E08A1"/>
    <w:rsid w:val="552C1A65"/>
    <w:rsid w:val="552C476C"/>
    <w:rsid w:val="55311C92"/>
    <w:rsid w:val="55396EDB"/>
    <w:rsid w:val="553A5C46"/>
    <w:rsid w:val="553B2613"/>
    <w:rsid w:val="553E508F"/>
    <w:rsid w:val="55400A9C"/>
    <w:rsid w:val="5547613D"/>
    <w:rsid w:val="55531C87"/>
    <w:rsid w:val="5554053D"/>
    <w:rsid w:val="55553441"/>
    <w:rsid w:val="5559387D"/>
    <w:rsid w:val="5561156A"/>
    <w:rsid w:val="556563A1"/>
    <w:rsid w:val="556953E7"/>
    <w:rsid w:val="556A6EB6"/>
    <w:rsid w:val="556D23B4"/>
    <w:rsid w:val="55755D7F"/>
    <w:rsid w:val="55775835"/>
    <w:rsid w:val="557920D9"/>
    <w:rsid w:val="55794E0B"/>
    <w:rsid w:val="557E5E85"/>
    <w:rsid w:val="5583792D"/>
    <w:rsid w:val="559A2251"/>
    <w:rsid w:val="559F07DA"/>
    <w:rsid w:val="55A56356"/>
    <w:rsid w:val="55A66C14"/>
    <w:rsid w:val="55AD029B"/>
    <w:rsid w:val="55B433A4"/>
    <w:rsid w:val="55B86F21"/>
    <w:rsid w:val="55BE2A18"/>
    <w:rsid w:val="55CA3289"/>
    <w:rsid w:val="55CB09DC"/>
    <w:rsid w:val="5602099A"/>
    <w:rsid w:val="560C1B72"/>
    <w:rsid w:val="561375B0"/>
    <w:rsid w:val="562F1551"/>
    <w:rsid w:val="562F1AFC"/>
    <w:rsid w:val="56357A0E"/>
    <w:rsid w:val="564316BF"/>
    <w:rsid w:val="5656047D"/>
    <w:rsid w:val="565F65DB"/>
    <w:rsid w:val="56627F8F"/>
    <w:rsid w:val="566A3483"/>
    <w:rsid w:val="56705ED5"/>
    <w:rsid w:val="56730596"/>
    <w:rsid w:val="56823374"/>
    <w:rsid w:val="56836F3D"/>
    <w:rsid w:val="568430B7"/>
    <w:rsid w:val="568454FD"/>
    <w:rsid w:val="56960413"/>
    <w:rsid w:val="569C2B06"/>
    <w:rsid w:val="56AE2686"/>
    <w:rsid w:val="56B129E7"/>
    <w:rsid w:val="56B35677"/>
    <w:rsid w:val="56B4160B"/>
    <w:rsid w:val="56B602CD"/>
    <w:rsid w:val="56BA0236"/>
    <w:rsid w:val="56BB7210"/>
    <w:rsid w:val="56C4199E"/>
    <w:rsid w:val="56C65D48"/>
    <w:rsid w:val="56CC1785"/>
    <w:rsid w:val="56D12232"/>
    <w:rsid w:val="56D62B09"/>
    <w:rsid w:val="56D74806"/>
    <w:rsid w:val="56DC24D4"/>
    <w:rsid w:val="56F12A49"/>
    <w:rsid w:val="56F56CD6"/>
    <w:rsid w:val="56F94B67"/>
    <w:rsid w:val="56FB46EF"/>
    <w:rsid w:val="571E5383"/>
    <w:rsid w:val="572F4BDB"/>
    <w:rsid w:val="57310EAE"/>
    <w:rsid w:val="57312A8A"/>
    <w:rsid w:val="573A7D2C"/>
    <w:rsid w:val="57401CDD"/>
    <w:rsid w:val="57417829"/>
    <w:rsid w:val="57485E27"/>
    <w:rsid w:val="575654D1"/>
    <w:rsid w:val="57586763"/>
    <w:rsid w:val="577159B9"/>
    <w:rsid w:val="57802388"/>
    <w:rsid w:val="578F628D"/>
    <w:rsid w:val="57995494"/>
    <w:rsid w:val="57B161A7"/>
    <w:rsid w:val="57B2145D"/>
    <w:rsid w:val="57BA0394"/>
    <w:rsid w:val="57BE1140"/>
    <w:rsid w:val="57CD470E"/>
    <w:rsid w:val="57DC209D"/>
    <w:rsid w:val="57DC277F"/>
    <w:rsid w:val="57E16869"/>
    <w:rsid w:val="580022F2"/>
    <w:rsid w:val="58061E3B"/>
    <w:rsid w:val="58084D37"/>
    <w:rsid w:val="580920A5"/>
    <w:rsid w:val="580A20D3"/>
    <w:rsid w:val="580C7F4B"/>
    <w:rsid w:val="58142BCF"/>
    <w:rsid w:val="58162CF5"/>
    <w:rsid w:val="582A5A8E"/>
    <w:rsid w:val="582B6424"/>
    <w:rsid w:val="582C04A8"/>
    <w:rsid w:val="582F6CA3"/>
    <w:rsid w:val="583137F3"/>
    <w:rsid w:val="58315752"/>
    <w:rsid w:val="583372FE"/>
    <w:rsid w:val="58375E48"/>
    <w:rsid w:val="58394B50"/>
    <w:rsid w:val="583D7069"/>
    <w:rsid w:val="58430B2E"/>
    <w:rsid w:val="58484F1D"/>
    <w:rsid w:val="5849468C"/>
    <w:rsid w:val="58583F36"/>
    <w:rsid w:val="58593B5B"/>
    <w:rsid w:val="5859511E"/>
    <w:rsid w:val="585A223D"/>
    <w:rsid w:val="585B5C04"/>
    <w:rsid w:val="588D2566"/>
    <w:rsid w:val="589109A0"/>
    <w:rsid w:val="58930E5D"/>
    <w:rsid w:val="58964DF1"/>
    <w:rsid w:val="58977667"/>
    <w:rsid w:val="589A1D50"/>
    <w:rsid w:val="58A66580"/>
    <w:rsid w:val="58A81B4B"/>
    <w:rsid w:val="58AE2D85"/>
    <w:rsid w:val="58B71BAE"/>
    <w:rsid w:val="58C726FF"/>
    <w:rsid w:val="58CD2336"/>
    <w:rsid w:val="58CE1AE0"/>
    <w:rsid w:val="58CF28A0"/>
    <w:rsid w:val="58CF7395"/>
    <w:rsid w:val="58D173FB"/>
    <w:rsid w:val="58DC11C7"/>
    <w:rsid w:val="58E564D1"/>
    <w:rsid w:val="58E56DF3"/>
    <w:rsid w:val="58F35E9C"/>
    <w:rsid w:val="58F418D3"/>
    <w:rsid w:val="58FC30C0"/>
    <w:rsid w:val="5927478A"/>
    <w:rsid w:val="592D263E"/>
    <w:rsid w:val="5935544C"/>
    <w:rsid w:val="593576AC"/>
    <w:rsid w:val="5940278A"/>
    <w:rsid w:val="59442B4E"/>
    <w:rsid w:val="594470B9"/>
    <w:rsid w:val="5951471E"/>
    <w:rsid w:val="59522D39"/>
    <w:rsid w:val="595A7D23"/>
    <w:rsid w:val="59785AC9"/>
    <w:rsid w:val="597F79AA"/>
    <w:rsid w:val="598129B7"/>
    <w:rsid w:val="598F52A8"/>
    <w:rsid w:val="599454BD"/>
    <w:rsid w:val="59A4572B"/>
    <w:rsid w:val="59AB40DE"/>
    <w:rsid w:val="59B75CFE"/>
    <w:rsid w:val="59B86E02"/>
    <w:rsid w:val="59BC0C97"/>
    <w:rsid w:val="59BD7CC1"/>
    <w:rsid w:val="59C43C9F"/>
    <w:rsid w:val="59C65D5A"/>
    <w:rsid w:val="59D17704"/>
    <w:rsid w:val="59D21D93"/>
    <w:rsid w:val="59D700C7"/>
    <w:rsid w:val="59E03069"/>
    <w:rsid w:val="59EF28AE"/>
    <w:rsid w:val="59FE7EAA"/>
    <w:rsid w:val="5A045944"/>
    <w:rsid w:val="5A097523"/>
    <w:rsid w:val="5A1439E5"/>
    <w:rsid w:val="5A174B28"/>
    <w:rsid w:val="5A1B1074"/>
    <w:rsid w:val="5A1D10C6"/>
    <w:rsid w:val="5A2545C7"/>
    <w:rsid w:val="5A33493B"/>
    <w:rsid w:val="5A3B2226"/>
    <w:rsid w:val="5A564F7F"/>
    <w:rsid w:val="5A5955F9"/>
    <w:rsid w:val="5A5F5853"/>
    <w:rsid w:val="5A6A4F96"/>
    <w:rsid w:val="5A8E7CD5"/>
    <w:rsid w:val="5A91120B"/>
    <w:rsid w:val="5A965270"/>
    <w:rsid w:val="5A9657DC"/>
    <w:rsid w:val="5AB03A82"/>
    <w:rsid w:val="5AB0413C"/>
    <w:rsid w:val="5AB36BC6"/>
    <w:rsid w:val="5AB41954"/>
    <w:rsid w:val="5AB4618D"/>
    <w:rsid w:val="5AB80DD8"/>
    <w:rsid w:val="5AD278DE"/>
    <w:rsid w:val="5AE04279"/>
    <w:rsid w:val="5AE509C1"/>
    <w:rsid w:val="5AE57F47"/>
    <w:rsid w:val="5AEB0935"/>
    <w:rsid w:val="5AED226A"/>
    <w:rsid w:val="5AEE1328"/>
    <w:rsid w:val="5AEF1012"/>
    <w:rsid w:val="5AF03B32"/>
    <w:rsid w:val="5AF85B39"/>
    <w:rsid w:val="5AFD04DF"/>
    <w:rsid w:val="5B035D38"/>
    <w:rsid w:val="5B121474"/>
    <w:rsid w:val="5B1550E8"/>
    <w:rsid w:val="5B1B0137"/>
    <w:rsid w:val="5B207B77"/>
    <w:rsid w:val="5B23451A"/>
    <w:rsid w:val="5B2B586F"/>
    <w:rsid w:val="5B344B22"/>
    <w:rsid w:val="5B352640"/>
    <w:rsid w:val="5B4D7633"/>
    <w:rsid w:val="5B532C89"/>
    <w:rsid w:val="5B58481E"/>
    <w:rsid w:val="5B653DB8"/>
    <w:rsid w:val="5B6914BC"/>
    <w:rsid w:val="5B6E6902"/>
    <w:rsid w:val="5B705A87"/>
    <w:rsid w:val="5B747C6E"/>
    <w:rsid w:val="5B801D36"/>
    <w:rsid w:val="5B8D5366"/>
    <w:rsid w:val="5B8E647D"/>
    <w:rsid w:val="5B9207EB"/>
    <w:rsid w:val="5B952436"/>
    <w:rsid w:val="5B977D8D"/>
    <w:rsid w:val="5BA15789"/>
    <w:rsid w:val="5BAD21AA"/>
    <w:rsid w:val="5BB26AC1"/>
    <w:rsid w:val="5BB7748D"/>
    <w:rsid w:val="5BBA49FD"/>
    <w:rsid w:val="5BBF75EA"/>
    <w:rsid w:val="5BC30108"/>
    <w:rsid w:val="5BC84FB7"/>
    <w:rsid w:val="5BC90382"/>
    <w:rsid w:val="5BCC0952"/>
    <w:rsid w:val="5BCC7C76"/>
    <w:rsid w:val="5BD1126E"/>
    <w:rsid w:val="5BD20247"/>
    <w:rsid w:val="5BE25B0E"/>
    <w:rsid w:val="5BEA0CE4"/>
    <w:rsid w:val="5BEE71CA"/>
    <w:rsid w:val="5BF17E81"/>
    <w:rsid w:val="5BF524BB"/>
    <w:rsid w:val="5C00541F"/>
    <w:rsid w:val="5C09660E"/>
    <w:rsid w:val="5C10038D"/>
    <w:rsid w:val="5C141CCA"/>
    <w:rsid w:val="5C16001F"/>
    <w:rsid w:val="5C181489"/>
    <w:rsid w:val="5C1A59EA"/>
    <w:rsid w:val="5C382A25"/>
    <w:rsid w:val="5C3C685A"/>
    <w:rsid w:val="5C43207E"/>
    <w:rsid w:val="5C4F7D9B"/>
    <w:rsid w:val="5C5644D4"/>
    <w:rsid w:val="5C767ABA"/>
    <w:rsid w:val="5C845B96"/>
    <w:rsid w:val="5C873770"/>
    <w:rsid w:val="5C8E2E78"/>
    <w:rsid w:val="5C925EDD"/>
    <w:rsid w:val="5C982D7A"/>
    <w:rsid w:val="5C9E297B"/>
    <w:rsid w:val="5CB80B07"/>
    <w:rsid w:val="5CC11545"/>
    <w:rsid w:val="5CC57B35"/>
    <w:rsid w:val="5CDC7534"/>
    <w:rsid w:val="5CDF6012"/>
    <w:rsid w:val="5CEB023F"/>
    <w:rsid w:val="5CEC62E3"/>
    <w:rsid w:val="5CF231B5"/>
    <w:rsid w:val="5D06567D"/>
    <w:rsid w:val="5D186B0A"/>
    <w:rsid w:val="5D1C3553"/>
    <w:rsid w:val="5D1D2019"/>
    <w:rsid w:val="5D245C6D"/>
    <w:rsid w:val="5D44671B"/>
    <w:rsid w:val="5D496389"/>
    <w:rsid w:val="5D557F97"/>
    <w:rsid w:val="5D571203"/>
    <w:rsid w:val="5D630B1E"/>
    <w:rsid w:val="5D6440F3"/>
    <w:rsid w:val="5D6870E1"/>
    <w:rsid w:val="5D6A2932"/>
    <w:rsid w:val="5D795E25"/>
    <w:rsid w:val="5D8668C4"/>
    <w:rsid w:val="5D882BB5"/>
    <w:rsid w:val="5D924CDA"/>
    <w:rsid w:val="5DA05A67"/>
    <w:rsid w:val="5DC26002"/>
    <w:rsid w:val="5DC40B7C"/>
    <w:rsid w:val="5DCC3E2B"/>
    <w:rsid w:val="5DD614CB"/>
    <w:rsid w:val="5DE10DD0"/>
    <w:rsid w:val="5DEC5BC5"/>
    <w:rsid w:val="5DF02C22"/>
    <w:rsid w:val="5DF8298A"/>
    <w:rsid w:val="5DFC2DC9"/>
    <w:rsid w:val="5E011227"/>
    <w:rsid w:val="5E05428B"/>
    <w:rsid w:val="5E096019"/>
    <w:rsid w:val="5E0A3265"/>
    <w:rsid w:val="5E0B6B45"/>
    <w:rsid w:val="5E124BEA"/>
    <w:rsid w:val="5E1B531B"/>
    <w:rsid w:val="5E2020A4"/>
    <w:rsid w:val="5E21089B"/>
    <w:rsid w:val="5E2B7B83"/>
    <w:rsid w:val="5E2C2FB5"/>
    <w:rsid w:val="5E2D55B0"/>
    <w:rsid w:val="5E357E0F"/>
    <w:rsid w:val="5E393438"/>
    <w:rsid w:val="5E427033"/>
    <w:rsid w:val="5E4E3207"/>
    <w:rsid w:val="5E4F1B94"/>
    <w:rsid w:val="5E5A7AC6"/>
    <w:rsid w:val="5E5E7A53"/>
    <w:rsid w:val="5E646A3D"/>
    <w:rsid w:val="5E685A8E"/>
    <w:rsid w:val="5E6B232A"/>
    <w:rsid w:val="5E6C50D6"/>
    <w:rsid w:val="5E6E3FBF"/>
    <w:rsid w:val="5E7149C5"/>
    <w:rsid w:val="5E81490B"/>
    <w:rsid w:val="5E83140B"/>
    <w:rsid w:val="5E880197"/>
    <w:rsid w:val="5E8A12C9"/>
    <w:rsid w:val="5E943215"/>
    <w:rsid w:val="5E997AC8"/>
    <w:rsid w:val="5EAE1995"/>
    <w:rsid w:val="5EAF46AE"/>
    <w:rsid w:val="5EB070F2"/>
    <w:rsid w:val="5EB34C3D"/>
    <w:rsid w:val="5EBD62ED"/>
    <w:rsid w:val="5EC33844"/>
    <w:rsid w:val="5EC96783"/>
    <w:rsid w:val="5ED12341"/>
    <w:rsid w:val="5EDC7D53"/>
    <w:rsid w:val="5EED7751"/>
    <w:rsid w:val="5F0A220D"/>
    <w:rsid w:val="5F1541BA"/>
    <w:rsid w:val="5F16768E"/>
    <w:rsid w:val="5F2664D3"/>
    <w:rsid w:val="5F2D6E4D"/>
    <w:rsid w:val="5F356818"/>
    <w:rsid w:val="5F3B51A6"/>
    <w:rsid w:val="5F3E5EF2"/>
    <w:rsid w:val="5F494F8C"/>
    <w:rsid w:val="5F4C5428"/>
    <w:rsid w:val="5F536C35"/>
    <w:rsid w:val="5F5A481E"/>
    <w:rsid w:val="5F5E46AF"/>
    <w:rsid w:val="5F613693"/>
    <w:rsid w:val="5F62619F"/>
    <w:rsid w:val="5F7650F8"/>
    <w:rsid w:val="5F7A38F2"/>
    <w:rsid w:val="5F7B1275"/>
    <w:rsid w:val="5F7E7CED"/>
    <w:rsid w:val="5F883D72"/>
    <w:rsid w:val="5F8B1772"/>
    <w:rsid w:val="5F9C15BC"/>
    <w:rsid w:val="5F9D443D"/>
    <w:rsid w:val="5FA568A3"/>
    <w:rsid w:val="5FA646AB"/>
    <w:rsid w:val="5FA73C87"/>
    <w:rsid w:val="5FC30212"/>
    <w:rsid w:val="5FC678F4"/>
    <w:rsid w:val="5FD141D8"/>
    <w:rsid w:val="5FD8331C"/>
    <w:rsid w:val="5FD92071"/>
    <w:rsid w:val="5FE72456"/>
    <w:rsid w:val="5FEF23D0"/>
    <w:rsid w:val="5FF82B62"/>
    <w:rsid w:val="5FFB3A51"/>
    <w:rsid w:val="5FFD4F42"/>
    <w:rsid w:val="60224E43"/>
    <w:rsid w:val="602E4BB2"/>
    <w:rsid w:val="60301563"/>
    <w:rsid w:val="60366373"/>
    <w:rsid w:val="604456D1"/>
    <w:rsid w:val="604A36DC"/>
    <w:rsid w:val="604B7745"/>
    <w:rsid w:val="60517B7E"/>
    <w:rsid w:val="60565EE3"/>
    <w:rsid w:val="60573C9D"/>
    <w:rsid w:val="6058186C"/>
    <w:rsid w:val="605C65B3"/>
    <w:rsid w:val="60693025"/>
    <w:rsid w:val="606A65DF"/>
    <w:rsid w:val="60756240"/>
    <w:rsid w:val="607E128C"/>
    <w:rsid w:val="60887F29"/>
    <w:rsid w:val="60960957"/>
    <w:rsid w:val="609F53EE"/>
    <w:rsid w:val="60AE60C6"/>
    <w:rsid w:val="60B1434E"/>
    <w:rsid w:val="60B34F20"/>
    <w:rsid w:val="60B4087F"/>
    <w:rsid w:val="60B8421A"/>
    <w:rsid w:val="60BC6AD0"/>
    <w:rsid w:val="60CB64DD"/>
    <w:rsid w:val="60CF086C"/>
    <w:rsid w:val="60D37DC6"/>
    <w:rsid w:val="60DE7587"/>
    <w:rsid w:val="60E33B12"/>
    <w:rsid w:val="60ED123A"/>
    <w:rsid w:val="60F61222"/>
    <w:rsid w:val="60F93150"/>
    <w:rsid w:val="610555E9"/>
    <w:rsid w:val="61062827"/>
    <w:rsid w:val="6107776B"/>
    <w:rsid w:val="61094ED6"/>
    <w:rsid w:val="610A6D51"/>
    <w:rsid w:val="610D4A96"/>
    <w:rsid w:val="61110180"/>
    <w:rsid w:val="6127040B"/>
    <w:rsid w:val="612E7463"/>
    <w:rsid w:val="61351962"/>
    <w:rsid w:val="61443BDE"/>
    <w:rsid w:val="61526823"/>
    <w:rsid w:val="615B7729"/>
    <w:rsid w:val="615F54F2"/>
    <w:rsid w:val="616B6A13"/>
    <w:rsid w:val="616C74E9"/>
    <w:rsid w:val="61703C77"/>
    <w:rsid w:val="61793CA9"/>
    <w:rsid w:val="618366A6"/>
    <w:rsid w:val="619A6536"/>
    <w:rsid w:val="619B0FDB"/>
    <w:rsid w:val="61BD24E2"/>
    <w:rsid w:val="61D34D93"/>
    <w:rsid w:val="61D4030E"/>
    <w:rsid w:val="61D86C3B"/>
    <w:rsid w:val="61E02677"/>
    <w:rsid w:val="61E2254F"/>
    <w:rsid w:val="61F10A11"/>
    <w:rsid w:val="61F663B8"/>
    <w:rsid w:val="61FC095A"/>
    <w:rsid w:val="61FE4F01"/>
    <w:rsid w:val="62022AD1"/>
    <w:rsid w:val="620A7B4F"/>
    <w:rsid w:val="620D60C6"/>
    <w:rsid w:val="620E37CE"/>
    <w:rsid w:val="620F18D1"/>
    <w:rsid w:val="6211703B"/>
    <w:rsid w:val="62140A50"/>
    <w:rsid w:val="621A6E1A"/>
    <w:rsid w:val="62237947"/>
    <w:rsid w:val="6228191B"/>
    <w:rsid w:val="622C5171"/>
    <w:rsid w:val="622F4CB5"/>
    <w:rsid w:val="62325788"/>
    <w:rsid w:val="623F52EB"/>
    <w:rsid w:val="625149DD"/>
    <w:rsid w:val="62572AC3"/>
    <w:rsid w:val="625A0E0B"/>
    <w:rsid w:val="626A3C1C"/>
    <w:rsid w:val="626C3200"/>
    <w:rsid w:val="62721400"/>
    <w:rsid w:val="627267D7"/>
    <w:rsid w:val="627350A0"/>
    <w:rsid w:val="62751ECF"/>
    <w:rsid w:val="6297557F"/>
    <w:rsid w:val="62987E5F"/>
    <w:rsid w:val="629F624D"/>
    <w:rsid w:val="62A46947"/>
    <w:rsid w:val="62A72535"/>
    <w:rsid w:val="62AB28FE"/>
    <w:rsid w:val="62B97C5C"/>
    <w:rsid w:val="62C83075"/>
    <w:rsid w:val="62D11DA6"/>
    <w:rsid w:val="62DB5AFC"/>
    <w:rsid w:val="62FB0C3B"/>
    <w:rsid w:val="63036094"/>
    <w:rsid w:val="63082D9A"/>
    <w:rsid w:val="63195381"/>
    <w:rsid w:val="63345ECF"/>
    <w:rsid w:val="63364D7C"/>
    <w:rsid w:val="6338311A"/>
    <w:rsid w:val="633F4E4B"/>
    <w:rsid w:val="6351437C"/>
    <w:rsid w:val="63524D9E"/>
    <w:rsid w:val="635D4CBB"/>
    <w:rsid w:val="635F6A64"/>
    <w:rsid w:val="63610179"/>
    <w:rsid w:val="63620C3C"/>
    <w:rsid w:val="63661292"/>
    <w:rsid w:val="6383684D"/>
    <w:rsid w:val="639856F6"/>
    <w:rsid w:val="63A73DF5"/>
    <w:rsid w:val="63B40E29"/>
    <w:rsid w:val="63D96E25"/>
    <w:rsid w:val="63DB5066"/>
    <w:rsid w:val="63E02CD4"/>
    <w:rsid w:val="63E63B00"/>
    <w:rsid w:val="63E66C99"/>
    <w:rsid w:val="63F02920"/>
    <w:rsid w:val="63F056D2"/>
    <w:rsid w:val="63F200CA"/>
    <w:rsid w:val="63F93EE6"/>
    <w:rsid w:val="63FB296B"/>
    <w:rsid w:val="63FC5708"/>
    <w:rsid w:val="63FD1468"/>
    <w:rsid w:val="63FE5B0F"/>
    <w:rsid w:val="63FE74B9"/>
    <w:rsid w:val="6400644F"/>
    <w:rsid w:val="64126DC0"/>
    <w:rsid w:val="64145E4D"/>
    <w:rsid w:val="6419441F"/>
    <w:rsid w:val="641A5552"/>
    <w:rsid w:val="641F064D"/>
    <w:rsid w:val="64217F94"/>
    <w:rsid w:val="6422678B"/>
    <w:rsid w:val="642F7446"/>
    <w:rsid w:val="643165A3"/>
    <w:rsid w:val="64351E8B"/>
    <w:rsid w:val="643E067A"/>
    <w:rsid w:val="643E4A7C"/>
    <w:rsid w:val="64407577"/>
    <w:rsid w:val="6444467E"/>
    <w:rsid w:val="644B0BAF"/>
    <w:rsid w:val="644D08D6"/>
    <w:rsid w:val="645118C2"/>
    <w:rsid w:val="645D684C"/>
    <w:rsid w:val="645E6790"/>
    <w:rsid w:val="647276E8"/>
    <w:rsid w:val="648235F6"/>
    <w:rsid w:val="64913E58"/>
    <w:rsid w:val="64917125"/>
    <w:rsid w:val="649223F7"/>
    <w:rsid w:val="64AC5899"/>
    <w:rsid w:val="64B5258B"/>
    <w:rsid w:val="64B70418"/>
    <w:rsid w:val="64CB0F1B"/>
    <w:rsid w:val="64DD3A60"/>
    <w:rsid w:val="64DE78C8"/>
    <w:rsid w:val="64F7771D"/>
    <w:rsid w:val="65056394"/>
    <w:rsid w:val="650A0AA2"/>
    <w:rsid w:val="650B5BAB"/>
    <w:rsid w:val="650E2EC7"/>
    <w:rsid w:val="65103DB3"/>
    <w:rsid w:val="651821E6"/>
    <w:rsid w:val="651F2747"/>
    <w:rsid w:val="65203B47"/>
    <w:rsid w:val="652A355A"/>
    <w:rsid w:val="65344F38"/>
    <w:rsid w:val="653608F2"/>
    <w:rsid w:val="653A2206"/>
    <w:rsid w:val="654251F4"/>
    <w:rsid w:val="65531B76"/>
    <w:rsid w:val="65602D8C"/>
    <w:rsid w:val="657D3A9B"/>
    <w:rsid w:val="65851C6F"/>
    <w:rsid w:val="658A33DE"/>
    <w:rsid w:val="658B3D45"/>
    <w:rsid w:val="658D65CB"/>
    <w:rsid w:val="65906860"/>
    <w:rsid w:val="65954D8F"/>
    <w:rsid w:val="65971DA8"/>
    <w:rsid w:val="659B1B97"/>
    <w:rsid w:val="65A90407"/>
    <w:rsid w:val="65AC728B"/>
    <w:rsid w:val="65AE155D"/>
    <w:rsid w:val="65B05FCA"/>
    <w:rsid w:val="65B3158A"/>
    <w:rsid w:val="65CC6426"/>
    <w:rsid w:val="65CE609C"/>
    <w:rsid w:val="65D74131"/>
    <w:rsid w:val="65E01718"/>
    <w:rsid w:val="65E07DE1"/>
    <w:rsid w:val="65E27675"/>
    <w:rsid w:val="65E3638B"/>
    <w:rsid w:val="65EC391D"/>
    <w:rsid w:val="65F43281"/>
    <w:rsid w:val="66013792"/>
    <w:rsid w:val="66044F2F"/>
    <w:rsid w:val="660476F8"/>
    <w:rsid w:val="66103684"/>
    <w:rsid w:val="6611270A"/>
    <w:rsid w:val="662528C5"/>
    <w:rsid w:val="66322F65"/>
    <w:rsid w:val="66362B1F"/>
    <w:rsid w:val="664104F1"/>
    <w:rsid w:val="6645231D"/>
    <w:rsid w:val="664E6E63"/>
    <w:rsid w:val="665401BE"/>
    <w:rsid w:val="666E307D"/>
    <w:rsid w:val="6683055A"/>
    <w:rsid w:val="668C4A5D"/>
    <w:rsid w:val="66A665E3"/>
    <w:rsid w:val="66B7633D"/>
    <w:rsid w:val="66C72BE8"/>
    <w:rsid w:val="66C80296"/>
    <w:rsid w:val="66CA11E9"/>
    <w:rsid w:val="66CF0A7E"/>
    <w:rsid w:val="66D9738F"/>
    <w:rsid w:val="66DA3451"/>
    <w:rsid w:val="66DB6EA1"/>
    <w:rsid w:val="66E90BD0"/>
    <w:rsid w:val="66EB417F"/>
    <w:rsid w:val="66F00D11"/>
    <w:rsid w:val="66F15A8D"/>
    <w:rsid w:val="66F42432"/>
    <w:rsid w:val="66FC5AE9"/>
    <w:rsid w:val="67061D81"/>
    <w:rsid w:val="67297A55"/>
    <w:rsid w:val="6740600D"/>
    <w:rsid w:val="6749621A"/>
    <w:rsid w:val="675627E3"/>
    <w:rsid w:val="675B080A"/>
    <w:rsid w:val="6762654A"/>
    <w:rsid w:val="67705FC5"/>
    <w:rsid w:val="677630CB"/>
    <w:rsid w:val="677B33CB"/>
    <w:rsid w:val="67817365"/>
    <w:rsid w:val="6787651A"/>
    <w:rsid w:val="678A45CC"/>
    <w:rsid w:val="679119C3"/>
    <w:rsid w:val="67964114"/>
    <w:rsid w:val="679A4A74"/>
    <w:rsid w:val="679D3ADE"/>
    <w:rsid w:val="67A003DD"/>
    <w:rsid w:val="67A53032"/>
    <w:rsid w:val="67BA6347"/>
    <w:rsid w:val="67BB217A"/>
    <w:rsid w:val="67CD7190"/>
    <w:rsid w:val="67D83FE3"/>
    <w:rsid w:val="67DD40C6"/>
    <w:rsid w:val="67E66D86"/>
    <w:rsid w:val="67E94866"/>
    <w:rsid w:val="67F81C3F"/>
    <w:rsid w:val="67FC19C4"/>
    <w:rsid w:val="67FC5567"/>
    <w:rsid w:val="6800321B"/>
    <w:rsid w:val="680055F5"/>
    <w:rsid w:val="680A2DF6"/>
    <w:rsid w:val="680E67EB"/>
    <w:rsid w:val="68241264"/>
    <w:rsid w:val="68331963"/>
    <w:rsid w:val="68341FC6"/>
    <w:rsid w:val="68424DC3"/>
    <w:rsid w:val="68480B55"/>
    <w:rsid w:val="684C2B8A"/>
    <w:rsid w:val="684F74A3"/>
    <w:rsid w:val="68523B72"/>
    <w:rsid w:val="68526EC0"/>
    <w:rsid w:val="68546C78"/>
    <w:rsid w:val="686777CA"/>
    <w:rsid w:val="6868702C"/>
    <w:rsid w:val="68693414"/>
    <w:rsid w:val="686A4AB6"/>
    <w:rsid w:val="68810833"/>
    <w:rsid w:val="688217FB"/>
    <w:rsid w:val="68843C2E"/>
    <w:rsid w:val="688A73DE"/>
    <w:rsid w:val="68907BC4"/>
    <w:rsid w:val="68933763"/>
    <w:rsid w:val="68AA31A1"/>
    <w:rsid w:val="68BA61C2"/>
    <w:rsid w:val="68C353E0"/>
    <w:rsid w:val="68C43253"/>
    <w:rsid w:val="68CF7191"/>
    <w:rsid w:val="68E20F16"/>
    <w:rsid w:val="68F66056"/>
    <w:rsid w:val="68F70D5F"/>
    <w:rsid w:val="68F76C00"/>
    <w:rsid w:val="68FE7DD4"/>
    <w:rsid w:val="69065A54"/>
    <w:rsid w:val="69083044"/>
    <w:rsid w:val="690E0860"/>
    <w:rsid w:val="69105B56"/>
    <w:rsid w:val="6916333B"/>
    <w:rsid w:val="69164E32"/>
    <w:rsid w:val="691D2EA2"/>
    <w:rsid w:val="691E08E5"/>
    <w:rsid w:val="69265375"/>
    <w:rsid w:val="692744CE"/>
    <w:rsid w:val="692D360B"/>
    <w:rsid w:val="692F691D"/>
    <w:rsid w:val="69333D0A"/>
    <w:rsid w:val="69383D48"/>
    <w:rsid w:val="693A0F88"/>
    <w:rsid w:val="693A55E9"/>
    <w:rsid w:val="693D44F5"/>
    <w:rsid w:val="693F3461"/>
    <w:rsid w:val="6942177C"/>
    <w:rsid w:val="69466883"/>
    <w:rsid w:val="694F201B"/>
    <w:rsid w:val="69501548"/>
    <w:rsid w:val="695F3EF2"/>
    <w:rsid w:val="69680C57"/>
    <w:rsid w:val="69701C99"/>
    <w:rsid w:val="697230C1"/>
    <w:rsid w:val="6975550B"/>
    <w:rsid w:val="697C160C"/>
    <w:rsid w:val="6984349B"/>
    <w:rsid w:val="698520C8"/>
    <w:rsid w:val="69873E6B"/>
    <w:rsid w:val="69A073E1"/>
    <w:rsid w:val="69AC27D1"/>
    <w:rsid w:val="69B64239"/>
    <w:rsid w:val="69BF09C5"/>
    <w:rsid w:val="69C80659"/>
    <w:rsid w:val="69CE4095"/>
    <w:rsid w:val="69DC548E"/>
    <w:rsid w:val="69E00693"/>
    <w:rsid w:val="69F604CB"/>
    <w:rsid w:val="69FB7D91"/>
    <w:rsid w:val="6A0F5870"/>
    <w:rsid w:val="6A18737F"/>
    <w:rsid w:val="6A1E2DEA"/>
    <w:rsid w:val="6A1F5F03"/>
    <w:rsid w:val="6A255E57"/>
    <w:rsid w:val="6A2B50A1"/>
    <w:rsid w:val="6A353B78"/>
    <w:rsid w:val="6A354609"/>
    <w:rsid w:val="6A3D5AD2"/>
    <w:rsid w:val="6A3F4EBA"/>
    <w:rsid w:val="6A4E5DAE"/>
    <w:rsid w:val="6A5119DB"/>
    <w:rsid w:val="6A572182"/>
    <w:rsid w:val="6A580B2E"/>
    <w:rsid w:val="6A60511E"/>
    <w:rsid w:val="6A617055"/>
    <w:rsid w:val="6A65126D"/>
    <w:rsid w:val="6A6F4C4B"/>
    <w:rsid w:val="6A7B5953"/>
    <w:rsid w:val="6A8974CF"/>
    <w:rsid w:val="6A96438A"/>
    <w:rsid w:val="6A991591"/>
    <w:rsid w:val="6A9E6884"/>
    <w:rsid w:val="6A9F1D42"/>
    <w:rsid w:val="6AA01B8A"/>
    <w:rsid w:val="6AA40853"/>
    <w:rsid w:val="6AA460BE"/>
    <w:rsid w:val="6AA46233"/>
    <w:rsid w:val="6AA9240C"/>
    <w:rsid w:val="6AB276BA"/>
    <w:rsid w:val="6ABB5F32"/>
    <w:rsid w:val="6ACF0BEB"/>
    <w:rsid w:val="6AD06ACC"/>
    <w:rsid w:val="6ADE4EB5"/>
    <w:rsid w:val="6AE555AA"/>
    <w:rsid w:val="6AEE6E77"/>
    <w:rsid w:val="6AF41E64"/>
    <w:rsid w:val="6AF52E7A"/>
    <w:rsid w:val="6AF82DDD"/>
    <w:rsid w:val="6AFF4671"/>
    <w:rsid w:val="6B004560"/>
    <w:rsid w:val="6B14628E"/>
    <w:rsid w:val="6B1D3CF7"/>
    <w:rsid w:val="6B5D1389"/>
    <w:rsid w:val="6B5D5D0B"/>
    <w:rsid w:val="6B6114B5"/>
    <w:rsid w:val="6B657406"/>
    <w:rsid w:val="6B7977C6"/>
    <w:rsid w:val="6B7E4553"/>
    <w:rsid w:val="6B8454C1"/>
    <w:rsid w:val="6B871C75"/>
    <w:rsid w:val="6B8837AA"/>
    <w:rsid w:val="6B9351C1"/>
    <w:rsid w:val="6B9C05BF"/>
    <w:rsid w:val="6B9C0A23"/>
    <w:rsid w:val="6BA32D03"/>
    <w:rsid w:val="6BA50B71"/>
    <w:rsid w:val="6BAF5E94"/>
    <w:rsid w:val="6BB55763"/>
    <w:rsid w:val="6BBA2227"/>
    <w:rsid w:val="6BC134C1"/>
    <w:rsid w:val="6BC24308"/>
    <w:rsid w:val="6BC74F0F"/>
    <w:rsid w:val="6BD101BA"/>
    <w:rsid w:val="6BE549B9"/>
    <w:rsid w:val="6BE960FB"/>
    <w:rsid w:val="6BEF1C6D"/>
    <w:rsid w:val="6BFC16EE"/>
    <w:rsid w:val="6C0174A7"/>
    <w:rsid w:val="6C0D24BB"/>
    <w:rsid w:val="6C1F7C1E"/>
    <w:rsid w:val="6C2A5FD7"/>
    <w:rsid w:val="6C332019"/>
    <w:rsid w:val="6C355191"/>
    <w:rsid w:val="6C3D1216"/>
    <w:rsid w:val="6C4113B2"/>
    <w:rsid w:val="6C4842B7"/>
    <w:rsid w:val="6C4C6F59"/>
    <w:rsid w:val="6C4F50A6"/>
    <w:rsid w:val="6C506E93"/>
    <w:rsid w:val="6C5079CF"/>
    <w:rsid w:val="6C583C12"/>
    <w:rsid w:val="6C6D7299"/>
    <w:rsid w:val="6C76171A"/>
    <w:rsid w:val="6C807554"/>
    <w:rsid w:val="6C8F7B51"/>
    <w:rsid w:val="6C901C6F"/>
    <w:rsid w:val="6C980806"/>
    <w:rsid w:val="6C987836"/>
    <w:rsid w:val="6C9A328A"/>
    <w:rsid w:val="6CAA79C8"/>
    <w:rsid w:val="6CAB65C4"/>
    <w:rsid w:val="6CB40D11"/>
    <w:rsid w:val="6CB93D61"/>
    <w:rsid w:val="6CBE7368"/>
    <w:rsid w:val="6CC3271D"/>
    <w:rsid w:val="6CCA1485"/>
    <w:rsid w:val="6CD4307A"/>
    <w:rsid w:val="6CD531E3"/>
    <w:rsid w:val="6CD7602C"/>
    <w:rsid w:val="6CD9641B"/>
    <w:rsid w:val="6CF00996"/>
    <w:rsid w:val="6CF8304A"/>
    <w:rsid w:val="6D204DEF"/>
    <w:rsid w:val="6D232161"/>
    <w:rsid w:val="6D257373"/>
    <w:rsid w:val="6D280674"/>
    <w:rsid w:val="6D2A38A8"/>
    <w:rsid w:val="6D2C4E9E"/>
    <w:rsid w:val="6D2E5861"/>
    <w:rsid w:val="6D2F06EE"/>
    <w:rsid w:val="6D372895"/>
    <w:rsid w:val="6D3A4FF5"/>
    <w:rsid w:val="6D3C5A4B"/>
    <w:rsid w:val="6D48674F"/>
    <w:rsid w:val="6D521C84"/>
    <w:rsid w:val="6D625E3E"/>
    <w:rsid w:val="6D7F4A91"/>
    <w:rsid w:val="6D916D58"/>
    <w:rsid w:val="6D942995"/>
    <w:rsid w:val="6D96015A"/>
    <w:rsid w:val="6D9E600E"/>
    <w:rsid w:val="6DA118C2"/>
    <w:rsid w:val="6DA248AC"/>
    <w:rsid w:val="6DA417B0"/>
    <w:rsid w:val="6DA713ED"/>
    <w:rsid w:val="6DAB2B11"/>
    <w:rsid w:val="6DB37247"/>
    <w:rsid w:val="6DB57E15"/>
    <w:rsid w:val="6DB70917"/>
    <w:rsid w:val="6DB952F5"/>
    <w:rsid w:val="6DC52887"/>
    <w:rsid w:val="6DCF7348"/>
    <w:rsid w:val="6DD23351"/>
    <w:rsid w:val="6DD7436D"/>
    <w:rsid w:val="6DE05ACB"/>
    <w:rsid w:val="6DE10359"/>
    <w:rsid w:val="6DEF7C6D"/>
    <w:rsid w:val="6DF019AC"/>
    <w:rsid w:val="6DF21255"/>
    <w:rsid w:val="6DF3638E"/>
    <w:rsid w:val="6DF67ECC"/>
    <w:rsid w:val="6DF73811"/>
    <w:rsid w:val="6DFB2888"/>
    <w:rsid w:val="6DFE79D9"/>
    <w:rsid w:val="6E16099F"/>
    <w:rsid w:val="6E1F15B5"/>
    <w:rsid w:val="6E1F2BD4"/>
    <w:rsid w:val="6E245646"/>
    <w:rsid w:val="6E280A44"/>
    <w:rsid w:val="6E2961BD"/>
    <w:rsid w:val="6E3219A3"/>
    <w:rsid w:val="6E4928B3"/>
    <w:rsid w:val="6E5C7C84"/>
    <w:rsid w:val="6E656116"/>
    <w:rsid w:val="6E6873DD"/>
    <w:rsid w:val="6E697DBB"/>
    <w:rsid w:val="6E723391"/>
    <w:rsid w:val="6E736F2F"/>
    <w:rsid w:val="6E8161DB"/>
    <w:rsid w:val="6E8D2F01"/>
    <w:rsid w:val="6E8D632F"/>
    <w:rsid w:val="6E9570B3"/>
    <w:rsid w:val="6E9607C8"/>
    <w:rsid w:val="6E98639C"/>
    <w:rsid w:val="6E99498A"/>
    <w:rsid w:val="6E9B1B78"/>
    <w:rsid w:val="6EA0555F"/>
    <w:rsid w:val="6EB404BA"/>
    <w:rsid w:val="6EB53F7C"/>
    <w:rsid w:val="6EB55D5E"/>
    <w:rsid w:val="6EC06D9B"/>
    <w:rsid w:val="6EC4017B"/>
    <w:rsid w:val="6EC52D36"/>
    <w:rsid w:val="6EC67783"/>
    <w:rsid w:val="6ED142D5"/>
    <w:rsid w:val="6EE1620B"/>
    <w:rsid w:val="6F0357D3"/>
    <w:rsid w:val="6F037C27"/>
    <w:rsid w:val="6F057EFF"/>
    <w:rsid w:val="6F0D0B1E"/>
    <w:rsid w:val="6F292166"/>
    <w:rsid w:val="6F2C7793"/>
    <w:rsid w:val="6F2D32F4"/>
    <w:rsid w:val="6F2D4561"/>
    <w:rsid w:val="6F2F501D"/>
    <w:rsid w:val="6F311C59"/>
    <w:rsid w:val="6F314530"/>
    <w:rsid w:val="6F3434F9"/>
    <w:rsid w:val="6F37783B"/>
    <w:rsid w:val="6F3A2E52"/>
    <w:rsid w:val="6F3B2F9A"/>
    <w:rsid w:val="6F3E177D"/>
    <w:rsid w:val="6F421604"/>
    <w:rsid w:val="6F423F9E"/>
    <w:rsid w:val="6F4405B7"/>
    <w:rsid w:val="6F443E67"/>
    <w:rsid w:val="6F531A47"/>
    <w:rsid w:val="6F5619A9"/>
    <w:rsid w:val="6F5D07F9"/>
    <w:rsid w:val="6F5E2A9D"/>
    <w:rsid w:val="6F63548B"/>
    <w:rsid w:val="6F6B6C80"/>
    <w:rsid w:val="6F6D2030"/>
    <w:rsid w:val="6F72650D"/>
    <w:rsid w:val="6F7B5F61"/>
    <w:rsid w:val="6F8020A9"/>
    <w:rsid w:val="6F8841D9"/>
    <w:rsid w:val="6F8E6E51"/>
    <w:rsid w:val="6F926966"/>
    <w:rsid w:val="6F931AC6"/>
    <w:rsid w:val="6FA626FB"/>
    <w:rsid w:val="6FA70BEA"/>
    <w:rsid w:val="6FC23CB9"/>
    <w:rsid w:val="6FC479E1"/>
    <w:rsid w:val="6FCE0D8D"/>
    <w:rsid w:val="6FCF7E07"/>
    <w:rsid w:val="6FE03B93"/>
    <w:rsid w:val="6FE17034"/>
    <w:rsid w:val="6FEC5097"/>
    <w:rsid w:val="6FED7560"/>
    <w:rsid w:val="6FF052C1"/>
    <w:rsid w:val="6FF12DD6"/>
    <w:rsid w:val="6FF12E41"/>
    <w:rsid w:val="6FF60D80"/>
    <w:rsid w:val="6FFB4997"/>
    <w:rsid w:val="6FFF024B"/>
    <w:rsid w:val="70212E66"/>
    <w:rsid w:val="702231E0"/>
    <w:rsid w:val="7028393C"/>
    <w:rsid w:val="702D44DF"/>
    <w:rsid w:val="7030095E"/>
    <w:rsid w:val="703460FB"/>
    <w:rsid w:val="703B5DB5"/>
    <w:rsid w:val="703C790D"/>
    <w:rsid w:val="703F6279"/>
    <w:rsid w:val="704A6A64"/>
    <w:rsid w:val="704B0BAD"/>
    <w:rsid w:val="70586E02"/>
    <w:rsid w:val="705879A3"/>
    <w:rsid w:val="705F0E54"/>
    <w:rsid w:val="705F5DF1"/>
    <w:rsid w:val="706E4746"/>
    <w:rsid w:val="70741FCB"/>
    <w:rsid w:val="70790410"/>
    <w:rsid w:val="70871EB5"/>
    <w:rsid w:val="708F5AB5"/>
    <w:rsid w:val="708F5EBF"/>
    <w:rsid w:val="70922BD7"/>
    <w:rsid w:val="709E4562"/>
    <w:rsid w:val="70A60206"/>
    <w:rsid w:val="70B14F04"/>
    <w:rsid w:val="70D1648B"/>
    <w:rsid w:val="70D9578B"/>
    <w:rsid w:val="70DB4317"/>
    <w:rsid w:val="70DC187B"/>
    <w:rsid w:val="70E12014"/>
    <w:rsid w:val="70E910DF"/>
    <w:rsid w:val="71042F7F"/>
    <w:rsid w:val="710854BB"/>
    <w:rsid w:val="71092366"/>
    <w:rsid w:val="711D0C25"/>
    <w:rsid w:val="7120424B"/>
    <w:rsid w:val="712053E3"/>
    <w:rsid w:val="71264A92"/>
    <w:rsid w:val="712933A3"/>
    <w:rsid w:val="712A05F8"/>
    <w:rsid w:val="713025B2"/>
    <w:rsid w:val="71391ACE"/>
    <w:rsid w:val="71406F57"/>
    <w:rsid w:val="714849F2"/>
    <w:rsid w:val="71512006"/>
    <w:rsid w:val="717543B9"/>
    <w:rsid w:val="717709A4"/>
    <w:rsid w:val="717862CC"/>
    <w:rsid w:val="71821012"/>
    <w:rsid w:val="71855D02"/>
    <w:rsid w:val="7185646F"/>
    <w:rsid w:val="71870807"/>
    <w:rsid w:val="7188284E"/>
    <w:rsid w:val="718B1BD6"/>
    <w:rsid w:val="718B239C"/>
    <w:rsid w:val="718D0D49"/>
    <w:rsid w:val="71912928"/>
    <w:rsid w:val="71A83557"/>
    <w:rsid w:val="71A97E1A"/>
    <w:rsid w:val="71AC31CB"/>
    <w:rsid w:val="71C2747E"/>
    <w:rsid w:val="71C641FD"/>
    <w:rsid w:val="71C64D99"/>
    <w:rsid w:val="71C67DF1"/>
    <w:rsid w:val="71E50D15"/>
    <w:rsid w:val="71E606A7"/>
    <w:rsid w:val="71E60FAD"/>
    <w:rsid w:val="71F42C21"/>
    <w:rsid w:val="720F09B2"/>
    <w:rsid w:val="72107CDA"/>
    <w:rsid w:val="72217502"/>
    <w:rsid w:val="7225206E"/>
    <w:rsid w:val="722748C4"/>
    <w:rsid w:val="72322C3D"/>
    <w:rsid w:val="72422C07"/>
    <w:rsid w:val="72444ECA"/>
    <w:rsid w:val="72464858"/>
    <w:rsid w:val="72511B5D"/>
    <w:rsid w:val="726174B5"/>
    <w:rsid w:val="72622B72"/>
    <w:rsid w:val="72664169"/>
    <w:rsid w:val="72673BD4"/>
    <w:rsid w:val="72702BAE"/>
    <w:rsid w:val="727400B8"/>
    <w:rsid w:val="7276506E"/>
    <w:rsid w:val="727A76F5"/>
    <w:rsid w:val="72857CC0"/>
    <w:rsid w:val="7288283B"/>
    <w:rsid w:val="728C5FB0"/>
    <w:rsid w:val="72922093"/>
    <w:rsid w:val="729360CE"/>
    <w:rsid w:val="72A07647"/>
    <w:rsid w:val="72AF4E04"/>
    <w:rsid w:val="72BC04E4"/>
    <w:rsid w:val="72BC1A32"/>
    <w:rsid w:val="72BE52C0"/>
    <w:rsid w:val="72D92F1C"/>
    <w:rsid w:val="72E04997"/>
    <w:rsid w:val="72E2280F"/>
    <w:rsid w:val="72F91E5B"/>
    <w:rsid w:val="72FC3B4E"/>
    <w:rsid w:val="73076852"/>
    <w:rsid w:val="730B5BE3"/>
    <w:rsid w:val="730F17A2"/>
    <w:rsid w:val="73174CF0"/>
    <w:rsid w:val="731E61C3"/>
    <w:rsid w:val="73227ECA"/>
    <w:rsid w:val="732816C8"/>
    <w:rsid w:val="73314144"/>
    <w:rsid w:val="73314A03"/>
    <w:rsid w:val="73325F51"/>
    <w:rsid w:val="73337761"/>
    <w:rsid w:val="73427B43"/>
    <w:rsid w:val="73442E10"/>
    <w:rsid w:val="734451AE"/>
    <w:rsid w:val="7351368E"/>
    <w:rsid w:val="73593E21"/>
    <w:rsid w:val="73662929"/>
    <w:rsid w:val="736654AB"/>
    <w:rsid w:val="73782B0A"/>
    <w:rsid w:val="737F683D"/>
    <w:rsid w:val="738D5BBF"/>
    <w:rsid w:val="73AB4618"/>
    <w:rsid w:val="73CB1FD2"/>
    <w:rsid w:val="73D57E90"/>
    <w:rsid w:val="73DB527F"/>
    <w:rsid w:val="73E7580B"/>
    <w:rsid w:val="73F20558"/>
    <w:rsid w:val="73F80634"/>
    <w:rsid w:val="73FD6050"/>
    <w:rsid w:val="74004D86"/>
    <w:rsid w:val="740642E2"/>
    <w:rsid w:val="742E255A"/>
    <w:rsid w:val="74366CE4"/>
    <w:rsid w:val="7439386B"/>
    <w:rsid w:val="743B5AD1"/>
    <w:rsid w:val="743B7343"/>
    <w:rsid w:val="744272C3"/>
    <w:rsid w:val="744973E1"/>
    <w:rsid w:val="74521A39"/>
    <w:rsid w:val="74564E1C"/>
    <w:rsid w:val="745D74B3"/>
    <w:rsid w:val="745E2D3F"/>
    <w:rsid w:val="7460187C"/>
    <w:rsid w:val="74601EEF"/>
    <w:rsid w:val="7466373E"/>
    <w:rsid w:val="746B0554"/>
    <w:rsid w:val="746F5583"/>
    <w:rsid w:val="747A069E"/>
    <w:rsid w:val="747B7A2A"/>
    <w:rsid w:val="748152F3"/>
    <w:rsid w:val="748C0681"/>
    <w:rsid w:val="74976844"/>
    <w:rsid w:val="749D4E5E"/>
    <w:rsid w:val="74AE2F46"/>
    <w:rsid w:val="74B4051A"/>
    <w:rsid w:val="74C9464C"/>
    <w:rsid w:val="74CA459D"/>
    <w:rsid w:val="74D13D14"/>
    <w:rsid w:val="74D65C48"/>
    <w:rsid w:val="74DC21DB"/>
    <w:rsid w:val="74E40154"/>
    <w:rsid w:val="74E63EE0"/>
    <w:rsid w:val="74EB6FF5"/>
    <w:rsid w:val="74EE1BD0"/>
    <w:rsid w:val="74F55277"/>
    <w:rsid w:val="75090DF9"/>
    <w:rsid w:val="750A5B4E"/>
    <w:rsid w:val="751067CB"/>
    <w:rsid w:val="751278F2"/>
    <w:rsid w:val="7513472C"/>
    <w:rsid w:val="75146883"/>
    <w:rsid w:val="751A47F9"/>
    <w:rsid w:val="752C4ACA"/>
    <w:rsid w:val="753A3B82"/>
    <w:rsid w:val="75453116"/>
    <w:rsid w:val="754763C5"/>
    <w:rsid w:val="75480F09"/>
    <w:rsid w:val="75520470"/>
    <w:rsid w:val="7558285E"/>
    <w:rsid w:val="755B32F8"/>
    <w:rsid w:val="755E209D"/>
    <w:rsid w:val="756008C7"/>
    <w:rsid w:val="756B5851"/>
    <w:rsid w:val="75715E5D"/>
    <w:rsid w:val="75736787"/>
    <w:rsid w:val="757D33AE"/>
    <w:rsid w:val="75842848"/>
    <w:rsid w:val="758C61DC"/>
    <w:rsid w:val="75A070D2"/>
    <w:rsid w:val="75A5797C"/>
    <w:rsid w:val="75A91BC1"/>
    <w:rsid w:val="75B47EFC"/>
    <w:rsid w:val="75D22080"/>
    <w:rsid w:val="75D376A8"/>
    <w:rsid w:val="75D629A2"/>
    <w:rsid w:val="75E12075"/>
    <w:rsid w:val="75E24B9F"/>
    <w:rsid w:val="75E33980"/>
    <w:rsid w:val="75E94A94"/>
    <w:rsid w:val="75EB1215"/>
    <w:rsid w:val="75EF275F"/>
    <w:rsid w:val="75F407F3"/>
    <w:rsid w:val="75F8610F"/>
    <w:rsid w:val="75FC2D3B"/>
    <w:rsid w:val="75FD35C9"/>
    <w:rsid w:val="760508B2"/>
    <w:rsid w:val="760E6CD2"/>
    <w:rsid w:val="762D3C28"/>
    <w:rsid w:val="763A291F"/>
    <w:rsid w:val="764B2498"/>
    <w:rsid w:val="765B0DE9"/>
    <w:rsid w:val="765F5224"/>
    <w:rsid w:val="76663E9A"/>
    <w:rsid w:val="7667156A"/>
    <w:rsid w:val="76685502"/>
    <w:rsid w:val="766B017F"/>
    <w:rsid w:val="766E102C"/>
    <w:rsid w:val="7674738D"/>
    <w:rsid w:val="767D16B3"/>
    <w:rsid w:val="768D283B"/>
    <w:rsid w:val="768F0188"/>
    <w:rsid w:val="76910070"/>
    <w:rsid w:val="769E1863"/>
    <w:rsid w:val="769E2AC0"/>
    <w:rsid w:val="76A40FD5"/>
    <w:rsid w:val="76BC1687"/>
    <w:rsid w:val="76C15473"/>
    <w:rsid w:val="76C916FB"/>
    <w:rsid w:val="76CC2419"/>
    <w:rsid w:val="76E2262F"/>
    <w:rsid w:val="76E935B9"/>
    <w:rsid w:val="76F25754"/>
    <w:rsid w:val="770233A9"/>
    <w:rsid w:val="7704121F"/>
    <w:rsid w:val="770B3E57"/>
    <w:rsid w:val="771F1FB4"/>
    <w:rsid w:val="77200CEA"/>
    <w:rsid w:val="772C41B2"/>
    <w:rsid w:val="77381883"/>
    <w:rsid w:val="773C1386"/>
    <w:rsid w:val="7745106F"/>
    <w:rsid w:val="77520081"/>
    <w:rsid w:val="775330E8"/>
    <w:rsid w:val="77555855"/>
    <w:rsid w:val="77565B13"/>
    <w:rsid w:val="77566279"/>
    <w:rsid w:val="775D7AF3"/>
    <w:rsid w:val="776231F5"/>
    <w:rsid w:val="7769548D"/>
    <w:rsid w:val="77715A73"/>
    <w:rsid w:val="777F5ADA"/>
    <w:rsid w:val="77802060"/>
    <w:rsid w:val="778C5D39"/>
    <w:rsid w:val="779575C5"/>
    <w:rsid w:val="77A94C4A"/>
    <w:rsid w:val="77AB24A4"/>
    <w:rsid w:val="77AF5E71"/>
    <w:rsid w:val="77B24E1F"/>
    <w:rsid w:val="77C6291B"/>
    <w:rsid w:val="77C75378"/>
    <w:rsid w:val="77CC55A5"/>
    <w:rsid w:val="77DE288F"/>
    <w:rsid w:val="77E06AEF"/>
    <w:rsid w:val="77E666AE"/>
    <w:rsid w:val="77F856AF"/>
    <w:rsid w:val="780762F1"/>
    <w:rsid w:val="78080A73"/>
    <w:rsid w:val="78171B16"/>
    <w:rsid w:val="7818732C"/>
    <w:rsid w:val="78280D01"/>
    <w:rsid w:val="782B4566"/>
    <w:rsid w:val="783119C0"/>
    <w:rsid w:val="78361226"/>
    <w:rsid w:val="783634B7"/>
    <w:rsid w:val="784A3C3E"/>
    <w:rsid w:val="784F135E"/>
    <w:rsid w:val="78551DB0"/>
    <w:rsid w:val="78571FC3"/>
    <w:rsid w:val="786310B4"/>
    <w:rsid w:val="78690BE7"/>
    <w:rsid w:val="786B5176"/>
    <w:rsid w:val="786D295E"/>
    <w:rsid w:val="787B6F2A"/>
    <w:rsid w:val="788D5505"/>
    <w:rsid w:val="789631B7"/>
    <w:rsid w:val="789645D7"/>
    <w:rsid w:val="789D7D7A"/>
    <w:rsid w:val="78A454B6"/>
    <w:rsid w:val="78A61523"/>
    <w:rsid w:val="78A87343"/>
    <w:rsid w:val="78B67FFE"/>
    <w:rsid w:val="78BA660B"/>
    <w:rsid w:val="78C042AD"/>
    <w:rsid w:val="78C14214"/>
    <w:rsid w:val="78C80E8F"/>
    <w:rsid w:val="78D4131C"/>
    <w:rsid w:val="78DB30F6"/>
    <w:rsid w:val="78DD7918"/>
    <w:rsid w:val="78EF5B22"/>
    <w:rsid w:val="78F5723F"/>
    <w:rsid w:val="78F744F5"/>
    <w:rsid w:val="78FF06E0"/>
    <w:rsid w:val="78FF2458"/>
    <w:rsid w:val="79007476"/>
    <w:rsid w:val="79011DF0"/>
    <w:rsid w:val="7902189F"/>
    <w:rsid w:val="79041697"/>
    <w:rsid w:val="79051934"/>
    <w:rsid w:val="790747B9"/>
    <w:rsid w:val="790A1B47"/>
    <w:rsid w:val="790E706B"/>
    <w:rsid w:val="79124145"/>
    <w:rsid w:val="79197DE4"/>
    <w:rsid w:val="792A436C"/>
    <w:rsid w:val="794E032C"/>
    <w:rsid w:val="79591AA4"/>
    <w:rsid w:val="796F3064"/>
    <w:rsid w:val="7971372D"/>
    <w:rsid w:val="79811EE4"/>
    <w:rsid w:val="798C3CB4"/>
    <w:rsid w:val="798D2FE9"/>
    <w:rsid w:val="799D1605"/>
    <w:rsid w:val="799F228B"/>
    <w:rsid w:val="79A72307"/>
    <w:rsid w:val="79B030D1"/>
    <w:rsid w:val="79B318E0"/>
    <w:rsid w:val="79D25461"/>
    <w:rsid w:val="79DC73EC"/>
    <w:rsid w:val="79EE36C4"/>
    <w:rsid w:val="79F405F3"/>
    <w:rsid w:val="79F74522"/>
    <w:rsid w:val="79FA4E11"/>
    <w:rsid w:val="79FD4879"/>
    <w:rsid w:val="7A0128B9"/>
    <w:rsid w:val="7A014CF4"/>
    <w:rsid w:val="7A023991"/>
    <w:rsid w:val="7A043364"/>
    <w:rsid w:val="7A05511A"/>
    <w:rsid w:val="7A101E9D"/>
    <w:rsid w:val="7A2232BD"/>
    <w:rsid w:val="7A293D9F"/>
    <w:rsid w:val="7A2F6ED8"/>
    <w:rsid w:val="7A3A0E53"/>
    <w:rsid w:val="7A4B23CD"/>
    <w:rsid w:val="7A520B22"/>
    <w:rsid w:val="7A5447CB"/>
    <w:rsid w:val="7A544990"/>
    <w:rsid w:val="7A574A55"/>
    <w:rsid w:val="7A581821"/>
    <w:rsid w:val="7A607887"/>
    <w:rsid w:val="7A6D7B67"/>
    <w:rsid w:val="7A852026"/>
    <w:rsid w:val="7A8E0488"/>
    <w:rsid w:val="7AA12F34"/>
    <w:rsid w:val="7AAA7E7C"/>
    <w:rsid w:val="7AB71F16"/>
    <w:rsid w:val="7AC2685F"/>
    <w:rsid w:val="7AC3186C"/>
    <w:rsid w:val="7AC40C70"/>
    <w:rsid w:val="7AC7075B"/>
    <w:rsid w:val="7AC92C21"/>
    <w:rsid w:val="7ACB4A20"/>
    <w:rsid w:val="7ACC21A0"/>
    <w:rsid w:val="7ACD368A"/>
    <w:rsid w:val="7ACE7279"/>
    <w:rsid w:val="7AD110F9"/>
    <w:rsid w:val="7AD519C8"/>
    <w:rsid w:val="7ADC5624"/>
    <w:rsid w:val="7AE620E6"/>
    <w:rsid w:val="7AE74C1C"/>
    <w:rsid w:val="7AE843B5"/>
    <w:rsid w:val="7AEE1EBB"/>
    <w:rsid w:val="7AFA54D0"/>
    <w:rsid w:val="7AFE7F4E"/>
    <w:rsid w:val="7B031A2E"/>
    <w:rsid w:val="7B0C6345"/>
    <w:rsid w:val="7B1A464C"/>
    <w:rsid w:val="7B1D12D7"/>
    <w:rsid w:val="7B206132"/>
    <w:rsid w:val="7B211E78"/>
    <w:rsid w:val="7B2916D6"/>
    <w:rsid w:val="7B2D175E"/>
    <w:rsid w:val="7B2D56F3"/>
    <w:rsid w:val="7B337A75"/>
    <w:rsid w:val="7B3D6545"/>
    <w:rsid w:val="7B425820"/>
    <w:rsid w:val="7B440556"/>
    <w:rsid w:val="7B466DA7"/>
    <w:rsid w:val="7B497734"/>
    <w:rsid w:val="7B4A3691"/>
    <w:rsid w:val="7B4B5733"/>
    <w:rsid w:val="7B4F112E"/>
    <w:rsid w:val="7B5B6515"/>
    <w:rsid w:val="7B5D628D"/>
    <w:rsid w:val="7B5D68DA"/>
    <w:rsid w:val="7B60656F"/>
    <w:rsid w:val="7B612804"/>
    <w:rsid w:val="7B6E2628"/>
    <w:rsid w:val="7B6F434B"/>
    <w:rsid w:val="7B7838EF"/>
    <w:rsid w:val="7B7909DF"/>
    <w:rsid w:val="7B7A6AA4"/>
    <w:rsid w:val="7B7D21E9"/>
    <w:rsid w:val="7B7F1A3F"/>
    <w:rsid w:val="7B81166C"/>
    <w:rsid w:val="7B820D4C"/>
    <w:rsid w:val="7B837282"/>
    <w:rsid w:val="7B860BEA"/>
    <w:rsid w:val="7B8C3F56"/>
    <w:rsid w:val="7B9A34AC"/>
    <w:rsid w:val="7BA93A02"/>
    <w:rsid w:val="7BB61E1D"/>
    <w:rsid w:val="7BBD575A"/>
    <w:rsid w:val="7BC715E2"/>
    <w:rsid w:val="7BD134BA"/>
    <w:rsid w:val="7BE570CD"/>
    <w:rsid w:val="7BE73DB6"/>
    <w:rsid w:val="7BEA2555"/>
    <w:rsid w:val="7BEF35D1"/>
    <w:rsid w:val="7BF05951"/>
    <w:rsid w:val="7BFD4AF0"/>
    <w:rsid w:val="7BFE370C"/>
    <w:rsid w:val="7C012DB1"/>
    <w:rsid w:val="7C02450C"/>
    <w:rsid w:val="7C0573B1"/>
    <w:rsid w:val="7C0D668C"/>
    <w:rsid w:val="7C1342E4"/>
    <w:rsid w:val="7C1471E8"/>
    <w:rsid w:val="7C162D03"/>
    <w:rsid w:val="7C2424A8"/>
    <w:rsid w:val="7C271F22"/>
    <w:rsid w:val="7C33271D"/>
    <w:rsid w:val="7C4176A9"/>
    <w:rsid w:val="7C564728"/>
    <w:rsid w:val="7C58027C"/>
    <w:rsid w:val="7C6265A4"/>
    <w:rsid w:val="7C696307"/>
    <w:rsid w:val="7C6B18AE"/>
    <w:rsid w:val="7C715830"/>
    <w:rsid w:val="7C740B00"/>
    <w:rsid w:val="7C773756"/>
    <w:rsid w:val="7C98544D"/>
    <w:rsid w:val="7C9E315C"/>
    <w:rsid w:val="7CA365FE"/>
    <w:rsid w:val="7CB5518D"/>
    <w:rsid w:val="7CB608D7"/>
    <w:rsid w:val="7CB957EA"/>
    <w:rsid w:val="7CBF016E"/>
    <w:rsid w:val="7CD81839"/>
    <w:rsid w:val="7CDD2883"/>
    <w:rsid w:val="7CE23E90"/>
    <w:rsid w:val="7CE34F08"/>
    <w:rsid w:val="7CEE7936"/>
    <w:rsid w:val="7CF229A8"/>
    <w:rsid w:val="7CF87373"/>
    <w:rsid w:val="7D014EEF"/>
    <w:rsid w:val="7D067C86"/>
    <w:rsid w:val="7D0E728E"/>
    <w:rsid w:val="7D123597"/>
    <w:rsid w:val="7D1A57E9"/>
    <w:rsid w:val="7D1B780D"/>
    <w:rsid w:val="7D42190C"/>
    <w:rsid w:val="7D422FF6"/>
    <w:rsid w:val="7D467245"/>
    <w:rsid w:val="7D5F1B8F"/>
    <w:rsid w:val="7D602CCA"/>
    <w:rsid w:val="7D627AB0"/>
    <w:rsid w:val="7D637CE7"/>
    <w:rsid w:val="7D6E13FC"/>
    <w:rsid w:val="7D751DDA"/>
    <w:rsid w:val="7D787328"/>
    <w:rsid w:val="7D79256C"/>
    <w:rsid w:val="7D7C6B39"/>
    <w:rsid w:val="7D7F1198"/>
    <w:rsid w:val="7D7F2C35"/>
    <w:rsid w:val="7D951C8A"/>
    <w:rsid w:val="7D9A3792"/>
    <w:rsid w:val="7D9C4CCE"/>
    <w:rsid w:val="7DA036C6"/>
    <w:rsid w:val="7DA06D7F"/>
    <w:rsid w:val="7DA25A1C"/>
    <w:rsid w:val="7DA322DD"/>
    <w:rsid w:val="7DAE34C6"/>
    <w:rsid w:val="7DC12933"/>
    <w:rsid w:val="7DC27780"/>
    <w:rsid w:val="7DC65522"/>
    <w:rsid w:val="7DD13D56"/>
    <w:rsid w:val="7DD62162"/>
    <w:rsid w:val="7DE52D2C"/>
    <w:rsid w:val="7DEA0D3A"/>
    <w:rsid w:val="7DF311D2"/>
    <w:rsid w:val="7DF87907"/>
    <w:rsid w:val="7DFB30CF"/>
    <w:rsid w:val="7E015081"/>
    <w:rsid w:val="7E0A6227"/>
    <w:rsid w:val="7E12402C"/>
    <w:rsid w:val="7E20126C"/>
    <w:rsid w:val="7E2122F6"/>
    <w:rsid w:val="7E2F5189"/>
    <w:rsid w:val="7E37290C"/>
    <w:rsid w:val="7E3D45D6"/>
    <w:rsid w:val="7E4A5DE2"/>
    <w:rsid w:val="7E4C25EB"/>
    <w:rsid w:val="7E4E67A7"/>
    <w:rsid w:val="7E537C9F"/>
    <w:rsid w:val="7E5B7134"/>
    <w:rsid w:val="7E643D0E"/>
    <w:rsid w:val="7E6B0E78"/>
    <w:rsid w:val="7E7A2460"/>
    <w:rsid w:val="7E7A3CC6"/>
    <w:rsid w:val="7E7E33C7"/>
    <w:rsid w:val="7E846CD5"/>
    <w:rsid w:val="7E87131C"/>
    <w:rsid w:val="7E8A58C4"/>
    <w:rsid w:val="7E8D449B"/>
    <w:rsid w:val="7EA343FC"/>
    <w:rsid w:val="7EB04C55"/>
    <w:rsid w:val="7EB87E03"/>
    <w:rsid w:val="7EBA7BEC"/>
    <w:rsid w:val="7EBD5546"/>
    <w:rsid w:val="7ECE3578"/>
    <w:rsid w:val="7ED77890"/>
    <w:rsid w:val="7ED87F42"/>
    <w:rsid w:val="7EE84941"/>
    <w:rsid w:val="7EF73875"/>
    <w:rsid w:val="7F061B28"/>
    <w:rsid w:val="7F0A2AF0"/>
    <w:rsid w:val="7F0A32AF"/>
    <w:rsid w:val="7F0F3270"/>
    <w:rsid w:val="7F1A5681"/>
    <w:rsid w:val="7F2262C4"/>
    <w:rsid w:val="7F3157C3"/>
    <w:rsid w:val="7F3B131E"/>
    <w:rsid w:val="7F3F0111"/>
    <w:rsid w:val="7F407037"/>
    <w:rsid w:val="7F444C90"/>
    <w:rsid w:val="7F5172C9"/>
    <w:rsid w:val="7F552707"/>
    <w:rsid w:val="7F556EE4"/>
    <w:rsid w:val="7F585835"/>
    <w:rsid w:val="7F58706B"/>
    <w:rsid w:val="7F6E7343"/>
    <w:rsid w:val="7F743D6C"/>
    <w:rsid w:val="7F757FFD"/>
    <w:rsid w:val="7F7867CC"/>
    <w:rsid w:val="7F797BDF"/>
    <w:rsid w:val="7F7F0D77"/>
    <w:rsid w:val="7F847645"/>
    <w:rsid w:val="7F923310"/>
    <w:rsid w:val="7F935907"/>
    <w:rsid w:val="7F9553EE"/>
    <w:rsid w:val="7F9B4632"/>
    <w:rsid w:val="7FA04A59"/>
    <w:rsid w:val="7FAB38A1"/>
    <w:rsid w:val="7FB30534"/>
    <w:rsid w:val="7FB758AA"/>
    <w:rsid w:val="7FBC5AB9"/>
    <w:rsid w:val="7FBC63A1"/>
    <w:rsid w:val="7FC3062B"/>
    <w:rsid w:val="7FD258FC"/>
    <w:rsid w:val="7FEE79CD"/>
    <w:rsid w:val="7FF07F79"/>
    <w:rsid w:val="7FF611AA"/>
    <w:rsid w:val="7FF73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ascii="Times New Roman" w:hAnsi="Times New Roman" w:eastAsia="宋体" w:cstheme="minorBidi"/>
      <w:kern w:val="2"/>
      <w:sz w:val="24"/>
      <w:szCs w:val="24"/>
      <w:lang w:val="en-US" w:eastAsia="zh-CN" w:bidi="ar-SA"/>
    </w:rPr>
  </w:style>
  <w:style w:type="paragraph" w:styleId="5">
    <w:name w:val="heading 1"/>
    <w:basedOn w:val="1"/>
    <w:next w:val="1"/>
    <w:link w:val="53"/>
    <w:qFormat/>
    <w:uiPriority w:val="0"/>
    <w:pPr>
      <w:keepNext/>
      <w:keepLines/>
      <w:spacing w:before="50" w:beforeLines="50" w:after="50" w:afterLines="50"/>
      <w:ind w:firstLine="0" w:firstLineChars="0"/>
      <w:jc w:val="center"/>
      <w:outlineLvl w:val="0"/>
    </w:pPr>
    <w:rPr>
      <w:b/>
      <w:spacing w:val="23"/>
      <w:kern w:val="44"/>
      <w:sz w:val="32"/>
    </w:rPr>
  </w:style>
  <w:style w:type="paragraph" w:styleId="6">
    <w:name w:val="heading 2"/>
    <w:basedOn w:val="1"/>
    <w:next w:val="1"/>
    <w:link w:val="45"/>
    <w:unhideWhenUsed/>
    <w:qFormat/>
    <w:uiPriority w:val="0"/>
    <w:pPr>
      <w:keepNext/>
      <w:keepLines/>
      <w:spacing w:before="40" w:beforeLines="40"/>
      <w:ind w:firstLine="0" w:firstLineChars="0"/>
      <w:outlineLvl w:val="1"/>
    </w:pPr>
    <w:rPr>
      <w:b/>
      <w:sz w:val="28"/>
      <w:szCs w:val="28"/>
    </w:rPr>
  </w:style>
  <w:style w:type="paragraph" w:styleId="7">
    <w:name w:val="heading 3"/>
    <w:basedOn w:val="1"/>
    <w:next w:val="1"/>
    <w:link w:val="56"/>
    <w:unhideWhenUsed/>
    <w:qFormat/>
    <w:uiPriority w:val="0"/>
    <w:pPr>
      <w:keepNext/>
      <w:keepLines/>
      <w:spacing w:before="20" w:beforeLines="20"/>
      <w:outlineLvl w:val="2"/>
    </w:pPr>
    <w:rPr>
      <w:b/>
    </w:rPr>
  </w:style>
  <w:style w:type="paragraph" w:styleId="8">
    <w:name w:val="heading 4"/>
    <w:basedOn w:val="1"/>
    <w:next w:val="1"/>
    <w:link w:val="46"/>
    <w:unhideWhenUsed/>
    <w:qFormat/>
    <w:uiPriority w:val="0"/>
    <w:pPr>
      <w:tabs>
        <w:tab w:val="left" w:pos="864"/>
      </w:tabs>
      <w:outlineLvl w:val="3"/>
    </w:pPr>
    <w:rPr>
      <w:b/>
    </w:rPr>
  </w:style>
  <w:style w:type="paragraph" w:styleId="9">
    <w:name w:val="heading 5"/>
    <w:basedOn w:val="1"/>
    <w:next w:val="10"/>
    <w:unhideWhenUsed/>
    <w:qFormat/>
    <w:uiPriority w:val="0"/>
    <w:pPr>
      <w:keepNext/>
      <w:keepLines/>
      <w:spacing w:before="280" w:after="290" w:line="372" w:lineRule="auto"/>
      <w:outlineLvl w:val="4"/>
    </w:pPr>
    <w:rPr>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unhideWhenUsed/>
    <w:qFormat/>
    <w:uiPriority w:val="0"/>
    <w:pPr>
      <w:ind w:firstLine="420" w:firstLineChars="200"/>
    </w:pPr>
  </w:style>
  <w:style w:type="paragraph" w:styleId="3">
    <w:name w:val="Body Text Indent"/>
    <w:basedOn w:val="1"/>
    <w:next w:val="4"/>
    <w:qFormat/>
    <w:uiPriority w:val="0"/>
    <w:pPr>
      <w:adjustRightInd w:val="0"/>
      <w:snapToGrid w:val="0"/>
      <w:spacing w:before="78" w:beforeLines="25" w:after="78" w:afterLines="25"/>
      <w:ind w:firstLine="540" w:firstLineChars="225"/>
    </w:pPr>
    <w:rPr>
      <w:rFonts w:ascii="Bookman Old Style" w:hAnsi="Bookman Old Style"/>
      <w:szCs w:val="20"/>
    </w:rPr>
  </w:style>
  <w:style w:type="paragraph" w:styleId="4">
    <w:name w:val="Body Text Indent 2"/>
    <w:basedOn w:val="1"/>
    <w:qFormat/>
    <w:uiPriority w:val="0"/>
    <w:pPr>
      <w:spacing w:after="120" w:line="480" w:lineRule="auto"/>
      <w:ind w:left="420" w:leftChars="200"/>
    </w:pPr>
    <w:rPr>
      <w:rFonts w:ascii="Times New Roman" w:hAnsi="Times New Roman"/>
      <w:sz w:val="21"/>
      <w:szCs w:val="24"/>
    </w:rPr>
  </w:style>
  <w:style w:type="paragraph" w:styleId="10">
    <w:name w:val="Normal Indent"/>
    <w:basedOn w:val="1"/>
    <w:qFormat/>
    <w:uiPriority w:val="0"/>
    <w:pPr>
      <w:ind w:firstLine="420"/>
    </w:pPr>
  </w:style>
  <w:style w:type="paragraph" w:styleId="11">
    <w:name w:val="caption"/>
    <w:basedOn w:val="1"/>
    <w:next w:val="1"/>
    <w:link w:val="129"/>
    <w:qFormat/>
    <w:uiPriority w:val="0"/>
    <w:pPr>
      <w:adjustRightInd w:val="0"/>
      <w:snapToGrid w:val="0"/>
      <w:jc w:val="center"/>
    </w:pPr>
    <w:rPr>
      <w:b/>
    </w:rPr>
  </w:style>
  <w:style w:type="paragraph" w:styleId="12">
    <w:name w:val="annotation text"/>
    <w:basedOn w:val="1"/>
    <w:qFormat/>
    <w:uiPriority w:val="0"/>
  </w:style>
  <w:style w:type="paragraph" w:styleId="13">
    <w:name w:val="Body Text"/>
    <w:basedOn w:val="1"/>
    <w:link w:val="50"/>
    <w:qFormat/>
    <w:uiPriority w:val="0"/>
    <w:pPr>
      <w:spacing w:after="120"/>
    </w:pPr>
  </w:style>
  <w:style w:type="paragraph" w:styleId="14">
    <w:name w:val="Plain Text"/>
    <w:basedOn w:val="1"/>
    <w:qFormat/>
    <w:uiPriority w:val="0"/>
    <w:rPr>
      <w:rFonts w:ascii="宋体" w:hAnsi="Courier New" w:cs="Times New Roman"/>
      <w:szCs w:val="20"/>
    </w:rPr>
  </w:style>
  <w:style w:type="paragraph" w:styleId="15">
    <w:name w:val="Balloon Text"/>
    <w:basedOn w:val="1"/>
    <w:link w:val="100"/>
    <w:qFormat/>
    <w:uiPriority w:val="0"/>
    <w:pPr>
      <w:spacing w:line="240" w:lineRule="auto"/>
    </w:pPr>
    <w:rPr>
      <w:sz w:val="18"/>
      <w:szCs w:val="18"/>
    </w:rPr>
  </w:style>
  <w:style w:type="paragraph" w:styleId="16">
    <w:name w:val="footer"/>
    <w:basedOn w:val="1"/>
    <w:link w:val="49"/>
    <w:qFormat/>
    <w:uiPriority w:val="0"/>
    <w:pPr>
      <w:tabs>
        <w:tab w:val="center" w:pos="4153"/>
        <w:tab w:val="right" w:pos="8306"/>
      </w:tabs>
      <w:snapToGrid w:val="0"/>
    </w:pPr>
    <w:rPr>
      <w:sz w:val="18"/>
    </w:rPr>
  </w:style>
  <w:style w:type="paragraph" w:styleId="17">
    <w:name w:val="header"/>
    <w:basedOn w:val="1"/>
    <w:link w:val="4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toc 1"/>
    <w:basedOn w:val="1"/>
    <w:next w:val="1"/>
    <w:qFormat/>
    <w:uiPriority w:val="39"/>
    <w:pPr>
      <w:ind w:firstLine="0" w:firstLineChars="0"/>
    </w:pPr>
    <w:rPr>
      <w:b/>
    </w:rPr>
  </w:style>
  <w:style w:type="paragraph" w:styleId="19">
    <w:name w:val="Body Text Indent 3"/>
    <w:basedOn w:val="1"/>
    <w:qFormat/>
    <w:uiPriority w:val="0"/>
    <w:pPr>
      <w:ind w:firstLine="555"/>
    </w:pPr>
  </w:style>
  <w:style w:type="paragraph" w:styleId="20">
    <w:name w:val="toc 2"/>
    <w:basedOn w:val="1"/>
    <w:next w:val="1"/>
    <w:qFormat/>
    <w:uiPriority w:val="39"/>
  </w:style>
  <w:style w:type="paragraph" w:styleId="21">
    <w:name w:val="Normal (Web)"/>
    <w:basedOn w:val="1"/>
    <w:qFormat/>
    <w:uiPriority w:val="0"/>
    <w:pPr>
      <w:spacing w:beforeAutospacing="1" w:afterAutospacing="1"/>
    </w:pPr>
    <w:rPr>
      <w:rFonts w:cs="Times New Roman"/>
      <w:kern w:val="0"/>
    </w:rPr>
  </w:style>
  <w:style w:type="paragraph" w:styleId="22">
    <w:name w:val="annotation subject"/>
    <w:basedOn w:val="12"/>
    <w:next w:val="12"/>
    <w:qFormat/>
    <w:uiPriority w:val="0"/>
    <w:pPr>
      <w:spacing w:line="240" w:lineRule="auto"/>
      <w:ind w:firstLine="0" w:firstLineChars="0"/>
      <w:jc w:val="center"/>
    </w:pPr>
    <w:rPr>
      <w:b/>
      <w:bCs/>
      <w:sz w:val="21"/>
    </w:rPr>
  </w:style>
  <w:style w:type="paragraph" w:styleId="23">
    <w:name w:val="Body Text First Indent"/>
    <w:basedOn w:val="13"/>
    <w:qFormat/>
    <w:uiPriority w:val="0"/>
    <w:pPr>
      <w:ind w:firstLine="420" w:firstLineChars="100"/>
    </w:pPr>
    <w:rPr>
      <w:sz w:val="21"/>
    </w:rPr>
  </w:style>
  <w:style w:type="table" w:styleId="25">
    <w:name w:val="Table Grid"/>
    <w:basedOn w:val="24"/>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basedOn w:val="26"/>
    <w:qFormat/>
    <w:uiPriority w:val="0"/>
    <w:rPr>
      <w:color w:val="000000"/>
      <w:u w:val="none"/>
    </w:rPr>
  </w:style>
  <w:style w:type="character" w:styleId="30">
    <w:name w:val="Emphasis"/>
    <w:basedOn w:val="26"/>
    <w:qFormat/>
    <w:uiPriority w:val="0"/>
  </w:style>
  <w:style w:type="character" w:styleId="31">
    <w:name w:val="HTML Definition"/>
    <w:basedOn w:val="26"/>
    <w:qFormat/>
    <w:uiPriority w:val="0"/>
  </w:style>
  <w:style w:type="character" w:styleId="32">
    <w:name w:val="HTML Variable"/>
    <w:basedOn w:val="26"/>
    <w:qFormat/>
    <w:uiPriority w:val="0"/>
  </w:style>
  <w:style w:type="character" w:styleId="33">
    <w:name w:val="Hyperlink"/>
    <w:basedOn w:val="26"/>
    <w:qFormat/>
    <w:uiPriority w:val="99"/>
    <w:rPr>
      <w:color w:val="0000FF"/>
      <w:u w:val="single"/>
    </w:rPr>
  </w:style>
  <w:style w:type="character" w:styleId="34">
    <w:name w:val="HTML Code"/>
    <w:basedOn w:val="26"/>
    <w:qFormat/>
    <w:uiPriority w:val="0"/>
    <w:rPr>
      <w:rFonts w:ascii="Courier New" w:hAnsi="Courier New"/>
      <w:sz w:val="20"/>
    </w:rPr>
  </w:style>
  <w:style w:type="character" w:styleId="35">
    <w:name w:val="annotation reference"/>
    <w:basedOn w:val="26"/>
    <w:qFormat/>
    <w:uiPriority w:val="0"/>
    <w:rPr>
      <w:sz w:val="21"/>
      <w:szCs w:val="21"/>
    </w:rPr>
  </w:style>
  <w:style w:type="character" w:styleId="36">
    <w:name w:val="HTML Cite"/>
    <w:basedOn w:val="26"/>
    <w:qFormat/>
    <w:uiPriority w:val="0"/>
  </w:style>
  <w:style w:type="paragraph" w:customStyle="1" w:styleId="37">
    <w:name w:val="Default"/>
    <w:unhideWhenUsed/>
    <w:qFormat/>
    <w:uiPriority w:val="99"/>
    <w:pPr>
      <w:widowControl w:val="0"/>
      <w:autoSpaceDE w:val="0"/>
      <w:autoSpaceDN w:val="0"/>
      <w:adjustRightInd w:val="0"/>
      <w:spacing w:line="360" w:lineRule="auto"/>
      <w:ind w:firstLine="200" w:firstLineChars="200"/>
      <w:jc w:val="both"/>
    </w:pPr>
    <w:rPr>
      <w:rFonts w:hint="eastAsia" w:ascii="宋体" w:hAnsi="宋体" w:eastAsia="宋体" w:cs="Times New Roman"/>
      <w:color w:val="000000"/>
      <w:sz w:val="24"/>
      <w:lang w:val="en-US" w:eastAsia="zh-CN" w:bidi="ar-SA"/>
    </w:rPr>
  </w:style>
  <w:style w:type="paragraph" w:customStyle="1" w:styleId="38">
    <w:name w:val="主标题"/>
    <w:basedOn w:val="1"/>
    <w:qFormat/>
    <w:uiPriority w:val="0"/>
    <w:pPr>
      <w:ind w:firstLine="0" w:firstLineChars="0"/>
      <w:jc w:val="center"/>
    </w:pPr>
    <w:rPr>
      <w:rFonts w:ascii="宋体" w:hAnsi="宋体"/>
      <w:sz w:val="44"/>
      <w:szCs w:val="44"/>
    </w:rPr>
  </w:style>
  <w:style w:type="paragraph" w:customStyle="1" w:styleId="39">
    <w:name w:val="目录标题"/>
    <w:basedOn w:val="1"/>
    <w:qFormat/>
    <w:uiPriority w:val="0"/>
    <w:pPr>
      <w:spacing w:line="480" w:lineRule="auto"/>
      <w:jc w:val="center"/>
    </w:pPr>
    <w:rPr>
      <w:b/>
      <w:sz w:val="28"/>
    </w:rPr>
  </w:style>
  <w:style w:type="paragraph" w:customStyle="1" w:styleId="40">
    <w:name w:val="表格标题"/>
    <w:basedOn w:val="1"/>
    <w:link w:val="43"/>
    <w:qFormat/>
    <w:uiPriority w:val="0"/>
    <w:pPr>
      <w:spacing w:line="240" w:lineRule="auto"/>
      <w:ind w:firstLine="0" w:firstLineChars="0"/>
      <w:jc w:val="center"/>
    </w:pPr>
    <w:rPr>
      <w:b/>
      <w:sz w:val="21"/>
    </w:rPr>
  </w:style>
  <w:style w:type="paragraph" w:customStyle="1" w:styleId="41">
    <w:name w:val="概述中的格式"/>
    <w:basedOn w:val="1"/>
    <w:qFormat/>
    <w:uiPriority w:val="0"/>
    <w:pPr>
      <w:ind w:firstLine="0" w:firstLineChars="0"/>
    </w:pPr>
    <w:rPr>
      <w:b/>
    </w:rPr>
  </w:style>
  <w:style w:type="paragraph" w:customStyle="1" w:styleId="42">
    <w:name w:val="表格内容居中"/>
    <w:qFormat/>
    <w:uiPriority w:val="0"/>
    <w:pPr>
      <w:adjustRightInd w:val="0"/>
      <w:snapToGrid w:val="0"/>
      <w:spacing w:line="360" w:lineRule="auto"/>
      <w:ind w:firstLine="200" w:firstLineChars="200"/>
      <w:jc w:val="center"/>
    </w:pPr>
    <w:rPr>
      <w:rFonts w:ascii="Times New Roman" w:hAnsi="Times New Roman" w:eastAsia="宋体" w:cs="Times New Roman"/>
      <w:snapToGrid w:val="0"/>
      <w:sz w:val="21"/>
      <w:szCs w:val="21"/>
      <w:lang w:val="en-US" w:eastAsia="zh-CN" w:bidi="ar-SA"/>
    </w:rPr>
  </w:style>
  <w:style w:type="character" w:customStyle="1" w:styleId="43">
    <w:name w:val="表格标题 Char"/>
    <w:link w:val="40"/>
    <w:qFormat/>
    <w:uiPriority w:val="0"/>
    <w:rPr>
      <w:b/>
      <w:sz w:val="21"/>
    </w:rPr>
  </w:style>
  <w:style w:type="paragraph" w:customStyle="1" w:styleId="44">
    <w:name w:val="表格样式"/>
    <w:basedOn w:val="1"/>
    <w:qFormat/>
    <w:uiPriority w:val="0"/>
    <w:pPr>
      <w:spacing w:line="240" w:lineRule="auto"/>
      <w:ind w:firstLine="0" w:firstLineChars="0"/>
      <w:jc w:val="center"/>
    </w:pPr>
    <w:rPr>
      <w:sz w:val="21"/>
    </w:rPr>
  </w:style>
  <w:style w:type="character" w:customStyle="1" w:styleId="45">
    <w:name w:val="标题 2 Char"/>
    <w:link w:val="6"/>
    <w:qFormat/>
    <w:uiPriority w:val="0"/>
    <w:rPr>
      <w:rFonts w:ascii="Times New Roman" w:hAnsi="Times New Roman" w:eastAsia="宋体"/>
      <w:b/>
      <w:sz w:val="28"/>
      <w:szCs w:val="28"/>
    </w:rPr>
  </w:style>
  <w:style w:type="character" w:customStyle="1" w:styleId="46">
    <w:name w:val="标题 4 Char"/>
    <w:link w:val="8"/>
    <w:qFormat/>
    <w:uiPriority w:val="0"/>
    <w:rPr>
      <w:b/>
      <w:szCs w:val="24"/>
    </w:rPr>
  </w:style>
  <w:style w:type="character" w:customStyle="1" w:styleId="47">
    <w:name w:val="标题 1 字符"/>
    <w:basedOn w:val="26"/>
    <w:qFormat/>
    <w:uiPriority w:val="0"/>
    <w:rPr>
      <w:rFonts w:hint="eastAsia" w:ascii="Times New Roman" w:hAnsi="Times New Roman" w:eastAsia="宋体" w:cs="宋体"/>
      <w:b/>
      <w:spacing w:val="23"/>
      <w:kern w:val="44"/>
      <w:sz w:val="44"/>
      <w:szCs w:val="44"/>
    </w:rPr>
  </w:style>
  <w:style w:type="character" w:customStyle="1" w:styleId="48">
    <w:name w:val="页眉 Char"/>
    <w:basedOn w:val="26"/>
    <w:link w:val="17"/>
    <w:qFormat/>
    <w:uiPriority w:val="0"/>
  </w:style>
  <w:style w:type="character" w:customStyle="1" w:styleId="49">
    <w:name w:val="页脚 Char"/>
    <w:basedOn w:val="26"/>
    <w:link w:val="16"/>
    <w:qFormat/>
    <w:uiPriority w:val="0"/>
  </w:style>
  <w:style w:type="character" w:customStyle="1" w:styleId="50">
    <w:name w:val="正文文本 Char"/>
    <w:basedOn w:val="26"/>
    <w:link w:val="13"/>
    <w:qFormat/>
    <w:uiPriority w:val="0"/>
    <w:rPr>
      <w:rFonts w:hint="eastAsia" w:ascii="宋体" w:hAnsi="宋体" w:eastAsia="宋体" w:cs="宋体"/>
      <w:sz w:val="22"/>
      <w:szCs w:val="22"/>
    </w:rPr>
  </w:style>
  <w:style w:type="paragraph" w:customStyle="1" w:styleId="51">
    <w:name w:val="Table Paragraph"/>
    <w:basedOn w:val="1"/>
    <w:hidden/>
    <w:qFormat/>
    <w:uiPriority w:val="0"/>
    <w:rPr>
      <w:rFonts w:ascii="Calibri" w:hAnsi="Calibri" w:cs="Times New Roman"/>
      <w:kern w:val="0"/>
      <w:sz w:val="22"/>
      <w:szCs w:val="22"/>
    </w:rPr>
  </w:style>
  <w:style w:type="paragraph" w:styleId="52">
    <w:name w:val="List Paragraph"/>
    <w:basedOn w:val="1"/>
    <w:qFormat/>
    <w:uiPriority w:val="0"/>
    <w:pPr>
      <w:ind w:firstLine="420"/>
    </w:pPr>
  </w:style>
  <w:style w:type="character" w:customStyle="1" w:styleId="53">
    <w:name w:val="标题 1 Char"/>
    <w:link w:val="5"/>
    <w:qFormat/>
    <w:uiPriority w:val="0"/>
    <w:rPr>
      <w:rFonts w:ascii="Times New Roman" w:hAnsi="Times New Roman" w:eastAsia="宋体"/>
      <w:b/>
      <w:kern w:val="44"/>
      <w:szCs w:val="21"/>
    </w:rPr>
  </w:style>
  <w:style w:type="paragraph" w:customStyle="1" w:styleId="54">
    <w:name w:val="鑫裕段落(G)"/>
    <w:basedOn w:val="1"/>
    <w:qFormat/>
    <w:uiPriority w:val="0"/>
    <w:pPr>
      <w:tabs>
        <w:tab w:val="left" w:pos="1021"/>
        <w:tab w:val="left" w:pos="1320"/>
      </w:tabs>
      <w:ind w:firstLine="480"/>
    </w:pPr>
    <w:rPr>
      <w:color w:val="000000"/>
      <w:kern w:val="24"/>
      <w:lang w:val="zh-CN"/>
    </w:rPr>
  </w:style>
  <w:style w:type="paragraph" w:customStyle="1" w:styleId="55">
    <w:name w:val="正文2"/>
    <w:qFormat/>
    <w:uiPriority w:val="0"/>
    <w:pPr>
      <w:spacing w:line="360" w:lineRule="auto"/>
      <w:ind w:firstLine="200" w:firstLineChars="200"/>
      <w:jc w:val="both"/>
    </w:pPr>
    <w:rPr>
      <w:rFonts w:ascii="Times New Roman" w:hAnsi="Times New Roman" w:eastAsia="宋体" w:cs="Times New Roman"/>
      <w:kern w:val="2"/>
      <w:sz w:val="21"/>
      <w:szCs w:val="21"/>
      <w:lang w:val="en-US" w:eastAsia="zh-CN" w:bidi="ar-SA"/>
    </w:rPr>
  </w:style>
  <w:style w:type="character" w:customStyle="1" w:styleId="56">
    <w:name w:val="标题 3 Char"/>
    <w:link w:val="7"/>
    <w:qFormat/>
    <w:uiPriority w:val="0"/>
    <w:rPr>
      <w:rFonts w:ascii="Times New Roman" w:hAnsi="Times New Roman" w:eastAsia="宋体"/>
      <w:b/>
    </w:rPr>
  </w:style>
  <w:style w:type="character" w:customStyle="1" w:styleId="57">
    <w:name w:val="tabg"/>
    <w:basedOn w:val="26"/>
    <w:qFormat/>
    <w:uiPriority w:val="0"/>
    <w:rPr>
      <w:color w:val="FFFFFF"/>
      <w:sz w:val="27"/>
      <w:szCs w:val="27"/>
    </w:rPr>
  </w:style>
  <w:style w:type="character" w:customStyle="1" w:styleId="58">
    <w:name w:val="m01"/>
    <w:basedOn w:val="26"/>
    <w:qFormat/>
    <w:uiPriority w:val="0"/>
  </w:style>
  <w:style w:type="character" w:customStyle="1" w:styleId="59">
    <w:name w:val="m011"/>
    <w:basedOn w:val="26"/>
    <w:qFormat/>
    <w:uiPriority w:val="0"/>
  </w:style>
  <w:style w:type="character" w:customStyle="1" w:styleId="60">
    <w:name w:val="name"/>
    <w:basedOn w:val="26"/>
    <w:qFormat/>
    <w:uiPriority w:val="0"/>
    <w:rPr>
      <w:color w:val="6A6A6A"/>
      <w:u w:val="single"/>
    </w:rPr>
  </w:style>
  <w:style w:type="character" w:customStyle="1" w:styleId="61">
    <w:name w:val="dates"/>
    <w:basedOn w:val="26"/>
    <w:qFormat/>
    <w:uiPriority w:val="0"/>
  </w:style>
  <w:style w:type="character" w:customStyle="1" w:styleId="62">
    <w:name w:val="bg01"/>
    <w:basedOn w:val="26"/>
    <w:qFormat/>
    <w:uiPriority w:val="0"/>
  </w:style>
  <w:style w:type="character" w:customStyle="1" w:styleId="63">
    <w:name w:val="font"/>
    <w:basedOn w:val="26"/>
    <w:qFormat/>
    <w:uiPriority w:val="0"/>
  </w:style>
  <w:style w:type="character" w:customStyle="1" w:styleId="64">
    <w:name w:val="font1"/>
    <w:basedOn w:val="26"/>
    <w:qFormat/>
    <w:uiPriority w:val="0"/>
  </w:style>
  <w:style w:type="character" w:customStyle="1" w:styleId="65">
    <w:name w:val="more4"/>
    <w:basedOn w:val="26"/>
    <w:qFormat/>
    <w:uiPriority w:val="0"/>
    <w:rPr>
      <w:color w:val="666666"/>
      <w:sz w:val="18"/>
      <w:szCs w:val="18"/>
    </w:rPr>
  </w:style>
  <w:style w:type="character" w:customStyle="1" w:styleId="66">
    <w:name w:val="bg02"/>
    <w:basedOn w:val="26"/>
    <w:qFormat/>
    <w:uiPriority w:val="0"/>
  </w:style>
  <w:style w:type="character" w:customStyle="1" w:styleId="67">
    <w:name w:val="laypage_curr"/>
    <w:basedOn w:val="26"/>
    <w:qFormat/>
    <w:uiPriority w:val="0"/>
    <w:rPr>
      <w:color w:val="FFFDF4"/>
      <w:shd w:val="clear" w:color="auto" w:fill="0B67A6"/>
    </w:rPr>
  </w:style>
  <w:style w:type="character" w:customStyle="1" w:styleId="68">
    <w:name w:val="gwds_nopic"/>
    <w:basedOn w:val="26"/>
    <w:qFormat/>
    <w:uiPriority w:val="0"/>
  </w:style>
  <w:style w:type="character" w:customStyle="1" w:styleId="69">
    <w:name w:val="gwds_nopic1"/>
    <w:basedOn w:val="26"/>
    <w:qFormat/>
    <w:uiPriority w:val="0"/>
  </w:style>
  <w:style w:type="character" w:customStyle="1" w:styleId="70">
    <w:name w:val="gwds_nopic2"/>
    <w:basedOn w:val="26"/>
    <w:qFormat/>
    <w:uiPriority w:val="0"/>
  </w:style>
  <w:style w:type="character" w:customStyle="1" w:styleId="71">
    <w:name w:val="hover109"/>
    <w:basedOn w:val="26"/>
    <w:qFormat/>
    <w:uiPriority w:val="0"/>
    <w:rPr>
      <w:shd w:val="clear" w:color="auto" w:fill="00A4BE"/>
    </w:rPr>
  </w:style>
  <w:style w:type="character" w:customStyle="1" w:styleId="72">
    <w:name w:val="hover110"/>
    <w:basedOn w:val="26"/>
    <w:qFormat/>
    <w:uiPriority w:val="0"/>
    <w:rPr>
      <w:color w:val="FFFFFF"/>
      <w:shd w:val="clear" w:color="auto" w:fill="00889E"/>
    </w:rPr>
  </w:style>
  <w:style w:type="character" w:customStyle="1" w:styleId="73">
    <w:name w:val="hover111"/>
    <w:basedOn w:val="26"/>
    <w:qFormat/>
    <w:uiPriority w:val="0"/>
    <w:rPr>
      <w:color w:val="FFFFFF"/>
      <w:shd w:val="clear" w:color="auto" w:fill="00889E"/>
    </w:rPr>
  </w:style>
  <w:style w:type="character" w:customStyle="1" w:styleId="74">
    <w:name w:val="hover112"/>
    <w:basedOn w:val="26"/>
    <w:qFormat/>
    <w:uiPriority w:val="0"/>
    <w:rPr>
      <w:shd w:val="clear" w:color="auto" w:fill="F0F0F0"/>
    </w:rPr>
  </w:style>
  <w:style w:type="character" w:customStyle="1" w:styleId="75">
    <w:name w:val="hover113"/>
    <w:basedOn w:val="26"/>
    <w:qFormat/>
    <w:uiPriority w:val="0"/>
    <w:rPr>
      <w:color w:val="FFFFFF"/>
      <w:shd w:val="clear" w:color="auto" w:fill="00889E"/>
    </w:rPr>
  </w:style>
  <w:style w:type="character" w:customStyle="1" w:styleId="76">
    <w:name w:val="hover114"/>
    <w:basedOn w:val="26"/>
    <w:qFormat/>
    <w:uiPriority w:val="0"/>
    <w:rPr>
      <w:shd w:val="clear" w:color="auto" w:fill="805ED9"/>
    </w:rPr>
  </w:style>
  <w:style w:type="character" w:customStyle="1" w:styleId="77">
    <w:name w:val="hover115"/>
    <w:basedOn w:val="26"/>
    <w:qFormat/>
    <w:uiPriority w:val="0"/>
    <w:rPr>
      <w:shd w:val="clear" w:color="auto" w:fill="DA2E00"/>
    </w:rPr>
  </w:style>
  <w:style w:type="character" w:customStyle="1" w:styleId="78">
    <w:name w:val="hover116"/>
    <w:basedOn w:val="26"/>
    <w:qFormat/>
    <w:uiPriority w:val="0"/>
    <w:rPr>
      <w:shd w:val="clear" w:color="auto" w:fill="46D612"/>
    </w:rPr>
  </w:style>
  <w:style w:type="character" w:customStyle="1" w:styleId="79">
    <w:name w:val="hover117"/>
    <w:basedOn w:val="26"/>
    <w:qFormat/>
    <w:uiPriority w:val="0"/>
    <w:rPr>
      <w:shd w:val="clear" w:color="auto" w:fill="F0A100"/>
    </w:rPr>
  </w:style>
  <w:style w:type="character" w:customStyle="1" w:styleId="80">
    <w:name w:val="hover118"/>
    <w:basedOn w:val="26"/>
    <w:qFormat/>
    <w:uiPriority w:val="0"/>
    <w:rPr>
      <w:shd w:val="clear" w:color="auto" w:fill="006CED"/>
    </w:rPr>
  </w:style>
  <w:style w:type="character" w:customStyle="1" w:styleId="81">
    <w:name w:val="hover119"/>
    <w:basedOn w:val="26"/>
    <w:qFormat/>
    <w:uiPriority w:val="0"/>
    <w:rPr>
      <w:shd w:val="clear" w:color="auto" w:fill="E51B7E"/>
    </w:rPr>
  </w:style>
  <w:style w:type="character" w:customStyle="1" w:styleId="82">
    <w:name w:val="hover120"/>
    <w:basedOn w:val="26"/>
    <w:qFormat/>
    <w:uiPriority w:val="0"/>
    <w:rPr>
      <w:color w:val="FFFFFF"/>
      <w:shd w:val="clear" w:color="auto" w:fill="00889E"/>
    </w:rPr>
  </w:style>
  <w:style w:type="character" w:customStyle="1" w:styleId="83">
    <w:name w:val="hover121"/>
    <w:basedOn w:val="26"/>
    <w:qFormat/>
    <w:uiPriority w:val="0"/>
    <w:rPr>
      <w:color w:val="FFFFFF"/>
      <w:shd w:val="clear" w:color="auto" w:fill="00889E"/>
    </w:rPr>
  </w:style>
  <w:style w:type="character" w:customStyle="1" w:styleId="84">
    <w:name w:val="hover122"/>
    <w:basedOn w:val="26"/>
    <w:qFormat/>
    <w:uiPriority w:val="0"/>
    <w:rPr>
      <w:color w:val="FFFFFF"/>
      <w:shd w:val="clear" w:color="auto" w:fill="00889E"/>
    </w:rPr>
  </w:style>
  <w:style w:type="character" w:customStyle="1" w:styleId="85">
    <w:name w:val="hover123"/>
    <w:basedOn w:val="26"/>
    <w:qFormat/>
    <w:uiPriority w:val="0"/>
    <w:rPr>
      <w:shd w:val="clear" w:color="auto" w:fill="00A4BE"/>
    </w:rPr>
  </w:style>
  <w:style w:type="character" w:customStyle="1" w:styleId="86">
    <w:name w:val="hover124"/>
    <w:basedOn w:val="26"/>
    <w:qFormat/>
    <w:uiPriority w:val="0"/>
    <w:rPr>
      <w:color w:val="00889E"/>
      <w:sz w:val="21"/>
      <w:szCs w:val="21"/>
      <w:shd w:val="clear" w:color="auto" w:fill="E9F3F9"/>
    </w:rPr>
  </w:style>
  <w:style w:type="character" w:customStyle="1" w:styleId="87">
    <w:name w:val="hover125"/>
    <w:basedOn w:val="26"/>
    <w:qFormat/>
    <w:uiPriority w:val="0"/>
    <w:rPr>
      <w:shd w:val="clear" w:color="auto" w:fill="00A4BE"/>
    </w:rPr>
  </w:style>
  <w:style w:type="character" w:customStyle="1" w:styleId="88">
    <w:name w:val="hover126"/>
    <w:basedOn w:val="26"/>
    <w:qFormat/>
    <w:uiPriority w:val="0"/>
    <w:rPr>
      <w:color w:val="FFFFFF"/>
      <w:sz w:val="21"/>
      <w:szCs w:val="21"/>
      <w:shd w:val="clear" w:color="auto" w:fill="00A4BE"/>
    </w:rPr>
  </w:style>
  <w:style w:type="character" w:customStyle="1" w:styleId="89">
    <w:name w:val="hover127"/>
    <w:basedOn w:val="26"/>
    <w:qFormat/>
    <w:uiPriority w:val="0"/>
    <w:rPr>
      <w:color w:val="00889E"/>
      <w:sz w:val="21"/>
      <w:szCs w:val="21"/>
      <w:shd w:val="clear" w:color="auto" w:fill="E9F3F9"/>
    </w:rPr>
  </w:style>
  <w:style w:type="character" w:customStyle="1" w:styleId="90">
    <w:name w:val="hover128"/>
    <w:basedOn w:val="26"/>
    <w:qFormat/>
    <w:uiPriority w:val="0"/>
    <w:rPr>
      <w:color w:val="FFFFFF"/>
      <w:sz w:val="21"/>
      <w:szCs w:val="21"/>
      <w:shd w:val="clear" w:color="auto" w:fill="00A4BE"/>
    </w:rPr>
  </w:style>
  <w:style w:type="character" w:customStyle="1" w:styleId="91">
    <w:name w:val="hover129"/>
    <w:basedOn w:val="26"/>
    <w:qFormat/>
    <w:uiPriority w:val="0"/>
    <w:rPr>
      <w:color w:val="666666"/>
      <w:sz w:val="27"/>
      <w:szCs w:val="27"/>
      <w:shd w:val="clear" w:color="auto" w:fill="F1F1F1"/>
    </w:rPr>
  </w:style>
  <w:style w:type="character" w:customStyle="1" w:styleId="92">
    <w:name w:val="hover130"/>
    <w:basedOn w:val="26"/>
    <w:qFormat/>
    <w:uiPriority w:val="0"/>
    <w:rPr>
      <w:color w:val="FFFFFF"/>
      <w:sz w:val="21"/>
      <w:szCs w:val="21"/>
      <w:shd w:val="clear" w:color="auto" w:fill="00A4BE"/>
    </w:rPr>
  </w:style>
  <w:style w:type="character" w:customStyle="1" w:styleId="93">
    <w:name w:val="hover131"/>
    <w:basedOn w:val="26"/>
    <w:qFormat/>
    <w:uiPriority w:val="0"/>
    <w:rPr>
      <w:color w:val="00889E"/>
      <w:sz w:val="21"/>
      <w:szCs w:val="21"/>
      <w:shd w:val="clear" w:color="auto" w:fill="E9F3F9"/>
    </w:rPr>
  </w:style>
  <w:style w:type="character" w:customStyle="1" w:styleId="94">
    <w:name w:val="hover132"/>
    <w:basedOn w:val="26"/>
    <w:qFormat/>
    <w:uiPriority w:val="0"/>
    <w:rPr>
      <w:shd w:val="clear" w:color="auto" w:fill="E9F3F9"/>
    </w:rPr>
  </w:style>
  <w:style w:type="character" w:customStyle="1" w:styleId="95">
    <w:name w:val="hover133"/>
    <w:basedOn w:val="26"/>
    <w:qFormat/>
    <w:uiPriority w:val="0"/>
    <w:rPr>
      <w:shd w:val="clear" w:color="auto" w:fill="00A4BE"/>
    </w:rPr>
  </w:style>
  <w:style w:type="character" w:customStyle="1" w:styleId="96">
    <w:name w:val="wx-easyread-speakerprocesser-position-action-icon"/>
    <w:basedOn w:val="26"/>
    <w:qFormat/>
    <w:uiPriority w:val="0"/>
  </w:style>
  <w:style w:type="character" w:customStyle="1" w:styleId="97">
    <w:name w:val="font01"/>
    <w:basedOn w:val="26"/>
    <w:qFormat/>
    <w:uiPriority w:val="0"/>
    <w:rPr>
      <w:rFonts w:hint="eastAsia" w:ascii="宋体" w:hAnsi="宋体" w:eastAsia="宋体" w:cs="宋体"/>
      <w:color w:val="000000"/>
      <w:sz w:val="21"/>
      <w:szCs w:val="21"/>
      <w:u w:val="none"/>
    </w:rPr>
  </w:style>
  <w:style w:type="character" w:customStyle="1" w:styleId="98">
    <w:name w:val="font11"/>
    <w:basedOn w:val="26"/>
    <w:qFormat/>
    <w:uiPriority w:val="0"/>
    <w:rPr>
      <w:rFonts w:hint="default" w:ascii="Times New Roman" w:hAnsi="Times New Roman" w:cs="Times New Roman"/>
      <w:color w:val="000000"/>
      <w:sz w:val="21"/>
      <w:szCs w:val="21"/>
      <w:u w:val="none"/>
    </w:rPr>
  </w:style>
  <w:style w:type="character" w:customStyle="1" w:styleId="99">
    <w:name w:val="font21"/>
    <w:basedOn w:val="26"/>
    <w:qFormat/>
    <w:uiPriority w:val="0"/>
    <w:rPr>
      <w:rFonts w:hint="default" w:ascii="Times New Roman" w:hAnsi="Times New Roman" w:cs="Times New Roman"/>
      <w:color w:val="000000"/>
      <w:sz w:val="22"/>
      <w:szCs w:val="22"/>
      <w:u w:val="none"/>
    </w:rPr>
  </w:style>
  <w:style w:type="character" w:customStyle="1" w:styleId="100">
    <w:name w:val="批注框文本 Char"/>
    <w:basedOn w:val="26"/>
    <w:link w:val="15"/>
    <w:qFormat/>
    <w:uiPriority w:val="0"/>
    <w:rPr>
      <w:rFonts w:cstheme="minorBidi"/>
      <w:kern w:val="2"/>
      <w:sz w:val="18"/>
      <w:szCs w:val="18"/>
    </w:rPr>
  </w:style>
  <w:style w:type="paragraph" w:customStyle="1" w:styleId="101">
    <w:name w:val="Char Char Char Char Char Char"/>
    <w:basedOn w:val="1"/>
    <w:qFormat/>
    <w:uiPriority w:val="0"/>
  </w:style>
  <w:style w:type="paragraph" w:customStyle="1" w:styleId="102">
    <w:name w:val="小四表文左齐"/>
    <w:basedOn w:val="1"/>
    <w:qFormat/>
    <w:uiPriority w:val="0"/>
    <w:pPr>
      <w:snapToGrid w:val="0"/>
      <w:spacing w:line="300" w:lineRule="auto"/>
      <w:jc w:val="center"/>
    </w:pPr>
    <w:rPr>
      <w:rFonts w:ascii="宋体" w:hAnsi="宋体"/>
      <w:szCs w:val="21"/>
    </w:rPr>
  </w:style>
  <w:style w:type="paragraph" w:customStyle="1" w:styleId="103">
    <w:name w:val="表格中文字"/>
    <w:basedOn w:val="1"/>
    <w:qFormat/>
    <w:uiPriority w:val="0"/>
    <w:pPr>
      <w:adjustRightInd w:val="0"/>
      <w:snapToGrid w:val="0"/>
      <w:jc w:val="center"/>
    </w:pPr>
    <w:rPr>
      <w:kern w:val="18"/>
      <w:szCs w:val="21"/>
    </w:rPr>
  </w:style>
  <w:style w:type="character" w:customStyle="1" w:styleId="104">
    <w:name w:val="卓龙正文 Char"/>
    <w:link w:val="105"/>
    <w:qFormat/>
    <w:uiPriority w:val="0"/>
    <w:rPr>
      <w:kern w:val="2"/>
      <w:sz w:val="24"/>
      <w:szCs w:val="24"/>
    </w:rPr>
  </w:style>
  <w:style w:type="paragraph" w:customStyle="1" w:styleId="105">
    <w:name w:val="卓龙正文"/>
    <w:basedOn w:val="1"/>
    <w:link w:val="104"/>
    <w:qFormat/>
    <w:uiPriority w:val="0"/>
    <w:rPr>
      <w:rFonts w:cs="Times New Roman"/>
    </w:rPr>
  </w:style>
  <w:style w:type="character" w:customStyle="1" w:styleId="106">
    <w:name w:val="表格题注 Char"/>
    <w:link w:val="107"/>
    <w:qFormat/>
    <w:uiPriority w:val="0"/>
    <w:rPr>
      <w:b/>
      <w:kern w:val="2"/>
      <w:sz w:val="24"/>
      <w:szCs w:val="24"/>
    </w:rPr>
  </w:style>
  <w:style w:type="paragraph" w:customStyle="1" w:styleId="107">
    <w:name w:val="表格题注"/>
    <w:basedOn w:val="1"/>
    <w:link w:val="106"/>
    <w:qFormat/>
    <w:uiPriority w:val="0"/>
    <w:pPr>
      <w:adjustRightInd w:val="0"/>
      <w:snapToGrid w:val="0"/>
      <w:spacing w:line="240" w:lineRule="auto"/>
      <w:ind w:firstLine="0" w:firstLineChars="0"/>
      <w:jc w:val="center"/>
    </w:pPr>
    <w:rPr>
      <w:rFonts w:cs="Times New Roman"/>
      <w:b/>
    </w:rPr>
  </w:style>
  <w:style w:type="paragraph" w:customStyle="1" w:styleId="108">
    <w:name w:val="正文01"/>
    <w:basedOn w:val="1"/>
    <w:link w:val="109"/>
    <w:qFormat/>
    <w:uiPriority w:val="0"/>
    <w:pPr>
      <w:spacing w:before="60" w:line="460" w:lineRule="exact"/>
      <w:textAlignment w:val="baseline"/>
    </w:pPr>
    <w:rPr>
      <w:rFonts w:cs="Times New Roman"/>
      <w:color w:val="000000"/>
      <w:kern w:val="0"/>
      <w:szCs w:val="20"/>
      <w:u w:color="000000"/>
      <w:lang w:val="zh-CN"/>
    </w:rPr>
  </w:style>
  <w:style w:type="character" w:customStyle="1" w:styleId="109">
    <w:name w:val="正文01 Char Char"/>
    <w:link w:val="108"/>
    <w:qFormat/>
    <w:uiPriority w:val="0"/>
    <w:rPr>
      <w:color w:val="000000"/>
      <w:sz w:val="24"/>
      <w:u w:color="000000"/>
      <w:lang w:val="zh-CN" w:eastAsia="zh-CN"/>
    </w:rPr>
  </w:style>
  <w:style w:type="character" w:customStyle="1" w:styleId="110">
    <w:name w:val="样式 正文01 + Times New Roman Char Char"/>
    <w:link w:val="111"/>
    <w:qFormat/>
    <w:uiPriority w:val="0"/>
  </w:style>
  <w:style w:type="paragraph" w:customStyle="1" w:styleId="111">
    <w:name w:val="样式 正文01 + Times New Roman"/>
    <w:basedOn w:val="108"/>
    <w:link w:val="110"/>
    <w:qFormat/>
    <w:uiPriority w:val="0"/>
    <w:pPr>
      <w:widowControl w:val="0"/>
      <w:adjustRightInd w:val="0"/>
      <w:spacing w:before="0" w:line="520" w:lineRule="exact"/>
      <w:ind w:firstLine="514" w:firstLineChars="214"/>
    </w:pPr>
    <w:rPr>
      <w:color w:val="auto"/>
      <w:sz w:val="20"/>
      <w:lang w:val="en-US"/>
    </w:rPr>
  </w:style>
  <w:style w:type="paragraph" w:customStyle="1" w:styleId="112">
    <w:name w:val="aa正文"/>
    <w:basedOn w:val="1"/>
    <w:qFormat/>
    <w:uiPriority w:val="0"/>
    <w:rPr>
      <w:kern w:val="0"/>
    </w:rPr>
  </w:style>
  <w:style w:type="paragraph" w:styleId="113">
    <w:name w:val="No Spacing"/>
    <w:qFormat/>
    <w:uiPriority w:val="1"/>
    <w:pPr>
      <w:widowControl w:val="0"/>
      <w:adjustRightInd w:val="0"/>
      <w:snapToGrid w:val="0"/>
      <w:spacing w:line="360" w:lineRule="auto"/>
      <w:ind w:firstLine="200" w:firstLineChars="200"/>
      <w:jc w:val="center"/>
    </w:pPr>
    <w:rPr>
      <w:rFonts w:ascii="Times New Roman" w:hAnsi="Times New Roman" w:eastAsia="宋体" w:cs="Times New Roman"/>
      <w:b/>
      <w:kern w:val="2"/>
      <w:sz w:val="24"/>
      <w:szCs w:val="22"/>
      <w:lang w:val="en-US" w:eastAsia="zh-CN" w:bidi="ar-SA"/>
    </w:rPr>
  </w:style>
  <w:style w:type="paragraph" w:customStyle="1" w:styleId="114">
    <w:name w:val="表格内文字"/>
    <w:basedOn w:val="1"/>
    <w:qFormat/>
    <w:uiPriority w:val="0"/>
    <w:pPr>
      <w:tabs>
        <w:tab w:val="left" w:pos="0"/>
      </w:tabs>
      <w:adjustRightInd w:val="0"/>
      <w:snapToGrid w:val="0"/>
      <w:jc w:val="center"/>
    </w:pPr>
    <w:rPr>
      <w:rFonts w:eastAsia="仿宋_GB2312"/>
    </w:rPr>
  </w:style>
  <w:style w:type="paragraph" w:customStyle="1" w:styleId="115">
    <w:name w:val="文本"/>
    <w:basedOn w:val="10"/>
    <w:qFormat/>
    <w:uiPriority w:val="0"/>
    <w:pPr>
      <w:spacing w:line="480" w:lineRule="exact"/>
      <w:ind w:firstLine="480"/>
      <w:jc w:val="left"/>
    </w:pPr>
    <w:rPr>
      <w:rFonts w:cs="宋体"/>
      <w:kern w:val="0"/>
    </w:rPr>
  </w:style>
  <w:style w:type="paragraph" w:customStyle="1" w:styleId="116">
    <w:name w:val="表格"/>
    <w:basedOn w:val="5"/>
    <w:qFormat/>
    <w:uiPriority w:val="0"/>
    <w:pPr>
      <w:keepNext w:val="0"/>
      <w:keepLines w:val="0"/>
      <w:overflowPunct w:val="0"/>
      <w:adjustRightInd w:val="0"/>
      <w:snapToGrid w:val="0"/>
      <w:spacing w:before="0" w:after="0" w:line="240" w:lineRule="auto"/>
      <w:textAlignment w:val="baseline"/>
      <w:outlineLvl w:val="9"/>
    </w:pPr>
    <w:rPr>
      <w:rFonts w:ascii="仿宋_GB2312" w:hAnsi="Alaska" w:eastAsia="仿宋_GB2312"/>
      <w:b w:val="0"/>
      <w:kern w:val="0"/>
      <w:sz w:val="21"/>
      <w:szCs w:val="20"/>
    </w:rPr>
  </w:style>
  <w:style w:type="paragraph" w:customStyle="1" w:styleId="117">
    <w:name w:val="1表格"/>
    <w:basedOn w:val="1"/>
    <w:qFormat/>
    <w:uiPriority w:val="0"/>
    <w:pPr>
      <w:adjustRightInd w:val="0"/>
      <w:snapToGrid w:val="0"/>
      <w:jc w:val="center"/>
      <w:textAlignment w:val="baseline"/>
    </w:pPr>
    <w:rPr>
      <w:spacing w:val="4"/>
    </w:rPr>
  </w:style>
  <w:style w:type="paragraph" w:customStyle="1" w:styleId="118">
    <w:name w:val="_Style 1"/>
    <w:basedOn w:val="1"/>
    <w:next w:val="10"/>
    <w:qFormat/>
    <w:uiPriority w:val="0"/>
    <w:pPr>
      <w:adjustRightInd w:val="0"/>
      <w:spacing w:line="288" w:lineRule="auto"/>
      <w:ind w:firstLine="480"/>
      <w:textAlignment w:val="baseline"/>
    </w:pPr>
    <w:rPr>
      <w:rFonts w:ascii="宋体" w:hAnsi="宋体" w:cs="宋体"/>
    </w:rPr>
  </w:style>
  <w:style w:type="paragraph" w:customStyle="1" w:styleId="119">
    <w:name w:val="正本文字"/>
    <w:basedOn w:val="1"/>
    <w:qFormat/>
    <w:uiPriority w:val="0"/>
    <w:pPr>
      <w:adjustRightInd w:val="0"/>
      <w:snapToGrid w:val="0"/>
      <w:ind w:firstLine="480"/>
      <w:jc w:val="left"/>
    </w:pPr>
    <w:rPr>
      <w:rFonts w:cs="宋体"/>
      <w:kern w:val="18"/>
      <w:szCs w:val="20"/>
    </w:rPr>
  </w:style>
  <w:style w:type="paragraph" w:customStyle="1" w:styleId="120">
    <w:name w:val="表格标题标题"/>
    <w:basedOn w:val="119"/>
    <w:qFormat/>
    <w:uiPriority w:val="0"/>
    <w:pPr>
      <w:adjustRightInd/>
      <w:snapToGrid/>
      <w:spacing w:line="276" w:lineRule="auto"/>
      <w:ind w:left="-2" w:leftChars="-1" w:firstLine="0" w:firstLineChars="0"/>
      <w:jc w:val="center"/>
    </w:pPr>
    <w:rPr>
      <w:rFonts w:cs="Times New Roman"/>
      <w:b/>
      <w:szCs w:val="24"/>
    </w:rPr>
  </w:style>
  <w:style w:type="paragraph" w:customStyle="1" w:styleId="121">
    <w:name w:val="h"/>
    <w:basedOn w:val="1"/>
    <w:qFormat/>
    <w:uiPriority w:val="0"/>
    <w:pPr>
      <w:spacing w:before="60"/>
      <w:ind w:firstLine="482"/>
    </w:pPr>
    <w:rPr>
      <w:rFonts w:ascii="Arial" w:hAnsi="Arial" w:eastAsia="仿宋_GB2312"/>
      <w:kern w:val="0"/>
      <w:szCs w:val="20"/>
    </w:rPr>
  </w:style>
  <w:style w:type="character" w:customStyle="1" w:styleId="122">
    <w:name w:val="卓龙正文加粗标题 Char"/>
    <w:link w:val="123"/>
    <w:qFormat/>
    <w:uiPriority w:val="0"/>
    <w:rPr>
      <w:b/>
      <w:sz w:val="24"/>
      <w:szCs w:val="24"/>
    </w:rPr>
  </w:style>
  <w:style w:type="paragraph" w:customStyle="1" w:styleId="123">
    <w:name w:val="卓龙正文加粗标题"/>
    <w:basedOn w:val="1"/>
    <w:link w:val="122"/>
    <w:qFormat/>
    <w:uiPriority w:val="0"/>
    <w:rPr>
      <w:b/>
    </w:rPr>
  </w:style>
  <w:style w:type="paragraph" w:customStyle="1" w:styleId="124">
    <w:name w:val="卓龙表头"/>
    <w:basedOn w:val="11"/>
    <w:qFormat/>
    <w:uiPriority w:val="0"/>
  </w:style>
  <w:style w:type="paragraph" w:customStyle="1" w:styleId="125">
    <w:name w:val="表文字"/>
    <w:basedOn w:val="1"/>
    <w:qFormat/>
    <w:uiPriority w:val="0"/>
    <w:pPr>
      <w:tabs>
        <w:tab w:val="left" w:pos="945"/>
        <w:tab w:val="right" w:leader="dot" w:pos="1155"/>
        <w:tab w:val="left" w:pos="8715"/>
      </w:tabs>
      <w:adjustRightInd w:val="0"/>
      <w:snapToGrid w:val="0"/>
      <w:spacing w:before="46" w:beforeLines="15" w:after="46" w:afterLines="15"/>
      <w:jc w:val="center"/>
      <w:textAlignment w:val="baseline"/>
    </w:pPr>
    <w:rPr>
      <w:rFonts w:ascii="宋体" w:hAnsi="宋体"/>
      <w:snapToGrid w:val="0"/>
      <w:color w:val="000000"/>
      <w:kern w:val="0"/>
      <w:szCs w:val="9"/>
    </w:rPr>
  </w:style>
  <w:style w:type="paragraph" w:customStyle="1" w:styleId="126">
    <w:name w:val="卓龙表格正文"/>
    <w:basedOn w:val="127"/>
    <w:qFormat/>
    <w:uiPriority w:val="0"/>
    <w:pPr>
      <w:adjustRightInd w:val="0"/>
      <w:snapToGrid w:val="0"/>
    </w:pPr>
    <w:rPr>
      <w:rFonts w:ascii="Times New Roman" w:hAnsi="Times New Roman" w:cs="Times New Roman"/>
      <w:sz w:val="21"/>
    </w:rPr>
  </w:style>
  <w:style w:type="paragraph" w:customStyle="1" w:styleId="127">
    <w:name w:val="表格文字"/>
    <w:basedOn w:val="1"/>
    <w:qFormat/>
    <w:uiPriority w:val="0"/>
    <w:pPr>
      <w:jc w:val="center"/>
    </w:pPr>
    <w:rPr>
      <w:rFonts w:ascii="宋体" w:hAnsi="宋体" w:cs="宋体"/>
      <w:color w:val="000000"/>
      <w:kern w:val="0"/>
      <w:szCs w:val="21"/>
    </w:rPr>
  </w:style>
  <w:style w:type="paragraph" w:customStyle="1" w:styleId="128">
    <w:name w:val="表文"/>
    <w:basedOn w:val="13"/>
    <w:next w:val="10"/>
    <w:qFormat/>
    <w:uiPriority w:val="0"/>
    <w:pPr>
      <w:spacing w:after="0"/>
      <w:jc w:val="center"/>
    </w:pPr>
  </w:style>
  <w:style w:type="character" w:customStyle="1" w:styleId="129">
    <w:name w:val="题注 Char"/>
    <w:link w:val="11"/>
    <w:qFormat/>
    <w:uiPriority w:val="0"/>
    <w:rPr>
      <w:rFonts w:cstheme="minorBidi"/>
      <w:b/>
      <w:kern w:val="2"/>
      <w:sz w:val="24"/>
      <w:szCs w:val="24"/>
    </w:rPr>
  </w:style>
  <w:style w:type="character" w:customStyle="1" w:styleId="130">
    <w:name w:val="表格正文 Char"/>
    <w:link w:val="131"/>
    <w:qFormat/>
    <w:uiPriority w:val="0"/>
    <w:rPr>
      <w:kern w:val="2"/>
      <w:sz w:val="21"/>
      <w:szCs w:val="24"/>
    </w:rPr>
  </w:style>
  <w:style w:type="paragraph" w:customStyle="1" w:styleId="131">
    <w:name w:val="表格正文"/>
    <w:basedOn w:val="1"/>
    <w:next w:val="1"/>
    <w:link w:val="130"/>
    <w:qFormat/>
    <w:uiPriority w:val="0"/>
    <w:pPr>
      <w:widowControl w:val="0"/>
      <w:adjustRightInd w:val="0"/>
      <w:snapToGrid w:val="0"/>
      <w:spacing w:line="240" w:lineRule="auto"/>
      <w:ind w:firstLine="0" w:firstLineChars="0"/>
      <w:jc w:val="center"/>
    </w:pPr>
    <w:rPr>
      <w:rFonts w:cs="Times New Roman"/>
      <w:sz w:val="21"/>
    </w:rPr>
  </w:style>
  <w:style w:type="character" w:customStyle="1" w:styleId="132">
    <w:name w:val="1正文 Char"/>
    <w:link w:val="133"/>
    <w:qFormat/>
    <w:uiPriority w:val="0"/>
    <w:rPr>
      <w:kern w:val="2"/>
      <w:sz w:val="24"/>
      <w:szCs w:val="24"/>
    </w:rPr>
  </w:style>
  <w:style w:type="paragraph" w:customStyle="1" w:styleId="133">
    <w:name w:val="1正文"/>
    <w:link w:val="132"/>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4">
    <w:name w:val="报告书正文"/>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5">
    <w:name w:val="表格内容"/>
    <w:basedOn w:val="40"/>
    <w:next w:val="1"/>
    <w:qFormat/>
    <w:uiPriority w:val="0"/>
    <w:pPr>
      <w:spacing w:beforeLines="0" w:line="240" w:lineRule="atLeast"/>
    </w:pPr>
    <w:rPr>
      <w:rFonts w:eastAsia="宋体"/>
      <w:b w:val="0"/>
      <w:snapToGrid/>
      <w:spacing w:val="-2"/>
      <w:sz w:val="21"/>
      <w:szCs w:val="20"/>
    </w:rPr>
  </w:style>
  <w:style w:type="paragraph" w:customStyle="1" w:styleId="136">
    <w:name w:val="正文1"/>
    <w:basedOn w:val="1"/>
    <w:qFormat/>
    <w:uiPriority w:val="0"/>
    <w:pPr>
      <w:adjustRightInd w:val="0"/>
      <w:snapToGrid w:val="0"/>
      <w:spacing w:line="500" w:lineRule="atLeast"/>
      <w:ind w:firstLine="567"/>
    </w:pPr>
    <w:rPr>
      <w:rFonts w:ascii="Times New Roman" w:hAnsi="Times New Roman"/>
      <w:szCs w:val="20"/>
    </w:rPr>
  </w:style>
  <w:style w:type="paragraph" w:customStyle="1" w:styleId="137">
    <w:name w:val="表格字体"/>
    <w:basedOn w:val="1"/>
    <w:qFormat/>
    <w:uiPriority w:val="0"/>
    <w:pPr>
      <w:widowControl w:val="0"/>
      <w:adjustRightInd w:val="0"/>
      <w:spacing w:line="300" w:lineRule="exact"/>
      <w:jc w:val="center"/>
    </w:pPr>
    <w:rPr>
      <w:rFonts w:ascii="宋体"/>
      <w:kern w:val="2"/>
      <w:sz w:val="21"/>
      <w:szCs w:val="24"/>
    </w:rPr>
  </w:style>
  <w:style w:type="character" w:customStyle="1" w:styleId="138">
    <w:name w:val="fontstyle21"/>
    <w:basedOn w:val="26"/>
    <w:qFormat/>
    <w:uiPriority w:val="0"/>
    <w:rPr>
      <w:rFonts w:hint="default" w:ascii="Times New Roman" w:hAnsi="Times New Roman" w:cs="Times New 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jpe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wmf"/><Relationship Id="rId5" Type="http://schemas.openxmlformats.org/officeDocument/2006/relationships/header" Target="header3.xml"/><Relationship Id="rId49" Type="http://schemas.openxmlformats.org/officeDocument/2006/relationships/oleObject" Target="embeddings/oleObject13.bin"/><Relationship Id="rId48" Type="http://schemas.openxmlformats.org/officeDocument/2006/relationships/image" Target="media/image24.wmf"/><Relationship Id="rId47" Type="http://schemas.openxmlformats.org/officeDocument/2006/relationships/oleObject" Target="embeddings/oleObject12.bin"/><Relationship Id="rId46" Type="http://schemas.openxmlformats.org/officeDocument/2006/relationships/image" Target="media/image23.wmf"/><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11.bin"/><Relationship Id="rId42" Type="http://schemas.openxmlformats.org/officeDocument/2006/relationships/oleObject" Target="embeddings/oleObject10.bin"/><Relationship Id="rId41" Type="http://schemas.openxmlformats.org/officeDocument/2006/relationships/oleObject" Target="embeddings/oleObject9.bin"/><Relationship Id="rId40" Type="http://schemas.openxmlformats.org/officeDocument/2006/relationships/oleObject" Target="embeddings/oleObject8.bin"/><Relationship Id="rId4" Type="http://schemas.openxmlformats.org/officeDocument/2006/relationships/header" Target="header2.xml"/><Relationship Id="rId39" Type="http://schemas.openxmlformats.org/officeDocument/2006/relationships/image" Target="media/image20.emf"/><Relationship Id="rId38" Type="http://schemas.openxmlformats.org/officeDocument/2006/relationships/image" Target="media/image19.emf"/><Relationship Id="rId37" Type="http://schemas.openxmlformats.org/officeDocument/2006/relationships/image" Target="media/image18.wmf"/><Relationship Id="rId36" Type="http://schemas.openxmlformats.org/officeDocument/2006/relationships/oleObject" Target="embeddings/oleObject7.bin"/><Relationship Id="rId35" Type="http://schemas.openxmlformats.org/officeDocument/2006/relationships/image" Target="media/image17.wmf"/><Relationship Id="rId34" Type="http://schemas.openxmlformats.org/officeDocument/2006/relationships/oleObject" Target="embeddings/oleObject6.bin"/><Relationship Id="rId33" Type="http://schemas.openxmlformats.org/officeDocument/2006/relationships/image" Target="media/image16.wmf"/><Relationship Id="rId32" Type="http://schemas.openxmlformats.org/officeDocument/2006/relationships/oleObject" Target="embeddings/oleObject5.bin"/><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Info spid="_x0000_s2053"/>
    <customShpInfo spid="_x0000_s2058" textRotate="1"/>
    <customShpInfo spid="_x0000_s2059"/>
    <customShpInfo spid="_x0000_s2060"/>
    <customShpInfo spid="_x0000_s206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3F57F-9388-4091-966E-DBAA9552281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243</Pages>
  <Words>129434</Words>
  <Characters>158609</Characters>
  <Lines>797</Lines>
  <Paragraphs>224</Paragraphs>
  <TotalTime>19</TotalTime>
  <ScaleCrop>false</ScaleCrop>
  <LinksUpToDate>false</LinksUpToDate>
  <CharactersWithSpaces>160017</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2017-09-25T07:35:00Z</dcterms:created>
  <dc:creator>Administrator</dc:creator>
  <cp:lastModifiedBy>Administrator</cp:lastModifiedBy>
  <cp:lastPrinted>2020-05-21T03:13:00Z</cp:lastPrinted>
  <dcterms:modified xsi:type="dcterms:W3CDTF">2020-06-22T07:51:04Z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